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55.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الانصاف فی مسائل دام فیها الخلاف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65387_1067777946">
            <w:r>
              <w:rPr>
                <w:webHidden/>
                <w:rStyle w:val="IndexLink"/>
                <w:rtl w:val="true"/>
              </w:rPr>
              <w:t>هویة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1165389_1067777946">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1165391_1067777946">
            <w:r>
              <w:rPr>
                <w:webHidden/>
                <w:rStyle w:val="IndexLink"/>
              </w:rPr>
              <w:t>1</w:t>
            </w:r>
            <w:r>
              <w:rPr>
                <w:rStyle w:val="IndexLink"/>
                <w:rtl w:val="true"/>
              </w:rPr>
              <w:t xml:space="preserve">. </w:t>
            </w:r>
            <w:r>
              <w:rPr>
                <w:rStyle w:val="IndexLink"/>
                <w:rtl w:val="true"/>
              </w:rPr>
              <w:t>الوضوء علی ضوء الكتاب والسنة</w:t>
            </w:r>
            <w:r>
              <w:rPr>
                <w:rStyle w:val="IndexLink"/>
                <w:rtl w:val="true"/>
              </w:rPr>
              <w:tab/>
            </w:r>
            <w:r>
              <w:rPr>
                <w:rStyle w:val="IndexLink"/>
              </w:rPr>
              <w:t>17</w:t>
            </w:r>
          </w:hyperlink>
        </w:p>
        <w:p>
          <w:pPr>
            <w:pStyle w:val="Contents3"/>
            <w:tabs>
              <w:tab w:val="clear" w:pos="8459"/>
              <w:tab w:val="right" w:pos="9026" w:leader="dot"/>
            </w:tabs>
            <w:rPr/>
          </w:pPr>
          <w:hyperlink w:anchor="__RefHeading___Toc1165393_1067777946">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1165395_1067777946">
            <w:r>
              <w:rPr>
                <w:webHidden/>
                <w:rStyle w:val="IndexLink"/>
              </w:rPr>
              <w:t>1</w:t>
            </w:r>
            <w:r>
              <w:rPr>
                <w:rStyle w:val="IndexLink"/>
                <w:rtl w:val="true"/>
              </w:rPr>
              <w:t xml:space="preserve">. </w:t>
            </w:r>
            <w:r>
              <w:rPr>
                <w:rStyle w:val="IndexLink"/>
                <w:rtl w:val="true"/>
              </w:rPr>
              <w:t>آية الوضوء آية محكمة</w:t>
            </w:r>
            <w:r>
              <w:rPr>
                <w:rStyle w:val="IndexLink"/>
                <w:rtl w:val="true"/>
              </w:rPr>
              <w:tab/>
            </w:r>
            <w:r>
              <w:rPr>
                <w:rStyle w:val="IndexLink"/>
              </w:rPr>
              <w:t>19</w:t>
            </w:r>
          </w:hyperlink>
        </w:p>
        <w:p>
          <w:pPr>
            <w:pStyle w:val="Contents3"/>
            <w:tabs>
              <w:tab w:val="clear" w:pos="8459"/>
              <w:tab w:val="right" w:pos="9026" w:leader="dot"/>
            </w:tabs>
            <w:rPr/>
          </w:pPr>
          <w:hyperlink w:anchor="__RefHeading___Toc1165397_1067777946">
            <w:r>
              <w:rPr>
                <w:webHidden/>
                <w:rStyle w:val="IndexLink"/>
              </w:rPr>
              <w:t>2</w:t>
            </w:r>
            <w:r>
              <w:rPr>
                <w:rStyle w:val="IndexLink"/>
                <w:rtl w:val="true"/>
              </w:rPr>
              <w:t xml:space="preserve">. </w:t>
            </w:r>
            <w:r>
              <w:rPr>
                <w:rStyle w:val="IndexLink"/>
                <w:rtl w:val="true"/>
              </w:rPr>
              <w:t>بداية الاختلاف</w:t>
            </w:r>
            <w:r>
              <w:rPr>
                <w:rStyle w:val="IndexLink"/>
                <w:rtl w:val="true"/>
              </w:rPr>
              <w:tab/>
            </w:r>
            <w:r>
              <w:rPr>
                <w:rStyle w:val="IndexLink"/>
              </w:rPr>
              <w:t>23</w:t>
            </w:r>
          </w:hyperlink>
        </w:p>
        <w:p>
          <w:pPr>
            <w:pStyle w:val="Contents3"/>
            <w:tabs>
              <w:tab w:val="clear" w:pos="8459"/>
              <w:tab w:val="right" w:pos="9026" w:leader="dot"/>
            </w:tabs>
            <w:rPr/>
          </w:pPr>
          <w:hyperlink w:anchor="__RefHeading___Toc1165399_1067777946">
            <w:r>
              <w:rPr>
                <w:webHidden/>
                <w:rStyle w:val="IndexLink"/>
              </w:rPr>
              <w:t>3</w:t>
            </w:r>
            <w:r>
              <w:rPr>
                <w:rStyle w:val="IndexLink"/>
                <w:rtl w:val="true"/>
              </w:rPr>
              <w:t xml:space="preserve">. </w:t>
            </w:r>
            <w:r>
              <w:rPr>
                <w:rStyle w:val="IndexLink"/>
                <w:rtl w:val="true"/>
              </w:rPr>
              <w:t>القرآن هو المهيمن</w:t>
            </w:r>
            <w:r>
              <w:rPr>
                <w:rStyle w:val="IndexLink"/>
                <w:rtl w:val="true"/>
              </w:rPr>
              <w:tab/>
            </w:r>
            <w:r>
              <w:rPr>
                <w:rStyle w:val="IndexLink"/>
              </w:rPr>
              <w:t>25</w:t>
            </w:r>
          </w:hyperlink>
        </w:p>
        <w:p>
          <w:pPr>
            <w:pStyle w:val="Contents4"/>
            <w:tabs>
              <w:tab w:val="clear" w:pos="8176"/>
              <w:tab w:val="right" w:pos="9026" w:leader="dot"/>
            </w:tabs>
            <w:rPr/>
          </w:pPr>
          <w:hyperlink w:anchor="__RefHeading___Toc1165401_1067777946">
            <w:r>
              <w:rPr>
                <w:webHidden/>
                <w:rStyle w:val="IndexLink"/>
                <w:rtl w:val="true"/>
              </w:rPr>
              <w:t>والمرجع الوحيد عند اختلاف الآثار</w:t>
            </w:r>
            <w:r>
              <w:rPr>
                <w:rStyle w:val="IndexLink"/>
                <w:rtl w:val="true"/>
              </w:rPr>
              <w:tab/>
            </w:r>
            <w:r>
              <w:rPr>
                <w:rStyle w:val="IndexLink"/>
              </w:rPr>
              <w:t>25</w:t>
            </w:r>
          </w:hyperlink>
        </w:p>
        <w:p>
          <w:pPr>
            <w:pStyle w:val="Contents3"/>
            <w:tabs>
              <w:tab w:val="clear" w:pos="8459"/>
              <w:tab w:val="right" w:pos="9026" w:leader="dot"/>
            </w:tabs>
            <w:rPr/>
          </w:pPr>
          <w:hyperlink w:anchor="__RefHeading___Toc1165403_1067777946">
            <w:r>
              <w:rPr>
                <w:webHidden/>
                <w:rStyle w:val="IndexLink"/>
              </w:rPr>
              <w:t>4</w:t>
            </w:r>
            <w:r>
              <w:rPr>
                <w:rStyle w:val="IndexLink"/>
                <w:rtl w:val="true"/>
              </w:rPr>
              <w:t xml:space="preserve">. </w:t>
            </w:r>
            <w:r>
              <w:rPr>
                <w:rStyle w:val="IndexLink"/>
                <w:rtl w:val="true"/>
              </w:rPr>
              <w:t>سورة المائدة آخر سورة نزلت</w:t>
            </w:r>
            <w:r>
              <w:rPr>
                <w:rStyle w:val="IndexLink"/>
                <w:rtl w:val="true"/>
              </w:rPr>
              <w:tab/>
            </w:r>
            <w:r>
              <w:rPr>
                <w:rStyle w:val="IndexLink"/>
              </w:rPr>
              <w:t>26</w:t>
            </w:r>
          </w:hyperlink>
        </w:p>
        <w:p>
          <w:pPr>
            <w:pStyle w:val="Contents3"/>
            <w:tabs>
              <w:tab w:val="clear" w:pos="8459"/>
              <w:tab w:val="right" w:pos="9026" w:leader="dot"/>
            </w:tabs>
            <w:rPr/>
          </w:pPr>
          <w:hyperlink w:anchor="__RefHeading___Toc1165405_1067777946">
            <w:r>
              <w:rPr>
                <w:webHidden/>
                <w:rStyle w:val="IndexLink"/>
              </w:rPr>
              <w:t>5</w:t>
            </w:r>
            <w:r>
              <w:rPr>
                <w:rStyle w:val="IndexLink"/>
                <w:rtl w:val="true"/>
              </w:rPr>
              <w:t xml:space="preserve">. </w:t>
            </w:r>
            <w:r>
              <w:rPr>
                <w:rStyle w:val="IndexLink"/>
                <w:rtl w:val="true"/>
              </w:rPr>
              <w:t>مصدر الاختلاف</w:t>
            </w:r>
            <w:r>
              <w:rPr>
                <w:rStyle w:val="IndexLink"/>
                <w:rtl w:val="true"/>
              </w:rPr>
              <w:tab/>
            </w:r>
            <w:r>
              <w:rPr>
                <w:rStyle w:val="IndexLink"/>
              </w:rPr>
              <w:t>28</w:t>
            </w:r>
          </w:hyperlink>
        </w:p>
        <w:p>
          <w:pPr>
            <w:pStyle w:val="Contents4"/>
            <w:tabs>
              <w:tab w:val="clear" w:pos="8176"/>
              <w:tab w:val="right" w:pos="9026" w:leader="dot"/>
            </w:tabs>
            <w:rPr/>
          </w:pPr>
          <w:hyperlink w:anchor="__RefHeading___Toc1165407_1067777946">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1165409_1067777946">
            <w:r>
              <w:rPr>
                <w:webHidden/>
                <w:rStyle w:val="IndexLink"/>
              </w:rPr>
              <w:t>1</w:t>
            </w:r>
            <w:r>
              <w:rPr>
                <w:rStyle w:val="IndexLink"/>
                <w:rtl w:val="true"/>
              </w:rPr>
              <w:t xml:space="preserve">. </w:t>
            </w:r>
            <w:r>
              <w:rPr>
                <w:rStyle w:val="IndexLink"/>
                <w:rtl w:val="true"/>
              </w:rPr>
              <w:t>اختلاف القراءة</w:t>
            </w:r>
            <w:r>
              <w:rPr>
                <w:rStyle w:val="IndexLink"/>
                <w:rtl w:val="true"/>
              </w:rPr>
              <w:tab/>
            </w:r>
            <w:r>
              <w:rPr>
                <w:rStyle w:val="IndexLink"/>
              </w:rPr>
              <w:t>28</w:t>
            </w:r>
          </w:hyperlink>
        </w:p>
        <w:p>
          <w:pPr>
            <w:pStyle w:val="Contents4"/>
            <w:tabs>
              <w:tab w:val="clear" w:pos="8176"/>
              <w:tab w:val="right" w:pos="9026" w:leader="dot"/>
            </w:tabs>
            <w:rPr/>
          </w:pPr>
          <w:hyperlink w:anchor="__RefHeading___Toc1165411_1067777946">
            <w:r>
              <w:rPr>
                <w:webHidden/>
                <w:rStyle w:val="IndexLink"/>
              </w:rPr>
              <w:t>2</w:t>
            </w:r>
            <w:r>
              <w:rPr>
                <w:rStyle w:val="IndexLink"/>
                <w:rtl w:val="true"/>
              </w:rPr>
              <w:t xml:space="preserve">. </w:t>
            </w:r>
            <w:r>
              <w:rPr>
                <w:rStyle w:val="IndexLink"/>
                <w:rtl w:val="true"/>
              </w:rPr>
              <w:t>التمسّك بروايات الغسل المنسوخة</w:t>
            </w:r>
            <w:r>
              <w:rPr>
                <w:rStyle w:val="IndexLink"/>
                <w:rtl w:val="true"/>
              </w:rPr>
              <w:tab/>
            </w:r>
            <w:r>
              <w:rPr>
                <w:rStyle w:val="IndexLink"/>
              </w:rPr>
              <w:t>29</w:t>
            </w:r>
          </w:hyperlink>
        </w:p>
        <w:p>
          <w:pPr>
            <w:pStyle w:val="Contents4"/>
            <w:tabs>
              <w:tab w:val="clear" w:pos="8176"/>
              <w:tab w:val="right" w:pos="9026" w:leader="dot"/>
            </w:tabs>
            <w:rPr/>
          </w:pPr>
          <w:hyperlink w:anchor="__RefHeading___Toc1165413_1067777946">
            <w:r>
              <w:rPr>
                <w:webHidden/>
                <w:rStyle w:val="IndexLink"/>
              </w:rPr>
              <w:t>3</w:t>
            </w:r>
            <w:r>
              <w:rPr>
                <w:rStyle w:val="IndexLink"/>
                <w:rtl w:val="true"/>
              </w:rPr>
              <w:t xml:space="preserve">. </w:t>
            </w:r>
            <w:r>
              <w:rPr>
                <w:rStyle w:val="IndexLink"/>
                <w:rtl w:val="true"/>
              </w:rPr>
              <w:t>إشاعة الغسل من قبل السلطة</w:t>
            </w:r>
            <w:r>
              <w:rPr>
                <w:rStyle w:val="IndexLink"/>
                <w:rtl w:val="true"/>
              </w:rPr>
              <w:tab/>
            </w:r>
            <w:r>
              <w:rPr>
                <w:rStyle w:val="IndexLink"/>
              </w:rPr>
              <w:t>30</w:t>
            </w:r>
          </w:hyperlink>
        </w:p>
        <w:p>
          <w:pPr>
            <w:pStyle w:val="Contents3"/>
            <w:tabs>
              <w:tab w:val="clear" w:pos="8459"/>
              <w:tab w:val="right" w:pos="9026" w:leader="dot"/>
            </w:tabs>
            <w:rPr/>
          </w:pPr>
          <w:hyperlink w:anchor="__RefHeading___Toc1165415_1067777946">
            <w:r>
              <w:rPr>
                <w:webHidden/>
                <w:rStyle w:val="IndexLink"/>
              </w:rPr>
              <w:t>6</w:t>
            </w:r>
            <w:r>
              <w:rPr>
                <w:rStyle w:val="IndexLink"/>
                <w:rtl w:val="true"/>
              </w:rPr>
              <w:t xml:space="preserve">. </w:t>
            </w:r>
            <w:r>
              <w:rPr>
                <w:rStyle w:val="IndexLink"/>
                <w:rtl w:val="true"/>
              </w:rPr>
              <w:t xml:space="preserve">ما هو العامل في قوله </w:t>
            </w:r>
            <w:r>
              <w:rPr>
                <w:rStyle w:val="IndexLink"/>
                <w:rtl w:val="true"/>
              </w:rPr>
              <w:t xml:space="preserve">( </w:t>
            </w:r>
            <w:r>
              <w:rPr>
                <w:rStyle w:val="IndexLink"/>
                <w:rtl w:val="true"/>
              </w:rPr>
              <w:t xml:space="preserve">وَأَرْجُلَكُمْ </w:t>
            </w:r>
            <w:r>
              <w:rPr>
                <w:rStyle w:val="IndexLink"/>
                <w:rtl w:val="true"/>
              </w:rPr>
              <w:t>)</w:t>
            </w:r>
            <w:r>
              <w:rPr>
                <w:rStyle w:val="IndexLink"/>
                <w:rtl w:val="true"/>
              </w:rPr>
              <w:t>؟</w:t>
            </w:r>
            <w:r>
              <w:rPr>
                <w:rStyle w:val="IndexLink"/>
                <w:rtl w:val="true"/>
              </w:rPr>
              <w:tab/>
            </w:r>
            <w:r>
              <w:rPr>
                <w:rStyle w:val="IndexLink"/>
              </w:rPr>
              <w:t>32</w:t>
            </w:r>
          </w:hyperlink>
        </w:p>
        <w:p>
          <w:pPr>
            <w:pStyle w:val="Contents3"/>
            <w:tabs>
              <w:tab w:val="clear" w:pos="8459"/>
              <w:tab w:val="right" w:pos="9026" w:leader="dot"/>
            </w:tabs>
            <w:rPr/>
          </w:pPr>
          <w:hyperlink w:anchor="__RefHeading___Toc1165417_1067777946">
            <w:r>
              <w:rPr>
                <w:webHidden/>
                <w:rStyle w:val="IndexLink"/>
              </w:rPr>
              <w:t>7</w:t>
            </w:r>
            <w:r>
              <w:rPr>
                <w:rStyle w:val="IndexLink"/>
                <w:rtl w:val="true"/>
              </w:rPr>
              <w:t xml:space="preserve">. </w:t>
            </w:r>
            <w:r>
              <w:rPr>
                <w:rStyle w:val="IndexLink"/>
                <w:rtl w:val="true"/>
              </w:rPr>
              <w:t>القراءتان والمسح على الأرجل</w:t>
            </w:r>
            <w:r>
              <w:rPr>
                <w:rStyle w:val="IndexLink"/>
                <w:rtl w:val="true"/>
              </w:rPr>
              <w:tab/>
            </w:r>
            <w:r>
              <w:rPr>
                <w:rStyle w:val="IndexLink"/>
              </w:rPr>
              <w:t>35</w:t>
            </w:r>
          </w:hyperlink>
        </w:p>
        <w:p>
          <w:pPr>
            <w:pStyle w:val="Contents3"/>
            <w:tabs>
              <w:tab w:val="clear" w:pos="8459"/>
              <w:tab w:val="right" w:pos="9026" w:leader="dot"/>
            </w:tabs>
            <w:rPr/>
          </w:pPr>
          <w:hyperlink w:anchor="__RefHeading___Toc1165419_1067777946">
            <w:r>
              <w:rPr>
                <w:webHidden/>
                <w:rStyle w:val="IndexLink"/>
              </w:rPr>
              <w:t>8</w:t>
            </w:r>
            <w:r>
              <w:rPr>
                <w:rStyle w:val="IndexLink"/>
                <w:rtl w:val="true"/>
              </w:rPr>
              <w:t xml:space="preserve">. </w:t>
            </w:r>
            <w:r>
              <w:rPr>
                <w:rStyle w:val="IndexLink"/>
                <w:rtl w:val="true"/>
              </w:rPr>
              <w:t>القراءتان وغسل الأرجل</w:t>
            </w:r>
            <w:r>
              <w:rPr>
                <w:rStyle w:val="IndexLink"/>
                <w:rtl w:val="true"/>
              </w:rPr>
              <w:tab/>
            </w:r>
            <w:r>
              <w:rPr>
                <w:rStyle w:val="IndexLink"/>
              </w:rPr>
              <w:t>38</w:t>
            </w:r>
          </w:hyperlink>
        </w:p>
        <w:p>
          <w:pPr>
            <w:pStyle w:val="Contents4"/>
            <w:tabs>
              <w:tab w:val="clear" w:pos="8176"/>
              <w:tab w:val="right" w:pos="9026" w:leader="dot"/>
            </w:tabs>
            <w:rPr/>
          </w:pPr>
          <w:hyperlink w:anchor="__RefHeading___Toc1165421_1067777946">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1165423_1067777946">
            <w:r>
              <w:rPr>
                <w:webHidden/>
                <w:rStyle w:val="IndexLink"/>
                <w:rtl w:val="true"/>
              </w:rPr>
              <w:t>الغسل وقراءة النصب</w:t>
            </w:r>
            <w:r>
              <w:rPr>
                <w:rStyle w:val="IndexLink"/>
                <w:rtl w:val="true"/>
              </w:rPr>
              <w:tab/>
            </w:r>
            <w:r>
              <w:rPr>
                <w:rStyle w:val="IndexLink"/>
              </w:rPr>
              <w:t>38</w:t>
            </w:r>
          </w:hyperlink>
        </w:p>
        <w:p>
          <w:pPr>
            <w:pStyle w:val="Contents4"/>
            <w:tabs>
              <w:tab w:val="clear" w:pos="8176"/>
              <w:tab w:val="right" w:pos="9026" w:leader="dot"/>
            </w:tabs>
            <w:rPr/>
          </w:pPr>
          <w:hyperlink w:anchor="__RefHeading___Toc1165425_1067777946">
            <w:r>
              <w:rPr>
                <w:webHidden/>
                <w:rStyle w:val="IndexLink"/>
                <w:rtl w:val="true"/>
              </w:rPr>
              <w:t>الغسل وقراءة الجر</w:t>
            </w:r>
            <w:r>
              <w:rPr>
                <w:rStyle w:val="IndexLink"/>
                <w:rtl w:val="true"/>
              </w:rPr>
              <w:tab/>
            </w:r>
            <w:r>
              <w:rPr>
                <w:rStyle w:val="IndexLink"/>
              </w:rPr>
              <w:t>40</w:t>
            </w:r>
          </w:hyperlink>
        </w:p>
        <w:p>
          <w:pPr>
            <w:pStyle w:val="Contents3"/>
            <w:tabs>
              <w:tab w:val="clear" w:pos="8459"/>
              <w:tab w:val="right" w:pos="9026" w:leader="dot"/>
            </w:tabs>
            <w:rPr/>
          </w:pPr>
          <w:hyperlink w:anchor="__RefHeading___Toc1165427_1067777946">
            <w:r>
              <w:rPr>
                <w:webHidden/>
                <w:rStyle w:val="IndexLink"/>
              </w:rPr>
              <w:t>9</w:t>
            </w:r>
            <w:r>
              <w:rPr>
                <w:rStyle w:val="IndexLink"/>
                <w:rtl w:val="true"/>
              </w:rPr>
              <w:t xml:space="preserve">. </w:t>
            </w:r>
            <w:r>
              <w:rPr>
                <w:rStyle w:val="IndexLink"/>
                <w:rtl w:val="true"/>
              </w:rPr>
              <w:t>الجر بالجوار صحة وشرطا</w:t>
            </w:r>
            <w:r>
              <w:rPr>
                <w:rStyle w:val="IndexLink"/>
                <w:rtl w:val="true"/>
              </w:rPr>
              <w:tab/>
            </w:r>
            <w:r>
              <w:rPr>
                <w:rStyle w:val="IndexLink"/>
              </w:rPr>
              <w:t>41</w:t>
            </w:r>
          </w:hyperlink>
        </w:p>
        <w:p>
          <w:pPr>
            <w:pStyle w:val="Contents3"/>
            <w:tabs>
              <w:tab w:val="clear" w:pos="8459"/>
              <w:tab w:val="right" w:pos="9026" w:leader="dot"/>
            </w:tabs>
            <w:rPr/>
          </w:pPr>
          <w:hyperlink w:anchor="__RefHeading___Toc1165429_1067777946">
            <w:r>
              <w:rPr>
                <w:webHidden/>
                <w:rStyle w:val="IndexLink"/>
              </w:rPr>
              <w:t>10</w:t>
            </w:r>
            <w:r>
              <w:rPr>
                <w:rStyle w:val="IndexLink"/>
                <w:rtl w:val="true"/>
              </w:rPr>
              <w:t xml:space="preserve">. </w:t>
            </w:r>
            <w:r>
              <w:rPr>
                <w:rStyle w:val="IndexLink"/>
                <w:rtl w:val="true"/>
              </w:rPr>
              <w:t>الاجتهاد تجاه النص</w:t>
            </w:r>
            <w:r>
              <w:rPr>
                <w:rStyle w:val="IndexLink"/>
                <w:rtl w:val="true"/>
              </w:rPr>
              <w:tab/>
            </w:r>
            <w:r>
              <w:rPr>
                <w:rStyle w:val="IndexLink"/>
              </w:rPr>
              <w:t>44</w:t>
            </w:r>
          </w:hyperlink>
        </w:p>
        <w:p>
          <w:pPr>
            <w:pStyle w:val="Contents4"/>
            <w:tabs>
              <w:tab w:val="clear" w:pos="8176"/>
              <w:tab w:val="right" w:pos="9026" w:leader="dot"/>
            </w:tabs>
            <w:rPr/>
          </w:pPr>
          <w:hyperlink w:anchor="__RefHeading___Toc1165431_1067777946">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1165433_1067777946">
            <w:r>
              <w:rPr>
                <w:webHidden/>
                <w:rStyle w:val="IndexLink"/>
              </w:rPr>
              <w:t>1</w:t>
            </w:r>
            <w:r>
              <w:rPr>
                <w:rStyle w:val="IndexLink"/>
                <w:rtl w:val="true"/>
              </w:rPr>
              <w:t xml:space="preserve">. </w:t>
            </w:r>
            <w:r>
              <w:rPr>
                <w:rStyle w:val="IndexLink"/>
                <w:rtl w:val="true"/>
              </w:rPr>
              <w:t>الغسل يشمل المسح</w:t>
            </w:r>
            <w:r>
              <w:rPr>
                <w:rStyle w:val="IndexLink"/>
                <w:rtl w:val="true"/>
              </w:rPr>
              <w:tab/>
            </w:r>
            <w:r>
              <w:rPr>
                <w:rStyle w:val="IndexLink"/>
              </w:rPr>
              <w:t>45</w:t>
            </w:r>
          </w:hyperlink>
        </w:p>
        <w:p>
          <w:pPr>
            <w:pStyle w:val="Contents4"/>
            <w:tabs>
              <w:tab w:val="clear" w:pos="8176"/>
              <w:tab w:val="right" w:pos="9026" w:leader="dot"/>
            </w:tabs>
            <w:rPr/>
          </w:pPr>
          <w:hyperlink w:anchor="__RefHeading___Toc1165435_1067777946">
            <w:r>
              <w:rPr>
                <w:webHidden/>
                <w:rStyle w:val="IndexLink"/>
              </w:rPr>
              <w:t>2</w:t>
            </w:r>
            <w:r>
              <w:rPr>
                <w:rStyle w:val="IndexLink"/>
                <w:rtl w:val="true"/>
              </w:rPr>
              <w:t xml:space="preserve">. </w:t>
            </w:r>
            <w:r>
              <w:rPr>
                <w:rStyle w:val="IndexLink"/>
                <w:rtl w:val="true"/>
              </w:rPr>
              <w:t>نسخ السنّة للكتاب</w:t>
            </w:r>
            <w:r>
              <w:rPr>
                <w:rStyle w:val="IndexLink"/>
                <w:rtl w:val="true"/>
              </w:rPr>
              <w:tab/>
            </w:r>
            <w:r>
              <w:rPr>
                <w:rStyle w:val="IndexLink"/>
              </w:rPr>
              <w:t>46</w:t>
            </w:r>
          </w:hyperlink>
        </w:p>
        <w:p>
          <w:pPr>
            <w:pStyle w:val="Contents4"/>
            <w:tabs>
              <w:tab w:val="clear" w:pos="8176"/>
              <w:tab w:val="right" w:pos="9026" w:leader="dot"/>
            </w:tabs>
            <w:rPr/>
          </w:pPr>
          <w:hyperlink w:anchor="__RefHeading___Toc1165437_1067777946">
            <w:r>
              <w:rPr>
                <w:webHidden/>
                <w:rStyle w:val="IndexLink"/>
              </w:rPr>
              <w:t>3</w:t>
            </w:r>
            <w:r>
              <w:rPr>
                <w:rStyle w:val="IndexLink"/>
                <w:rtl w:val="true"/>
              </w:rPr>
              <w:t xml:space="preserve">. </w:t>
            </w:r>
            <w:r>
              <w:rPr>
                <w:rStyle w:val="IndexLink"/>
                <w:rtl w:val="true"/>
              </w:rPr>
              <w:t>التنبيه على وجوب الاقتصاد في صب الماء</w:t>
            </w:r>
            <w:r>
              <w:rPr>
                <w:rStyle w:val="IndexLink"/>
                <w:rtl w:val="true"/>
              </w:rPr>
              <w:tab/>
            </w:r>
            <w:r>
              <w:rPr>
                <w:rStyle w:val="IndexLink"/>
              </w:rPr>
              <w:t>47</w:t>
            </w:r>
          </w:hyperlink>
        </w:p>
        <w:p>
          <w:pPr>
            <w:pStyle w:val="Contents4"/>
            <w:tabs>
              <w:tab w:val="clear" w:pos="8176"/>
              <w:tab w:val="right" w:pos="9026" w:leader="dot"/>
            </w:tabs>
            <w:rPr/>
          </w:pPr>
          <w:hyperlink w:anchor="__RefHeading___Toc1165439_1067777946">
            <w:r>
              <w:rPr>
                <w:webHidden/>
                <w:rStyle w:val="IndexLink"/>
              </w:rPr>
              <w:t>4</w:t>
            </w:r>
            <w:r>
              <w:rPr>
                <w:rStyle w:val="IndexLink"/>
                <w:rtl w:val="true"/>
              </w:rPr>
              <w:t xml:space="preserve">. </w:t>
            </w:r>
            <w:r>
              <w:rPr>
                <w:rStyle w:val="IndexLink"/>
                <w:rtl w:val="true"/>
              </w:rPr>
              <w:t>سهولة غسل الرجلين دون الشعر</w:t>
            </w:r>
            <w:r>
              <w:rPr>
                <w:rStyle w:val="IndexLink"/>
                <w:rtl w:val="true"/>
              </w:rPr>
              <w:tab/>
            </w:r>
            <w:r>
              <w:rPr>
                <w:rStyle w:val="IndexLink"/>
              </w:rPr>
              <w:t>48</w:t>
            </w:r>
          </w:hyperlink>
        </w:p>
        <w:p>
          <w:pPr>
            <w:pStyle w:val="Contents4"/>
            <w:tabs>
              <w:tab w:val="clear" w:pos="8176"/>
              <w:tab w:val="right" w:pos="9026" w:leader="dot"/>
            </w:tabs>
            <w:rPr/>
          </w:pPr>
          <w:hyperlink w:anchor="__RefHeading___Toc1165441_1067777946">
            <w:r>
              <w:rPr>
                <w:webHidden/>
                <w:rStyle w:val="IndexLink"/>
              </w:rPr>
              <w:t>5</w:t>
            </w:r>
            <w:r>
              <w:rPr>
                <w:rStyle w:val="IndexLink"/>
                <w:rtl w:val="true"/>
              </w:rPr>
              <w:t xml:space="preserve">. </w:t>
            </w:r>
            <w:r>
              <w:rPr>
                <w:rStyle w:val="IndexLink"/>
                <w:rtl w:val="true"/>
              </w:rPr>
              <w:t>اتّباع السلف في الغسل</w:t>
            </w:r>
            <w:r>
              <w:rPr>
                <w:rStyle w:val="IndexLink"/>
                <w:rtl w:val="true"/>
              </w:rPr>
              <w:tab/>
            </w:r>
            <w:r>
              <w:rPr>
                <w:rStyle w:val="IndexLink"/>
              </w:rPr>
              <w:t>49</w:t>
            </w:r>
          </w:hyperlink>
        </w:p>
        <w:p>
          <w:pPr>
            <w:pStyle w:val="Contents4"/>
            <w:tabs>
              <w:tab w:val="clear" w:pos="8176"/>
              <w:tab w:val="right" w:pos="9026" w:leader="dot"/>
            </w:tabs>
            <w:rPr/>
          </w:pPr>
          <w:hyperlink w:anchor="__RefHeading___Toc1165443_1067777946">
            <w:r>
              <w:rPr>
                <w:webHidden/>
                <w:rStyle w:val="IndexLink"/>
              </w:rPr>
              <w:t>6</w:t>
            </w:r>
            <w:r>
              <w:rPr>
                <w:rStyle w:val="IndexLink"/>
                <w:rtl w:val="true"/>
              </w:rPr>
              <w:t xml:space="preserve">. </w:t>
            </w:r>
            <w:r>
              <w:rPr>
                <w:rStyle w:val="IndexLink"/>
                <w:rtl w:val="true"/>
              </w:rPr>
              <w:t>التحديد آية الغسل</w:t>
            </w:r>
            <w:r>
              <w:rPr>
                <w:rStyle w:val="IndexLink"/>
                <w:rtl w:val="true"/>
              </w:rPr>
              <w:tab/>
            </w:r>
            <w:r>
              <w:rPr>
                <w:rStyle w:val="IndexLink"/>
              </w:rPr>
              <w:t>50</w:t>
            </w:r>
          </w:hyperlink>
        </w:p>
        <w:p>
          <w:pPr>
            <w:pStyle w:val="Contents4"/>
            <w:tabs>
              <w:tab w:val="clear" w:pos="8176"/>
              <w:tab w:val="right" w:pos="9026" w:leader="dot"/>
            </w:tabs>
            <w:rPr/>
          </w:pPr>
          <w:hyperlink w:anchor="__RefHeading___Toc1165445_1067777946">
            <w:r>
              <w:rPr>
                <w:webHidden/>
                <w:rStyle w:val="IndexLink"/>
              </w:rPr>
              <w:t>7</w:t>
            </w:r>
            <w:r>
              <w:rPr>
                <w:rStyle w:val="IndexLink"/>
                <w:rtl w:val="true"/>
              </w:rPr>
              <w:t xml:space="preserve">. </w:t>
            </w:r>
            <w:r>
              <w:rPr>
                <w:rStyle w:val="IndexLink"/>
                <w:rtl w:val="true"/>
              </w:rPr>
              <w:t>المرجع هو السنّة بعد تعارض القراءتين</w:t>
            </w:r>
            <w:r>
              <w:rPr>
                <w:rStyle w:val="IndexLink"/>
                <w:rtl w:val="true"/>
              </w:rPr>
              <w:tab/>
            </w:r>
            <w:r>
              <w:rPr>
                <w:rStyle w:val="IndexLink"/>
              </w:rPr>
              <w:t>51</w:t>
            </w:r>
          </w:hyperlink>
        </w:p>
        <w:p>
          <w:pPr>
            <w:pStyle w:val="Contents4"/>
            <w:tabs>
              <w:tab w:val="clear" w:pos="8176"/>
              <w:tab w:val="right" w:pos="9026" w:leader="dot"/>
            </w:tabs>
            <w:rPr/>
          </w:pPr>
          <w:hyperlink w:anchor="__RefHeading___Toc1165447_1067777946">
            <w:r>
              <w:rPr>
                <w:webHidden/>
                <w:rStyle w:val="IndexLink"/>
              </w:rPr>
              <w:t>8</w:t>
            </w:r>
            <w:r>
              <w:rPr>
                <w:rStyle w:val="IndexLink"/>
                <w:rtl w:val="true"/>
              </w:rPr>
              <w:t xml:space="preserve">. </w:t>
            </w:r>
            <w:r>
              <w:rPr>
                <w:rStyle w:val="IndexLink"/>
                <w:rtl w:val="true"/>
              </w:rPr>
              <w:t>الغسل إضافة من النبي صلى الله عليه وآله وسلم</w:t>
            </w:r>
            <w:r>
              <w:rPr>
                <w:rStyle w:val="IndexLink"/>
                <w:rtl w:val="true"/>
              </w:rPr>
              <w:tab/>
            </w:r>
            <w:r>
              <w:rPr>
                <w:rStyle w:val="IndexLink"/>
              </w:rPr>
              <w:t>51</w:t>
            </w:r>
          </w:hyperlink>
        </w:p>
        <w:p>
          <w:pPr>
            <w:pStyle w:val="Contents4"/>
            <w:tabs>
              <w:tab w:val="clear" w:pos="8176"/>
              <w:tab w:val="right" w:pos="9026" w:leader="dot"/>
            </w:tabs>
            <w:rPr/>
          </w:pPr>
          <w:hyperlink w:anchor="__RefHeading___Toc1165449_1067777946">
            <w:r>
              <w:rPr>
                <w:webHidden/>
                <w:rStyle w:val="IndexLink"/>
              </w:rPr>
              <w:t>9</w:t>
            </w:r>
            <w:r>
              <w:rPr>
                <w:rStyle w:val="IndexLink"/>
                <w:rtl w:val="true"/>
              </w:rPr>
              <w:t xml:space="preserve">. </w:t>
            </w:r>
            <w:r>
              <w:rPr>
                <w:rStyle w:val="IndexLink"/>
                <w:rtl w:val="true"/>
              </w:rPr>
              <w:t>التمسّك بالمصالح</w:t>
            </w:r>
            <w:r>
              <w:rPr>
                <w:rStyle w:val="IndexLink"/>
                <w:rtl w:val="true"/>
              </w:rPr>
              <w:tab/>
            </w:r>
            <w:r>
              <w:rPr>
                <w:rStyle w:val="IndexLink"/>
              </w:rPr>
              <w:t>53</w:t>
            </w:r>
          </w:hyperlink>
        </w:p>
        <w:p>
          <w:pPr>
            <w:pStyle w:val="Contents4"/>
            <w:tabs>
              <w:tab w:val="clear" w:pos="8176"/>
              <w:tab w:val="right" w:pos="9026" w:leader="dot"/>
            </w:tabs>
            <w:rPr/>
          </w:pPr>
          <w:hyperlink w:anchor="__RefHeading___Toc1165451_1067777946">
            <w:r>
              <w:rPr>
                <w:webHidden/>
                <w:rStyle w:val="IndexLink"/>
              </w:rPr>
              <w:t>10</w:t>
            </w:r>
            <w:r>
              <w:rPr>
                <w:rStyle w:val="IndexLink"/>
                <w:rtl w:val="true"/>
              </w:rPr>
              <w:t xml:space="preserve">. </w:t>
            </w:r>
            <w:r>
              <w:rPr>
                <w:rStyle w:val="IndexLink"/>
                <w:rtl w:val="true"/>
              </w:rPr>
              <w:t xml:space="preserve">اعتراض جملة </w:t>
            </w:r>
            <w:r>
              <w:rPr>
                <w:rStyle w:val="IndexLink"/>
                <w:rtl w:val="true"/>
              </w:rPr>
              <w:t xml:space="preserve">( </w:t>
            </w:r>
            <w:r>
              <w:rPr>
                <w:rStyle w:val="IndexLink"/>
                <w:rtl w:val="true"/>
              </w:rPr>
              <w:t>وَامْسَحُوا</w:t>
            </w:r>
            <w:r>
              <w:rPr>
                <w:rStyle w:val="IndexLink"/>
                <w:rtl w:val="true"/>
              </w:rPr>
              <w:t xml:space="preserve">. ) </w:t>
            </w:r>
            <w:r>
              <w:rPr>
                <w:rStyle w:val="IndexLink"/>
                <w:rtl w:val="true"/>
              </w:rPr>
              <w:t>لبيان الترتب</w:t>
            </w:r>
            <w:r>
              <w:rPr>
                <w:rStyle w:val="IndexLink"/>
                <w:rtl w:val="true"/>
              </w:rPr>
              <w:tab/>
            </w:r>
            <w:r>
              <w:rPr>
                <w:rStyle w:val="IndexLink"/>
              </w:rPr>
              <w:t>54</w:t>
            </w:r>
          </w:hyperlink>
        </w:p>
        <w:p>
          <w:pPr>
            <w:pStyle w:val="Contents3"/>
            <w:tabs>
              <w:tab w:val="clear" w:pos="8459"/>
              <w:tab w:val="right" w:pos="9026" w:leader="dot"/>
            </w:tabs>
            <w:rPr/>
          </w:pPr>
          <w:hyperlink w:anchor="__RefHeading___Toc1165453_1067777946">
            <w:r>
              <w:rPr>
                <w:webHidden/>
                <w:rStyle w:val="IndexLink"/>
              </w:rPr>
              <w:t>11</w:t>
            </w:r>
            <w:r>
              <w:rPr>
                <w:rStyle w:val="IndexLink"/>
                <w:rtl w:val="true"/>
              </w:rPr>
              <w:t xml:space="preserve">. </w:t>
            </w:r>
            <w:r>
              <w:rPr>
                <w:rStyle w:val="IndexLink"/>
                <w:rtl w:val="true"/>
              </w:rPr>
              <w:t>المسح على الأرجل في الأحاديث الصحيحة</w:t>
            </w:r>
            <w:r>
              <w:rPr>
                <w:rStyle w:val="IndexLink"/>
                <w:rtl w:val="true"/>
              </w:rPr>
              <w:tab/>
            </w:r>
            <w:r>
              <w:rPr>
                <w:rStyle w:val="IndexLink"/>
              </w:rPr>
              <w:t>55</w:t>
            </w:r>
          </w:hyperlink>
        </w:p>
        <w:p>
          <w:pPr>
            <w:pStyle w:val="Contents4"/>
            <w:tabs>
              <w:tab w:val="clear" w:pos="8176"/>
              <w:tab w:val="right" w:pos="9026" w:leader="dot"/>
            </w:tabs>
            <w:rPr/>
          </w:pPr>
          <w:hyperlink w:anchor="__RefHeading___Toc1165455_1067777946">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1165457_1067777946">
            <w:r>
              <w:rPr>
                <w:webHidden/>
                <w:rStyle w:val="IndexLink"/>
                <w:rtl w:val="true"/>
              </w:rPr>
              <w:t>ما روي عن رسول الله صلى الله عليه وآله وسلم حول مسح الأرجل</w:t>
            </w:r>
            <w:r>
              <w:rPr>
                <w:rStyle w:val="IndexLink"/>
                <w:rtl w:val="true"/>
              </w:rPr>
              <w:tab/>
            </w:r>
            <w:r>
              <w:rPr>
                <w:rStyle w:val="IndexLink"/>
              </w:rPr>
              <w:t>55</w:t>
            </w:r>
          </w:hyperlink>
        </w:p>
        <w:p>
          <w:pPr>
            <w:pStyle w:val="Contents4"/>
            <w:tabs>
              <w:tab w:val="clear" w:pos="8176"/>
              <w:tab w:val="right" w:pos="9026" w:leader="dot"/>
            </w:tabs>
            <w:rPr/>
          </w:pPr>
          <w:hyperlink w:anchor="__RefHeading___Toc1165459_1067777946">
            <w:r>
              <w:rPr>
                <w:webHidden/>
                <w:rStyle w:val="IndexLink"/>
                <w:rtl w:val="true"/>
              </w:rPr>
              <w:t>ما حكي عن الصحابة والتابعين حول مسح الأرجل</w:t>
            </w:r>
            <w:r>
              <w:rPr>
                <w:rStyle w:val="IndexLink"/>
                <w:rtl w:val="true"/>
              </w:rPr>
              <w:tab/>
            </w:r>
            <w:r>
              <w:rPr>
                <w:rStyle w:val="IndexLink"/>
              </w:rPr>
              <w:t>59</w:t>
            </w:r>
          </w:hyperlink>
        </w:p>
        <w:p>
          <w:pPr>
            <w:pStyle w:val="Contents3"/>
            <w:tabs>
              <w:tab w:val="clear" w:pos="8459"/>
              <w:tab w:val="right" w:pos="9026" w:leader="dot"/>
            </w:tabs>
            <w:rPr/>
          </w:pPr>
          <w:hyperlink w:anchor="__RefHeading___Toc1165461_1067777946">
            <w:r>
              <w:rPr>
                <w:webHidden/>
                <w:rStyle w:val="IndexLink"/>
              </w:rPr>
              <w:t>12</w:t>
            </w:r>
            <w:r>
              <w:rPr>
                <w:rStyle w:val="IndexLink"/>
                <w:rtl w:val="true"/>
              </w:rPr>
              <w:t xml:space="preserve">. </w:t>
            </w:r>
            <w:r>
              <w:rPr>
                <w:rStyle w:val="IndexLink"/>
                <w:rtl w:val="true"/>
              </w:rPr>
              <w:t>التجاهل لروايات المسح</w:t>
            </w:r>
            <w:r>
              <w:rPr>
                <w:rStyle w:val="IndexLink"/>
                <w:rtl w:val="true"/>
              </w:rPr>
              <w:tab/>
            </w:r>
            <w:r>
              <w:rPr>
                <w:rStyle w:val="IndexLink"/>
              </w:rPr>
              <w:t>62</w:t>
            </w:r>
          </w:hyperlink>
        </w:p>
        <w:p>
          <w:pPr>
            <w:pStyle w:val="Contents3"/>
            <w:tabs>
              <w:tab w:val="clear" w:pos="8459"/>
              <w:tab w:val="right" w:pos="9026" w:leader="dot"/>
            </w:tabs>
            <w:rPr/>
          </w:pPr>
          <w:hyperlink w:anchor="__RefHeading___Toc1165463_1067777946">
            <w:r>
              <w:rPr>
                <w:webHidden/>
                <w:rStyle w:val="IndexLink"/>
              </w:rPr>
              <w:t>13</w:t>
            </w:r>
            <w:r>
              <w:rPr>
                <w:rStyle w:val="IndexLink"/>
                <w:rtl w:val="true"/>
              </w:rPr>
              <w:t xml:space="preserve">. </w:t>
            </w:r>
            <w:r>
              <w:rPr>
                <w:rStyle w:val="IndexLink"/>
                <w:rtl w:val="true"/>
              </w:rPr>
              <w:t>أسماء أعلام الصحابة والتابعين القائلين بالمسح</w:t>
            </w:r>
            <w:r>
              <w:rPr>
                <w:rStyle w:val="IndexLink"/>
                <w:rtl w:val="true"/>
              </w:rPr>
              <w:tab/>
            </w:r>
            <w:r>
              <w:rPr>
                <w:rStyle w:val="IndexLink"/>
              </w:rPr>
              <w:t>64</w:t>
            </w:r>
          </w:hyperlink>
        </w:p>
        <w:p>
          <w:pPr>
            <w:pStyle w:val="Contents3"/>
            <w:tabs>
              <w:tab w:val="clear" w:pos="8459"/>
              <w:tab w:val="right" w:pos="9026" w:leader="dot"/>
            </w:tabs>
            <w:rPr/>
          </w:pPr>
          <w:hyperlink w:anchor="__RefHeading___Toc1165465_1067777946">
            <w:r>
              <w:rPr>
                <w:webHidden/>
                <w:rStyle w:val="IndexLink"/>
              </w:rPr>
              <w:t>14</w:t>
            </w:r>
            <w:r>
              <w:rPr>
                <w:rStyle w:val="IndexLink"/>
                <w:rtl w:val="true"/>
              </w:rPr>
              <w:t xml:space="preserve">. </w:t>
            </w:r>
            <w:r>
              <w:rPr>
                <w:rStyle w:val="IndexLink"/>
                <w:rtl w:val="true"/>
              </w:rPr>
              <w:t>تأمّلات واهية في أخبار المسح</w:t>
            </w:r>
            <w:r>
              <w:rPr>
                <w:rStyle w:val="IndexLink"/>
                <w:rtl w:val="true"/>
              </w:rPr>
              <w:tab/>
            </w:r>
            <w:r>
              <w:rPr>
                <w:rStyle w:val="IndexLink"/>
              </w:rPr>
              <w:t>70</w:t>
            </w:r>
          </w:hyperlink>
        </w:p>
        <w:p>
          <w:pPr>
            <w:pStyle w:val="Contents4"/>
            <w:tabs>
              <w:tab w:val="clear" w:pos="8176"/>
              <w:tab w:val="right" w:pos="9026" w:leader="dot"/>
            </w:tabs>
            <w:rPr/>
          </w:pPr>
          <w:hyperlink w:anchor="__RefHeading___Toc1165467_1067777946">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1165469_1067777946">
            <w:r>
              <w:rPr>
                <w:webHidden/>
                <w:rStyle w:val="IndexLink"/>
                <w:rtl w:val="true"/>
              </w:rPr>
              <w:t xml:space="preserve">عثرة لا تقال </w:t>
            </w:r>
            <w:r>
              <w:rPr>
                <w:rStyle w:val="IndexLink"/>
                <w:rtl w:val="true"/>
              </w:rPr>
              <w:t>:</w:t>
              <w:tab/>
            </w:r>
            <w:r>
              <w:rPr>
                <w:rStyle w:val="IndexLink"/>
              </w:rPr>
              <w:t>73</w:t>
            </w:r>
          </w:hyperlink>
        </w:p>
        <w:p>
          <w:pPr>
            <w:pStyle w:val="Contents3"/>
            <w:tabs>
              <w:tab w:val="clear" w:pos="8459"/>
              <w:tab w:val="right" w:pos="9026" w:leader="dot"/>
            </w:tabs>
            <w:rPr/>
          </w:pPr>
          <w:hyperlink w:anchor="__RefHeading___Toc1165471_1067777946">
            <w:r>
              <w:rPr>
                <w:webHidden/>
                <w:rStyle w:val="IndexLink"/>
              </w:rPr>
              <w:t>15</w:t>
            </w:r>
            <w:r>
              <w:rPr>
                <w:rStyle w:val="IndexLink"/>
                <w:rtl w:val="true"/>
              </w:rPr>
              <w:t xml:space="preserve">. </w:t>
            </w:r>
            <w:r>
              <w:rPr>
                <w:rStyle w:val="IndexLink"/>
                <w:rtl w:val="true"/>
              </w:rPr>
              <w:t>وضوء النبي صلى الله عليه وآله وسلم عن لسان أئمّة أهل البيت عليهم السلام</w:t>
            </w:r>
            <w:r>
              <w:rPr>
                <w:rStyle w:val="IndexLink"/>
                <w:rtl w:val="true"/>
              </w:rPr>
              <w:tab/>
            </w:r>
            <w:r>
              <w:rPr>
                <w:rStyle w:val="IndexLink"/>
              </w:rPr>
              <w:t>77</w:t>
            </w:r>
          </w:hyperlink>
        </w:p>
        <w:p>
          <w:pPr>
            <w:pStyle w:val="Contents3"/>
            <w:tabs>
              <w:tab w:val="clear" w:pos="8459"/>
              <w:tab w:val="right" w:pos="9026" w:leader="dot"/>
            </w:tabs>
            <w:rPr/>
          </w:pPr>
          <w:hyperlink w:anchor="__RefHeading___Toc1165473_1067777946">
            <w:r>
              <w:rPr>
                <w:webHidden/>
                <w:rStyle w:val="IndexLink"/>
              </w:rPr>
              <w:t>16</w:t>
            </w:r>
            <w:r>
              <w:rPr>
                <w:rStyle w:val="IndexLink"/>
                <w:rtl w:val="true"/>
              </w:rPr>
              <w:t xml:space="preserve">. </w:t>
            </w:r>
            <w:r>
              <w:rPr>
                <w:rStyle w:val="IndexLink"/>
                <w:rtl w:val="true"/>
              </w:rPr>
              <w:t>نظرة عامّة في أخبار الغسل</w:t>
            </w:r>
            <w:r>
              <w:rPr>
                <w:rStyle w:val="IndexLink"/>
                <w:rtl w:val="true"/>
              </w:rPr>
              <w:tab/>
            </w:r>
            <w:r>
              <w:rPr>
                <w:rStyle w:val="IndexLink"/>
              </w:rPr>
              <w:t>81</w:t>
            </w:r>
          </w:hyperlink>
        </w:p>
        <w:p>
          <w:pPr>
            <w:pStyle w:val="Contents4"/>
            <w:tabs>
              <w:tab w:val="clear" w:pos="8176"/>
              <w:tab w:val="right" w:pos="9026" w:leader="dot"/>
            </w:tabs>
            <w:rPr/>
          </w:pPr>
          <w:hyperlink w:anchor="__RefHeading___Toc1165475_1067777946">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1165477_1067777946">
            <w:r>
              <w:rPr>
                <w:webHidden/>
                <w:rStyle w:val="IndexLink"/>
                <w:rtl w:val="true"/>
              </w:rPr>
              <w:t>معالجة روايات الغسل</w:t>
            </w:r>
            <w:r>
              <w:rPr>
                <w:rStyle w:val="IndexLink"/>
                <w:rtl w:val="true"/>
              </w:rPr>
              <w:tab/>
            </w:r>
            <w:r>
              <w:rPr>
                <w:rStyle w:val="IndexLink"/>
              </w:rPr>
              <w:t>92</w:t>
            </w:r>
          </w:hyperlink>
        </w:p>
        <w:p>
          <w:pPr>
            <w:pStyle w:val="Contents4"/>
            <w:tabs>
              <w:tab w:val="clear" w:pos="8176"/>
              <w:tab w:val="right" w:pos="9026" w:leader="dot"/>
            </w:tabs>
            <w:rPr/>
          </w:pPr>
          <w:hyperlink w:anchor="__RefHeading___Toc1165479_1067777946">
            <w:r>
              <w:rPr>
                <w:webHidden/>
                <w:rStyle w:val="IndexLink"/>
                <w:rtl w:val="true"/>
              </w:rPr>
              <w:t>أ</w:t>
            </w:r>
            <w:r>
              <w:rPr>
                <w:rStyle w:val="IndexLink"/>
                <w:rtl w:val="true"/>
              </w:rPr>
              <w:t xml:space="preserve">. </w:t>
            </w:r>
            <w:r>
              <w:rPr>
                <w:rStyle w:val="IndexLink"/>
                <w:rtl w:val="true"/>
              </w:rPr>
              <w:t>نسخها بالقرآن</w:t>
            </w:r>
            <w:r>
              <w:rPr>
                <w:rStyle w:val="IndexLink"/>
                <w:rtl w:val="true"/>
              </w:rPr>
              <w:tab/>
            </w:r>
            <w:r>
              <w:rPr>
                <w:rStyle w:val="IndexLink"/>
              </w:rPr>
              <w:t>93</w:t>
            </w:r>
          </w:hyperlink>
        </w:p>
        <w:p>
          <w:pPr>
            <w:pStyle w:val="Contents4"/>
            <w:tabs>
              <w:tab w:val="clear" w:pos="8176"/>
              <w:tab w:val="right" w:pos="9026" w:leader="dot"/>
            </w:tabs>
            <w:rPr/>
          </w:pPr>
          <w:hyperlink w:anchor="__RefHeading___Toc1165481_1067777946">
            <w:r>
              <w:rPr>
                <w:webHidden/>
                <w:rStyle w:val="IndexLink"/>
                <w:rtl w:val="true"/>
              </w:rPr>
              <w:t>ب</w:t>
            </w:r>
            <w:r>
              <w:rPr>
                <w:rStyle w:val="IndexLink"/>
                <w:rtl w:val="true"/>
              </w:rPr>
              <w:t xml:space="preserve">. </w:t>
            </w:r>
            <w:r>
              <w:rPr>
                <w:rStyle w:val="IndexLink"/>
                <w:rtl w:val="true"/>
              </w:rPr>
              <w:t>إشاعة الغسل بعد نزول القرآن من قبل السلطة</w:t>
            </w:r>
            <w:r>
              <w:rPr>
                <w:rStyle w:val="IndexLink"/>
                <w:rtl w:val="true"/>
              </w:rPr>
              <w:tab/>
            </w:r>
            <w:r>
              <w:rPr>
                <w:rStyle w:val="IndexLink"/>
              </w:rPr>
              <w:t>93</w:t>
            </w:r>
          </w:hyperlink>
        </w:p>
        <w:p>
          <w:pPr>
            <w:pStyle w:val="Contents4"/>
            <w:tabs>
              <w:tab w:val="clear" w:pos="8176"/>
              <w:tab w:val="right" w:pos="9026" w:leader="dot"/>
            </w:tabs>
            <w:rPr/>
          </w:pPr>
          <w:hyperlink w:anchor="__RefHeading___Toc1165483_1067777946">
            <w:r>
              <w:rPr>
                <w:webHidden/>
                <w:rStyle w:val="IndexLink"/>
                <w:rtl w:val="true"/>
              </w:rPr>
              <w:t>خاتمة المطاف</w:t>
            </w:r>
            <w:r>
              <w:rPr>
                <w:rStyle w:val="IndexLink"/>
                <w:rtl w:val="true"/>
              </w:rPr>
              <w:t xml:space="preserve">: </w:t>
            </w:r>
            <w:r>
              <w:rPr>
                <w:rStyle w:val="IndexLink"/>
                <w:rtl w:val="true"/>
              </w:rPr>
              <w:t>الآن حصحص الحق</w:t>
            </w:r>
            <w:r>
              <w:rPr>
                <w:rStyle w:val="IndexLink"/>
                <w:rtl w:val="true"/>
              </w:rPr>
              <w:tab/>
            </w:r>
            <w:r>
              <w:rPr>
                <w:rStyle w:val="IndexLink"/>
              </w:rPr>
              <w:t>95</w:t>
            </w:r>
          </w:hyperlink>
        </w:p>
        <w:p>
          <w:pPr>
            <w:pStyle w:val="Contents4"/>
            <w:tabs>
              <w:tab w:val="clear" w:pos="8176"/>
              <w:tab w:val="right" w:pos="9026" w:leader="dot"/>
            </w:tabs>
            <w:rPr/>
          </w:pPr>
          <w:hyperlink w:anchor="__RefHeading___Toc1165485_1067777946">
            <w:r>
              <w:rPr>
                <w:webHidden/>
                <w:rStyle w:val="IndexLink"/>
                <w:rtl w:val="true"/>
              </w:rPr>
              <w:t>إكمال</w:t>
            </w:r>
            <w:r>
              <w:rPr>
                <w:rStyle w:val="IndexLink"/>
                <w:rtl w:val="true"/>
              </w:rPr>
              <w:t xml:space="preserve">: </w:t>
            </w:r>
            <w:r>
              <w:rPr>
                <w:rStyle w:val="IndexLink"/>
                <w:rtl w:val="true"/>
              </w:rPr>
              <w:t>آية الوضوء وكيفية غسل الأيدي</w:t>
            </w:r>
            <w:r>
              <w:rPr>
                <w:rStyle w:val="IndexLink"/>
                <w:rtl w:val="true"/>
              </w:rPr>
              <w:tab/>
            </w:r>
            <w:r>
              <w:rPr>
                <w:rStyle w:val="IndexLink"/>
              </w:rPr>
              <w:t>97</w:t>
            </w:r>
          </w:hyperlink>
        </w:p>
        <w:p>
          <w:pPr>
            <w:pStyle w:val="Contents2"/>
            <w:tabs>
              <w:tab w:val="clear" w:pos="8743"/>
              <w:tab w:val="right" w:pos="9026" w:leader="dot"/>
            </w:tabs>
            <w:rPr/>
          </w:pPr>
          <w:hyperlink w:anchor="__RefHeading___Toc1165487_1067777946">
            <w:r>
              <w:rPr>
                <w:webHidden/>
                <w:rStyle w:val="IndexLink"/>
              </w:rPr>
              <w:t>2</w:t>
            </w:r>
            <w:r>
              <w:rPr>
                <w:rStyle w:val="IndexLink"/>
                <w:rtl w:val="true"/>
              </w:rPr>
              <w:t xml:space="preserve">. </w:t>
            </w:r>
            <w:r>
              <w:rPr>
                <w:rStyle w:val="IndexLink"/>
                <w:rtl w:val="true"/>
              </w:rPr>
              <w:t>المسح على الخفّين اختيارا في الحضر والسفر</w:t>
            </w:r>
            <w:r>
              <w:rPr>
                <w:rStyle w:val="IndexLink"/>
                <w:rtl w:val="true"/>
              </w:rPr>
              <w:tab/>
            </w:r>
            <w:r>
              <w:rPr>
                <w:rStyle w:val="IndexLink"/>
              </w:rPr>
              <w:t>101</w:t>
            </w:r>
          </w:hyperlink>
        </w:p>
        <w:p>
          <w:pPr>
            <w:pStyle w:val="Contents3"/>
            <w:tabs>
              <w:tab w:val="clear" w:pos="8459"/>
              <w:tab w:val="right" w:pos="9026" w:leader="dot"/>
            </w:tabs>
            <w:rPr/>
          </w:pPr>
          <w:hyperlink w:anchor="__RefHeading___Toc1165489_1067777946">
            <w:r>
              <w:rPr>
                <w:webHidden/>
                <w:rStyle w:val="IndexLink"/>
                <w:rtl w:val="true"/>
              </w:rPr>
              <w:t>اشارة</w:t>
            </w:r>
            <w:r>
              <w:rPr>
                <w:rStyle w:val="IndexLink"/>
                <w:rtl w:val="true"/>
              </w:rPr>
              <w:tab/>
            </w:r>
            <w:r>
              <w:rPr>
                <w:rStyle w:val="IndexLink"/>
              </w:rPr>
              <w:t>101</w:t>
            </w:r>
          </w:hyperlink>
        </w:p>
        <w:p>
          <w:pPr>
            <w:pStyle w:val="Contents3"/>
            <w:tabs>
              <w:tab w:val="clear" w:pos="8459"/>
              <w:tab w:val="right" w:pos="9026" w:leader="dot"/>
            </w:tabs>
            <w:rPr/>
          </w:pPr>
          <w:hyperlink w:anchor="__RefHeading___Toc1165491_1067777946">
            <w:r>
              <w:rPr>
                <w:webHidden/>
                <w:rStyle w:val="IndexLink"/>
              </w:rPr>
              <w:t>2</w:t>
            </w:r>
            <w:r>
              <w:rPr>
                <w:rStyle w:val="IndexLink"/>
                <w:rtl w:val="true"/>
              </w:rPr>
              <w:t xml:space="preserve">. </w:t>
            </w:r>
            <w:r>
              <w:rPr>
                <w:rStyle w:val="IndexLink"/>
                <w:rtl w:val="true"/>
              </w:rPr>
              <w:t>المسح على الخفّين اختيارا في الحضر والسفر</w:t>
            </w:r>
            <w:r>
              <w:rPr>
                <w:rStyle w:val="IndexLink"/>
                <w:rtl w:val="true"/>
              </w:rPr>
              <w:tab/>
            </w:r>
            <w:r>
              <w:rPr>
                <w:rStyle w:val="IndexLink"/>
              </w:rPr>
              <w:t>103</w:t>
            </w:r>
          </w:hyperlink>
        </w:p>
        <w:p>
          <w:pPr>
            <w:pStyle w:val="Contents3"/>
            <w:tabs>
              <w:tab w:val="clear" w:pos="8459"/>
              <w:tab w:val="right" w:pos="9026" w:leader="dot"/>
            </w:tabs>
            <w:rPr/>
          </w:pPr>
          <w:hyperlink w:anchor="__RefHeading___Toc1165493_1067777946">
            <w:r>
              <w:rPr>
                <w:webHidden/>
                <w:rStyle w:val="IndexLink"/>
              </w:rPr>
              <w:t>1</w:t>
            </w:r>
            <w:r>
              <w:rPr>
                <w:rStyle w:val="IndexLink"/>
                <w:rtl w:val="true"/>
              </w:rPr>
              <w:t xml:space="preserve">. </w:t>
            </w:r>
            <w:r>
              <w:rPr>
                <w:rStyle w:val="IndexLink"/>
                <w:rtl w:val="true"/>
              </w:rPr>
              <w:t>الاحتجاج بالكتاب العزيز</w:t>
            </w:r>
            <w:r>
              <w:rPr>
                <w:rStyle w:val="IndexLink"/>
                <w:rtl w:val="true"/>
              </w:rPr>
              <w:tab/>
            </w:r>
            <w:r>
              <w:rPr>
                <w:rStyle w:val="IndexLink"/>
              </w:rPr>
              <w:t>105</w:t>
            </w:r>
          </w:hyperlink>
        </w:p>
        <w:p>
          <w:pPr>
            <w:pStyle w:val="Contents3"/>
            <w:tabs>
              <w:tab w:val="clear" w:pos="8459"/>
              <w:tab w:val="right" w:pos="9026" w:leader="dot"/>
            </w:tabs>
            <w:rPr/>
          </w:pPr>
          <w:hyperlink w:anchor="__RefHeading___Toc1165495_1067777946">
            <w:r>
              <w:rPr>
                <w:webHidden/>
                <w:rStyle w:val="IndexLink"/>
              </w:rPr>
              <w:t>2</w:t>
            </w:r>
            <w:r>
              <w:rPr>
                <w:rStyle w:val="IndexLink"/>
                <w:rtl w:val="true"/>
              </w:rPr>
              <w:t xml:space="preserve">. </w:t>
            </w:r>
            <w:r>
              <w:rPr>
                <w:rStyle w:val="IndexLink"/>
                <w:rtl w:val="true"/>
              </w:rPr>
              <w:t>الاحتجاج بالسنّة</w:t>
            </w:r>
            <w:r>
              <w:rPr>
                <w:rStyle w:val="IndexLink"/>
                <w:rtl w:val="true"/>
              </w:rPr>
              <w:tab/>
            </w:r>
            <w:r>
              <w:rPr>
                <w:rStyle w:val="IndexLink"/>
              </w:rPr>
              <w:t>106</w:t>
            </w:r>
          </w:hyperlink>
        </w:p>
        <w:p>
          <w:pPr>
            <w:pStyle w:val="Contents3"/>
            <w:tabs>
              <w:tab w:val="clear" w:pos="8459"/>
              <w:tab w:val="right" w:pos="9026" w:leader="dot"/>
            </w:tabs>
            <w:rPr/>
          </w:pPr>
          <w:hyperlink w:anchor="__RefHeading___Toc1165497_1067777946">
            <w:r>
              <w:rPr>
                <w:webHidden/>
                <w:rStyle w:val="IndexLink"/>
              </w:rPr>
              <w:t>3</w:t>
            </w:r>
            <w:r>
              <w:rPr>
                <w:rStyle w:val="IndexLink"/>
                <w:rtl w:val="true"/>
              </w:rPr>
              <w:t xml:space="preserve">. </w:t>
            </w:r>
            <w:r>
              <w:rPr>
                <w:rStyle w:val="IndexLink"/>
                <w:rtl w:val="true"/>
              </w:rPr>
              <w:t>إجماع أئمة أهل البيت عليهم السلام</w:t>
            </w:r>
            <w:r>
              <w:rPr>
                <w:rStyle w:val="IndexLink"/>
                <w:rtl w:val="true"/>
              </w:rPr>
              <w:tab/>
            </w:r>
            <w:r>
              <w:rPr>
                <w:rStyle w:val="IndexLink"/>
              </w:rPr>
              <w:t>107</w:t>
            </w:r>
          </w:hyperlink>
        </w:p>
        <w:p>
          <w:pPr>
            <w:pStyle w:val="Contents4"/>
            <w:tabs>
              <w:tab w:val="clear" w:pos="8176"/>
              <w:tab w:val="right" w:pos="9026" w:leader="dot"/>
            </w:tabs>
            <w:rPr/>
          </w:pPr>
          <w:hyperlink w:anchor="__RefHeading___Toc1165499_1067777946">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1165501_1067777946">
            <w:r>
              <w:rPr>
                <w:webHidden/>
                <w:rStyle w:val="IndexLink"/>
                <w:rtl w:val="true"/>
              </w:rPr>
              <w:t>ما يدعم القول بالمنع</w:t>
            </w:r>
            <w:r>
              <w:rPr>
                <w:rStyle w:val="IndexLink"/>
                <w:rtl w:val="true"/>
              </w:rPr>
              <w:tab/>
            </w:r>
            <w:r>
              <w:rPr>
                <w:rStyle w:val="IndexLink"/>
              </w:rPr>
              <w:t>109</w:t>
            </w:r>
          </w:hyperlink>
        </w:p>
        <w:p>
          <w:pPr>
            <w:pStyle w:val="Contents4"/>
            <w:tabs>
              <w:tab w:val="clear" w:pos="8176"/>
              <w:tab w:val="right" w:pos="9026" w:leader="dot"/>
            </w:tabs>
            <w:rPr/>
          </w:pPr>
          <w:hyperlink w:anchor="__RefHeading___Toc1165503_1067777946">
            <w:r>
              <w:rPr>
                <w:webHidden/>
                <w:rStyle w:val="IndexLink"/>
                <w:rtl w:val="true"/>
              </w:rPr>
              <w:t>أدلّة القائلين بجواز المسح</w:t>
            </w:r>
            <w:r>
              <w:rPr>
                <w:rStyle w:val="IndexLink"/>
                <w:rtl w:val="true"/>
              </w:rPr>
              <w:tab/>
            </w:r>
            <w:r>
              <w:rPr>
                <w:rStyle w:val="IndexLink"/>
              </w:rPr>
              <w:t>111</w:t>
            </w:r>
          </w:hyperlink>
        </w:p>
        <w:p>
          <w:pPr>
            <w:pStyle w:val="Contents5"/>
            <w:tabs>
              <w:tab w:val="clear" w:pos="7892"/>
              <w:tab w:val="right" w:pos="9026" w:leader="dot"/>
            </w:tabs>
            <w:rPr/>
          </w:pPr>
          <w:hyperlink w:anchor="__RefHeading___Toc1165505_1067777946">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1165507_1067777946">
            <w:r>
              <w:rPr>
                <w:webHidden/>
                <w:rStyle w:val="IndexLink"/>
                <w:rtl w:val="true"/>
              </w:rPr>
              <w:t xml:space="preserve">الأوّل </w:t>
            </w:r>
            <w:r>
              <w:rPr>
                <w:rStyle w:val="IndexLink"/>
                <w:rtl w:val="true"/>
              </w:rPr>
              <w:t xml:space="preserve">: </w:t>
            </w:r>
            <w:r>
              <w:rPr>
                <w:rStyle w:val="IndexLink"/>
                <w:rtl w:val="true"/>
              </w:rPr>
              <w:t>رواية جرير بن عبد الله البجلي</w:t>
            </w:r>
            <w:r>
              <w:rPr>
                <w:rStyle w:val="IndexLink"/>
                <w:rtl w:val="true"/>
              </w:rPr>
              <w:tab/>
            </w:r>
            <w:r>
              <w:rPr>
                <w:rStyle w:val="IndexLink"/>
              </w:rPr>
              <w:t>111</w:t>
            </w:r>
          </w:hyperlink>
        </w:p>
        <w:p>
          <w:pPr>
            <w:pStyle w:val="Contents5"/>
            <w:tabs>
              <w:tab w:val="clear" w:pos="7892"/>
              <w:tab w:val="right" w:pos="9026" w:leader="dot"/>
            </w:tabs>
            <w:rPr/>
          </w:pPr>
          <w:hyperlink w:anchor="__RefHeading___Toc1165509_1067777946">
            <w:r>
              <w:rPr>
                <w:webHidden/>
                <w:rStyle w:val="IndexLink"/>
                <w:rtl w:val="true"/>
              </w:rPr>
              <w:t xml:space="preserve">الثاني </w:t>
            </w:r>
            <w:r>
              <w:rPr>
                <w:rStyle w:val="IndexLink"/>
                <w:rtl w:val="true"/>
              </w:rPr>
              <w:t xml:space="preserve">: </w:t>
            </w:r>
            <w:r>
              <w:rPr>
                <w:rStyle w:val="IndexLink"/>
                <w:rtl w:val="true"/>
              </w:rPr>
              <w:t>رواية المغيرة بن شعبة</w:t>
            </w:r>
            <w:r>
              <w:rPr>
                <w:rStyle w:val="IndexLink"/>
                <w:rtl w:val="true"/>
              </w:rPr>
              <w:tab/>
            </w:r>
            <w:r>
              <w:rPr>
                <w:rStyle w:val="IndexLink"/>
              </w:rPr>
              <w:t>114</w:t>
            </w:r>
          </w:hyperlink>
        </w:p>
        <w:p>
          <w:pPr>
            <w:pStyle w:val="Contents5"/>
            <w:tabs>
              <w:tab w:val="clear" w:pos="7892"/>
              <w:tab w:val="right" w:pos="9026" w:leader="dot"/>
            </w:tabs>
            <w:rPr/>
          </w:pPr>
          <w:hyperlink w:anchor="__RefHeading___Toc1165511_1067777946">
            <w:r>
              <w:rPr>
                <w:webHidden/>
                <w:rStyle w:val="IndexLink"/>
                <w:rtl w:val="true"/>
              </w:rPr>
              <w:t xml:space="preserve">الثالث </w:t>
            </w:r>
            <w:r>
              <w:rPr>
                <w:rStyle w:val="IndexLink"/>
                <w:rtl w:val="true"/>
              </w:rPr>
              <w:t xml:space="preserve">: </w:t>
            </w:r>
            <w:r>
              <w:rPr>
                <w:rStyle w:val="IndexLink"/>
                <w:rtl w:val="true"/>
              </w:rPr>
              <w:t>دراسة سائر الروايات</w:t>
            </w:r>
            <w:r>
              <w:rPr>
                <w:rStyle w:val="IndexLink"/>
                <w:rtl w:val="true"/>
              </w:rPr>
              <w:tab/>
            </w:r>
            <w:r>
              <w:rPr>
                <w:rStyle w:val="IndexLink"/>
              </w:rPr>
              <w:t>118</w:t>
            </w:r>
          </w:hyperlink>
        </w:p>
        <w:p>
          <w:pPr>
            <w:pStyle w:val="Contents4"/>
            <w:tabs>
              <w:tab w:val="clear" w:pos="8176"/>
              <w:tab w:val="right" w:pos="9026" w:leader="dot"/>
            </w:tabs>
            <w:rPr/>
          </w:pPr>
          <w:hyperlink w:anchor="__RefHeading___Toc1165513_1067777946">
            <w:r>
              <w:rPr>
                <w:webHidden/>
                <w:rStyle w:val="IndexLink"/>
                <w:rtl w:val="true"/>
              </w:rPr>
              <w:t>تساؤلات حول مسألة المسح على الخفّين</w:t>
            </w:r>
            <w:r>
              <w:rPr>
                <w:rStyle w:val="IndexLink"/>
                <w:rtl w:val="true"/>
              </w:rPr>
              <w:tab/>
            </w:r>
            <w:r>
              <w:rPr>
                <w:rStyle w:val="IndexLink"/>
              </w:rPr>
              <w:t>121</w:t>
            </w:r>
          </w:hyperlink>
        </w:p>
        <w:p>
          <w:pPr>
            <w:pStyle w:val="Contents4"/>
            <w:tabs>
              <w:tab w:val="clear" w:pos="8176"/>
              <w:tab w:val="right" w:pos="9026" w:leader="dot"/>
            </w:tabs>
            <w:rPr/>
          </w:pPr>
          <w:hyperlink w:anchor="__RefHeading___Toc1165515_1067777946">
            <w:r>
              <w:rPr>
                <w:webHidden/>
                <w:rStyle w:val="IndexLink"/>
                <w:rtl w:val="true"/>
              </w:rPr>
              <w:t>فروع المسألة</w:t>
            </w:r>
            <w:r>
              <w:rPr>
                <w:rStyle w:val="IndexLink"/>
                <w:rtl w:val="true"/>
              </w:rPr>
              <w:tab/>
            </w:r>
            <w:r>
              <w:rPr>
                <w:rStyle w:val="IndexLink"/>
              </w:rPr>
              <w:t>125</w:t>
            </w:r>
          </w:hyperlink>
        </w:p>
        <w:p>
          <w:pPr>
            <w:pStyle w:val="Contents2"/>
            <w:tabs>
              <w:tab w:val="clear" w:pos="8743"/>
              <w:tab w:val="right" w:pos="9026" w:leader="dot"/>
            </w:tabs>
            <w:rPr/>
          </w:pPr>
          <w:hyperlink w:anchor="__RefHeading___Toc1165517_1067777946">
            <w:r>
              <w:rPr>
                <w:webHidden/>
                <w:rStyle w:val="IndexLink"/>
              </w:rPr>
              <w:t>3</w:t>
            </w:r>
            <w:r>
              <w:rPr>
                <w:rStyle w:val="IndexLink"/>
                <w:rtl w:val="true"/>
              </w:rPr>
              <w:t xml:space="preserve">. </w:t>
            </w:r>
            <w:r>
              <w:rPr>
                <w:rStyle w:val="IndexLink"/>
                <w:rtl w:val="true"/>
              </w:rPr>
              <w:t>تشريع الأذان و التثويب في أذان الفجر</w:t>
            </w:r>
            <w:r>
              <w:rPr>
                <w:rStyle w:val="IndexLink"/>
                <w:rtl w:val="true"/>
              </w:rPr>
              <w:tab/>
            </w:r>
            <w:r>
              <w:rPr>
                <w:rStyle w:val="IndexLink"/>
              </w:rPr>
              <w:t>129</w:t>
            </w:r>
          </w:hyperlink>
        </w:p>
        <w:p>
          <w:pPr>
            <w:pStyle w:val="Contents3"/>
            <w:tabs>
              <w:tab w:val="clear" w:pos="8459"/>
              <w:tab w:val="right" w:pos="9026" w:leader="dot"/>
            </w:tabs>
            <w:rPr/>
          </w:pPr>
          <w:hyperlink w:anchor="__RefHeading___Toc1165519_1067777946">
            <w:r>
              <w:rPr>
                <w:webHidden/>
                <w:rStyle w:val="IndexLink"/>
                <w:rtl w:val="true"/>
              </w:rPr>
              <w:t>اشارة</w:t>
            </w:r>
            <w:r>
              <w:rPr>
                <w:rStyle w:val="IndexLink"/>
                <w:rtl w:val="true"/>
              </w:rPr>
              <w:tab/>
            </w:r>
            <w:r>
              <w:rPr>
                <w:rStyle w:val="IndexLink"/>
              </w:rPr>
              <w:t>129</w:t>
            </w:r>
          </w:hyperlink>
        </w:p>
        <w:p>
          <w:pPr>
            <w:pStyle w:val="Contents3"/>
            <w:tabs>
              <w:tab w:val="clear" w:pos="8459"/>
              <w:tab w:val="right" w:pos="9026" w:leader="dot"/>
            </w:tabs>
            <w:rPr/>
          </w:pPr>
          <w:hyperlink w:anchor="__RefHeading___Toc1165521_1067777946">
            <w:r>
              <w:rPr>
                <w:webHidden/>
                <w:rStyle w:val="IndexLink"/>
                <w:rtl w:val="true"/>
              </w:rPr>
              <w:t xml:space="preserve">تمهيد </w:t>
            </w:r>
            <w:r>
              <w:rPr>
                <w:rStyle w:val="IndexLink"/>
                <w:rtl w:val="true"/>
              </w:rPr>
              <w:t xml:space="preserve">: </w:t>
            </w:r>
            <w:r>
              <w:rPr>
                <w:rStyle w:val="IndexLink"/>
                <w:rtl w:val="true"/>
              </w:rPr>
              <w:t>الأذان لغة وشرعا ومكانة المؤذّن عند الله</w:t>
            </w:r>
            <w:r>
              <w:rPr>
                <w:rStyle w:val="IndexLink"/>
                <w:rtl w:val="true"/>
              </w:rPr>
              <w:tab/>
            </w:r>
            <w:r>
              <w:rPr>
                <w:rStyle w:val="IndexLink"/>
              </w:rPr>
              <w:t>131</w:t>
            </w:r>
          </w:hyperlink>
        </w:p>
        <w:p>
          <w:pPr>
            <w:pStyle w:val="Contents3"/>
            <w:tabs>
              <w:tab w:val="clear" w:pos="8459"/>
              <w:tab w:val="right" w:pos="9026" w:leader="dot"/>
            </w:tabs>
            <w:rPr/>
          </w:pPr>
          <w:hyperlink w:anchor="__RefHeading___Toc1165523_1067777946">
            <w:r>
              <w:rPr>
                <w:webHidden/>
                <w:rStyle w:val="IndexLink"/>
                <w:rtl w:val="true"/>
              </w:rPr>
              <w:t>المقام الأوّل</w:t>
            </w:r>
            <w:r>
              <w:rPr>
                <w:rStyle w:val="IndexLink"/>
                <w:rtl w:val="true"/>
              </w:rPr>
              <w:tab/>
            </w:r>
            <w:r>
              <w:rPr>
                <w:rStyle w:val="IndexLink"/>
              </w:rPr>
              <w:t>133</w:t>
            </w:r>
          </w:hyperlink>
        </w:p>
        <w:p>
          <w:pPr>
            <w:pStyle w:val="Contents4"/>
            <w:tabs>
              <w:tab w:val="clear" w:pos="8176"/>
              <w:tab w:val="right" w:pos="9026" w:leader="dot"/>
            </w:tabs>
            <w:rPr/>
          </w:pPr>
          <w:hyperlink w:anchor="__RefHeading___Toc1165525_1067777946">
            <w:r>
              <w:rPr>
                <w:webHidden/>
                <w:rStyle w:val="IndexLink"/>
              </w:rPr>
              <w:t>1</w:t>
            </w:r>
            <w:r>
              <w:rPr>
                <w:rStyle w:val="IndexLink"/>
                <w:rtl w:val="true"/>
              </w:rPr>
              <w:t xml:space="preserve">. </w:t>
            </w:r>
            <w:r>
              <w:rPr>
                <w:rStyle w:val="IndexLink"/>
                <w:rtl w:val="true"/>
              </w:rPr>
              <w:t>منزلة الأذان في التشريع الإسلامي</w:t>
            </w:r>
            <w:r>
              <w:rPr>
                <w:rStyle w:val="IndexLink"/>
                <w:rtl w:val="true"/>
              </w:rPr>
              <w:tab/>
            </w:r>
            <w:r>
              <w:rPr>
                <w:rStyle w:val="IndexLink"/>
              </w:rPr>
              <w:t>133</w:t>
            </w:r>
          </w:hyperlink>
        </w:p>
        <w:p>
          <w:pPr>
            <w:pStyle w:val="Contents4"/>
            <w:tabs>
              <w:tab w:val="clear" w:pos="8176"/>
              <w:tab w:val="right" w:pos="9026" w:leader="dot"/>
            </w:tabs>
            <w:rPr/>
          </w:pPr>
          <w:hyperlink w:anchor="__RefHeading___Toc1165527_1067777946">
            <w:r>
              <w:rPr>
                <w:webHidden/>
                <w:rStyle w:val="IndexLink"/>
              </w:rPr>
              <w:t>2</w:t>
            </w:r>
            <w:r>
              <w:rPr>
                <w:rStyle w:val="IndexLink"/>
                <w:rtl w:val="true"/>
              </w:rPr>
              <w:t xml:space="preserve">. </w:t>
            </w:r>
            <w:r>
              <w:rPr>
                <w:rStyle w:val="IndexLink"/>
                <w:rtl w:val="true"/>
              </w:rPr>
              <w:t>تاريخ تشريع الأذان في أحاديث أهل البيت عليهم السلام</w:t>
            </w:r>
            <w:r>
              <w:rPr>
                <w:rStyle w:val="IndexLink"/>
                <w:rtl w:val="true"/>
              </w:rPr>
              <w:tab/>
            </w:r>
            <w:r>
              <w:rPr>
                <w:rStyle w:val="IndexLink"/>
              </w:rPr>
              <w:t>135</w:t>
            </w:r>
          </w:hyperlink>
        </w:p>
        <w:p>
          <w:pPr>
            <w:pStyle w:val="Contents4"/>
            <w:tabs>
              <w:tab w:val="clear" w:pos="8176"/>
              <w:tab w:val="right" w:pos="9026" w:leader="dot"/>
            </w:tabs>
            <w:rPr/>
          </w:pPr>
          <w:hyperlink w:anchor="__RefHeading___Toc1165529_1067777946">
            <w:r>
              <w:rPr>
                <w:webHidden/>
                <w:rStyle w:val="IndexLink"/>
              </w:rPr>
              <w:t>3</w:t>
            </w:r>
            <w:r>
              <w:rPr>
                <w:rStyle w:val="IndexLink"/>
                <w:rtl w:val="true"/>
              </w:rPr>
              <w:t xml:space="preserve">. </w:t>
            </w:r>
            <w:r>
              <w:rPr>
                <w:rStyle w:val="IndexLink"/>
                <w:rtl w:val="true"/>
              </w:rPr>
              <w:t>كيفيّة تشريع الأذان عند أهل السنّة</w:t>
            </w:r>
            <w:r>
              <w:rPr>
                <w:rStyle w:val="IndexLink"/>
                <w:rtl w:val="true"/>
              </w:rPr>
              <w:tab/>
            </w:r>
            <w:r>
              <w:rPr>
                <w:rStyle w:val="IndexLink"/>
              </w:rPr>
              <w:t>139</w:t>
            </w:r>
          </w:hyperlink>
        </w:p>
        <w:p>
          <w:pPr>
            <w:pStyle w:val="Contents4"/>
            <w:tabs>
              <w:tab w:val="clear" w:pos="8176"/>
              <w:tab w:val="right" w:pos="9026" w:leader="dot"/>
            </w:tabs>
            <w:rPr/>
          </w:pPr>
          <w:hyperlink w:anchor="__RefHeading___Toc1165531_1067777946">
            <w:r>
              <w:rPr>
                <w:webHidden/>
                <w:rStyle w:val="IndexLink"/>
              </w:rPr>
              <w:t>4</w:t>
            </w:r>
            <w:r>
              <w:rPr>
                <w:rStyle w:val="IndexLink"/>
                <w:rtl w:val="true"/>
              </w:rPr>
              <w:t xml:space="preserve">. </w:t>
            </w:r>
            <w:r>
              <w:rPr>
                <w:rStyle w:val="IndexLink"/>
                <w:rtl w:val="true"/>
              </w:rPr>
              <w:t>استعراض ما روي في كيفية تشريع الأذان في السنن</w:t>
            </w:r>
            <w:r>
              <w:rPr>
                <w:rStyle w:val="IndexLink"/>
                <w:rtl w:val="true"/>
              </w:rPr>
              <w:tab/>
            </w:r>
            <w:r>
              <w:rPr>
                <w:rStyle w:val="IndexLink"/>
              </w:rPr>
              <w:t>141</w:t>
            </w:r>
          </w:hyperlink>
        </w:p>
        <w:p>
          <w:pPr>
            <w:pStyle w:val="Contents4"/>
            <w:tabs>
              <w:tab w:val="clear" w:pos="8176"/>
              <w:tab w:val="right" w:pos="9026" w:leader="dot"/>
            </w:tabs>
            <w:rPr/>
          </w:pPr>
          <w:hyperlink w:anchor="__RefHeading___Toc1165533_1067777946">
            <w:r>
              <w:rPr>
                <w:webHidden/>
                <w:rStyle w:val="IndexLink"/>
              </w:rPr>
              <w:t>5</w:t>
            </w:r>
            <w:r>
              <w:rPr>
                <w:rStyle w:val="IndexLink"/>
                <w:rtl w:val="true"/>
              </w:rPr>
              <w:t xml:space="preserve">. </w:t>
            </w:r>
            <w:r>
              <w:rPr>
                <w:rStyle w:val="IndexLink"/>
                <w:rtl w:val="true"/>
              </w:rPr>
              <w:t>تحليل مضمون الروايات</w:t>
            </w:r>
            <w:r>
              <w:rPr>
                <w:rStyle w:val="IndexLink"/>
                <w:rtl w:val="true"/>
              </w:rPr>
              <w:tab/>
            </w:r>
            <w:r>
              <w:rPr>
                <w:rStyle w:val="IndexLink"/>
              </w:rPr>
              <w:t>145</w:t>
            </w:r>
          </w:hyperlink>
        </w:p>
        <w:p>
          <w:pPr>
            <w:pStyle w:val="Contents5"/>
            <w:tabs>
              <w:tab w:val="clear" w:pos="7892"/>
              <w:tab w:val="right" w:pos="9026" w:leader="dot"/>
            </w:tabs>
            <w:rPr/>
          </w:pPr>
          <w:hyperlink w:anchor="__RefHeading___Toc1165535_1067777946">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1165537_1067777946">
            <w:r>
              <w:rPr>
                <w:webHidden/>
                <w:rStyle w:val="IndexLink"/>
                <w:rtl w:val="true"/>
              </w:rPr>
              <w:t xml:space="preserve">الأولى </w:t>
            </w:r>
            <w:r>
              <w:rPr>
                <w:rStyle w:val="IndexLink"/>
                <w:rtl w:val="true"/>
              </w:rPr>
              <w:t xml:space="preserve">: </w:t>
            </w:r>
            <w:r>
              <w:rPr>
                <w:rStyle w:val="IndexLink"/>
                <w:rtl w:val="true"/>
              </w:rPr>
              <w:t>لا تتّفق مع مقام النبوّة</w:t>
            </w:r>
            <w:r>
              <w:rPr>
                <w:rStyle w:val="IndexLink"/>
                <w:rtl w:val="true"/>
              </w:rPr>
              <w:tab/>
            </w:r>
            <w:r>
              <w:rPr>
                <w:rStyle w:val="IndexLink"/>
              </w:rPr>
              <w:t>145</w:t>
            </w:r>
          </w:hyperlink>
        </w:p>
        <w:p>
          <w:pPr>
            <w:pStyle w:val="Contents5"/>
            <w:tabs>
              <w:tab w:val="clear" w:pos="7892"/>
              <w:tab w:val="right" w:pos="9026" w:leader="dot"/>
            </w:tabs>
            <w:rPr/>
          </w:pPr>
          <w:hyperlink w:anchor="__RefHeading___Toc1165539_1067777946">
            <w:r>
              <w:rPr>
                <w:webHidden/>
                <w:rStyle w:val="IndexLink"/>
                <w:rtl w:val="true"/>
              </w:rPr>
              <w:t xml:space="preserve">الثانية </w:t>
            </w:r>
            <w:r>
              <w:rPr>
                <w:rStyle w:val="IndexLink"/>
                <w:rtl w:val="true"/>
              </w:rPr>
              <w:t xml:space="preserve">: </w:t>
            </w:r>
            <w:r>
              <w:rPr>
                <w:rStyle w:val="IndexLink"/>
                <w:rtl w:val="true"/>
              </w:rPr>
              <w:t>أنّها متعارضة جوهرا</w:t>
            </w:r>
            <w:r>
              <w:rPr>
                <w:rStyle w:val="IndexLink"/>
                <w:rtl w:val="true"/>
              </w:rPr>
              <w:tab/>
            </w:r>
            <w:r>
              <w:rPr>
                <w:rStyle w:val="IndexLink"/>
              </w:rPr>
              <w:t>146</w:t>
            </w:r>
          </w:hyperlink>
        </w:p>
        <w:p>
          <w:pPr>
            <w:pStyle w:val="Contents5"/>
            <w:tabs>
              <w:tab w:val="clear" w:pos="7892"/>
              <w:tab w:val="right" w:pos="9026" w:leader="dot"/>
            </w:tabs>
            <w:rPr/>
          </w:pPr>
          <w:hyperlink w:anchor="__RefHeading___Toc1165541_1067777946">
            <w:r>
              <w:rPr>
                <w:webHidden/>
                <w:rStyle w:val="IndexLink"/>
                <w:rtl w:val="true"/>
              </w:rPr>
              <w:t xml:space="preserve">الثالثة </w:t>
            </w:r>
            <w:r>
              <w:rPr>
                <w:rStyle w:val="IndexLink"/>
                <w:rtl w:val="true"/>
              </w:rPr>
              <w:t xml:space="preserve">: </w:t>
            </w:r>
            <w:r>
              <w:rPr>
                <w:rStyle w:val="IndexLink"/>
                <w:rtl w:val="true"/>
              </w:rPr>
              <w:t>انّ الرائي كان أربعة عشر شخصا لا واحدا</w:t>
            </w:r>
            <w:r>
              <w:rPr>
                <w:rStyle w:val="IndexLink"/>
                <w:rtl w:val="true"/>
              </w:rPr>
              <w:tab/>
            </w:r>
            <w:r>
              <w:rPr>
                <w:rStyle w:val="IndexLink"/>
              </w:rPr>
              <w:t>148</w:t>
            </w:r>
          </w:hyperlink>
        </w:p>
        <w:p>
          <w:pPr>
            <w:pStyle w:val="Contents5"/>
            <w:tabs>
              <w:tab w:val="clear" w:pos="7892"/>
              <w:tab w:val="right" w:pos="9026" w:leader="dot"/>
            </w:tabs>
            <w:rPr/>
          </w:pPr>
          <w:hyperlink w:anchor="__RefHeading___Toc1165543_1067777946">
            <w:r>
              <w:rPr>
                <w:webHidden/>
                <w:rStyle w:val="IndexLink"/>
                <w:rtl w:val="true"/>
              </w:rPr>
              <w:t xml:space="preserve">الرابعة </w:t>
            </w:r>
            <w:r>
              <w:rPr>
                <w:rStyle w:val="IndexLink"/>
                <w:rtl w:val="true"/>
              </w:rPr>
              <w:t xml:space="preserve">: </w:t>
            </w:r>
            <w:r>
              <w:rPr>
                <w:rStyle w:val="IndexLink"/>
                <w:rtl w:val="true"/>
              </w:rPr>
              <w:t>التعارض بين نقل البخاري وغيره</w:t>
            </w:r>
            <w:r>
              <w:rPr>
                <w:rStyle w:val="IndexLink"/>
                <w:rtl w:val="true"/>
              </w:rPr>
              <w:tab/>
            </w:r>
            <w:r>
              <w:rPr>
                <w:rStyle w:val="IndexLink"/>
              </w:rPr>
              <w:t>148</w:t>
            </w:r>
          </w:hyperlink>
        </w:p>
        <w:p>
          <w:pPr>
            <w:pStyle w:val="Contents4"/>
            <w:tabs>
              <w:tab w:val="clear" w:pos="8176"/>
              <w:tab w:val="right" w:pos="9026" w:leader="dot"/>
            </w:tabs>
            <w:rPr/>
          </w:pPr>
          <w:hyperlink w:anchor="__RefHeading___Toc1165545_1067777946">
            <w:r>
              <w:rPr>
                <w:webHidden/>
                <w:rStyle w:val="IndexLink"/>
              </w:rPr>
              <w:t>6</w:t>
            </w:r>
            <w:r>
              <w:rPr>
                <w:rStyle w:val="IndexLink"/>
                <w:rtl w:val="true"/>
              </w:rPr>
              <w:t xml:space="preserve">. </w:t>
            </w:r>
            <w:r>
              <w:rPr>
                <w:rStyle w:val="IndexLink"/>
                <w:rtl w:val="true"/>
              </w:rPr>
              <w:t>مناقشة الأسانيد</w:t>
            </w:r>
            <w:r>
              <w:rPr>
                <w:rStyle w:val="IndexLink"/>
                <w:rtl w:val="true"/>
              </w:rPr>
              <w:tab/>
            </w:r>
            <w:r>
              <w:rPr>
                <w:rStyle w:val="IndexLink"/>
              </w:rPr>
              <w:t>150</w:t>
            </w:r>
          </w:hyperlink>
        </w:p>
        <w:p>
          <w:pPr>
            <w:pStyle w:val="Contents4"/>
            <w:tabs>
              <w:tab w:val="clear" w:pos="8176"/>
              <w:tab w:val="right" w:pos="9026" w:leader="dot"/>
            </w:tabs>
            <w:rPr/>
          </w:pPr>
          <w:hyperlink w:anchor="__RefHeading___Toc1165547_1067777946">
            <w:r>
              <w:rPr>
                <w:webHidden/>
                <w:rStyle w:val="IndexLink"/>
              </w:rPr>
              <w:t>7</w:t>
            </w:r>
            <w:r>
              <w:rPr>
                <w:rStyle w:val="IndexLink"/>
                <w:rtl w:val="true"/>
              </w:rPr>
              <w:t xml:space="preserve">. </w:t>
            </w:r>
            <w:r>
              <w:rPr>
                <w:rStyle w:val="IndexLink"/>
                <w:rtl w:val="true"/>
              </w:rPr>
              <w:t>روايات الأذان في غير الكتب الستّة</w:t>
            </w:r>
            <w:r>
              <w:rPr>
                <w:rStyle w:val="IndexLink"/>
                <w:rtl w:val="true"/>
              </w:rPr>
              <w:tab/>
            </w:r>
            <w:r>
              <w:rPr>
                <w:rStyle w:val="IndexLink"/>
              </w:rPr>
              <w:t>154</w:t>
            </w:r>
          </w:hyperlink>
        </w:p>
        <w:p>
          <w:pPr>
            <w:pStyle w:val="Contents5"/>
            <w:tabs>
              <w:tab w:val="clear" w:pos="7892"/>
              <w:tab w:val="right" w:pos="9026" w:leader="dot"/>
            </w:tabs>
            <w:rPr/>
          </w:pPr>
          <w:hyperlink w:anchor="__RefHeading___Toc1165549_1067777946">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1165551_1067777946">
            <w:r>
              <w:rPr>
                <w:webHidden/>
                <w:rStyle w:val="IndexLink"/>
                <w:rtl w:val="true"/>
              </w:rPr>
              <w:t xml:space="preserve">ألف </w:t>
            </w:r>
            <w:r>
              <w:rPr>
                <w:rStyle w:val="IndexLink"/>
                <w:rtl w:val="true"/>
              </w:rPr>
              <w:t xml:space="preserve">: </w:t>
            </w:r>
            <w:r>
              <w:rPr>
                <w:rStyle w:val="IndexLink"/>
                <w:rtl w:val="true"/>
              </w:rPr>
              <w:t>ما رواه الإمام أحمد في مسنده</w:t>
            </w:r>
            <w:r>
              <w:rPr>
                <w:rStyle w:val="IndexLink"/>
                <w:rtl w:val="true"/>
              </w:rPr>
              <w:tab/>
            </w:r>
            <w:r>
              <w:rPr>
                <w:rStyle w:val="IndexLink"/>
              </w:rPr>
              <w:t>154</w:t>
            </w:r>
          </w:hyperlink>
        </w:p>
        <w:p>
          <w:pPr>
            <w:pStyle w:val="Contents5"/>
            <w:tabs>
              <w:tab w:val="clear" w:pos="7892"/>
              <w:tab w:val="right" w:pos="9026" w:leader="dot"/>
            </w:tabs>
            <w:rPr/>
          </w:pPr>
          <w:hyperlink w:anchor="__RefHeading___Toc1165553_1067777946">
            <w:r>
              <w:rPr>
                <w:webHidden/>
                <w:rStyle w:val="IndexLink"/>
                <w:rtl w:val="true"/>
              </w:rPr>
              <w:t xml:space="preserve">ب </w:t>
            </w:r>
            <w:r>
              <w:rPr>
                <w:rStyle w:val="IndexLink"/>
                <w:rtl w:val="true"/>
              </w:rPr>
              <w:t xml:space="preserve">: </w:t>
            </w:r>
            <w:r>
              <w:rPr>
                <w:rStyle w:val="IndexLink"/>
                <w:rtl w:val="true"/>
              </w:rPr>
              <w:t>ما رواه الدارمي في مسنده</w:t>
            </w:r>
            <w:r>
              <w:rPr>
                <w:rStyle w:val="IndexLink"/>
                <w:rtl w:val="true"/>
              </w:rPr>
              <w:tab/>
            </w:r>
            <w:r>
              <w:rPr>
                <w:rStyle w:val="IndexLink"/>
              </w:rPr>
              <w:t>155</w:t>
            </w:r>
          </w:hyperlink>
        </w:p>
        <w:p>
          <w:pPr>
            <w:pStyle w:val="Contents5"/>
            <w:tabs>
              <w:tab w:val="clear" w:pos="7892"/>
              <w:tab w:val="right" w:pos="9026" w:leader="dot"/>
            </w:tabs>
            <w:rPr/>
          </w:pPr>
          <w:hyperlink w:anchor="__RefHeading___Toc1165555_1067777946">
            <w:r>
              <w:rPr>
                <w:webHidden/>
                <w:rStyle w:val="IndexLink"/>
                <w:rtl w:val="true"/>
              </w:rPr>
              <w:t xml:space="preserve">ج </w:t>
            </w:r>
            <w:r>
              <w:rPr>
                <w:rStyle w:val="IndexLink"/>
                <w:rtl w:val="true"/>
              </w:rPr>
              <w:t xml:space="preserve">: </w:t>
            </w:r>
            <w:r>
              <w:rPr>
                <w:rStyle w:val="IndexLink"/>
                <w:rtl w:val="true"/>
              </w:rPr>
              <w:t>ما رواه الإمام مالك في الموطأ</w:t>
            </w:r>
            <w:r>
              <w:rPr>
                <w:rStyle w:val="IndexLink"/>
                <w:rtl w:val="true"/>
              </w:rPr>
              <w:tab/>
            </w:r>
            <w:r>
              <w:rPr>
                <w:rStyle w:val="IndexLink"/>
              </w:rPr>
              <w:t>156</w:t>
            </w:r>
          </w:hyperlink>
        </w:p>
        <w:p>
          <w:pPr>
            <w:pStyle w:val="Contents5"/>
            <w:tabs>
              <w:tab w:val="clear" w:pos="7892"/>
              <w:tab w:val="right" w:pos="9026" w:leader="dot"/>
            </w:tabs>
            <w:rPr/>
          </w:pPr>
          <w:hyperlink w:anchor="__RefHeading___Toc1165557_1067777946">
            <w:r>
              <w:rPr>
                <w:webHidden/>
                <w:rStyle w:val="IndexLink"/>
                <w:rtl w:val="true"/>
              </w:rPr>
              <w:t xml:space="preserve">د </w:t>
            </w:r>
            <w:r>
              <w:rPr>
                <w:rStyle w:val="IndexLink"/>
                <w:rtl w:val="true"/>
              </w:rPr>
              <w:t xml:space="preserve">: </w:t>
            </w:r>
            <w:r>
              <w:rPr>
                <w:rStyle w:val="IndexLink"/>
                <w:rtl w:val="true"/>
              </w:rPr>
              <w:t>ما رواه ابن سعد في طبقاته</w:t>
            </w:r>
            <w:r>
              <w:rPr>
                <w:rStyle w:val="IndexLink"/>
                <w:rtl w:val="true"/>
              </w:rPr>
              <w:tab/>
            </w:r>
            <w:r>
              <w:rPr>
                <w:rStyle w:val="IndexLink"/>
              </w:rPr>
              <w:t>156</w:t>
            </w:r>
          </w:hyperlink>
        </w:p>
        <w:p>
          <w:pPr>
            <w:pStyle w:val="Contents5"/>
            <w:tabs>
              <w:tab w:val="clear" w:pos="7892"/>
              <w:tab w:val="right" w:pos="9026" w:leader="dot"/>
            </w:tabs>
            <w:rPr/>
          </w:pPr>
          <w:hyperlink w:anchor="__RefHeading___Toc1165559_1067777946">
            <w:r>
              <w:rPr>
                <w:webHidden/>
                <w:rStyle w:val="IndexLink"/>
                <w:rtl w:val="true"/>
              </w:rPr>
              <w:t xml:space="preserve">هـ </w:t>
            </w:r>
            <w:r>
              <w:rPr>
                <w:rStyle w:val="IndexLink"/>
                <w:rtl w:val="true"/>
              </w:rPr>
              <w:t xml:space="preserve">: </w:t>
            </w:r>
            <w:r>
              <w:rPr>
                <w:rStyle w:val="IndexLink"/>
                <w:rtl w:val="true"/>
              </w:rPr>
              <w:t>ما رواه البيهقي في سننه</w:t>
            </w:r>
            <w:r>
              <w:rPr>
                <w:rStyle w:val="IndexLink"/>
                <w:rtl w:val="true"/>
              </w:rPr>
              <w:tab/>
            </w:r>
            <w:r>
              <w:rPr>
                <w:rStyle w:val="IndexLink"/>
              </w:rPr>
              <w:t>158</w:t>
            </w:r>
          </w:hyperlink>
        </w:p>
        <w:p>
          <w:pPr>
            <w:pStyle w:val="Contents5"/>
            <w:tabs>
              <w:tab w:val="clear" w:pos="7892"/>
              <w:tab w:val="right" w:pos="9026" w:leader="dot"/>
            </w:tabs>
            <w:rPr/>
          </w:pPr>
          <w:hyperlink w:anchor="__RefHeading___Toc1165561_1067777946">
            <w:r>
              <w:rPr>
                <w:webHidden/>
                <w:rStyle w:val="IndexLink"/>
                <w:rtl w:val="true"/>
              </w:rPr>
              <w:t xml:space="preserve">و </w:t>
            </w:r>
            <w:r>
              <w:rPr>
                <w:rStyle w:val="IndexLink"/>
                <w:rtl w:val="true"/>
              </w:rPr>
              <w:t xml:space="preserve">: </w:t>
            </w:r>
            <w:r>
              <w:rPr>
                <w:rStyle w:val="IndexLink"/>
                <w:rtl w:val="true"/>
              </w:rPr>
              <w:t>ما رواه الدارقطني في سننه</w:t>
            </w:r>
            <w:r>
              <w:rPr>
                <w:rStyle w:val="IndexLink"/>
                <w:rtl w:val="true"/>
              </w:rPr>
              <w:tab/>
            </w:r>
            <w:r>
              <w:rPr>
                <w:rStyle w:val="IndexLink"/>
              </w:rPr>
              <w:t>159</w:t>
            </w:r>
          </w:hyperlink>
        </w:p>
        <w:p>
          <w:pPr>
            <w:pStyle w:val="Contents3"/>
            <w:tabs>
              <w:tab w:val="clear" w:pos="8459"/>
              <w:tab w:val="right" w:pos="9026" w:leader="dot"/>
            </w:tabs>
            <w:rPr/>
          </w:pPr>
          <w:hyperlink w:anchor="__RefHeading___Toc1165563_1067777946">
            <w:r>
              <w:rPr>
                <w:webHidden/>
                <w:rStyle w:val="IndexLink"/>
                <w:rtl w:val="true"/>
              </w:rPr>
              <w:t xml:space="preserve">المقام الثاني </w:t>
            </w:r>
            <w:r>
              <w:rPr>
                <w:rStyle w:val="IndexLink"/>
                <w:rtl w:val="true"/>
              </w:rPr>
              <w:t>:</w:t>
              <w:tab/>
            </w:r>
            <w:r>
              <w:rPr>
                <w:rStyle w:val="IndexLink"/>
              </w:rPr>
              <w:t>161</w:t>
            </w:r>
          </w:hyperlink>
        </w:p>
        <w:p>
          <w:pPr>
            <w:pStyle w:val="Contents4"/>
            <w:tabs>
              <w:tab w:val="clear" w:pos="8176"/>
              <w:tab w:val="right" w:pos="9026" w:leader="dot"/>
            </w:tabs>
            <w:rPr/>
          </w:pPr>
          <w:hyperlink w:anchor="__RefHeading___Toc1165565_1067777946">
            <w:r>
              <w:rPr>
                <w:webHidden/>
                <w:rStyle w:val="IndexLink"/>
              </w:rPr>
              <w:t>1</w:t>
            </w:r>
            <w:r>
              <w:rPr>
                <w:rStyle w:val="IndexLink"/>
                <w:rtl w:val="true"/>
              </w:rPr>
              <w:t xml:space="preserve">. </w:t>
            </w:r>
            <w:r>
              <w:rPr>
                <w:rStyle w:val="IndexLink"/>
                <w:rtl w:val="true"/>
              </w:rPr>
              <w:t>دراسة تاريخ دخول التثويب</w:t>
            </w:r>
            <w:r>
              <w:rPr>
                <w:rStyle w:val="IndexLink"/>
                <w:rtl w:val="true"/>
              </w:rPr>
              <w:tab/>
            </w:r>
            <w:r>
              <w:rPr>
                <w:rStyle w:val="IndexLink"/>
              </w:rPr>
              <w:t>161</w:t>
            </w:r>
          </w:hyperlink>
        </w:p>
        <w:p>
          <w:pPr>
            <w:pStyle w:val="Contents5"/>
            <w:tabs>
              <w:tab w:val="clear" w:pos="7892"/>
              <w:tab w:val="right" w:pos="9026" w:leader="dot"/>
            </w:tabs>
            <w:rPr/>
          </w:pPr>
          <w:hyperlink w:anchor="__RefHeading___Toc1165567_1067777946">
            <w:r>
              <w:rPr>
                <w:webHidden/>
                <w:rStyle w:val="IndexLink"/>
                <w:rtl w:val="true"/>
              </w:rPr>
              <w:t>في أذان صلاة الفجر</w:t>
            </w:r>
            <w:r>
              <w:rPr>
                <w:rStyle w:val="IndexLink"/>
                <w:rtl w:val="true"/>
              </w:rPr>
              <w:tab/>
            </w:r>
            <w:r>
              <w:rPr>
                <w:rStyle w:val="IndexLink"/>
              </w:rPr>
              <w:t>161</w:t>
            </w:r>
          </w:hyperlink>
        </w:p>
        <w:p>
          <w:pPr>
            <w:pStyle w:val="Contents5"/>
            <w:tabs>
              <w:tab w:val="clear" w:pos="7892"/>
              <w:tab w:val="right" w:pos="9026" w:leader="dot"/>
            </w:tabs>
            <w:rPr/>
          </w:pPr>
          <w:hyperlink w:anchor="__RefHeading___Toc1165569_1067777946">
            <w:r>
              <w:rPr>
                <w:webHidden/>
                <w:rStyle w:val="IndexLink"/>
                <w:rtl w:val="true"/>
              </w:rPr>
              <w:t xml:space="preserve">وما رواه الدارقطني فعلى أقسام </w:t>
            </w:r>
            <w:r>
              <w:rPr>
                <w:rStyle w:val="IndexLink"/>
                <w:rtl w:val="true"/>
              </w:rPr>
              <w:t>:</w:t>
              <w:tab/>
            </w:r>
            <w:r>
              <w:rPr>
                <w:rStyle w:val="IndexLink"/>
              </w:rPr>
              <w:t>166</w:t>
            </w:r>
          </w:hyperlink>
        </w:p>
        <w:p>
          <w:pPr>
            <w:pStyle w:val="Contents5"/>
            <w:tabs>
              <w:tab w:val="clear" w:pos="7892"/>
              <w:tab w:val="right" w:pos="9026" w:leader="dot"/>
            </w:tabs>
            <w:rPr/>
          </w:pPr>
          <w:hyperlink w:anchor="__RefHeading___Toc1165571_1067777946">
            <w:r>
              <w:rPr>
                <w:webHidden/>
                <w:rStyle w:val="IndexLink"/>
                <w:rtl w:val="true"/>
              </w:rPr>
              <w:t xml:space="preserve">ما رواه الدارمي </w:t>
            </w:r>
            <w:r>
              <w:rPr>
                <w:rStyle w:val="IndexLink"/>
                <w:rtl w:val="true"/>
              </w:rPr>
              <w:t>:</w:t>
              <w:tab/>
            </w:r>
            <w:r>
              <w:rPr>
                <w:rStyle w:val="IndexLink"/>
              </w:rPr>
              <w:t>167</w:t>
            </w:r>
          </w:hyperlink>
        </w:p>
        <w:p>
          <w:pPr>
            <w:pStyle w:val="Contents5"/>
            <w:tabs>
              <w:tab w:val="clear" w:pos="7892"/>
              <w:tab w:val="right" w:pos="9026" w:leader="dot"/>
            </w:tabs>
            <w:rPr/>
          </w:pPr>
          <w:hyperlink w:anchor="__RefHeading___Toc1165573_1067777946">
            <w:r>
              <w:rPr>
                <w:webHidden/>
                <w:rStyle w:val="IndexLink"/>
                <w:rtl w:val="true"/>
              </w:rPr>
              <w:t xml:space="preserve">حصيلة الروايات </w:t>
            </w:r>
            <w:r>
              <w:rPr>
                <w:rStyle w:val="IndexLink"/>
                <w:rtl w:val="true"/>
              </w:rPr>
              <w:t>:</w:t>
              <w:tab/>
            </w:r>
            <w:r>
              <w:rPr>
                <w:rStyle w:val="IndexLink"/>
              </w:rPr>
              <w:t>167</w:t>
            </w:r>
          </w:hyperlink>
        </w:p>
        <w:p>
          <w:pPr>
            <w:pStyle w:val="Contents4"/>
            <w:tabs>
              <w:tab w:val="clear" w:pos="8176"/>
              <w:tab w:val="right" w:pos="9026" w:leader="dot"/>
            </w:tabs>
            <w:rPr/>
          </w:pPr>
          <w:hyperlink w:anchor="__RefHeading___Toc1165575_1067777946">
            <w:r>
              <w:rPr>
                <w:webHidden/>
                <w:rStyle w:val="IndexLink"/>
              </w:rPr>
              <w:t>2</w:t>
            </w:r>
            <w:r>
              <w:rPr>
                <w:rStyle w:val="IndexLink"/>
                <w:rtl w:val="true"/>
              </w:rPr>
              <w:t xml:space="preserve">. </w:t>
            </w:r>
            <w:r>
              <w:rPr>
                <w:rStyle w:val="IndexLink"/>
                <w:rtl w:val="true"/>
              </w:rPr>
              <w:t>كلمات الأعلام في التثويب</w:t>
            </w:r>
            <w:r>
              <w:rPr>
                <w:rStyle w:val="IndexLink"/>
                <w:rtl w:val="true"/>
              </w:rPr>
              <w:tab/>
            </w:r>
            <w:r>
              <w:rPr>
                <w:rStyle w:val="IndexLink"/>
              </w:rPr>
              <w:t>169</w:t>
            </w:r>
          </w:hyperlink>
        </w:p>
        <w:p>
          <w:pPr>
            <w:pStyle w:val="Contents4"/>
            <w:tabs>
              <w:tab w:val="clear" w:pos="8176"/>
              <w:tab w:val="right" w:pos="9026" w:leader="dot"/>
            </w:tabs>
            <w:rPr/>
          </w:pPr>
          <w:hyperlink w:anchor="__RefHeading___Toc1165577_1067777946">
            <w:r>
              <w:rPr>
                <w:webHidden/>
                <w:rStyle w:val="IndexLink"/>
                <w:rtl w:val="true"/>
              </w:rPr>
              <w:t>خاتمة المطاف بدعة تلو بدعة</w:t>
            </w:r>
            <w:r>
              <w:rPr>
                <w:rStyle w:val="IndexLink"/>
                <w:rtl w:val="true"/>
              </w:rPr>
              <w:tab/>
            </w:r>
            <w:r>
              <w:rPr>
                <w:rStyle w:val="IndexLink"/>
              </w:rPr>
              <w:t>173</w:t>
            </w:r>
          </w:hyperlink>
        </w:p>
        <w:p>
          <w:pPr>
            <w:pStyle w:val="Contents5"/>
            <w:tabs>
              <w:tab w:val="clear" w:pos="7892"/>
              <w:tab w:val="right" w:pos="9026" w:leader="dot"/>
            </w:tabs>
            <w:rPr/>
          </w:pPr>
          <w:hyperlink w:anchor="__RefHeading___Toc1165579_1067777946">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1165581_1067777946">
            <w:r>
              <w:rPr>
                <w:webHidden/>
                <w:rStyle w:val="IndexLink"/>
              </w:rPr>
              <w:t>1</w:t>
            </w:r>
            <w:r>
              <w:rPr>
                <w:rStyle w:val="IndexLink"/>
                <w:rtl w:val="true"/>
              </w:rPr>
              <w:t xml:space="preserve">. </w:t>
            </w:r>
            <w:r>
              <w:rPr>
                <w:rStyle w:val="IndexLink"/>
                <w:rtl w:val="true"/>
              </w:rPr>
              <w:t>الأذان الثاني يوم الجمعة</w:t>
            </w:r>
            <w:r>
              <w:rPr>
                <w:rStyle w:val="IndexLink"/>
                <w:rtl w:val="true"/>
              </w:rPr>
              <w:tab/>
            </w:r>
            <w:r>
              <w:rPr>
                <w:rStyle w:val="IndexLink"/>
              </w:rPr>
              <w:t>173</w:t>
            </w:r>
          </w:hyperlink>
        </w:p>
        <w:p>
          <w:pPr>
            <w:pStyle w:val="Contents5"/>
            <w:tabs>
              <w:tab w:val="clear" w:pos="7892"/>
              <w:tab w:val="right" w:pos="9026" w:leader="dot"/>
            </w:tabs>
            <w:rPr/>
          </w:pPr>
          <w:hyperlink w:anchor="__RefHeading___Toc1165583_1067777946">
            <w:r>
              <w:rPr>
                <w:webHidden/>
                <w:rStyle w:val="IndexLink"/>
              </w:rPr>
              <w:t>5</w:t>
            </w:r>
            <w:r>
              <w:rPr>
                <w:rStyle w:val="IndexLink"/>
                <w:rtl w:val="true"/>
              </w:rPr>
              <w:t xml:space="preserve">. </w:t>
            </w:r>
            <w:r>
              <w:rPr>
                <w:rStyle w:val="IndexLink"/>
                <w:rtl w:val="true"/>
              </w:rPr>
              <w:t>حذف الحيعلة من الأذان</w:t>
            </w:r>
            <w:r>
              <w:rPr>
                <w:rStyle w:val="IndexLink"/>
                <w:rtl w:val="true"/>
              </w:rPr>
              <w:tab/>
            </w:r>
            <w:r>
              <w:rPr>
                <w:rStyle w:val="IndexLink"/>
              </w:rPr>
              <w:t>175</w:t>
            </w:r>
          </w:hyperlink>
        </w:p>
        <w:p>
          <w:pPr>
            <w:pStyle w:val="Contents2"/>
            <w:tabs>
              <w:tab w:val="clear" w:pos="8743"/>
              <w:tab w:val="right" w:pos="9026" w:leader="dot"/>
            </w:tabs>
            <w:rPr/>
          </w:pPr>
          <w:hyperlink w:anchor="__RefHeading___Toc1165585_1067777946">
            <w:r>
              <w:rPr>
                <w:webHidden/>
                <w:rStyle w:val="IndexLink"/>
              </w:rPr>
              <w:t>4</w:t>
            </w:r>
            <w:r>
              <w:rPr>
                <w:rStyle w:val="IndexLink"/>
                <w:rtl w:val="true"/>
              </w:rPr>
              <w:t xml:space="preserve">. </w:t>
            </w:r>
            <w:r>
              <w:rPr>
                <w:rStyle w:val="IndexLink"/>
                <w:rtl w:val="true"/>
              </w:rPr>
              <w:t>القبض بين البدعة والسنة</w:t>
            </w:r>
            <w:r>
              <w:rPr>
                <w:rStyle w:val="IndexLink"/>
                <w:rtl w:val="true"/>
              </w:rPr>
              <w:tab/>
            </w:r>
            <w:r>
              <w:rPr>
                <w:rStyle w:val="IndexLink"/>
              </w:rPr>
              <w:t>177</w:t>
            </w:r>
          </w:hyperlink>
        </w:p>
        <w:p>
          <w:pPr>
            <w:pStyle w:val="Contents3"/>
            <w:tabs>
              <w:tab w:val="clear" w:pos="8459"/>
              <w:tab w:val="right" w:pos="9026" w:leader="dot"/>
            </w:tabs>
            <w:rPr/>
          </w:pPr>
          <w:hyperlink w:anchor="__RefHeading___Toc1165587_1067777946">
            <w:r>
              <w:rPr>
                <w:webHidden/>
                <w:rStyle w:val="IndexLink"/>
                <w:rtl w:val="true"/>
              </w:rPr>
              <w:t>اشارة</w:t>
            </w:r>
            <w:r>
              <w:rPr>
                <w:rStyle w:val="IndexLink"/>
                <w:rtl w:val="true"/>
              </w:rPr>
              <w:tab/>
            </w:r>
            <w:r>
              <w:rPr>
                <w:rStyle w:val="IndexLink"/>
              </w:rPr>
              <w:t>177</w:t>
            </w:r>
          </w:hyperlink>
        </w:p>
        <w:p>
          <w:pPr>
            <w:pStyle w:val="Contents3"/>
            <w:tabs>
              <w:tab w:val="clear" w:pos="8459"/>
              <w:tab w:val="right" w:pos="9026" w:leader="dot"/>
            </w:tabs>
            <w:rPr/>
          </w:pPr>
          <w:hyperlink w:anchor="__RefHeading___Toc1165589_1067777946">
            <w:r>
              <w:rPr>
                <w:webHidden/>
                <w:rStyle w:val="IndexLink"/>
                <w:rtl w:val="true"/>
              </w:rPr>
              <w:t>حكم القبض في الصلاة</w:t>
            </w:r>
            <w:r>
              <w:rPr>
                <w:rStyle w:val="IndexLink"/>
                <w:rtl w:val="true"/>
              </w:rPr>
              <w:tab/>
            </w:r>
            <w:r>
              <w:rPr>
                <w:rStyle w:val="IndexLink"/>
              </w:rPr>
              <w:t>179</w:t>
            </w:r>
          </w:hyperlink>
        </w:p>
        <w:p>
          <w:pPr>
            <w:pStyle w:val="Contents3"/>
            <w:tabs>
              <w:tab w:val="clear" w:pos="8459"/>
              <w:tab w:val="right" w:pos="9026" w:leader="dot"/>
            </w:tabs>
            <w:rPr/>
          </w:pPr>
          <w:hyperlink w:anchor="__RefHeading___Toc1165591_1067777946">
            <w:r>
              <w:rPr>
                <w:webHidden/>
                <w:rStyle w:val="IndexLink"/>
                <w:rtl w:val="true"/>
              </w:rPr>
              <w:t>القبض بدعة محدثة</w:t>
            </w:r>
            <w:r>
              <w:rPr>
                <w:rStyle w:val="IndexLink"/>
                <w:rtl w:val="true"/>
              </w:rPr>
              <w:tab/>
            </w:r>
            <w:r>
              <w:rPr>
                <w:rStyle w:val="IndexLink"/>
              </w:rPr>
              <w:t>180</w:t>
            </w:r>
          </w:hyperlink>
        </w:p>
        <w:p>
          <w:pPr>
            <w:pStyle w:val="Contents4"/>
            <w:tabs>
              <w:tab w:val="clear" w:pos="8176"/>
              <w:tab w:val="right" w:pos="9026" w:leader="dot"/>
            </w:tabs>
            <w:rPr/>
          </w:pPr>
          <w:hyperlink w:anchor="__RefHeading___Toc1165593_1067777946">
            <w:r>
              <w:rPr>
                <w:webHidden/>
                <w:rStyle w:val="IndexLink"/>
                <w:rtl w:val="true"/>
              </w:rPr>
              <w:t>اشارة</w:t>
            </w:r>
            <w:r>
              <w:rPr>
                <w:rStyle w:val="IndexLink"/>
                <w:rtl w:val="true"/>
              </w:rPr>
              <w:tab/>
            </w:r>
            <w:r>
              <w:rPr>
                <w:rStyle w:val="IndexLink"/>
              </w:rPr>
              <w:t>180</w:t>
            </w:r>
          </w:hyperlink>
        </w:p>
        <w:p>
          <w:pPr>
            <w:pStyle w:val="Contents4"/>
            <w:tabs>
              <w:tab w:val="clear" w:pos="8176"/>
              <w:tab w:val="right" w:pos="9026" w:leader="dot"/>
            </w:tabs>
            <w:rPr/>
          </w:pPr>
          <w:hyperlink w:anchor="__RefHeading___Toc1165595_1067777946">
            <w:r>
              <w:rPr>
                <w:webHidden/>
                <w:rStyle w:val="IndexLink"/>
                <w:rtl w:val="true"/>
              </w:rPr>
              <w:t xml:space="preserve">ألف </w:t>
            </w:r>
            <w:r>
              <w:rPr>
                <w:rStyle w:val="IndexLink"/>
                <w:rtl w:val="true"/>
              </w:rPr>
              <w:t xml:space="preserve">: </w:t>
            </w:r>
            <w:r>
              <w:rPr>
                <w:rStyle w:val="IndexLink"/>
                <w:rtl w:val="true"/>
              </w:rPr>
              <w:t>حديث أبي حميد الساعدي</w:t>
            </w:r>
            <w:r>
              <w:rPr>
                <w:rStyle w:val="IndexLink"/>
                <w:rtl w:val="true"/>
              </w:rPr>
              <w:tab/>
            </w:r>
            <w:r>
              <w:rPr>
                <w:rStyle w:val="IndexLink"/>
              </w:rPr>
              <w:t>181</w:t>
            </w:r>
          </w:hyperlink>
        </w:p>
        <w:p>
          <w:pPr>
            <w:pStyle w:val="Contents4"/>
            <w:tabs>
              <w:tab w:val="clear" w:pos="8176"/>
              <w:tab w:val="right" w:pos="9026" w:leader="dot"/>
            </w:tabs>
            <w:rPr/>
          </w:pPr>
          <w:hyperlink w:anchor="__RefHeading___Toc1165597_1067777946">
            <w:r>
              <w:rPr>
                <w:webHidden/>
                <w:rStyle w:val="IndexLink"/>
                <w:rtl w:val="true"/>
              </w:rPr>
              <w:t xml:space="preserve">ب </w:t>
            </w:r>
            <w:r>
              <w:rPr>
                <w:rStyle w:val="IndexLink"/>
                <w:rtl w:val="true"/>
              </w:rPr>
              <w:t xml:space="preserve">: </w:t>
            </w:r>
            <w:r>
              <w:rPr>
                <w:rStyle w:val="IndexLink"/>
                <w:rtl w:val="true"/>
              </w:rPr>
              <w:t>حديث حمّاد بن عيسى</w:t>
            </w:r>
            <w:r>
              <w:rPr>
                <w:rStyle w:val="IndexLink"/>
                <w:rtl w:val="true"/>
              </w:rPr>
              <w:tab/>
            </w:r>
            <w:r>
              <w:rPr>
                <w:rStyle w:val="IndexLink"/>
              </w:rPr>
              <w:t>183</w:t>
            </w:r>
          </w:hyperlink>
        </w:p>
        <w:p>
          <w:pPr>
            <w:pStyle w:val="Contents3"/>
            <w:tabs>
              <w:tab w:val="clear" w:pos="8459"/>
              <w:tab w:val="right" w:pos="9026" w:leader="dot"/>
            </w:tabs>
            <w:rPr/>
          </w:pPr>
          <w:hyperlink w:anchor="__RefHeading___Toc1165599_1067777946">
            <w:r>
              <w:rPr>
                <w:webHidden/>
                <w:rStyle w:val="IndexLink"/>
                <w:rtl w:val="true"/>
              </w:rPr>
              <w:t>دليل القائلين بلزوم القبض</w:t>
            </w:r>
            <w:r>
              <w:rPr>
                <w:rStyle w:val="IndexLink"/>
                <w:rtl w:val="true"/>
              </w:rPr>
              <w:tab/>
            </w:r>
            <w:r>
              <w:rPr>
                <w:rStyle w:val="IndexLink"/>
              </w:rPr>
              <w:t>185</w:t>
            </w:r>
          </w:hyperlink>
        </w:p>
        <w:p>
          <w:pPr>
            <w:pStyle w:val="Contents4"/>
            <w:tabs>
              <w:tab w:val="clear" w:pos="8176"/>
              <w:tab w:val="right" w:pos="9026" w:leader="dot"/>
            </w:tabs>
            <w:rPr/>
          </w:pPr>
          <w:hyperlink w:anchor="__RefHeading___Toc1165601_1067777946">
            <w:r>
              <w:rPr>
                <w:webHidden/>
                <w:rStyle w:val="IndexLink"/>
                <w:rtl w:val="true"/>
              </w:rPr>
              <w:t>اشارة</w:t>
            </w:r>
            <w:r>
              <w:rPr>
                <w:rStyle w:val="IndexLink"/>
                <w:rtl w:val="true"/>
              </w:rPr>
              <w:tab/>
            </w:r>
            <w:r>
              <w:rPr>
                <w:rStyle w:val="IndexLink"/>
              </w:rPr>
              <w:t>185</w:t>
            </w:r>
          </w:hyperlink>
        </w:p>
        <w:p>
          <w:pPr>
            <w:pStyle w:val="Contents4"/>
            <w:tabs>
              <w:tab w:val="clear" w:pos="8176"/>
              <w:tab w:val="right" w:pos="9026" w:leader="dot"/>
            </w:tabs>
            <w:rPr/>
          </w:pPr>
          <w:hyperlink w:anchor="__RefHeading___Toc1165603_1067777946">
            <w:r>
              <w:rPr>
                <w:webHidden/>
                <w:rStyle w:val="IndexLink"/>
              </w:rPr>
              <w:t>1</w:t>
            </w:r>
            <w:r>
              <w:rPr>
                <w:rStyle w:val="IndexLink"/>
                <w:rtl w:val="true"/>
              </w:rPr>
              <w:t xml:space="preserve">. </w:t>
            </w:r>
            <w:r>
              <w:rPr>
                <w:rStyle w:val="IndexLink"/>
                <w:rtl w:val="true"/>
              </w:rPr>
              <w:t>حديث سهل بن سعد</w:t>
            </w:r>
            <w:r>
              <w:rPr>
                <w:rStyle w:val="IndexLink"/>
                <w:rtl w:val="true"/>
              </w:rPr>
              <w:tab/>
            </w:r>
            <w:r>
              <w:rPr>
                <w:rStyle w:val="IndexLink"/>
              </w:rPr>
              <w:t>185</w:t>
            </w:r>
          </w:hyperlink>
        </w:p>
        <w:p>
          <w:pPr>
            <w:pStyle w:val="Contents4"/>
            <w:tabs>
              <w:tab w:val="clear" w:pos="8176"/>
              <w:tab w:val="right" w:pos="9026" w:leader="dot"/>
            </w:tabs>
            <w:rPr/>
          </w:pPr>
          <w:hyperlink w:anchor="__RefHeading___Toc1165605_1067777946">
            <w:r>
              <w:rPr>
                <w:webHidden/>
                <w:rStyle w:val="IndexLink"/>
              </w:rPr>
              <w:t>2</w:t>
            </w:r>
            <w:r>
              <w:rPr>
                <w:rStyle w:val="IndexLink"/>
                <w:rtl w:val="true"/>
              </w:rPr>
              <w:t xml:space="preserve">. </w:t>
            </w:r>
            <w:r>
              <w:rPr>
                <w:rStyle w:val="IndexLink"/>
                <w:rtl w:val="true"/>
              </w:rPr>
              <w:t>حديث وائل بن حجر</w:t>
            </w:r>
            <w:r>
              <w:rPr>
                <w:rStyle w:val="IndexLink"/>
                <w:rtl w:val="true"/>
              </w:rPr>
              <w:tab/>
            </w:r>
            <w:r>
              <w:rPr>
                <w:rStyle w:val="IndexLink"/>
              </w:rPr>
              <w:t>187</w:t>
            </w:r>
          </w:hyperlink>
        </w:p>
        <w:p>
          <w:pPr>
            <w:pStyle w:val="Contents5"/>
            <w:tabs>
              <w:tab w:val="clear" w:pos="7892"/>
              <w:tab w:val="right" w:pos="9026" w:leader="dot"/>
            </w:tabs>
            <w:rPr/>
          </w:pPr>
          <w:hyperlink w:anchor="__RefHeading___Toc1165607_1067777946">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1165609_1067777946">
            <w:r>
              <w:rPr>
                <w:webHidden/>
                <w:rStyle w:val="IndexLink"/>
                <w:rtl w:val="true"/>
              </w:rPr>
              <w:t xml:space="preserve">الصورة الأولى للحديث </w:t>
            </w:r>
            <w:r>
              <w:rPr>
                <w:rStyle w:val="IndexLink"/>
                <w:rtl w:val="true"/>
              </w:rPr>
              <w:t>:</w:t>
              <w:tab/>
            </w:r>
            <w:r>
              <w:rPr>
                <w:rStyle w:val="IndexLink"/>
              </w:rPr>
              <w:t>187</w:t>
            </w:r>
          </w:hyperlink>
        </w:p>
        <w:p>
          <w:pPr>
            <w:pStyle w:val="Contents5"/>
            <w:tabs>
              <w:tab w:val="clear" w:pos="7892"/>
              <w:tab w:val="right" w:pos="9026" w:leader="dot"/>
            </w:tabs>
            <w:rPr/>
          </w:pPr>
          <w:hyperlink w:anchor="__RefHeading___Toc1165611_1067777946">
            <w:r>
              <w:rPr>
                <w:webHidden/>
                <w:rStyle w:val="IndexLink"/>
                <w:rtl w:val="true"/>
              </w:rPr>
              <w:t xml:space="preserve">الصورة الثانية للحديث </w:t>
            </w:r>
            <w:r>
              <w:rPr>
                <w:rStyle w:val="IndexLink"/>
                <w:rtl w:val="true"/>
              </w:rPr>
              <w:t>:</w:t>
              <w:tab/>
            </w:r>
            <w:r>
              <w:rPr>
                <w:rStyle w:val="IndexLink"/>
              </w:rPr>
              <w:t>189</w:t>
            </w:r>
          </w:hyperlink>
        </w:p>
        <w:p>
          <w:pPr>
            <w:pStyle w:val="Contents5"/>
            <w:tabs>
              <w:tab w:val="clear" w:pos="7892"/>
              <w:tab w:val="right" w:pos="9026" w:leader="dot"/>
            </w:tabs>
            <w:rPr/>
          </w:pPr>
          <w:hyperlink w:anchor="__RefHeading___Toc1165613_1067777946">
            <w:r>
              <w:rPr>
                <w:webHidden/>
                <w:rStyle w:val="IndexLink"/>
                <w:rtl w:val="true"/>
              </w:rPr>
              <w:t xml:space="preserve">الصورة الثالثة للحديث </w:t>
            </w:r>
            <w:r>
              <w:rPr>
                <w:rStyle w:val="IndexLink"/>
                <w:rtl w:val="true"/>
              </w:rPr>
              <w:t>:</w:t>
              <w:tab/>
            </w:r>
            <w:r>
              <w:rPr>
                <w:rStyle w:val="IndexLink"/>
              </w:rPr>
              <w:t>190</w:t>
            </w:r>
          </w:hyperlink>
        </w:p>
        <w:p>
          <w:pPr>
            <w:pStyle w:val="Contents4"/>
            <w:tabs>
              <w:tab w:val="clear" w:pos="8176"/>
              <w:tab w:val="right" w:pos="9026" w:leader="dot"/>
            </w:tabs>
            <w:rPr/>
          </w:pPr>
          <w:hyperlink w:anchor="__RefHeading___Toc1165615_1067777946">
            <w:r>
              <w:rPr>
                <w:webHidden/>
                <w:rStyle w:val="IndexLink"/>
              </w:rPr>
              <w:t>3</w:t>
            </w:r>
            <w:r>
              <w:rPr>
                <w:rStyle w:val="IndexLink"/>
                <w:rtl w:val="true"/>
              </w:rPr>
              <w:t xml:space="preserve">. </w:t>
            </w:r>
            <w:r>
              <w:rPr>
                <w:rStyle w:val="IndexLink"/>
                <w:rtl w:val="true"/>
              </w:rPr>
              <w:t>حديث عبد الله بن مسعود</w:t>
            </w:r>
            <w:r>
              <w:rPr>
                <w:rStyle w:val="IndexLink"/>
                <w:rtl w:val="true"/>
              </w:rPr>
              <w:tab/>
            </w:r>
            <w:r>
              <w:rPr>
                <w:rStyle w:val="IndexLink"/>
              </w:rPr>
              <w:t>192</w:t>
            </w:r>
          </w:hyperlink>
        </w:p>
        <w:p>
          <w:pPr>
            <w:pStyle w:val="Contents4"/>
            <w:tabs>
              <w:tab w:val="clear" w:pos="8176"/>
              <w:tab w:val="right" w:pos="9026" w:leader="dot"/>
            </w:tabs>
            <w:rPr/>
          </w:pPr>
          <w:hyperlink w:anchor="__RefHeading___Toc1165617_1067777946">
            <w:r>
              <w:rPr>
                <w:webHidden/>
                <w:rStyle w:val="IndexLink"/>
              </w:rPr>
              <w:t>4</w:t>
            </w:r>
            <w:r>
              <w:rPr>
                <w:rStyle w:val="IndexLink"/>
                <w:rtl w:val="true"/>
              </w:rPr>
              <w:t xml:space="preserve">. </w:t>
            </w:r>
            <w:r>
              <w:rPr>
                <w:rStyle w:val="IndexLink"/>
                <w:rtl w:val="true"/>
              </w:rPr>
              <w:t>أحاديث ضعاف لا يحتجّ بها</w:t>
            </w:r>
            <w:r>
              <w:rPr>
                <w:rStyle w:val="IndexLink"/>
                <w:rtl w:val="true"/>
              </w:rPr>
              <w:tab/>
            </w:r>
            <w:r>
              <w:rPr>
                <w:rStyle w:val="IndexLink"/>
              </w:rPr>
              <w:t>193</w:t>
            </w:r>
          </w:hyperlink>
        </w:p>
        <w:p>
          <w:pPr>
            <w:pStyle w:val="Contents5"/>
            <w:tabs>
              <w:tab w:val="clear" w:pos="7892"/>
              <w:tab w:val="right" w:pos="9026" w:leader="dot"/>
            </w:tabs>
            <w:rPr/>
          </w:pPr>
          <w:hyperlink w:anchor="__RefHeading___Toc1165619_1067777946">
            <w:r>
              <w:rPr>
                <w:webHidden/>
                <w:rStyle w:val="IndexLink"/>
                <w:rtl w:val="true"/>
              </w:rPr>
              <w:t>اشارة</w:t>
            </w:r>
            <w:r>
              <w:rPr>
                <w:rStyle w:val="IndexLink"/>
                <w:rtl w:val="true"/>
              </w:rPr>
              <w:tab/>
            </w:r>
            <w:r>
              <w:rPr>
                <w:rStyle w:val="IndexLink"/>
              </w:rPr>
              <w:t>193</w:t>
            </w:r>
          </w:hyperlink>
        </w:p>
        <w:p>
          <w:pPr>
            <w:pStyle w:val="Contents5"/>
            <w:tabs>
              <w:tab w:val="clear" w:pos="7892"/>
              <w:tab w:val="right" w:pos="9026" w:leader="dot"/>
            </w:tabs>
            <w:rPr/>
          </w:pPr>
          <w:hyperlink w:anchor="__RefHeading___Toc1165621_1067777946">
            <w:r>
              <w:rPr>
                <w:webHidden/>
                <w:rStyle w:val="IndexLink"/>
              </w:rPr>
              <w:t>1</w:t>
            </w:r>
            <w:r>
              <w:rPr>
                <w:rStyle w:val="IndexLink"/>
                <w:rtl w:val="true"/>
              </w:rPr>
              <w:t xml:space="preserve">. </w:t>
            </w:r>
            <w:r>
              <w:rPr>
                <w:rStyle w:val="IndexLink"/>
                <w:rtl w:val="true"/>
              </w:rPr>
              <w:t>حديث هُلْب</w:t>
            </w:r>
            <w:r>
              <w:rPr>
                <w:rStyle w:val="IndexLink"/>
                <w:rtl w:val="true"/>
              </w:rPr>
              <w:tab/>
            </w:r>
            <w:r>
              <w:rPr>
                <w:rStyle w:val="IndexLink"/>
              </w:rPr>
              <w:t>193</w:t>
            </w:r>
          </w:hyperlink>
        </w:p>
        <w:p>
          <w:pPr>
            <w:pStyle w:val="Contents6"/>
            <w:tabs>
              <w:tab w:val="clear" w:pos="7609"/>
              <w:tab w:val="right" w:pos="9026" w:leader="dot"/>
            </w:tabs>
            <w:rPr/>
          </w:pPr>
          <w:hyperlink w:anchor="__RefHeading___Toc1165623_1067777946">
            <w:r>
              <w:rPr>
                <w:webHidden/>
                <w:rStyle w:val="IndexLink"/>
                <w:rtl w:val="true"/>
              </w:rPr>
              <w:t>اشارة</w:t>
            </w:r>
            <w:r>
              <w:rPr>
                <w:rStyle w:val="IndexLink"/>
                <w:rtl w:val="true"/>
              </w:rPr>
              <w:tab/>
            </w:r>
            <w:r>
              <w:rPr>
                <w:rStyle w:val="IndexLink"/>
              </w:rPr>
              <w:t>193</w:t>
            </w:r>
          </w:hyperlink>
        </w:p>
        <w:p>
          <w:pPr>
            <w:pStyle w:val="Contents6"/>
            <w:tabs>
              <w:tab w:val="clear" w:pos="7609"/>
              <w:tab w:val="right" w:pos="9026" w:leader="dot"/>
            </w:tabs>
            <w:rPr/>
          </w:pPr>
          <w:hyperlink w:anchor="__RefHeading___Toc1165625_1067777946">
            <w:r>
              <w:rPr>
                <w:webHidden/>
                <w:rStyle w:val="IndexLink"/>
                <w:rtl w:val="true"/>
              </w:rPr>
              <w:t>قبيصة بن هُلب</w:t>
            </w:r>
            <w:r>
              <w:rPr>
                <w:rStyle w:val="IndexLink"/>
                <w:rtl w:val="true"/>
              </w:rPr>
              <w:tab/>
            </w:r>
            <w:r>
              <w:rPr>
                <w:rStyle w:val="IndexLink"/>
              </w:rPr>
              <w:t>194</w:t>
            </w:r>
          </w:hyperlink>
        </w:p>
        <w:p>
          <w:pPr>
            <w:pStyle w:val="Contents6"/>
            <w:tabs>
              <w:tab w:val="clear" w:pos="7609"/>
              <w:tab w:val="right" w:pos="9026" w:leader="dot"/>
            </w:tabs>
            <w:rPr/>
          </w:pPr>
          <w:hyperlink w:anchor="__RefHeading___Toc1165627_1067777946">
            <w:r>
              <w:rPr>
                <w:webHidden/>
                <w:rStyle w:val="IndexLink"/>
                <w:rtl w:val="true"/>
              </w:rPr>
              <w:t>سماك بن حرب</w:t>
            </w:r>
            <w:r>
              <w:rPr>
                <w:rStyle w:val="IndexLink"/>
                <w:rtl w:val="true"/>
              </w:rPr>
              <w:tab/>
            </w:r>
            <w:r>
              <w:rPr>
                <w:rStyle w:val="IndexLink"/>
              </w:rPr>
              <w:t>194</w:t>
            </w:r>
          </w:hyperlink>
        </w:p>
        <w:p>
          <w:pPr>
            <w:pStyle w:val="Contents5"/>
            <w:tabs>
              <w:tab w:val="clear" w:pos="7892"/>
              <w:tab w:val="right" w:pos="9026" w:leader="dot"/>
            </w:tabs>
            <w:rPr/>
          </w:pPr>
          <w:hyperlink w:anchor="__RefHeading___Toc1165629_1067777946">
            <w:r>
              <w:rPr>
                <w:webHidden/>
                <w:rStyle w:val="IndexLink"/>
              </w:rPr>
              <w:t>2</w:t>
            </w:r>
            <w:r>
              <w:rPr>
                <w:rStyle w:val="IndexLink"/>
                <w:rtl w:val="true"/>
              </w:rPr>
              <w:t xml:space="preserve">. </w:t>
            </w:r>
            <w:r>
              <w:rPr>
                <w:rStyle w:val="IndexLink"/>
                <w:rtl w:val="true"/>
              </w:rPr>
              <w:t>حديث محمد بن أبان الأنصاري</w:t>
            </w:r>
            <w:r>
              <w:rPr>
                <w:rStyle w:val="IndexLink"/>
                <w:rtl w:val="true"/>
              </w:rPr>
              <w:tab/>
            </w:r>
            <w:r>
              <w:rPr>
                <w:rStyle w:val="IndexLink"/>
              </w:rPr>
              <w:t>195</w:t>
            </w:r>
          </w:hyperlink>
        </w:p>
        <w:p>
          <w:pPr>
            <w:pStyle w:val="Contents5"/>
            <w:tabs>
              <w:tab w:val="clear" w:pos="7892"/>
              <w:tab w:val="right" w:pos="9026" w:leader="dot"/>
            </w:tabs>
            <w:rPr/>
          </w:pPr>
          <w:hyperlink w:anchor="__RefHeading___Toc1165631_1067777946">
            <w:r>
              <w:rPr>
                <w:webHidden/>
                <w:rStyle w:val="IndexLink"/>
              </w:rPr>
              <w:t>3</w:t>
            </w:r>
            <w:r>
              <w:rPr>
                <w:rStyle w:val="IndexLink"/>
                <w:rtl w:val="true"/>
              </w:rPr>
              <w:t xml:space="preserve">. </w:t>
            </w:r>
            <w:r>
              <w:rPr>
                <w:rStyle w:val="IndexLink"/>
                <w:rtl w:val="true"/>
              </w:rPr>
              <w:t>حديث عقبة بن صهبان</w:t>
            </w:r>
            <w:r>
              <w:rPr>
                <w:rStyle w:val="IndexLink"/>
                <w:rtl w:val="true"/>
              </w:rPr>
              <w:tab/>
            </w:r>
            <w:r>
              <w:rPr>
                <w:rStyle w:val="IndexLink"/>
              </w:rPr>
              <w:t>196</w:t>
            </w:r>
          </w:hyperlink>
        </w:p>
        <w:p>
          <w:pPr>
            <w:pStyle w:val="Contents5"/>
            <w:tabs>
              <w:tab w:val="clear" w:pos="7892"/>
              <w:tab w:val="right" w:pos="9026" w:leader="dot"/>
            </w:tabs>
            <w:rPr/>
          </w:pPr>
          <w:hyperlink w:anchor="__RefHeading___Toc1165633_1067777946">
            <w:r>
              <w:rPr>
                <w:webHidden/>
                <w:rStyle w:val="IndexLink"/>
              </w:rPr>
              <w:t>4</w:t>
            </w:r>
            <w:r>
              <w:rPr>
                <w:rStyle w:val="IndexLink"/>
                <w:rtl w:val="true"/>
              </w:rPr>
              <w:t xml:space="preserve">. </w:t>
            </w:r>
            <w:r>
              <w:rPr>
                <w:rStyle w:val="IndexLink"/>
                <w:rtl w:val="true"/>
              </w:rPr>
              <w:t>حديث غزوان بن جرير</w:t>
            </w:r>
            <w:r>
              <w:rPr>
                <w:rStyle w:val="IndexLink"/>
                <w:rtl w:val="true"/>
              </w:rPr>
              <w:tab/>
            </w:r>
            <w:r>
              <w:rPr>
                <w:rStyle w:val="IndexLink"/>
              </w:rPr>
              <w:t>197</w:t>
            </w:r>
          </w:hyperlink>
        </w:p>
        <w:p>
          <w:pPr>
            <w:pStyle w:val="Contents5"/>
            <w:tabs>
              <w:tab w:val="clear" w:pos="7892"/>
              <w:tab w:val="right" w:pos="9026" w:leader="dot"/>
            </w:tabs>
            <w:rPr/>
          </w:pPr>
          <w:hyperlink w:anchor="__RefHeading___Toc1165635_1067777946">
            <w:r>
              <w:rPr>
                <w:webHidden/>
                <w:rStyle w:val="IndexLink"/>
              </w:rPr>
              <w:t>5</w:t>
            </w:r>
            <w:r>
              <w:rPr>
                <w:rStyle w:val="IndexLink"/>
                <w:rtl w:val="true"/>
              </w:rPr>
              <w:t xml:space="preserve">. </w:t>
            </w:r>
            <w:r>
              <w:rPr>
                <w:rStyle w:val="IndexLink"/>
                <w:rtl w:val="true"/>
              </w:rPr>
              <w:t>مرسلتا غضيف وشدّاد</w:t>
            </w:r>
            <w:r>
              <w:rPr>
                <w:rStyle w:val="IndexLink"/>
                <w:rtl w:val="true"/>
              </w:rPr>
              <w:tab/>
            </w:r>
            <w:r>
              <w:rPr>
                <w:rStyle w:val="IndexLink"/>
              </w:rPr>
              <w:t>198</w:t>
            </w:r>
          </w:hyperlink>
        </w:p>
        <w:p>
          <w:pPr>
            <w:pStyle w:val="Contents5"/>
            <w:tabs>
              <w:tab w:val="clear" w:pos="7892"/>
              <w:tab w:val="right" w:pos="9026" w:leader="dot"/>
            </w:tabs>
            <w:rPr/>
          </w:pPr>
          <w:hyperlink w:anchor="__RefHeading___Toc1165637_1067777946">
            <w:r>
              <w:rPr>
                <w:webHidden/>
                <w:rStyle w:val="IndexLink"/>
              </w:rPr>
              <w:t>6</w:t>
            </w:r>
            <w:r>
              <w:rPr>
                <w:rStyle w:val="IndexLink"/>
                <w:rtl w:val="true"/>
              </w:rPr>
              <w:t xml:space="preserve">. </w:t>
            </w:r>
            <w:r>
              <w:rPr>
                <w:rStyle w:val="IndexLink"/>
                <w:rtl w:val="true"/>
              </w:rPr>
              <w:t>حديث نافع عن ابن عمر</w:t>
            </w:r>
            <w:r>
              <w:rPr>
                <w:rStyle w:val="IndexLink"/>
                <w:rtl w:val="true"/>
              </w:rPr>
              <w:tab/>
            </w:r>
            <w:r>
              <w:rPr>
                <w:rStyle w:val="IndexLink"/>
              </w:rPr>
              <w:t>199</w:t>
            </w:r>
          </w:hyperlink>
        </w:p>
        <w:p>
          <w:pPr>
            <w:pStyle w:val="Contents5"/>
            <w:tabs>
              <w:tab w:val="clear" w:pos="7892"/>
              <w:tab w:val="right" w:pos="9026" w:leader="dot"/>
            </w:tabs>
            <w:rPr/>
          </w:pPr>
          <w:hyperlink w:anchor="__RefHeading___Toc1165639_1067777946">
            <w:r>
              <w:rPr>
                <w:webHidden/>
                <w:rStyle w:val="IndexLink"/>
              </w:rPr>
              <w:t>7</w:t>
            </w:r>
            <w:r>
              <w:rPr>
                <w:rStyle w:val="IndexLink"/>
                <w:rtl w:val="true"/>
              </w:rPr>
              <w:t xml:space="preserve">. </w:t>
            </w:r>
            <w:r>
              <w:rPr>
                <w:rStyle w:val="IndexLink"/>
                <w:rtl w:val="true"/>
              </w:rPr>
              <w:t>حديث ابن جرير الضبي</w:t>
            </w:r>
            <w:r>
              <w:rPr>
                <w:rStyle w:val="IndexLink"/>
                <w:rtl w:val="true"/>
              </w:rPr>
              <w:tab/>
            </w:r>
            <w:r>
              <w:rPr>
                <w:rStyle w:val="IndexLink"/>
              </w:rPr>
              <w:t>200</w:t>
            </w:r>
          </w:hyperlink>
        </w:p>
        <w:p>
          <w:pPr>
            <w:pStyle w:val="Contents6"/>
            <w:tabs>
              <w:tab w:val="clear" w:pos="7609"/>
              <w:tab w:val="right" w:pos="9026" w:leader="dot"/>
            </w:tabs>
            <w:rPr/>
          </w:pPr>
          <w:hyperlink w:anchor="__RefHeading___Toc1165641_1067777946">
            <w:r>
              <w:rPr>
                <w:webHidden/>
                <w:rStyle w:val="IndexLink"/>
                <w:rtl w:val="true"/>
              </w:rPr>
              <w:t>اشارة</w:t>
            </w:r>
            <w:r>
              <w:rPr>
                <w:rStyle w:val="IndexLink"/>
                <w:rtl w:val="true"/>
              </w:rPr>
              <w:tab/>
            </w:r>
            <w:r>
              <w:rPr>
                <w:rStyle w:val="IndexLink"/>
              </w:rPr>
              <w:t>200</w:t>
            </w:r>
          </w:hyperlink>
        </w:p>
        <w:p>
          <w:pPr>
            <w:pStyle w:val="Contents6"/>
            <w:tabs>
              <w:tab w:val="clear" w:pos="7609"/>
              <w:tab w:val="right" w:pos="9026" w:leader="dot"/>
            </w:tabs>
            <w:rPr/>
          </w:pPr>
          <w:hyperlink w:anchor="__RefHeading___Toc1165643_1067777946">
            <w:r>
              <w:rPr>
                <w:webHidden/>
                <w:rStyle w:val="IndexLink"/>
                <w:rtl w:val="true"/>
              </w:rPr>
              <w:t>الآن حصحص الحق</w:t>
            </w:r>
            <w:r>
              <w:rPr>
                <w:rStyle w:val="IndexLink"/>
                <w:rtl w:val="true"/>
              </w:rPr>
              <w:tab/>
            </w:r>
            <w:r>
              <w:rPr>
                <w:rStyle w:val="IndexLink"/>
              </w:rPr>
              <w:t>201</w:t>
            </w:r>
          </w:hyperlink>
        </w:p>
        <w:p>
          <w:pPr>
            <w:pStyle w:val="Contents6"/>
            <w:tabs>
              <w:tab w:val="clear" w:pos="7609"/>
              <w:tab w:val="right" w:pos="9026" w:leader="dot"/>
            </w:tabs>
            <w:rPr/>
          </w:pPr>
          <w:hyperlink w:anchor="__RefHeading___Toc1165645_1067777946">
            <w:r>
              <w:rPr>
                <w:webHidden/>
                <w:rStyle w:val="IndexLink"/>
                <w:rtl w:val="true"/>
              </w:rPr>
              <w:t>أحاديث أئمة أهل البيت عليهم السلام</w:t>
            </w:r>
            <w:r>
              <w:rPr>
                <w:rStyle w:val="IndexLink"/>
                <w:rtl w:val="true"/>
              </w:rPr>
              <w:tab/>
            </w:r>
            <w:r>
              <w:rPr>
                <w:rStyle w:val="IndexLink"/>
              </w:rPr>
              <w:t>202</w:t>
            </w:r>
          </w:hyperlink>
        </w:p>
        <w:p>
          <w:pPr>
            <w:pStyle w:val="Contents2"/>
            <w:tabs>
              <w:tab w:val="clear" w:pos="8743"/>
              <w:tab w:val="right" w:pos="9026" w:leader="dot"/>
            </w:tabs>
            <w:rPr/>
          </w:pPr>
          <w:hyperlink w:anchor="__RefHeading___Toc1165647_1067777946">
            <w:r>
              <w:rPr>
                <w:webHidden/>
                <w:rStyle w:val="IndexLink"/>
              </w:rPr>
              <w:t>5</w:t>
            </w:r>
            <w:r>
              <w:rPr>
                <w:rStyle w:val="IndexLink"/>
                <w:rtl w:val="true"/>
              </w:rPr>
              <w:t xml:space="preserve">. </w:t>
            </w:r>
            <w:r>
              <w:rPr>
                <w:rStyle w:val="IndexLink"/>
                <w:rtl w:val="true"/>
              </w:rPr>
              <w:t>البسملة جزئيّتها والجهر بها</w:t>
            </w:r>
            <w:r>
              <w:rPr>
                <w:rStyle w:val="IndexLink"/>
                <w:rtl w:val="true"/>
              </w:rPr>
              <w:tab/>
            </w:r>
            <w:r>
              <w:rPr>
                <w:rStyle w:val="IndexLink"/>
              </w:rPr>
              <w:t>205</w:t>
            </w:r>
          </w:hyperlink>
        </w:p>
        <w:p>
          <w:pPr>
            <w:pStyle w:val="Contents3"/>
            <w:tabs>
              <w:tab w:val="clear" w:pos="8459"/>
              <w:tab w:val="right" w:pos="9026" w:leader="dot"/>
            </w:tabs>
            <w:rPr/>
          </w:pPr>
          <w:hyperlink w:anchor="__RefHeading___Toc1165649_1067777946">
            <w:r>
              <w:rPr>
                <w:webHidden/>
                <w:rStyle w:val="IndexLink"/>
                <w:rtl w:val="true"/>
              </w:rPr>
              <w:t>اشارة</w:t>
            </w:r>
            <w:r>
              <w:rPr>
                <w:rStyle w:val="IndexLink"/>
                <w:rtl w:val="true"/>
              </w:rPr>
              <w:tab/>
            </w:r>
            <w:r>
              <w:rPr>
                <w:rStyle w:val="IndexLink"/>
              </w:rPr>
              <w:t>205</w:t>
            </w:r>
          </w:hyperlink>
        </w:p>
        <w:p>
          <w:pPr>
            <w:pStyle w:val="Contents3"/>
            <w:tabs>
              <w:tab w:val="clear" w:pos="8459"/>
              <w:tab w:val="right" w:pos="9026" w:leader="dot"/>
            </w:tabs>
            <w:rPr/>
          </w:pPr>
          <w:hyperlink w:anchor="__RefHeading___Toc1165651_1067777946">
            <w:r>
              <w:rPr>
                <w:webHidden/>
                <w:rStyle w:val="IndexLink"/>
                <w:rtl w:val="true"/>
              </w:rPr>
              <w:t>تمهيد</w:t>
            </w:r>
            <w:r>
              <w:rPr>
                <w:rStyle w:val="IndexLink"/>
                <w:rtl w:val="true"/>
              </w:rPr>
              <w:tab/>
            </w:r>
            <w:r>
              <w:rPr>
                <w:rStyle w:val="IndexLink"/>
              </w:rPr>
              <w:t>207</w:t>
            </w:r>
          </w:hyperlink>
        </w:p>
        <w:p>
          <w:pPr>
            <w:pStyle w:val="Contents3"/>
            <w:tabs>
              <w:tab w:val="clear" w:pos="8459"/>
              <w:tab w:val="right" w:pos="9026" w:leader="dot"/>
            </w:tabs>
            <w:rPr/>
          </w:pPr>
          <w:hyperlink w:anchor="__RefHeading___Toc1165653_1067777946">
            <w:r>
              <w:rPr>
                <w:webHidden/>
                <w:rStyle w:val="IndexLink"/>
                <w:rtl w:val="true"/>
              </w:rPr>
              <w:t>البسملة في اللغة والاصطلاح</w:t>
            </w:r>
            <w:r>
              <w:rPr>
                <w:rStyle w:val="IndexLink"/>
                <w:rtl w:val="true"/>
              </w:rPr>
              <w:tab/>
            </w:r>
            <w:r>
              <w:rPr>
                <w:rStyle w:val="IndexLink"/>
              </w:rPr>
              <w:t>207</w:t>
            </w:r>
          </w:hyperlink>
        </w:p>
        <w:p>
          <w:pPr>
            <w:pStyle w:val="Contents4"/>
            <w:tabs>
              <w:tab w:val="clear" w:pos="8176"/>
              <w:tab w:val="right" w:pos="9026" w:leader="dot"/>
            </w:tabs>
            <w:rPr/>
          </w:pPr>
          <w:hyperlink w:anchor="__RefHeading___Toc1165655_1067777946">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1165657_1067777946">
            <w:r>
              <w:rPr>
                <w:webHidden/>
                <w:rStyle w:val="IndexLink"/>
              </w:rPr>
              <w:t>1</w:t>
            </w:r>
            <w:r>
              <w:rPr>
                <w:rStyle w:val="IndexLink"/>
                <w:rtl w:val="true"/>
              </w:rPr>
              <w:t xml:space="preserve">. </w:t>
            </w:r>
            <w:r>
              <w:rPr>
                <w:rStyle w:val="IndexLink"/>
                <w:rtl w:val="true"/>
              </w:rPr>
              <w:t>فضل البسملة</w:t>
            </w:r>
            <w:r>
              <w:rPr>
                <w:rStyle w:val="IndexLink"/>
                <w:rtl w:val="true"/>
              </w:rPr>
              <w:tab/>
            </w:r>
            <w:r>
              <w:rPr>
                <w:rStyle w:val="IndexLink"/>
              </w:rPr>
              <w:t>209</w:t>
            </w:r>
          </w:hyperlink>
        </w:p>
        <w:p>
          <w:pPr>
            <w:pStyle w:val="Contents4"/>
            <w:tabs>
              <w:tab w:val="clear" w:pos="8176"/>
              <w:tab w:val="right" w:pos="9026" w:leader="dot"/>
            </w:tabs>
            <w:rPr/>
          </w:pPr>
          <w:hyperlink w:anchor="__RefHeading___Toc1165659_1067777946">
            <w:r>
              <w:rPr>
                <w:webHidden/>
                <w:rStyle w:val="IndexLink"/>
              </w:rPr>
              <w:t>2</w:t>
            </w:r>
            <w:r>
              <w:rPr>
                <w:rStyle w:val="IndexLink"/>
                <w:rtl w:val="true"/>
              </w:rPr>
              <w:t xml:space="preserve">. </w:t>
            </w:r>
            <w:r>
              <w:rPr>
                <w:rStyle w:val="IndexLink"/>
                <w:rtl w:val="true"/>
              </w:rPr>
              <w:t>أقوال الفقهاء في جزئيّة البسملة</w:t>
            </w:r>
            <w:r>
              <w:rPr>
                <w:rStyle w:val="IndexLink"/>
                <w:rtl w:val="true"/>
              </w:rPr>
              <w:tab/>
            </w:r>
            <w:r>
              <w:rPr>
                <w:rStyle w:val="IndexLink"/>
              </w:rPr>
              <w:t>210</w:t>
            </w:r>
          </w:hyperlink>
        </w:p>
        <w:p>
          <w:pPr>
            <w:pStyle w:val="Contents4"/>
            <w:tabs>
              <w:tab w:val="clear" w:pos="8176"/>
              <w:tab w:val="right" w:pos="9026" w:leader="dot"/>
            </w:tabs>
            <w:rPr/>
          </w:pPr>
          <w:hyperlink w:anchor="__RefHeading___Toc1165661_1067777946">
            <w:r>
              <w:rPr>
                <w:webHidden/>
                <w:rStyle w:val="IndexLink"/>
              </w:rPr>
              <w:t>3</w:t>
            </w:r>
            <w:r>
              <w:rPr>
                <w:rStyle w:val="IndexLink"/>
                <w:rtl w:val="true"/>
              </w:rPr>
              <w:t xml:space="preserve">. </w:t>
            </w:r>
            <w:r>
              <w:rPr>
                <w:rStyle w:val="IndexLink"/>
                <w:rtl w:val="true"/>
              </w:rPr>
              <w:t>البسملة جزء من الفاتحة</w:t>
            </w:r>
            <w:r>
              <w:rPr>
                <w:rStyle w:val="IndexLink"/>
                <w:rtl w:val="true"/>
              </w:rPr>
              <w:tab/>
            </w:r>
            <w:r>
              <w:rPr>
                <w:rStyle w:val="IndexLink"/>
              </w:rPr>
              <w:t>213</w:t>
            </w:r>
          </w:hyperlink>
        </w:p>
        <w:p>
          <w:pPr>
            <w:pStyle w:val="Contents5"/>
            <w:tabs>
              <w:tab w:val="clear" w:pos="7892"/>
              <w:tab w:val="right" w:pos="9026" w:leader="dot"/>
            </w:tabs>
            <w:rPr/>
          </w:pPr>
          <w:hyperlink w:anchor="__RefHeading___Toc1165663_1067777946">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1165665_1067777946">
            <w:r>
              <w:rPr>
                <w:webHidden/>
                <w:rStyle w:val="IndexLink"/>
                <w:rtl w:val="true"/>
              </w:rPr>
              <w:t>السبع المثاني هي فاتحة الكتاب</w:t>
            </w:r>
            <w:r>
              <w:rPr>
                <w:rStyle w:val="IndexLink"/>
                <w:rtl w:val="true"/>
              </w:rPr>
              <w:tab/>
            </w:r>
            <w:r>
              <w:rPr>
                <w:rStyle w:val="IndexLink"/>
              </w:rPr>
              <w:t>217</w:t>
            </w:r>
          </w:hyperlink>
        </w:p>
        <w:p>
          <w:pPr>
            <w:pStyle w:val="Contents5"/>
            <w:tabs>
              <w:tab w:val="clear" w:pos="7892"/>
              <w:tab w:val="right" w:pos="9026" w:leader="dot"/>
            </w:tabs>
            <w:rPr/>
          </w:pPr>
          <w:hyperlink w:anchor="__RefHeading___Toc1165667_1067777946">
            <w:r>
              <w:rPr>
                <w:webHidden/>
                <w:rStyle w:val="IndexLink"/>
                <w:rtl w:val="true"/>
              </w:rPr>
              <w:t>فاتحة الكتاب سبع آيات مع البسملة</w:t>
            </w:r>
            <w:r>
              <w:rPr>
                <w:rStyle w:val="IndexLink"/>
                <w:rtl w:val="true"/>
              </w:rPr>
              <w:tab/>
            </w:r>
            <w:r>
              <w:rPr>
                <w:rStyle w:val="IndexLink"/>
              </w:rPr>
              <w:t>221</w:t>
            </w:r>
          </w:hyperlink>
        </w:p>
        <w:p>
          <w:pPr>
            <w:pStyle w:val="Contents5"/>
            <w:tabs>
              <w:tab w:val="clear" w:pos="7892"/>
              <w:tab w:val="right" w:pos="9026" w:leader="dot"/>
            </w:tabs>
            <w:rPr/>
          </w:pPr>
          <w:hyperlink w:anchor="__RefHeading___Toc1165669_1067777946">
            <w:r>
              <w:rPr>
                <w:webHidden/>
                <w:rStyle w:val="IndexLink"/>
                <w:rtl w:val="true"/>
              </w:rPr>
              <w:t>روايات أئمّة أهل البيت عليهم السلام</w:t>
            </w:r>
            <w:r>
              <w:rPr>
                <w:rStyle w:val="IndexLink"/>
                <w:rtl w:val="true"/>
              </w:rPr>
              <w:tab/>
            </w:r>
            <w:r>
              <w:rPr>
                <w:rStyle w:val="IndexLink"/>
              </w:rPr>
              <w:t>222</w:t>
            </w:r>
          </w:hyperlink>
        </w:p>
        <w:p>
          <w:pPr>
            <w:pStyle w:val="Contents4"/>
            <w:tabs>
              <w:tab w:val="clear" w:pos="8176"/>
              <w:tab w:val="right" w:pos="9026" w:leader="dot"/>
            </w:tabs>
            <w:rPr/>
          </w:pPr>
          <w:hyperlink w:anchor="__RefHeading___Toc1165671_1067777946">
            <w:r>
              <w:rPr>
                <w:webHidden/>
                <w:rStyle w:val="IndexLink"/>
              </w:rPr>
              <w:t>4</w:t>
            </w:r>
            <w:r>
              <w:rPr>
                <w:rStyle w:val="IndexLink"/>
                <w:rtl w:val="true"/>
              </w:rPr>
              <w:t xml:space="preserve">. </w:t>
            </w:r>
            <w:r>
              <w:rPr>
                <w:rStyle w:val="IndexLink"/>
                <w:rtl w:val="true"/>
              </w:rPr>
              <w:t>التسمية ولزوم الجهر بها</w:t>
            </w:r>
            <w:r>
              <w:rPr>
                <w:rStyle w:val="IndexLink"/>
                <w:rtl w:val="true"/>
              </w:rPr>
              <w:tab/>
            </w:r>
            <w:r>
              <w:rPr>
                <w:rStyle w:val="IndexLink"/>
              </w:rPr>
              <w:t>225</w:t>
            </w:r>
          </w:hyperlink>
        </w:p>
        <w:p>
          <w:pPr>
            <w:pStyle w:val="Contents5"/>
            <w:tabs>
              <w:tab w:val="clear" w:pos="7892"/>
              <w:tab w:val="right" w:pos="9026" w:leader="dot"/>
            </w:tabs>
            <w:rPr/>
          </w:pPr>
          <w:hyperlink w:anchor="__RefHeading___Toc1165673_1067777946">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1165675_1067777946">
            <w:r>
              <w:rPr>
                <w:webHidden/>
                <w:rStyle w:val="IndexLink"/>
                <w:rtl w:val="true"/>
              </w:rPr>
              <w:t>أئمّة أهل البيت عليهم السلام والجهر بالبسملة</w:t>
            </w:r>
            <w:r>
              <w:rPr>
                <w:rStyle w:val="IndexLink"/>
                <w:rtl w:val="true"/>
              </w:rPr>
              <w:tab/>
            </w:r>
            <w:r>
              <w:rPr>
                <w:rStyle w:val="IndexLink"/>
              </w:rPr>
              <w:t>230</w:t>
            </w:r>
          </w:hyperlink>
        </w:p>
        <w:p>
          <w:pPr>
            <w:pStyle w:val="Contents4"/>
            <w:tabs>
              <w:tab w:val="clear" w:pos="8176"/>
              <w:tab w:val="right" w:pos="9026" w:leader="dot"/>
            </w:tabs>
            <w:rPr/>
          </w:pPr>
          <w:hyperlink w:anchor="__RefHeading___Toc1165677_1067777946">
            <w:r>
              <w:rPr>
                <w:webHidden/>
                <w:rStyle w:val="IndexLink"/>
              </w:rPr>
              <w:t>5</w:t>
            </w:r>
            <w:r>
              <w:rPr>
                <w:rStyle w:val="IndexLink"/>
                <w:rtl w:val="true"/>
              </w:rPr>
              <w:t xml:space="preserve">. </w:t>
            </w:r>
            <w:r>
              <w:rPr>
                <w:rStyle w:val="IndexLink"/>
                <w:rtl w:val="true"/>
              </w:rPr>
              <w:t>حجّة القائلين بعدم جزئية البسملة</w:t>
            </w:r>
            <w:r>
              <w:rPr>
                <w:rStyle w:val="IndexLink"/>
                <w:rtl w:val="true"/>
              </w:rPr>
              <w:tab/>
            </w:r>
            <w:r>
              <w:rPr>
                <w:rStyle w:val="IndexLink"/>
              </w:rPr>
              <w:t>232</w:t>
            </w:r>
          </w:hyperlink>
        </w:p>
        <w:p>
          <w:pPr>
            <w:pStyle w:val="Contents5"/>
            <w:tabs>
              <w:tab w:val="clear" w:pos="7892"/>
              <w:tab w:val="right" w:pos="9026" w:leader="dot"/>
            </w:tabs>
            <w:rPr/>
          </w:pPr>
          <w:hyperlink w:anchor="__RefHeading___Toc1165679_1067777946">
            <w:r>
              <w:rPr>
                <w:webHidden/>
                <w:rStyle w:val="IndexLink"/>
                <w:rtl w:val="true"/>
              </w:rPr>
              <w:t>وحكم الجهر بها</w:t>
            </w:r>
            <w:r>
              <w:rPr>
                <w:rStyle w:val="IndexLink"/>
                <w:rtl w:val="true"/>
              </w:rPr>
              <w:tab/>
            </w:r>
            <w:r>
              <w:rPr>
                <w:rStyle w:val="IndexLink"/>
              </w:rPr>
              <w:t>232</w:t>
            </w:r>
          </w:hyperlink>
        </w:p>
        <w:p>
          <w:pPr>
            <w:pStyle w:val="Contents5"/>
            <w:tabs>
              <w:tab w:val="clear" w:pos="7892"/>
              <w:tab w:val="right" w:pos="9026" w:leader="dot"/>
            </w:tabs>
            <w:rPr/>
          </w:pPr>
          <w:hyperlink w:anchor="__RefHeading___Toc1165681_1067777946">
            <w:r>
              <w:rPr>
                <w:webHidden/>
                <w:rStyle w:val="IndexLink"/>
                <w:rtl w:val="true"/>
              </w:rPr>
              <w:t>ما يزيّفه التأريخ الصحيح</w:t>
            </w:r>
            <w:r>
              <w:rPr>
                <w:rStyle w:val="IndexLink"/>
                <w:rtl w:val="true"/>
              </w:rPr>
              <w:tab/>
            </w:r>
            <w:r>
              <w:rPr>
                <w:rStyle w:val="IndexLink"/>
              </w:rPr>
              <w:t>237</w:t>
            </w:r>
          </w:hyperlink>
        </w:p>
        <w:p>
          <w:pPr>
            <w:pStyle w:val="Contents4"/>
            <w:tabs>
              <w:tab w:val="clear" w:pos="8176"/>
              <w:tab w:val="right" w:pos="9026" w:leader="dot"/>
            </w:tabs>
            <w:rPr/>
          </w:pPr>
          <w:hyperlink w:anchor="__RefHeading___Toc1165683_1067777946">
            <w:r>
              <w:rPr>
                <w:webHidden/>
                <w:rStyle w:val="IndexLink"/>
              </w:rPr>
              <w:t>6</w:t>
            </w:r>
            <w:r>
              <w:rPr>
                <w:rStyle w:val="IndexLink"/>
                <w:rtl w:val="true"/>
              </w:rPr>
              <w:t xml:space="preserve">. </w:t>
            </w:r>
            <w:r>
              <w:rPr>
                <w:rStyle w:val="IndexLink"/>
                <w:rtl w:val="true"/>
              </w:rPr>
              <w:t>البسملة جزء من مفتتح كلّ سورة</w:t>
            </w:r>
            <w:r>
              <w:rPr>
                <w:rStyle w:val="IndexLink"/>
                <w:rtl w:val="true"/>
              </w:rPr>
              <w:tab/>
            </w:r>
            <w:r>
              <w:rPr>
                <w:rStyle w:val="IndexLink"/>
              </w:rPr>
              <w:t>240</w:t>
            </w:r>
          </w:hyperlink>
        </w:p>
        <w:p>
          <w:pPr>
            <w:pStyle w:val="Contents2"/>
            <w:tabs>
              <w:tab w:val="clear" w:pos="8743"/>
              <w:tab w:val="right" w:pos="9026" w:leader="dot"/>
            </w:tabs>
            <w:rPr/>
          </w:pPr>
          <w:hyperlink w:anchor="__RefHeading___Toc1165685_1067777946">
            <w:r>
              <w:rPr>
                <w:webHidden/>
                <w:rStyle w:val="IndexLink"/>
              </w:rPr>
              <w:t>6</w:t>
            </w:r>
            <w:r>
              <w:rPr>
                <w:rStyle w:val="IndexLink"/>
                <w:rtl w:val="true"/>
              </w:rPr>
              <w:t xml:space="preserve">. </w:t>
            </w:r>
            <w:r>
              <w:rPr>
                <w:rStyle w:val="IndexLink"/>
                <w:rtl w:val="true"/>
              </w:rPr>
              <w:t>السجود على الأرض</w:t>
            </w:r>
            <w:r>
              <w:rPr>
                <w:rStyle w:val="IndexLink"/>
                <w:rtl w:val="true"/>
              </w:rPr>
              <w:tab/>
            </w:r>
            <w:r>
              <w:rPr>
                <w:rStyle w:val="IndexLink"/>
              </w:rPr>
              <w:t>243</w:t>
            </w:r>
          </w:hyperlink>
        </w:p>
        <w:p>
          <w:pPr>
            <w:pStyle w:val="Contents3"/>
            <w:tabs>
              <w:tab w:val="clear" w:pos="8459"/>
              <w:tab w:val="right" w:pos="9026" w:leader="dot"/>
            </w:tabs>
            <w:rPr/>
          </w:pPr>
          <w:hyperlink w:anchor="__RefHeading___Toc1165687_1067777946">
            <w:r>
              <w:rPr>
                <w:webHidden/>
                <w:rStyle w:val="IndexLink"/>
                <w:rtl w:val="true"/>
              </w:rPr>
              <w:t>اشارة</w:t>
            </w:r>
            <w:r>
              <w:rPr>
                <w:rStyle w:val="IndexLink"/>
                <w:rtl w:val="true"/>
              </w:rPr>
              <w:tab/>
            </w:r>
            <w:r>
              <w:rPr>
                <w:rStyle w:val="IndexLink"/>
              </w:rPr>
              <w:t>243</w:t>
            </w:r>
          </w:hyperlink>
        </w:p>
        <w:p>
          <w:pPr>
            <w:pStyle w:val="Contents3"/>
            <w:tabs>
              <w:tab w:val="clear" w:pos="8459"/>
              <w:tab w:val="right" w:pos="9026" w:leader="dot"/>
            </w:tabs>
            <w:rPr/>
          </w:pPr>
          <w:hyperlink w:anchor="__RefHeading___Toc1165689_1067777946">
            <w:r>
              <w:rPr>
                <w:webHidden/>
                <w:rStyle w:val="IndexLink"/>
              </w:rPr>
              <w:t>1</w:t>
            </w:r>
            <w:r>
              <w:rPr>
                <w:rStyle w:val="IndexLink"/>
                <w:rtl w:val="true"/>
              </w:rPr>
              <w:t xml:space="preserve">. </w:t>
            </w:r>
            <w:r>
              <w:rPr>
                <w:rStyle w:val="IndexLink"/>
                <w:rtl w:val="true"/>
              </w:rPr>
              <w:t>السجود على الأرض</w:t>
            </w:r>
            <w:r>
              <w:rPr>
                <w:rStyle w:val="IndexLink"/>
                <w:rtl w:val="true"/>
              </w:rPr>
              <w:tab/>
            </w:r>
            <w:r>
              <w:rPr>
                <w:rStyle w:val="IndexLink"/>
              </w:rPr>
              <w:t>244</w:t>
            </w:r>
          </w:hyperlink>
        </w:p>
        <w:p>
          <w:pPr>
            <w:pStyle w:val="Contents4"/>
            <w:tabs>
              <w:tab w:val="clear" w:pos="8176"/>
              <w:tab w:val="right" w:pos="9026" w:leader="dot"/>
            </w:tabs>
            <w:rPr/>
          </w:pPr>
          <w:hyperlink w:anchor="__RefHeading___Toc1165691_1067777946">
            <w:r>
              <w:rPr>
                <w:webHidden/>
                <w:rStyle w:val="IndexLink"/>
                <w:rtl w:val="true"/>
              </w:rPr>
              <w:t>مظهر ناصع من مظاهر العبودية</w:t>
            </w:r>
            <w:r>
              <w:rPr>
                <w:rStyle w:val="IndexLink"/>
                <w:rtl w:val="true"/>
              </w:rPr>
              <w:tab/>
            </w:r>
            <w:r>
              <w:rPr>
                <w:rStyle w:val="IndexLink"/>
              </w:rPr>
              <w:t>244</w:t>
            </w:r>
          </w:hyperlink>
        </w:p>
        <w:p>
          <w:pPr>
            <w:pStyle w:val="Contents3"/>
            <w:tabs>
              <w:tab w:val="clear" w:pos="8459"/>
              <w:tab w:val="right" w:pos="9026" w:leader="dot"/>
            </w:tabs>
            <w:rPr/>
          </w:pPr>
          <w:hyperlink w:anchor="__RefHeading___Toc1165693_1067777946">
            <w:r>
              <w:rPr>
                <w:webHidden/>
                <w:rStyle w:val="IndexLink"/>
              </w:rPr>
              <w:t>2</w:t>
            </w:r>
            <w:r>
              <w:rPr>
                <w:rStyle w:val="IndexLink"/>
                <w:rtl w:val="true"/>
              </w:rPr>
              <w:t xml:space="preserve">. </w:t>
            </w:r>
            <w:r>
              <w:rPr>
                <w:rStyle w:val="IndexLink"/>
                <w:rtl w:val="true"/>
              </w:rPr>
              <w:t>اختلاف الفقهاء في شرائط المسجود عليه</w:t>
            </w:r>
            <w:r>
              <w:rPr>
                <w:rStyle w:val="IndexLink"/>
                <w:rtl w:val="true"/>
              </w:rPr>
              <w:tab/>
            </w:r>
            <w:r>
              <w:rPr>
                <w:rStyle w:val="IndexLink"/>
              </w:rPr>
              <w:t>246</w:t>
            </w:r>
          </w:hyperlink>
        </w:p>
        <w:p>
          <w:pPr>
            <w:pStyle w:val="Contents3"/>
            <w:tabs>
              <w:tab w:val="clear" w:pos="8459"/>
              <w:tab w:val="right" w:pos="9026" w:leader="dot"/>
            </w:tabs>
            <w:rPr/>
          </w:pPr>
          <w:hyperlink w:anchor="__RefHeading___Toc1165695_1067777946">
            <w:r>
              <w:rPr>
                <w:webHidden/>
                <w:rStyle w:val="IndexLink"/>
              </w:rPr>
              <w:t>3</w:t>
            </w:r>
            <w:r>
              <w:rPr>
                <w:rStyle w:val="IndexLink"/>
                <w:rtl w:val="true"/>
              </w:rPr>
              <w:t xml:space="preserve">. </w:t>
            </w:r>
            <w:r>
              <w:rPr>
                <w:rStyle w:val="IndexLink"/>
                <w:rtl w:val="true"/>
              </w:rPr>
              <w:t>الفرق بين المسجود له والمسجود عليه</w:t>
            </w:r>
            <w:r>
              <w:rPr>
                <w:rStyle w:val="IndexLink"/>
                <w:rtl w:val="true"/>
              </w:rPr>
              <w:tab/>
            </w:r>
            <w:r>
              <w:rPr>
                <w:rStyle w:val="IndexLink"/>
              </w:rPr>
              <w:t>251</w:t>
            </w:r>
          </w:hyperlink>
        </w:p>
        <w:p>
          <w:pPr>
            <w:pStyle w:val="Contents3"/>
            <w:tabs>
              <w:tab w:val="clear" w:pos="8459"/>
              <w:tab w:val="right" w:pos="9026" w:leader="dot"/>
            </w:tabs>
            <w:rPr/>
          </w:pPr>
          <w:hyperlink w:anchor="__RefHeading___Toc1165697_1067777946">
            <w:r>
              <w:rPr>
                <w:webHidden/>
                <w:rStyle w:val="IndexLink"/>
              </w:rPr>
              <w:t>4</w:t>
            </w:r>
            <w:r>
              <w:rPr>
                <w:rStyle w:val="IndexLink"/>
                <w:rtl w:val="true"/>
              </w:rPr>
              <w:t xml:space="preserve">. </w:t>
            </w:r>
            <w:r>
              <w:rPr>
                <w:rStyle w:val="IndexLink"/>
                <w:rtl w:val="true"/>
              </w:rPr>
              <w:t>السجدة في اللغة</w:t>
            </w:r>
            <w:r>
              <w:rPr>
                <w:rStyle w:val="IndexLink"/>
                <w:rtl w:val="true"/>
              </w:rPr>
              <w:tab/>
            </w:r>
            <w:r>
              <w:rPr>
                <w:rStyle w:val="IndexLink"/>
              </w:rPr>
              <w:t>253</w:t>
            </w:r>
          </w:hyperlink>
        </w:p>
        <w:p>
          <w:pPr>
            <w:pStyle w:val="Contents4"/>
            <w:tabs>
              <w:tab w:val="clear" w:pos="8176"/>
              <w:tab w:val="right" w:pos="9026" w:leader="dot"/>
            </w:tabs>
            <w:rPr/>
          </w:pPr>
          <w:hyperlink w:anchor="__RefHeading___Toc1165699_1067777946">
            <w:r>
              <w:rPr>
                <w:webHidden/>
                <w:rStyle w:val="IndexLink"/>
                <w:rtl w:val="true"/>
              </w:rPr>
              <w:t>اشارة</w:t>
            </w:r>
            <w:r>
              <w:rPr>
                <w:rStyle w:val="IndexLink"/>
                <w:rtl w:val="true"/>
              </w:rPr>
              <w:tab/>
            </w:r>
            <w:r>
              <w:rPr>
                <w:rStyle w:val="IndexLink"/>
              </w:rPr>
              <w:t>253</w:t>
            </w:r>
          </w:hyperlink>
        </w:p>
        <w:p>
          <w:pPr>
            <w:pStyle w:val="Contents4"/>
            <w:tabs>
              <w:tab w:val="clear" w:pos="8176"/>
              <w:tab w:val="right" w:pos="9026" w:leader="dot"/>
            </w:tabs>
            <w:rPr/>
          </w:pPr>
          <w:hyperlink w:anchor="__RefHeading___Toc1165701_1067777946">
            <w:r>
              <w:rPr>
                <w:webHidden/>
                <w:rStyle w:val="IndexLink"/>
                <w:rtl w:val="true"/>
              </w:rPr>
              <w:t>سرّ كشف الجبهة في السجدة</w:t>
            </w:r>
            <w:r>
              <w:rPr>
                <w:rStyle w:val="IndexLink"/>
                <w:rtl w:val="true"/>
              </w:rPr>
              <w:tab/>
            </w:r>
            <w:r>
              <w:rPr>
                <w:rStyle w:val="IndexLink"/>
              </w:rPr>
              <w:t>254</w:t>
            </w:r>
          </w:hyperlink>
        </w:p>
        <w:p>
          <w:pPr>
            <w:pStyle w:val="Contents3"/>
            <w:tabs>
              <w:tab w:val="clear" w:pos="8459"/>
              <w:tab w:val="right" w:pos="9026" w:leader="dot"/>
            </w:tabs>
            <w:rPr/>
          </w:pPr>
          <w:hyperlink w:anchor="__RefHeading___Toc1165703_1067777946">
            <w:r>
              <w:rPr>
                <w:webHidden/>
                <w:rStyle w:val="IndexLink"/>
              </w:rPr>
              <w:t>5</w:t>
            </w:r>
            <w:r>
              <w:rPr>
                <w:rStyle w:val="IndexLink"/>
                <w:rtl w:val="true"/>
              </w:rPr>
              <w:t xml:space="preserve">. </w:t>
            </w:r>
            <w:r>
              <w:rPr>
                <w:rStyle w:val="IndexLink"/>
                <w:rtl w:val="true"/>
              </w:rPr>
              <w:t>السجود</w:t>
            </w:r>
            <w:r>
              <w:rPr>
                <w:rStyle w:val="IndexLink"/>
                <w:rtl w:val="true"/>
              </w:rPr>
              <w:tab/>
            </w:r>
            <w:r>
              <w:rPr>
                <w:rStyle w:val="IndexLink"/>
              </w:rPr>
              <w:t>258</w:t>
            </w:r>
          </w:hyperlink>
        </w:p>
        <w:p>
          <w:pPr>
            <w:pStyle w:val="Contents4"/>
            <w:tabs>
              <w:tab w:val="clear" w:pos="8176"/>
              <w:tab w:val="right" w:pos="9026" w:leader="dot"/>
            </w:tabs>
            <w:rPr/>
          </w:pPr>
          <w:hyperlink w:anchor="__RefHeading___Toc1165705_1067777946">
            <w:r>
              <w:rPr>
                <w:webHidden/>
                <w:rStyle w:val="IndexLink"/>
                <w:rtl w:val="true"/>
              </w:rPr>
              <w:t>في عصر الرسول صلى الله عليه وآله وسلم وبعده</w:t>
            </w:r>
            <w:r>
              <w:rPr>
                <w:rStyle w:val="IndexLink"/>
                <w:rtl w:val="true"/>
              </w:rPr>
              <w:tab/>
            </w:r>
            <w:r>
              <w:rPr>
                <w:rStyle w:val="IndexLink"/>
              </w:rPr>
              <w:t>258</w:t>
            </w:r>
          </w:hyperlink>
        </w:p>
        <w:p>
          <w:pPr>
            <w:pStyle w:val="Contents4"/>
            <w:tabs>
              <w:tab w:val="clear" w:pos="8176"/>
              <w:tab w:val="right" w:pos="9026" w:leader="dot"/>
            </w:tabs>
            <w:rPr/>
          </w:pPr>
          <w:hyperlink w:anchor="__RefHeading___Toc1165707_1067777946">
            <w:r>
              <w:rPr>
                <w:webHidden/>
                <w:rStyle w:val="IndexLink"/>
                <w:rtl w:val="true"/>
              </w:rPr>
              <w:t>المرحلة الأولى</w:t>
            </w:r>
            <w:r>
              <w:rPr>
                <w:rStyle w:val="IndexLink"/>
                <w:rtl w:val="true"/>
              </w:rPr>
              <w:t xml:space="preserve">: </w:t>
            </w:r>
            <w:r>
              <w:rPr>
                <w:rStyle w:val="IndexLink"/>
                <w:rtl w:val="true"/>
              </w:rPr>
              <w:t>السجود على الأرض</w:t>
            </w:r>
            <w:r>
              <w:rPr>
                <w:rStyle w:val="IndexLink"/>
                <w:rtl w:val="true"/>
              </w:rPr>
              <w:tab/>
            </w:r>
            <w:r>
              <w:rPr>
                <w:rStyle w:val="IndexLink"/>
              </w:rPr>
              <w:t>259</w:t>
            </w:r>
          </w:hyperlink>
        </w:p>
        <w:p>
          <w:pPr>
            <w:pStyle w:val="Contents5"/>
            <w:tabs>
              <w:tab w:val="clear" w:pos="7892"/>
              <w:tab w:val="right" w:pos="9026" w:leader="dot"/>
            </w:tabs>
            <w:rPr/>
          </w:pPr>
          <w:hyperlink w:anchor="__RefHeading___Toc1165709_1067777946">
            <w:r>
              <w:rPr>
                <w:webHidden/>
                <w:rStyle w:val="IndexLink"/>
                <w:rtl w:val="true"/>
              </w:rPr>
              <w:t>اشارة</w:t>
            </w:r>
            <w:r>
              <w:rPr>
                <w:rStyle w:val="IndexLink"/>
                <w:rtl w:val="true"/>
              </w:rPr>
              <w:tab/>
            </w:r>
            <w:r>
              <w:rPr>
                <w:rStyle w:val="IndexLink"/>
              </w:rPr>
              <w:t>259</w:t>
            </w:r>
          </w:hyperlink>
        </w:p>
        <w:p>
          <w:pPr>
            <w:pStyle w:val="Contents5"/>
            <w:tabs>
              <w:tab w:val="clear" w:pos="7892"/>
              <w:tab w:val="right" w:pos="9026" w:leader="dot"/>
            </w:tabs>
            <w:rPr/>
          </w:pPr>
          <w:hyperlink w:anchor="__RefHeading___Toc1165711_1067777946">
            <w:r>
              <w:rPr>
                <w:webHidden/>
                <w:rStyle w:val="IndexLink"/>
                <w:rtl w:val="true"/>
              </w:rPr>
              <w:t>تبريد الحصى للسجود عليها</w:t>
            </w:r>
            <w:r>
              <w:rPr>
                <w:rStyle w:val="IndexLink"/>
                <w:rtl w:val="true"/>
              </w:rPr>
              <w:tab/>
            </w:r>
            <w:r>
              <w:rPr>
                <w:rStyle w:val="IndexLink"/>
              </w:rPr>
              <w:t>260</w:t>
            </w:r>
          </w:hyperlink>
        </w:p>
        <w:p>
          <w:pPr>
            <w:pStyle w:val="Contents5"/>
            <w:tabs>
              <w:tab w:val="clear" w:pos="7892"/>
              <w:tab w:val="right" w:pos="9026" w:leader="dot"/>
            </w:tabs>
            <w:rPr/>
          </w:pPr>
          <w:hyperlink w:anchor="__RefHeading___Toc1165713_1067777946">
            <w:r>
              <w:rPr>
                <w:webHidden/>
                <w:rStyle w:val="IndexLink"/>
                <w:rtl w:val="true"/>
              </w:rPr>
              <w:t>الأمر بالتتريب</w:t>
            </w:r>
            <w:r>
              <w:rPr>
                <w:rStyle w:val="IndexLink"/>
                <w:rtl w:val="true"/>
              </w:rPr>
              <w:tab/>
            </w:r>
            <w:r>
              <w:rPr>
                <w:rStyle w:val="IndexLink"/>
              </w:rPr>
              <w:t>261</w:t>
            </w:r>
          </w:hyperlink>
        </w:p>
        <w:p>
          <w:pPr>
            <w:pStyle w:val="Contents5"/>
            <w:tabs>
              <w:tab w:val="clear" w:pos="7892"/>
              <w:tab w:val="right" w:pos="9026" w:leader="dot"/>
            </w:tabs>
            <w:rPr/>
          </w:pPr>
          <w:hyperlink w:anchor="__RefHeading___Toc1165715_1067777946">
            <w:r>
              <w:rPr>
                <w:webHidden/>
                <w:rStyle w:val="IndexLink"/>
                <w:rtl w:val="true"/>
              </w:rPr>
              <w:t>الأمر بحسر العمامة عن الجبهة</w:t>
            </w:r>
            <w:r>
              <w:rPr>
                <w:rStyle w:val="IndexLink"/>
                <w:rtl w:val="true"/>
              </w:rPr>
              <w:tab/>
            </w:r>
            <w:r>
              <w:rPr>
                <w:rStyle w:val="IndexLink"/>
              </w:rPr>
              <w:t>262</w:t>
            </w:r>
          </w:hyperlink>
        </w:p>
        <w:p>
          <w:pPr>
            <w:pStyle w:val="Contents5"/>
            <w:tabs>
              <w:tab w:val="clear" w:pos="7892"/>
              <w:tab w:val="right" w:pos="9026" w:leader="dot"/>
            </w:tabs>
            <w:rPr/>
          </w:pPr>
          <w:hyperlink w:anchor="__RefHeading___Toc1165717_1067777946">
            <w:r>
              <w:rPr>
                <w:webHidden/>
                <w:rStyle w:val="IndexLink"/>
                <w:rtl w:val="true"/>
              </w:rPr>
              <w:t>سيرة النبي في السجود</w:t>
            </w:r>
            <w:r>
              <w:rPr>
                <w:rStyle w:val="IndexLink"/>
                <w:rtl w:val="true"/>
              </w:rPr>
              <w:tab/>
            </w:r>
            <w:r>
              <w:rPr>
                <w:rStyle w:val="IndexLink"/>
              </w:rPr>
              <w:t>263</w:t>
            </w:r>
          </w:hyperlink>
        </w:p>
        <w:p>
          <w:pPr>
            <w:pStyle w:val="Contents5"/>
            <w:tabs>
              <w:tab w:val="clear" w:pos="7892"/>
              <w:tab w:val="right" w:pos="9026" w:leader="dot"/>
            </w:tabs>
            <w:rPr/>
          </w:pPr>
          <w:hyperlink w:anchor="__RefHeading___Toc1165719_1067777946">
            <w:r>
              <w:rPr>
                <w:webHidden/>
                <w:rStyle w:val="IndexLink"/>
                <w:rtl w:val="true"/>
              </w:rPr>
              <w:t>سيرة الصحابة والتابعين في السجود</w:t>
            </w:r>
            <w:r>
              <w:rPr>
                <w:rStyle w:val="IndexLink"/>
                <w:rtl w:val="true"/>
              </w:rPr>
              <w:tab/>
            </w:r>
            <w:r>
              <w:rPr>
                <w:rStyle w:val="IndexLink"/>
              </w:rPr>
              <w:t>265</w:t>
            </w:r>
          </w:hyperlink>
        </w:p>
        <w:p>
          <w:pPr>
            <w:pStyle w:val="Contents4"/>
            <w:tabs>
              <w:tab w:val="clear" w:pos="8176"/>
              <w:tab w:val="right" w:pos="9026" w:leader="dot"/>
            </w:tabs>
            <w:rPr/>
          </w:pPr>
          <w:hyperlink w:anchor="__RefHeading___Toc1165721_1067777946">
            <w:r>
              <w:rPr>
                <w:webHidden/>
                <w:rStyle w:val="IndexLink"/>
                <w:rtl w:val="true"/>
              </w:rPr>
              <w:t xml:space="preserve">المرحلة الثانية </w:t>
            </w:r>
            <w:r>
              <w:rPr>
                <w:rStyle w:val="IndexLink"/>
                <w:rtl w:val="true"/>
              </w:rPr>
              <w:t xml:space="preserve">: </w:t>
            </w:r>
            <w:r>
              <w:rPr>
                <w:rStyle w:val="IndexLink"/>
                <w:rtl w:val="true"/>
              </w:rPr>
              <w:t>الترخيص في السجود على الخُمُر والحُصر</w:t>
            </w:r>
            <w:r>
              <w:rPr>
                <w:rStyle w:val="IndexLink"/>
                <w:rtl w:val="true"/>
              </w:rPr>
              <w:tab/>
            </w:r>
            <w:r>
              <w:rPr>
                <w:rStyle w:val="IndexLink"/>
              </w:rPr>
              <w:t>268</w:t>
            </w:r>
          </w:hyperlink>
        </w:p>
        <w:p>
          <w:pPr>
            <w:pStyle w:val="Contents4"/>
            <w:tabs>
              <w:tab w:val="clear" w:pos="8176"/>
              <w:tab w:val="right" w:pos="9026" w:leader="dot"/>
            </w:tabs>
            <w:rPr/>
          </w:pPr>
          <w:hyperlink w:anchor="__RefHeading___Toc1165723_1067777946">
            <w:r>
              <w:rPr>
                <w:webHidden/>
                <w:rStyle w:val="IndexLink"/>
                <w:rtl w:val="true"/>
              </w:rPr>
              <w:t>المرحلة الثالثة</w:t>
            </w:r>
            <w:r>
              <w:rPr>
                <w:rStyle w:val="IndexLink"/>
                <w:rtl w:val="true"/>
              </w:rPr>
              <w:t xml:space="preserve">: </w:t>
            </w:r>
            <w:r>
              <w:rPr>
                <w:rStyle w:val="IndexLink"/>
                <w:rtl w:val="true"/>
              </w:rPr>
              <w:t>السجود على الثياب لعذر</w:t>
            </w:r>
            <w:r>
              <w:rPr>
                <w:rStyle w:val="IndexLink"/>
                <w:rtl w:val="true"/>
              </w:rPr>
              <w:tab/>
            </w:r>
            <w:r>
              <w:rPr>
                <w:rStyle w:val="IndexLink"/>
              </w:rPr>
              <w:t>270</w:t>
            </w:r>
          </w:hyperlink>
        </w:p>
        <w:p>
          <w:pPr>
            <w:pStyle w:val="Contents5"/>
            <w:tabs>
              <w:tab w:val="clear" w:pos="7892"/>
              <w:tab w:val="right" w:pos="9026" w:leader="dot"/>
            </w:tabs>
            <w:rPr/>
          </w:pPr>
          <w:hyperlink w:anchor="__RefHeading___Toc1165725_1067777946">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1165727_1067777946">
            <w:r>
              <w:rPr>
                <w:webHidden/>
                <w:rStyle w:val="IndexLink"/>
                <w:rtl w:val="true"/>
              </w:rPr>
              <w:t>حصيلة البحث</w:t>
            </w:r>
            <w:r>
              <w:rPr>
                <w:rStyle w:val="IndexLink"/>
                <w:rtl w:val="true"/>
              </w:rPr>
              <w:tab/>
            </w:r>
            <w:r>
              <w:rPr>
                <w:rStyle w:val="IndexLink"/>
              </w:rPr>
              <w:t>272</w:t>
            </w:r>
          </w:hyperlink>
        </w:p>
        <w:p>
          <w:pPr>
            <w:pStyle w:val="Contents3"/>
            <w:tabs>
              <w:tab w:val="clear" w:pos="8459"/>
              <w:tab w:val="right" w:pos="9026" w:leader="dot"/>
            </w:tabs>
            <w:rPr/>
          </w:pPr>
          <w:hyperlink w:anchor="__RefHeading___Toc1165729_1067777946">
            <w:r>
              <w:rPr>
                <w:webHidden/>
                <w:rStyle w:val="IndexLink"/>
              </w:rPr>
              <w:t>6</w:t>
            </w:r>
            <w:r>
              <w:rPr>
                <w:rStyle w:val="IndexLink"/>
                <w:rtl w:val="true"/>
              </w:rPr>
              <w:t xml:space="preserve">. </w:t>
            </w:r>
            <w:r>
              <w:rPr>
                <w:rStyle w:val="IndexLink"/>
                <w:rtl w:val="true"/>
              </w:rPr>
              <w:t>ما هو السرّ في اتّخاذ تربة طاهرة؟</w:t>
            </w:r>
            <w:r>
              <w:rPr>
                <w:rStyle w:val="IndexLink"/>
                <w:rtl w:val="true"/>
              </w:rPr>
              <w:tab/>
            </w:r>
            <w:r>
              <w:rPr>
                <w:rStyle w:val="IndexLink"/>
              </w:rPr>
              <w:t>274</w:t>
            </w:r>
          </w:hyperlink>
        </w:p>
        <w:p>
          <w:pPr>
            <w:pStyle w:val="Contents4"/>
            <w:tabs>
              <w:tab w:val="clear" w:pos="8176"/>
              <w:tab w:val="right" w:pos="9026" w:leader="dot"/>
            </w:tabs>
            <w:rPr/>
          </w:pPr>
          <w:hyperlink w:anchor="__RefHeading___Toc1165731_1067777946">
            <w:r>
              <w:rPr>
                <w:webHidden/>
                <w:rStyle w:val="IndexLink"/>
                <w:rtl w:val="true"/>
              </w:rPr>
              <w:t>اشارة</w:t>
            </w:r>
            <w:r>
              <w:rPr>
                <w:rStyle w:val="IndexLink"/>
                <w:rtl w:val="true"/>
              </w:rPr>
              <w:tab/>
            </w:r>
            <w:r>
              <w:rPr>
                <w:rStyle w:val="IndexLink"/>
              </w:rPr>
              <w:t>274</w:t>
            </w:r>
          </w:hyperlink>
        </w:p>
        <w:p>
          <w:pPr>
            <w:pStyle w:val="Contents4"/>
            <w:tabs>
              <w:tab w:val="clear" w:pos="8176"/>
              <w:tab w:val="right" w:pos="9026" w:leader="dot"/>
            </w:tabs>
            <w:rPr/>
          </w:pPr>
          <w:hyperlink w:anchor="__RefHeading___Toc1165733_1067777946">
            <w:r>
              <w:rPr>
                <w:webHidden/>
                <w:rStyle w:val="IndexLink"/>
                <w:rtl w:val="true"/>
              </w:rPr>
              <w:t>خاتمة المطاف</w:t>
            </w:r>
            <w:r>
              <w:rPr>
                <w:rStyle w:val="IndexLink"/>
                <w:rtl w:val="true"/>
              </w:rPr>
              <w:tab/>
            </w:r>
            <w:r>
              <w:rPr>
                <w:rStyle w:val="IndexLink"/>
              </w:rPr>
              <w:t>278</w:t>
            </w:r>
          </w:hyperlink>
        </w:p>
        <w:p>
          <w:pPr>
            <w:pStyle w:val="Contents5"/>
            <w:tabs>
              <w:tab w:val="clear" w:pos="7892"/>
              <w:tab w:val="right" w:pos="9026" w:leader="dot"/>
            </w:tabs>
            <w:rPr/>
          </w:pPr>
          <w:hyperlink w:anchor="__RefHeading___Toc1165735_1067777946">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1165737_1067777946">
            <w:r>
              <w:rPr>
                <w:webHidden/>
                <w:rStyle w:val="IndexLink"/>
              </w:rPr>
              <w:t>1</w:t>
            </w:r>
            <w:r>
              <w:rPr>
                <w:rStyle w:val="IndexLink"/>
                <w:rtl w:val="true"/>
              </w:rPr>
              <w:t xml:space="preserve">. </w:t>
            </w:r>
            <w:r>
              <w:rPr>
                <w:rStyle w:val="IndexLink"/>
                <w:rtl w:val="true"/>
              </w:rPr>
              <w:t>فرض العقيدة والفقه على الزائر</w:t>
            </w:r>
            <w:r>
              <w:rPr>
                <w:rStyle w:val="IndexLink"/>
                <w:rtl w:val="true"/>
              </w:rPr>
              <w:tab/>
            </w:r>
            <w:r>
              <w:rPr>
                <w:rStyle w:val="IndexLink"/>
              </w:rPr>
              <w:t>278</w:t>
            </w:r>
          </w:hyperlink>
        </w:p>
        <w:p>
          <w:pPr>
            <w:pStyle w:val="Contents5"/>
            <w:tabs>
              <w:tab w:val="clear" w:pos="7892"/>
              <w:tab w:val="right" w:pos="9026" w:leader="dot"/>
            </w:tabs>
            <w:rPr/>
          </w:pPr>
          <w:hyperlink w:anchor="__RefHeading___Toc1165739_1067777946">
            <w:r>
              <w:rPr>
                <w:webHidden/>
                <w:rStyle w:val="IndexLink"/>
              </w:rPr>
              <w:t>2</w:t>
            </w:r>
            <w:r>
              <w:rPr>
                <w:rStyle w:val="IndexLink"/>
                <w:rtl w:val="true"/>
              </w:rPr>
              <w:t xml:space="preserve">. </w:t>
            </w:r>
            <w:r>
              <w:rPr>
                <w:rStyle w:val="IndexLink"/>
                <w:rtl w:val="true"/>
              </w:rPr>
              <w:t>صيرورة السنّة بدعة</w:t>
            </w:r>
            <w:r>
              <w:rPr>
                <w:rStyle w:val="IndexLink"/>
                <w:rtl w:val="true"/>
              </w:rPr>
              <w:tab/>
            </w:r>
            <w:r>
              <w:rPr>
                <w:rStyle w:val="IndexLink"/>
              </w:rPr>
              <w:t>279</w:t>
            </w:r>
          </w:hyperlink>
        </w:p>
        <w:p>
          <w:pPr>
            <w:pStyle w:val="Contents2"/>
            <w:tabs>
              <w:tab w:val="clear" w:pos="8743"/>
              <w:tab w:val="right" w:pos="9026" w:leader="dot"/>
            </w:tabs>
            <w:rPr/>
          </w:pPr>
          <w:hyperlink w:anchor="__RefHeading___Toc1165741_1067777946">
            <w:r>
              <w:rPr>
                <w:webHidden/>
                <w:rStyle w:val="IndexLink"/>
              </w:rPr>
              <w:t>7</w:t>
            </w:r>
            <w:r>
              <w:rPr>
                <w:rStyle w:val="IndexLink"/>
                <w:rtl w:val="true"/>
              </w:rPr>
              <w:t xml:space="preserve">. </w:t>
            </w:r>
            <w:r>
              <w:rPr>
                <w:rStyle w:val="IndexLink"/>
                <w:rtl w:val="true"/>
              </w:rPr>
              <w:t>الجمع بين الصلاتين</w:t>
            </w:r>
            <w:r>
              <w:rPr>
                <w:rStyle w:val="IndexLink"/>
                <w:rtl w:val="true"/>
              </w:rPr>
              <w:tab/>
            </w:r>
            <w:r>
              <w:rPr>
                <w:rStyle w:val="IndexLink"/>
              </w:rPr>
              <w:t>283</w:t>
            </w:r>
          </w:hyperlink>
        </w:p>
        <w:p>
          <w:pPr>
            <w:pStyle w:val="Contents3"/>
            <w:tabs>
              <w:tab w:val="clear" w:pos="8459"/>
              <w:tab w:val="right" w:pos="9026" w:leader="dot"/>
            </w:tabs>
            <w:rPr/>
          </w:pPr>
          <w:hyperlink w:anchor="__RefHeading___Toc1165743_1067777946">
            <w:r>
              <w:rPr>
                <w:webHidden/>
                <w:rStyle w:val="IndexLink"/>
                <w:rtl w:val="true"/>
              </w:rPr>
              <w:t>اشارة</w:t>
            </w:r>
            <w:r>
              <w:rPr>
                <w:rStyle w:val="IndexLink"/>
                <w:rtl w:val="true"/>
              </w:rPr>
              <w:tab/>
            </w:r>
            <w:r>
              <w:rPr>
                <w:rStyle w:val="IndexLink"/>
              </w:rPr>
              <w:t>283</w:t>
            </w:r>
          </w:hyperlink>
        </w:p>
        <w:p>
          <w:pPr>
            <w:pStyle w:val="Contents3"/>
            <w:tabs>
              <w:tab w:val="clear" w:pos="8459"/>
              <w:tab w:val="right" w:pos="9026" w:leader="dot"/>
            </w:tabs>
            <w:rPr/>
          </w:pPr>
          <w:hyperlink w:anchor="__RefHeading___Toc1165745_1067777946">
            <w:r>
              <w:rPr>
                <w:webHidden/>
                <w:rStyle w:val="IndexLink"/>
                <w:rtl w:val="true"/>
              </w:rPr>
              <w:t>أقسام الجمع بين الصلاتين</w:t>
            </w:r>
            <w:r>
              <w:rPr>
                <w:rStyle w:val="IndexLink"/>
                <w:rtl w:val="true"/>
              </w:rPr>
              <w:tab/>
            </w:r>
            <w:r>
              <w:rPr>
                <w:rStyle w:val="IndexLink"/>
              </w:rPr>
              <w:t>285</w:t>
            </w:r>
          </w:hyperlink>
        </w:p>
        <w:p>
          <w:pPr>
            <w:pStyle w:val="Contents4"/>
            <w:tabs>
              <w:tab w:val="clear" w:pos="8176"/>
              <w:tab w:val="right" w:pos="9026" w:leader="dot"/>
            </w:tabs>
            <w:rPr/>
          </w:pPr>
          <w:hyperlink w:anchor="__RefHeading___Toc1165747_1067777946">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1165749_1067777946">
            <w:r>
              <w:rPr>
                <w:webHidden/>
                <w:rStyle w:val="IndexLink"/>
              </w:rPr>
              <w:t>1</w:t>
            </w:r>
            <w:r>
              <w:rPr>
                <w:rStyle w:val="IndexLink"/>
                <w:rtl w:val="true"/>
              </w:rPr>
              <w:t xml:space="preserve">. </w:t>
            </w:r>
            <w:r>
              <w:rPr>
                <w:rStyle w:val="IndexLink"/>
                <w:rtl w:val="true"/>
              </w:rPr>
              <w:t>الجمع بين الصلاتين في عرفة والمزدلفة</w:t>
            </w:r>
            <w:r>
              <w:rPr>
                <w:rStyle w:val="IndexLink"/>
                <w:rtl w:val="true"/>
              </w:rPr>
              <w:tab/>
            </w:r>
            <w:r>
              <w:rPr>
                <w:rStyle w:val="IndexLink"/>
              </w:rPr>
              <w:t>286</w:t>
            </w:r>
          </w:hyperlink>
        </w:p>
        <w:p>
          <w:pPr>
            <w:pStyle w:val="Contents4"/>
            <w:tabs>
              <w:tab w:val="clear" w:pos="8176"/>
              <w:tab w:val="right" w:pos="9026" w:leader="dot"/>
            </w:tabs>
            <w:rPr/>
          </w:pPr>
          <w:hyperlink w:anchor="__RefHeading___Toc1165751_1067777946">
            <w:r>
              <w:rPr>
                <w:webHidden/>
                <w:rStyle w:val="IndexLink"/>
              </w:rPr>
              <w:t>2</w:t>
            </w:r>
            <w:r>
              <w:rPr>
                <w:rStyle w:val="IndexLink"/>
                <w:rtl w:val="true"/>
              </w:rPr>
              <w:t xml:space="preserve">. </w:t>
            </w:r>
            <w:r>
              <w:rPr>
                <w:rStyle w:val="IndexLink"/>
                <w:rtl w:val="true"/>
              </w:rPr>
              <w:t>الجمع بين الصلاتين في السفر</w:t>
            </w:r>
            <w:r>
              <w:rPr>
                <w:rStyle w:val="IndexLink"/>
                <w:rtl w:val="true"/>
              </w:rPr>
              <w:tab/>
            </w:r>
            <w:r>
              <w:rPr>
                <w:rStyle w:val="IndexLink"/>
              </w:rPr>
              <w:t>287</w:t>
            </w:r>
          </w:hyperlink>
        </w:p>
        <w:p>
          <w:pPr>
            <w:pStyle w:val="Contents4"/>
            <w:tabs>
              <w:tab w:val="clear" w:pos="8176"/>
              <w:tab w:val="right" w:pos="9026" w:leader="dot"/>
            </w:tabs>
            <w:rPr/>
          </w:pPr>
          <w:hyperlink w:anchor="__RefHeading___Toc1165753_1067777946">
            <w:r>
              <w:rPr>
                <w:webHidden/>
                <w:rStyle w:val="IndexLink"/>
              </w:rPr>
              <w:t>3</w:t>
            </w:r>
            <w:r>
              <w:rPr>
                <w:rStyle w:val="IndexLink"/>
                <w:rtl w:val="true"/>
              </w:rPr>
              <w:t xml:space="preserve">. </w:t>
            </w:r>
            <w:r>
              <w:rPr>
                <w:rStyle w:val="IndexLink"/>
                <w:rtl w:val="true"/>
              </w:rPr>
              <w:t>الجمع بين الصلاتين في الحضر لأجل العذر</w:t>
            </w:r>
            <w:r>
              <w:rPr>
                <w:rStyle w:val="IndexLink"/>
                <w:rtl w:val="true"/>
              </w:rPr>
              <w:tab/>
            </w:r>
            <w:r>
              <w:rPr>
                <w:rStyle w:val="IndexLink"/>
              </w:rPr>
              <w:t>291</w:t>
            </w:r>
          </w:hyperlink>
        </w:p>
        <w:p>
          <w:pPr>
            <w:pStyle w:val="Contents4"/>
            <w:tabs>
              <w:tab w:val="clear" w:pos="8176"/>
              <w:tab w:val="right" w:pos="9026" w:leader="dot"/>
            </w:tabs>
            <w:rPr/>
          </w:pPr>
          <w:hyperlink w:anchor="__RefHeading___Toc1165755_1067777946">
            <w:r>
              <w:rPr>
                <w:webHidden/>
                <w:rStyle w:val="IndexLink"/>
              </w:rPr>
              <w:t>4</w:t>
            </w:r>
            <w:r>
              <w:rPr>
                <w:rStyle w:val="IndexLink"/>
                <w:rtl w:val="true"/>
              </w:rPr>
              <w:t xml:space="preserve">. </w:t>
            </w:r>
            <w:r>
              <w:rPr>
                <w:rStyle w:val="IndexLink"/>
                <w:rtl w:val="true"/>
              </w:rPr>
              <w:t>الجمع بين الصلاتين في الحضر اختيارا</w:t>
            </w:r>
            <w:r>
              <w:rPr>
                <w:rStyle w:val="IndexLink"/>
                <w:rtl w:val="true"/>
              </w:rPr>
              <w:tab/>
            </w:r>
            <w:r>
              <w:rPr>
                <w:rStyle w:val="IndexLink"/>
              </w:rPr>
              <w:t>295</w:t>
            </w:r>
          </w:hyperlink>
        </w:p>
        <w:p>
          <w:pPr>
            <w:pStyle w:val="Contents3"/>
            <w:tabs>
              <w:tab w:val="clear" w:pos="8459"/>
              <w:tab w:val="right" w:pos="9026" w:leader="dot"/>
            </w:tabs>
            <w:rPr/>
          </w:pPr>
          <w:hyperlink w:anchor="__RefHeading___Toc1165757_1067777946">
            <w:r>
              <w:rPr>
                <w:webHidden/>
                <w:rStyle w:val="IndexLink"/>
                <w:rtl w:val="true"/>
              </w:rPr>
              <w:t>التنويع في الوقت في فقه السنّة</w:t>
            </w:r>
            <w:r>
              <w:rPr>
                <w:rStyle w:val="IndexLink"/>
                <w:rtl w:val="true"/>
              </w:rPr>
              <w:tab/>
            </w:r>
            <w:r>
              <w:rPr>
                <w:rStyle w:val="IndexLink"/>
              </w:rPr>
              <w:t>299</w:t>
            </w:r>
          </w:hyperlink>
        </w:p>
        <w:p>
          <w:pPr>
            <w:pStyle w:val="Contents3"/>
            <w:tabs>
              <w:tab w:val="clear" w:pos="8459"/>
              <w:tab w:val="right" w:pos="9026" w:leader="dot"/>
            </w:tabs>
            <w:rPr/>
          </w:pPr>
          <w:hyperlink w:anchor="__RefHeading___Toc1165759_1067777946">
            <w:r>
              <w:rPr>
                <w:webHidden/>
                <w:rStyle w:val="IndexLink"/>
                <w:rtl w:val="true"/>
              </w:rPr>
              <w:t>من يوافق الإمامية بعض الموافقة</w:t>
            </w:r>
            <w:r>
              <w:rPr>
                <w:rStyle w:val="IndexLink"/>
                <w:rtl w:val="true"/>
              </w:rPr>
              <w:tab/>
            </w:r>
            <w:r>
              <w:rPr>
                <w:rStyle w:val="IndexLink"/>
              </w:rPr>
              <w:t>299</w:t>
            </w:r>
          </w:hyperlink>
        </w:p>
        <w:p>
          <w:pPr>
            <w:pStyle w:val="Contents3"/>
            <w:tabs>
              <w:tab w:val="clear" w:pos="8459"/>
              <w:tab w:val="right" w:pos="9026" w:leader="dot"/>
            </w:tabs>
            <w:rPr/>
          </w:pPr>
          <w:hyperlink w:anchor="__RefHeading___Toc1165761_1067777946">
            <w:r>
              <w:rPr>
                <w:webHidden/>
                <w:rStyle w:val="IndexLink"/>
                <w:rtl w:val="true"/>
              </w:rPr>
              <w:t>من يوافق الإمامية تمام الموافقة من السنّة</w:t>
            </w:r>
            <w:r>
              <w:rPr>
                <w:rStyle w:val="IndexLink"/>
                <w:rtl w:val="true"/>
              </w:rPr>
              <w:tab/>
            </w:r>
            <w:r>
              <w:rPr>
                <w:rStyle w:val="IndexLink"/>
              </w:rPr>
              <w:t>300</w:t>
            </w:r>
          </w:hyperlink>
        </w:p>
        <w:p>
          <w:pPr>
            <w:pStyle w:val="Contents3"/>
            <w:tabs>
              <w:tab w:val="clear" w:pos="8459"/>
              <w:tab w:val="right" w:pos="9026" w:leader="dot"/>
            </w:tabs>
            <w:rPr/>
          </w:pPr>
          <w:hyperlink w:anchor="__RefHeading___Toc1165763_1067777946">
            <w:r>
              <w:rPr>
                <w:webHidden/>
                <w:rStyle w:val="IndexLink"/>
                <w:rtl w:val="true"/>
              </w:rPr>
              <w:t>الكتاب والجمع بين الصلاتين</w:t>
            </w:r>
            <w:r>
              <w:rPr>
                <w:rStyle w:val="IndexLink"/>
                <w:rtl w:val="true"/>
              </w:rPr>
              <w:tab/>
            </w:r>
            <w:r>
              <w:rPr>
                <w:rStyle w:val="IndexLink"/>
              </w:rPr>
              <w:t>301</w:t>
            </w:r>
          </w:hyperlink>
        </w:p>
        <w:p>
          <w:pPr>
            <w:pStyle w:val="Contents3"/>
            <w:tabs>
              <w:tab w:val="clear" w:pos="8459"/>
              <w:tab w:val="right" w:pos="9026" w:leader="dot"/>
            </w:tabs>
            <w:rPr/>
          </w:pPr>
          <w:hyperlink w:anchor="__RefHeading___Toc1165765_1067777946">
            <w:r>
              <w:rPr>
                <w:webHidden/>
                <w:rStyle w:val="IndexLink"/>
                <w:rtl w:val="true"/>
              </w:rPr>
              <w:t>السنّة والجمع بين الصلاتين في الحضر اختيارا</w:t>
            </w:r>
            <w:r>
              <w:rPr>
                <w:rStyle w:val="IndexLink"/>
                <w:rtl w:val="true"/>
              </w:rPr>
              <w:tab/>
            </w:r>
            <w:r>
              <w:rPr>
                <w:rStyle w:val="IndexLink"/>
              </w:rPr>
              <w:t>303</w:t>
            </w:r>
          </w:hyperlink>
        </w:p>
        <w:p>
          <w:pPr>
            <w:pStyle w:val="Contents3"/>
            <w:tabs>
              <w:tab w:val="clear" w:pos="8459"/>
              <w:tab w:val="right" w:pos="9026" w:leader="dot"/>
            </w:tabs>
            <w:rPr/>
          </w:pPr>
          <w:hyperlink w:anchor="__RefHeading___Toc1165767_1067777946">
            <w:r>
              <w:rPr>
                <w:webHidden/>
                <w:rStyle w:val="IndexLink"/>
                <w:rtl w:val="true"/>
              </w:rPr>
              <w:t>تبريرات لرفض الجمع بين الصلاتين</w:t>
            </w:r>
            <w:r>
              <w:rPr>
                <w:rStyle w:val="IndexLink"/>
                <w:rtl w:val="true"/>
              </w:rPr>
              <w:tab/>
            </w:r>
            <w:r>
              <w:rPr>
                <w:rStyle w:val="IndexLink"/>
              </w:rPr>
              <w:t>311</w:t>
            </w:r>
          </w:hyperlink>
        </w:p>
        <w:p>
          <w:pPr>
            <w:pStyle w:val="Contents4"/>
            <w:tabs>
              <w:tab w:val="clear" w:pos="8176"/>
              <w:tab w:val="right" w:pos="9026" w:leader="dot"/>
            </w:tabs>
            <w:rPr/>
          </w:pPr>
          <w:hyperlink w:anchor="__RefHeading___Toc1165769_1067777946">
            <w:r>
              <w:rPr>
                <w:webHidden/>
                <w:rStyle w:val="IndexLink"/>
                <w:rtl w:val="true"/>
              </w:rPr>
              <w:t>اشارة</w:t>
            </w:r>
            <w:r>
              <w:rPr>
                <w:rStyle w:val="IndexLink"/>
                <w:rtl w:val="true"/>
              </w:rPr>
              <w:tab/>
            </w:r>
            <w:r>
              <w:rPr>
                <w:rStyle w:val="IndexLink"/>
              </w:rPr>
              <w:t>311</w:t>
            </w:r>
          </w:hyperlink>
        </w:p>
        <w:p>
          <w:pPr>
            <w:pStyle w:val="Contents4"/>
            <w:tabs>
              <w:tab w:val="clear" w:pos="8176"/>
              <w:tab w:val="right" w:pos="9026" w:leader="dot"/>
            </w:tabs>
            <w:rPr/>
          </w:pPr>
          <w:hyperlink w:anchor="__RefHeading___Toc1165771_1067777946">
            <w:r>
              <w:rPr>
                <w:webHidden/>
                <w:rStyle w:val="IndexLink"/>
              </w:rPr>
              <w:t>1</w:t>
            </w:r>
            <w:r>
              <w:rPr>
                <w:rStyle w:val="IndexLink"/>
                <w:rtl w:val="true"/>
              </w:rPr>
              <w:t xml:space="preserve">. </w:t>
            </w:r>
            <w:r>
              <w:rPr>
                <w:rStyle w:val="IndexLink"/>
                <w:rtl w:val="true"/>
              </w:rPr>
              <w:t>ترك الجمهور العمل بها</w:t>
            </w:r>
            <w:r>
              <w:rPr>
                <w:rStyle w:val="IndexLink"/>
                <w:rtl w:val="true"/>
              </w:rPr>
              <w:tab/>
            </w:r>
            <w:r>
              <w:rPr>
                <w:rStyle w:val="IndexLink"/>
              </w:rPr>
              <w:t>312</w:t>
            </w:r>
          </w:hyperlink>
        </w:p>
        <w:p>
          <w:pPr>
            <w:pStyle w:val="Contents4"/>
            <w:tabs>
              <w:tab w:val="clear" w:pos="8176"/>
              <w:tab w:val="right" w:pos="9026" w:leader="dot"/>
            </w:tabs>
            <w:rPr/>
          </w:pPr>
          <w:hyperlink w:anchor="__RefHeading___Toc1165773_1067777946">
            <w:r>
              <w:rPr>
                <w:webHidden/>
                <w:rStyle w:val="IndexLink"/>
              </w:rPr>
              <w:t>2</w:t>
            </w:r>
            <w:r>
              <w:rPr>
                <w:rStyle w:val="IndexLink"/>
                <w:rtl w:val="true"/>
              </w:rPr>
              <w:t xml:space="preserve">. </w:t>
            </w:r>
            <w:r>
              <w:rPr>
                <w:rStyle w:val="IndexLink"/>
                <w:rtl w:val="true"/>
              </w:rPr>
              <w:t>الحديث لا ينص على جمع التقديم والتأخير</w:t>
            </w:r>
            <w:r>
              <w:rPr>
                <w:rStyle w:val="IndexLink"/>
                <w:rtl w:val="true"/>
              </w:rPr>
              <w:tab/>
            </w:r>
            <w:r>
              <w:rPr>
                <w:rStyle w:val="IndexLink"/>
              </w:rPr>
              <w:t>314</w:t>
            </w:r>
          </w:hyperlink>
        </w:p>
        <w:p>
          <w:pPr>
            <w:pStyle w:val="Contents4"/>
            <w:tabs>
              <w:tab w:val="clear" w:pos="8176"/>
              <w:tab w:val="right" w:pos="9026" w:leader="dot"/>
            </w:tabs>
            <w:rPr/>
          </w:pPr>
          <w:hyperlink w:anchor="__RefHeading___Toc1165775_1067777946">
            <w:r>
              <w:rPr>
                <w:webHidden/>
                <w:rStyle w:val="IndexLink"/>
              </w:rPr>
              <w:t>3</w:t>
            </w:r>
            <w:r>
              <w:rPr>
                <w:rStyle w:val="IndexLink"/>
                <w:rtl w:val="true"/>
              </w:rPr>
              <w:t xml:space="preserve">. </w:t>
            </w:r>
            <w:r>
              <w:rPr>
                <w:rStyle w:val="IndexLink"/>
                <w:rtl w:val="true"/>
              </w:rPr>
              <w:t>كان الجمع بين الصلاتين جمعا صوريا</w:t>
            </w:r>
            <w:r>
              <w:rPr>
                <w:rStyle w:val="IndexLink"/>
                <w:rtl w:val="true"/>
              </w:rPr>
              <w:tab/>
            </w:r>
            <w:r>
              <w:rPr>
                <w:rStyle w:val="IndexLink"/>
              </w:rPr>
              <w:t>316</w:t>
            </w:r>
          </w:hyperlink>
        </w:p>
        <w:p>
          <w:pPr>
            <w:pStyle w:val="Contents5"/>
            <w:tabs>
              <w:tab w:val="clear" w:pos="7892"/>
              <w:tab w:val="right" w:pos="9026" w:leader="dot"/>
            </w:tabs>
            <w:rPr/>
          </w:pPr>
          <w:hyperlink w:anchor="__RefHeading___Toc1165777_1067777946">
            <w:r>
              <w:rPr>
                <w:webHidden/>
                <w:rStyle w:val="IndexLink"/>
                <w:rtl w:val="true"/>
              </w:rPr>
              <w:t>اشارة</w:t>
            </w:r>
            <w:r>
              <w:rPr>
                <w:rStyle w:val="IndexLink"/>
                <w:rtl w:val="true"/>
              </w:rPr>
              <w:tab/>
            </w:r>
            <w:r>
              <w:rPr>
                <w:rStyle w:val="IndexLink"/>
              </w:rPr>
              <w:t>316</w:t>
            </w:r>
          </w:hyperlink>
        </w:p>
        <w:p>
          <w:pPr>
            <w:pStyle w:val="Contents5"/>
            <w:tabs>
              <w:tab w:val="clear" w:pos="7892"/>
              <w:tab w:val="right" w:pos="9026" w:leader="dot"/>
            </w:tabs>
            <w:rPr/>
          </w:pPr>
          <w:hyperlink w:anchor="__RefHeading___Toc1165779_1067777946">
            <w:r>
              <w:rPr>
                <w:webHidden/>
                <w:rStyle w:val="IndexLink"/>
                <w:rtl w:val="true"/>
              </w:rPr>
              <w:t>أدلّة الشوكاني على أنّ الجمع كان صوريّا</w:t>
            </w:r>
            <w:r>
              <w:rPr>
                <w:rStyle w:val="IndexLink"/>
                <w:rtl w:val="true"/>
              </w:rPr>
              <w:tab/>
            </w:r>
            <w:r>
              <w:rPr>
                <w:rStyle w:val="IndexLink"/>
              </w:rPr>
              <w:t>318</w:t>
            </w:r>
          </w:hyperlink>
        </w:p>
        <w:p>
          <w:pPr>
            <w:pStyle w:val="Contents4"/>
            <w:tabs>
              <w:tab w:val="clear" w:pos="8176"/>
              <w:tab w:val="right" w:pos="9026" w:leader="dot"/>
            </w:tabs>
            <w:rPr/>
          </w:pPr>
          <w:hyperlink w:anchor="__RefHeading___Toc1165781_1067777946">
            <w:r>
              <w:rPr>
                <w:webHidden/>
                <w:rStyle w:val="IndexLink"/>
              </w:rPr>
              <w:t>4</w:t>
            </w:r>
            <w:r>
              <w:rPr>
                <w:rStyle w:val="IndexLink"/>
                <w:rtl w:val="true"/>
              </w:rPr>
              <w:t xml:space="preserve">. </w:t>
            </w:r>
            <w:r>
              <w:rPr>
                <w:rStyle w:val="IndexLink"/>
                <w:rtl w:val="true"/>
              </w:rPr>
              <w:t>كان الجمع لعذر المطر</w:t>
            </w:r>
            <w:r>
              <w:rPr>
                <w:rStyle w:val="IndexLink"/>
                <w:rtl w:val="true"/>
              </w:rPr>
              <w:tab/>
            </w:r>
            <w:r>
              <w:rPr>
                <w:rStyle w:val="IndexLink"/>
              </w:rPr>
              <w:t>320</w:t>
            </w:r>
          </w:hyperlink>
        </w:p>
        <w:p>
          <w:pPr>
            <w:pStyle w:val="Contents4"/>
            <w:tabs>
              <w:tab w:val="clear" w:pos="8176"/>
              <w:tab w:val="right" w:pos="9026" w:leader="dot"/>
            </w:tabs>
            <w:rPr/>
          </w:pPr>
          <w:hyperlink w:anchor="__RefHeading___Toc1165783_1067777946">
            <w:r>
              <w:rPr>
                <w:webHidden/>
                <w:rStyle w:val="IndexLink"/>
              </w:rPr>
              <w:t>5</w:t>
            </w:r>
            <w:r>
              <w:rPr>
                <w:rStyle w:val="IndexLink"/>
                <w:rtl w:val="true"/>
              </w:rPr>
              <w:t xml:space="preserve">. </w:t>
            </w:r>
            <w:r>
              <w:rPr>
                <w:rStyle w:val="IndexLink"/>
                <w:rtl w:val="true"/>
              </w:rPr>
              <w:t>كان الجمع للغيم في السماء</w:t>
            </w:r>
            <w:r>
              <w:rPr>
                <w:rStyle w:val="IndexLink"/>
                <w:rtl w:val="true"/>
              </w:rPr>
              <w:tab/>
            </w:r>
            <w:r>
              <w:rPr>
                <w:rStyle w:val="IndexLink"/>
              </w:rPr>
              <w:t>322</w:t>
            </w:r>
          </w:hyperlink>
        </w:p>
        <w:p>
          <w:pPr>
            <w:pStyle w:val="Contents4"/>
            <w:tabs>
              <w:tab w:val="clear" w:pos="8176"/>
              <w:tab w:val="right" w:pos="9026" w:leader="dot"/>
            </w:tabs>
            <w:rPr/>
          </w:pPr>
          <w:hyperlink w:anchor="__RefHeading___Toc1165785_1067777946">
            <w:r>
              <w:rPr>
                <w:webHidden/>
                <w:rStyle w:val="IndexLink"/>
              </w:rPr>
              <w:t>6</w:t>
            </w:r>
            <w:r>
              <w:rPr>
                <w:rStyle w:val="IndexLink"/>
                <w:rtl w:val="true"/>
              </w:rPr>
              <w:t xml:space="preserve">. </w:t>
            </w:r>
            <w:r>
              <w:rPr>
                <w:rStyle w:val="IndexLink"/>
                <w:rtl w:val="true"/>
              </w:rPr>
              <w:t>كان الجمع لمرض</w:t>
            </w:r>
            <w:r>
              <w:rPr>
                <w:rStyle w:val="IndexLink"/>
                <w:rtl w:val="true"/>
              </w:rPr>
              <w:tab/>
            </w:r>
            <w:r>
              <w:rPr>
                <w:rStyle w:val="IndexLink"/>
              </w:rPr>
              <w:t>322</w:t>
            </w:r>
          </w:hyperlink>
        </w:p>
        <w:p>
          <w:pPr>
            <w:pStyle w:val="Contents4"/>
            <w:tabs>
              <w:tab w:val="clear" w:pos="8176"/>
              <w:tab w:val="right" w:pos="9026" w:leader="dot"/>
            </w:tabs>
            <w:rPr/>
          </w:pPr>
          <w:hyperlink w:anchor="__RefHeading___Toc1165787_1067777946">
            <w:r>
              <w:rPr>
                <w:webHidden/>
                <w:rStyle w:val="IndexLink"/>
              </w:rPr>
              <w:t>7</w:t>
            </w:r>
            <w:r>
              <w:rPr>
                <w:rStyle w:val="IndexLink"/>
                <w:rtl w:val="true"/>
              </w:rPr>
              <w:t xml:space="preserve">. </w:t>
            </w:r>
            <w:r>
              <w:rPr>
                <w:rStyle w:val="IndexLink"/>
                <w:rtl w:val="true"/>
              </w:rPr>
              <w:t>كان الجمع لأحد الأعذار المبهمة</w:t>
            </w:r>
            <w:r>
              <w:rPr>
                <w:rStyle w:val="IndexLink"/>
                <w:rtl w:val="true"/>
              </w:rPr>
              <w:tab/>
            </w:r>
            <w:r>
              <w:rPr>
                <w:rStyle w:val="IndexLink"/>
              </w:rPr>
              <w:t>324</w:t>
            </w:r>
          </w:hyperlink>
        </w:p>
        <w:p>
          <w:pPr>
            <w:pStyle w:val="Contents3"/>
            <w:tabs>
              <w:tab w:val="clear" w:pos="8459"/>
              <w:tab w:val="right" w:pos="9026" w:leader="dot"/>
            </w:tabs>
            <w:rPr/>
          </w:pPr>
          <w:hyperlink w:anchor="__RefHeading___Toc1165789_1067777946">
            <w:r>
              <w:rPr>
                <w:webHidden/>
                <w:rStyle w:val="IndexLink"/>
                <w:rtl w:val="true"/>
              </w:rPr>
              <w:t>أسئلة وأجوبة</w:t>
            </w:r>
            <w:r>
              <w:rPr>
                <w:rStyle w:val="IndexLink"/>
                <w:rtl w:val="true"/>
              </w:rPr>
              <w:tab/>
            </w:r>
            <w:r>
              <w:rPr>
                <w:rStyle w:val="IndexLink"/>
              </w:rPr>
              <w:t>327</w:t>
            </w:r>
          </w:hyperlink>
        </w:p>
        <w:p>
          <w:pPr>
            <w:pStyle w:val="Contents4"/>
            <w:tabs>
              <w:tab w:val="clear" w:pos="8176"/>
              <w:tab w:val="right" w:pos="9026" w:leader="dot"/>
            </w:tabs>
            <w:rPr/>
          </w:pPr>
          <w:hyperlink w:anchor="__RefHeading___Toc1165791_1067777946">
            <w:r>
              <w:rPr>
                <w:webHidden/>
                <w:rStyle w:val="IndexLink"/>
                <w:rtl w:val="true"/>
              </w:rPr>
              <w:t>اشارة</w:t>
            </w:r>
            <w:r>
              <w:rPr>
                <w:rStyle w:val="IndexLink"/>
                <w:rtl w:val="true"/>
              </w:rPr>
              <w:tab/>
            </w:r>
            <w:r>
              <w:rPr>
                <w:rStyle w:val="IndexLink"/>
              </w:rPr>
              <w:t>327</w:t>
            </w:r>
          </w:hyperlink>
        </w:p>
        <w:p>
          <w:pPr>
            <w:pStyle w:val="Contents4"/>
            <w:tabs>
              <w:tab w:val="clear" w:pos="8176"/>
              <w:tab w:val="right" w:pos="9026" w:leader="dot"/>
            </w:tabs>
            <w:rPr/>
          </w:pPr>
          <w:hyperlink w:anchor="__RefHeading___Toc1165793_1067777946">
            <w:r>
              <w:rPr>
                <w:webHidden/>
                <w:rStyle w:val="IndexLink"/>
                <w:rtl w:val="true"/>
              </w:rPr>
              <w:t xml:space="preserve">الأوّل </w:t>
            </w:r>
            <w:r>
              <w:rPr>
                <w:rStyle w:val="IndexLink"/>
                <w:rtl w:val="true"/>
              </w:rPr>
              <w:t xml:space="preserve">: </w:t>
            </w:r>
            <w:r>
              <w:rPr>
                <w:rStyle w:val="IndexLink"/>
                <w:rtl w:val="true"/>
              </w:rPr>
              <w:t xml:space="preserve">الجمع وحديث </w:t>
            </w:r>
            <w:r>
              <w:rPr>
                <w:rStyle w:val="IndexLink"/>
                <w:rtl w:val="true"/>
              </w:rPr>
              <w:t xml:space="preserve">« </w:t>
            </w:r>
            <w:r>
              <w:rPr>
                <w:rStyle w:val="IndexLink"/>
                <w:rtl w:val="true"/>
              </w:rPr>
              <w:t xml:space="preserve">حنش </w:t>
            </w:r>
            <w:r>
              <w:rPr>
                <w:rStyle w:val="IndexLink"/>
                <w:rtl w:val="true"/>
              </w:rPr>
              <w:t>»</w:t>
              <w:tab/>
            </w:r>
            <w:r>
              <w:rPr>
                <w:rStyle w:val="IndexLink"/>
              </w:rPr>
              <w:t>327</w:t>
            </w:r>
          </w:hyperlink>
        </w:p>
        <w:p>
          <w:pPr>
            <w:pStyle w:val="Contents4"/>
            <w:tabs>
              <w:tab w:val="clear" w:pos="8176"/>
              <w:tab w:val="right" w:pos="9026" w:leader="dot"/>
            </w:tabs>
            <w:rPr/>
          </w:pPr>
          <w:hyperlink w:anchor="__RefHeading___Toc1165795_1067777946">
            <w:r>
              <w:rPr>
                <w:webHidden/>
                <w:rStyle w:val="IndexLink"/>
                <w:rtl w:val="true"/>
              </w:rPr>
              <w:t xml:space="preserve">الثاني </w:t>
            </w:r>
            <w:r>
              <w:rPr>
                <w:rStyle w:val="IndexLink"/>
                <w:rtl w:val="true"/>
              </w:rPr>
              <w:t xml:space="preserve">: </w:t>
            </w:r>
            <w:r>
              <w:rPr>
                <w:rStyle w:val="IndexLink"/>
                <w:rtl w:val="true"/>
              </w:rPr>
              <w:t>الجمع وحديث ليلة التعريس</w:t>
            </w:r>
            <w:r>
              <w:rPr>
                <w:rStyle w:val="IndexLink"/>
                <w:rtl w:val="true"/>
              </w:rPr>
              <w:tab/>
            </w:r>
            <w:r>
              <w:rPr>
                <w:rStyle w:val="IndexLink"/>
              </w:rPr>
              <w:t>328</w:t>
            </w:r>
          </w:hyperlink>
        </w:p>
        <w:p>
          <w:pPr>
            <w:pStyle w:val="Contents4"/>
            <w:tabs>
              <w:tab w:val="clear" w:pos="8176"/>
              <w:tab w:val="right" w:pos="9026" w:leader="dot"/>
            </w:tabs>
            <w:rPr/>
          </w:pPr>
          <w:hyperlink w:anchor="__RefHeading___Toc1165797_1067777946">
            <w:r>
              <w:rPr>
                <w:webHidden/>
                <w:rStyle w:val="IndexLink"/>
                <w:rtl w:val="true"/>
              </w:rPr>
              <w:t xml:space="preserve">الثالث </w:t>
            </w:r>
            <w:r>
              <w:rPr>
                <w:rStyle w:val="IndexLink"/>
                <w:rtl w:val="true"/>
              </w:rPr>
              <w:t xml:space="preserve">: </w:t>
            </w:r>
            <w:r>
              <w:rPr>
                <w:rStyle w:val="IndexLink"/>
                <w:rtl w:val="true"/>
              </w:rPr>
              <w:t>حديث حبيب بن أبي ثابت لا يحتجّ به</w:t>
            </w:r>
            <w:r>
              <w:rPr>
                <w:rStyle w:val="IndexLink"/>
                <w:rtl w:val="true"/>
              </w:rPr>
              <w:tab/>
            </w:r>
            <w:r>
              <w:rPr>
                <w:rStyle w:val="IndexLink"/>
              </w:rPr>
              <w:t>329</w:t>
            </w:r>
          </w:hyperlink>
        </w:p>
        <w:p>
          <w:pPr>
            <w:pStyle w:val="Contents2"/>
            <w:tabs>
              <w:tab w:val="clear" w:pos="8743"/>
              <w:tab w:val="right" w:pos="9026" w:leader="dot"/>
            </w:tabs>
            <w:rPr/>
          </w:pPr>
          <w:hyperlink w:anchor="__RefHeading___Toc1165799_1067777946">
            <w:r>
              <w:rPr>
                <w:webHidden/>
                <w:rStyle w:val="IndexLink"/>
              </w:rPr>
              <w:t>8</w:t>
            </w:r>
            <w:r>
              <w:rPr>
                <w:rStyle w:val="IndexLink"/>
                <w:rtl w:val="true"/>
              </w:rPr>
              <w:t xml:space="preserve">. </w:t>
            </w:r>
            <w:r>
              <w:rPr>
                <w:rStyle w:val="IndexLink"/>
                <w:rtl w:val="true"/>
              </w:rPr>
              <w:t>القصر في السفر</w:t>
            </w:r>
            <w:r>
              <w:rPr>
                <w:rStyle w:val="IndexLink"/>
                <w:rtl w:val="true"/>
              </w:rPr>
              <w:tab/>
            </w:r>
            <w:r>
              <w:rPr>
                <w:rStyle w:val="IndexLink"/>
              </w:rPr>
              <w:t>331</w:t>
            </w:r>
          </w:hyperlink>
        </w:p>
        <w:p>
          <w:pPr>
            <w:pStyle w:val="Contents3"/>
            <w:tabs>
              <w:tab w:val="clear" w:pos="8459"/>
              <w:tab w:val="right" w:pos="9026" w:leader="dot"/>
            </w:tabs>
            <w:rPr/>
          </w:pPr>
          <w:hyperlink w:anchor="__RefHeading___Toc1165801_1067777946">
            <w:r>
              <w:rPr>
                <w:webHidden/>
                <w:rStyle w:val="IndexLink"/>
                <w:rtl w:val="true"/>
              </w:rPr>
              <w:t>اشارة</w:t>
            </w:r>
            <w:r>
              <w:rPr>
                <w:rStyle w:val="IndexLink"/>
                <w:rtl w:val="true"/>
              </w:rPr>
              <w:tab/>
            </w:r>
            <w:r>
              <w:rPr>
                <w:rStyle w:val="IndexLink"/>
              </w:rPr>
              <w:t>331</w:t>
            </w:r>
          </w:hyperlink>
        </w:p>
        <w:p>
          <w:pPr>
            <w:pStyle w:val="Contents3"/>
            <w:tabs>
              <w:tab w:val="clear" w:pos="8459"/>
              <w:tab w:val="right" w:pos="9026" w:leader="dot"/>
            </w:tabs>
            <w:rPr/>
          </w:pPr>
          <w:hyperlink w:anchor="__RefHeading___Toc1165803_1067777946">
            <w:r>
              <w:rPr>
                <w:webHidden/>
                <w:rStyle w:val="IndexLink"/>
                <w:rtl w:val="true"/>
              </w:rPr>
              <w:t>هل القصر في السفر</w:t>
            </w:r>
            <w:r>
              <w:rPr>
                <w:rStyle w:val="IndexLink"/>
                <w:rtl w:val="true"/>
              </w:rPr>
              <w:tab/>
            </w:r>
            <w:r>
              <w:rPr>
                <w:rStyle w:val="IndexLink"/>
              </w:rPr>
              <w:t>333</w:t>
            </w:r>
          </w:hyperlink>
        </w:p>
        <w:p>
          <w:pPr>
            <w:pStyle w:val="Contents3"/>
            <w:tabs>
              <w:tab w:val="clear" w:pos="8459"/>
              <w:tab w:val="right" w:pos="9026" w:leader="dot"/>
            </w:tabs>
            <w:rPr/>
          </w:pPr>
          <w:hyperlink w:anchor="__RefHeading___Toc1165805_1067777946">
            <w:r>
              <w:rPr>
                <w:webHidden/>
                <w:rStyle w:val="IndexLink"/>
                <w:rtl w:val="true"/>
              </w:rPr>
              <w:t>عزيمة أو رخصة؟</w:t>
            </w:r>
            <w:r>
              <w:rPr>
                <w:rStyle w:val="IndexLink"/>
                <w:rtl w:val="true"/>
              </w:rPr>
              <w:tab/>
            </w:r>
            <w:r>
              <w:rPr>
                <w:rStyle w:val="IndexLink"/>
              </w:rPr>
              <w:t>333</w:t>
            </w:r>
          </w:hyperlink>
        </w:p>
        <w:p>
          <w:pPr>
            <w:pStyle w:val="Contents3"/>
            <w:tabs>
              <w:tab w:val="clear" w:pos="8459"/>
              <w:tab w:val="right" w:pos="9026" w:leader="dot"/>
            </w:tabs>
            <w:rPr/>
          </w:pPr>
          <w:hyperlink w:anchor="__RefHeading___Toc1165807_1067777946">
            <w:r>
              <w:rPr>
                <w:webHidden/>
                <w:rStyle w:val="IndexLink"/>
                <w:rtl w:val="true"/>
              </w:rPr>
              <w:t>تفسير مفردات الآية</w:t>
            </w:r>
            <w:r>
              <w:rPr>
                <w:rStyle w:val="IndexLink"/>
                <w:rtl w:val="true"/>
              </w:rPr>
              <w:tab/>
            </w:r>
            <w:r>
              <w:rPr>
                <w:rStyle w:val="IndexLink"/>
              </w:rPr>
              <w:t>335</w:t>
            </w:r>
          </w:hyperlink>
        </w:p>
        <w:p>
          <w:pPr>
            <w:pStyle w:val="Contents3"/>
            <w:tabs>
              <w:tab w:val="clear" w:pos="8459"/>
              <w:tab w:val="right" w:pos="9026" w:leader="dot"/>
            </w:tabs>
            <w:rPr/>
          </w:pPr>
          <w:hyperlink w:anchor="__RefHeading___Toc1165809_1067777946">
            <w:r>
              <w:rPr>
                <w:webHidden/>
                <w:rStyle w:val="IndexLink"/>
                <w:rtl w:val="true"/>
              </w:rPr>
              <w:t>أدلّة القول بأنّ القصر عزيمة</w:t>
            </w:r>
            <w:r>
              <w:rPr>
                <w:rStyle w:val="IndexLink"/>
                <w:rtl w:val="true"/>
              </w:rPr>
              <w:tab/>
            </w:r>
            <w:r>
              <w:rPr>
                <w:rStyle w:val="IndexLink"/>
              </w:rPr>
              <w:t>339</w:t>
            </w:r>
          </w:hyperlink>
        </w:p>
        <w:p>
          <w:pPr>
            <w:pStyle w:val="Contents3"/>
            <w:tabs>
              <w:tab w:val="clear" w:pos="8459"/>
              <w:tab w:val="right" w:pos="9026" w:leader="dot"/>
            </w:tabs>
            <w:rPr/>
          </w:pPr>
          <w:hyperlink w:anchor="__RefHeading___Toc1165811_1067777946">
            <w:r>
              <w:rPr>
                <w:webHidden/>
                <w:rStyle w:val="IndexLink"/>
                <w:rtl w:val="true"/>
              </w:rPr>
              <w:t>قصر الصلاة بمنى</w:t>
            </w:r>
            <w:r>
              <w:rPr>
                <w:rStyle w:val="IndexLink"/>
                <w:rtl w:val="true"/>
              </w:rPr>
              <w:tab/>
            </w:r>
            <w:r>
              <w:rPr>
                <w:rStyle w:val="IndexLink"/>
              </w:rPr>
              <w:t>347</w:t>
            </w:r>
          </w:hyperlink>
        </w:p>
        <w:p>
          <w:pPr>
            <w:pStyle w:val="Contents3"/>
            <w:tabs>
              <w:tab w:val="clear" w:pos="8459"/>
              <w:tab w:val="right" w:pos="9026" w:leader="dot"/>
            </w:tabs>
            <w:rPr/>
          </w:pPr>
          <w:hyperlink w:anchor="__RefHeading___Toc1165813_1067777946">
            <w:r>
              <w:rPr>
                <w:webHidden/>
                <w:rStyle w:val="IndexLink"/>
                <w:rtl w:val="true"/>
              </w:rPr>
              <w:t>أدلّة القائلين بأنّ القصر رخصة</w:t>
            </w:r>
            <w:r>
              <w:rPr>
                <w:rStyle w:val="IndexLink"/>
                <w:rtl w:val="true"/>
              </w:rPr>
              <w:tab/>
            </w:r>
            <w:r>
              <w:rPr>
                <w:rStyle w:val="IndexLink"/>
              </w:rPr>
              <w:t>351</w:t>
            </w:r>
          </w:hyperlink>
        </w:p>
        <w:p>
          <w:pPr>
            <w:pStyle w:val="Contents3"/>
            <w:tabs>
              <w:tab w:val="clear" w:pos="8459"/>
              <w:tab w:val="right" w:pos="9026" w:leader="dot"/>
            </w:tabs>
            <w:rPr/>
          </w:pPr>
          <w:hyperlink w:anchor="__RefHeading___Toc1165815_1067777946">
            <w:r>
              <w:rPr>
                <w:webHidden/>
                <w:rStyle w:val="IndexLink"/>
                <w:rtl w:val="true"/>
              </w:rPr>
              <w:t>الاحتجاج بفعل عثمان وعائشة</w:t>
            </w:r>
            <w:r>
              <w:rPr>
                <w:rStyle w:val="IndexLink"/>
                <w:rtl w:val="true"/>
              </w:rPr>
              <w:tab/>
            </w:r>
            <w:r>
              <w:rPr>
                <w:rStyle w:val="IndexLink"/>
              </w:rPr>
              <w:t>359</w:t>
            </w:r>
          </w:hyperlink>
        </w:p>
        <w:p>
          <w:pPr>
            <w:pStyle w:val="Contents2"/>
            <w:tabs>
              <w:tab w:val="clear" w:pos="8743"/>
              <w:tab w:val="right" w:pos="9026" w:leader="dot"/>
            </w:tabs>
            <w:rPr/>
          </w:pPr>
          <w:hyperlink w:anchor="__RefHeading___Toc1165817_1067777946">
            <w:r>
              <w:rPr>
                <w:webHidden/>
                <w:rStyle w:val="IndexLink"/>
              </w:rPr>
              <w:t>9</w:t>
            </w:r>
            <w:r>
              <w:rPr>
                <w:rStyle w:val="IndexLink"/>
                <w:rtl w:val="true"/>
              </w:rPr>
              <w:t xml:space="preserve">. </w:t>
            </w:r>
            <w:r>
              <w:rPr>
                <w:rStyle w:val="IndexLink"/>
                <w:rtl w:val="true"/>
              </w:rPr>
              <w:t>إفطار المسافر في شهر رمضان</w:t>
            </w:r>
            <w:r>
              <w:rPr>
                <w:rStyle w:val="IndexLink"/>
                <w:rtl w:val="true"/>
              </w:rPr>
              <w:tab/>
            </w:r>
            <w:r>
              <w:rPr>
                <w:rStyle w:val="IndexLink"/>
              </w:rPr>
              <w:t>363</w:t>
            </w:r>
          </w:hyperlink>
        </w:p>
        <w:p>
          <w:pPr>
            <w:pStyle w:val="Contents3"/>
            <w:tabs>
              <w:tab w:val="clear" w:pos="8459"/>
              <w:tab w:val="right" w:pos="9026" w:leader="dot"/>
            </w:tabs>
            <w:rPr/>
          </w:pPr>
          <w:hyperlink w:anchor="__RefHeading___Toc1165819_1067777946">
            <w:r>
              <w:rPr>
                <w:webHidden/>
                <w:rStyle w:val="IndexLink"/>
                <w:rtl w:val="true"/>
              </w:rPr>
              <w:t>اشارة</w:t>
            </w:r>
            <w:r>
              <w:rPr>
                <w:rStyle w:val="IndexLink"/>
                <w:rtl w:val="true"/>
              </w:rPr>
              <w:tab/>
            </w:r>
            <w:r>
              <w:rPr>
                <w:rStyle w:val="IndexLink"/>
              </w:rPr>
              <w:t>363</w:t>
            </w:r>
          </w:hyperlink>
        </w:p>
        <w:p>
          <w:pPr>
            <w:pStyle w:val="Contents3"/>
            <w:tabs>
              <w:tab w:val="clear" w:pos="8459"/>
              <w:tab w:val="right" w:pos="9026" w:leader="dot"/>
            </w:tabs>
            <w:rPr/>
          </w:pPr>
          <w:hyperlink w:anchor="__RefHeading___Toc1165821_1067777946">
            <w:r>
              <w:rPr>
                <w:webHidden/>
                <w:rStyle w:val="IndexLink"/>
                <w:rtl w:val="true"/>
              </w:rPr>
              <w:t>الإفطار في السفر</w:t>
            </w:r>
            <w:r>
              <w:rPr>
                <w:rStyle w:val="IndexLink"/>
                <w:rtl w:val="true"/>
              </w:rPr>
              <w:tab/>
            </w:r>
            <w:r>
              <w:rPr>
                <w:rStyle w:val="IndexLink"/>
              </w:rPr>
              <w:t>365</w:t>
            </w:r>
          </w:hyperlink>
        </w:p>
        <w:p>
          <w:pPr>
            <w:pStyle w:val="Contents4"/>
            <w:tabs>
              <w:tab w:val="clear" w:pos="8176"/>
              <w:tab w:val="right" w:pos="9026" w:leader="dot"/>
            </w:tabs>
            <w:rPr/>
          </w:pPr>
          <w:hyperlink w:anchor="__RefHeading___Toc1165823_1067777946">
            <w:r>
              <w:rPr>
                <w:webHidden/>
                <w:rStyle w:val="IndexLink"/>
                <w:rtl w:val="true"/>
              </w:rPr>
              <w:t>اشارة</w:t>
            </w:r>
            <w:r>
              <w:rPr>
                <w:rStyle w:val="IndexLink"/>
                <w:rtl w:val="true"/>
              </w:rPr>
              <w:tab/>
            </w:r>
            <w:r>
              <w:rPr>
                <w:rStyle w:val="IndexLink"/>
              </w:rPr>
              <w:t>365</w:t>
            </w:r>
          </w:hyperlink>
        </w:p>
        <w:p>
          <w:pPr>
            <w:pStyle w:val="Contents4"/>
            <w:tabs>
              <w:tab w:val="clear" w:pos="8176"/>
              <w:tab w:val="right" w:pos="9026" w:leader="dot"/>
            </w:tabs>
            <w:rPr/>
          </w:pPr>
          <w:hyperlink w:anchor="__RefHeading___Toc1165825_1067777946">
            <w:r>
              <w:rPr>
                <w:webHidden/>
                <w:rStyle w:val="IndexLink"/>
              </w:rPr>
              <w:t>1</w:t>
            </w:r>
            <w:r>
              <w:rPr>
                <w:rStyle w:val="IndexLink"/>
                <w:rtl w:val="true"/>
              </w:rPr>
              <w:t xml:space="preserve">. </w:t>
            </w:r>
            <w:r>
              <w:rPr>
                <w:rStyle w:val="IndexLink"/>
                <w:rtl w:val="true"/>
              </w:rPr>
              <w:t>الكتاب وصوم رمضان في السفر</w:t>
            </w:r>
            <w:r>
              <w:rPr>
                <w:rStyle w:val="IndexLink"/>
                <w:rtl w:val="true"/>
              </w:rPr>
              <w:tab/>
            </w:r>
            <w:r>
              <w:rPr>
                <w:rStyle w:val="IndexLink"/>
              </w:rPr>
              <w:t>368</w:t>
            </w:r>
          </w:hyperlink>
        </w:p>
        <w:p>
          <w:pPr>
            <w:pStyle w:val="Contents5"/>
            <w:tabs>
              <w:tab w:val="clear" w:pos="7892"/>
              <w:tab w:val="right" w:pos="9026" w:leader="dot"/>
            </w:tabs>
            <w:rPr/>
          </w:pPr>
          <w:hyperlink w:anchor="__RefHeading___Toc1165827_1067777946">
            <w:r>
              <w:rPr>
                <w:webHidden/>
                <w:rStyle w:val="IndexLink"/>
                <w:rtl w:val="true"/>
              </w:rPr>
              <w:t>اشارة</w:t>
            </w:r>
            <w:r>
              <w:rPr>
                <w:rStyle w:val="IndexLink"/>
                <w:rtl w:val="true"/>
              </w:rPr>
              <w:tab/>
            </w:r>
            <w:r>
              <w:rPr>
                <w:rStyle w:val="IndexLink"/>
              </w:rPr>
              <w:t>368</w:t>
            </w:r>
          </w:hyperlink>
        </w:p>
        <w:p>
          <w:pPr>
            <w:pStyle w:val="Contents5"/>
            <w:tabs>
              <w:tab w:val="clear" w:pos="7892"/>
              <w:tab w:val="right" w:pos="9026" w:leader="dot"/>
            </w:tabs>
            <w:rPr/>
          </w:pPr>
          <w:hyperlink w:anchor="__RefHeading___Toc1165829_1067777946">
            <w:r>
              <w:rPr>
                <w:webHidden/>
                <w:rStyle w:val="IndexLink"/>
              </w:rPr>
              <w:t>1</w:t>
            </w:r>
            <w:r>
              <w:rPr>
                <w:rStyle w:val="IndexLink"/>
                <w:rtl w:val="true"/>
              </w:rPr>
              <w:t xml:space="preserve">. </w:t>
            </w:r>
            <w:r>
              <w:rPr>
                <w:rStyle w:val="IndexLink"/>
                <w:rtl w:val="true"/>
              </w:rPr>
              <w:t>الصحيح المعافى</w:t>
            </w:r>
            <w:r>
              <w:rPr>
                <w:rStyle w:val="IndexLink"/>
                <w:rtl w:val="true"/>
              </w:rPr>
              <w:tab/>
            </w:r>
            <w:r>
              <w:rPr>
                <w:rStyle w:val="IndexLink"/>
              </w:rPr>
              <w:t>369</w:t>
            </w:r>
          </w:hyperlink>
        </w:p>
        <w:p>
          <w:pPr>
            <w:pStyle w:val="Contents5"/>
            <w:tabs>
              <w:tab w:val="clear" w:pos="7892"/>
              <w:tab w:val="right" w:pos="9026" w:leader="dot"/>
            </w:tabs>
            <w:rPr/>
          </w:pPr>
          <w:hyperlink w:anchor="__RefHeading___Toc1165831_1067777946">
            <w:r>
              <w:rPr>
                <w:webHidden/>
                <w:rStyle w:val="IndexLink"/>
              </w:rPr>
              <w:t>2</w:t>
            </w:r>
            <w:r>
              <w:rPr>
                <w:rStyle w:val="IndexLink"/>
                <w:rtl w:val="true"/>
              </w:rPr>
              <w:t xml:space="preserve">. </w:t>
            </w:r>
            <w:r>
              <w:rPr>
                <w:rStyle w:val="IndexLink"/>
                <w:rtl w:val="true"/>
              </w:rPr>
              <w:t>المريض</w:t>
            </w:r>
            <w:r>
              <w:rPr>
                <w:rStyle w:val="IndexLink"/>
                <w:rtl w:val="true"/>
              </w:rPr>
              <w:tab/>
            </w:r>
            <w:r>
              <w:rPr>
                <w:rStyle w:val="IndexLink"/>
              </w:rPr>
              <w:t>369</w:t>
            </w:r>
          </w:hyperlink>
        </w:p>
        <w:p>
          <w:pPr>
            <w:pStyle w:val="Contents5"/>
            <w:tabs>
              <w:tab w:val="clear" w:pos="7892"/>
              <w:tab w:val="right" w:pos="9026" w:leader="dot"/>
            </w:tabs>
            <w:rPr/>
          </w:pPr>
          <w:hyperlink w:anchor="__RefHeading___Toc1165833_1067777946">
            <w:r>
              <w:rPr>
                <w:webHidden/>
                <w:rStyle w:val="IndexLink"/>
              </w:rPr>
              <w:t>3</w:t>
            </w:r>
            <w:r>
              <w:rPr>
                <w:rStyle w:val="IndexLink"/>
                <w:rtl w:val="true"/>
              </w:rPr>
              <w:t xml:space="preserve">. </w:t>
            </w:r>
            <w:r>
              <w:rPr>
                <w:rStyle w:val="IndexLink"/>
                <w:rtl w:val="true"/>
              </w:rPr>
              <w:t>المسافر</w:t>
            </w:r>
            <w:r>
              <w:rPr>
                <w:rStyle w:val="IndexLink"/>
                <w:rtl w:val="true"/>
              </w:rPr>
              <w:tab/>
            </w:r>
            <w:r>
              <w:rPr>
                <w:rStyle w:val="IndexLink"/>
              </w:rPr>
              <w:t>369</w:t>
            </w:r>
          </w:hyperlink>
        </w:p>
        <w:p>
          <w:pPr>
            <w:pStyle w:val="Contents6"/>
            <w:tabs>
              <w:tab w:val="clear" w:pos="7609"/>
              <w:tab w:val="right" w:pos="9026" w:leader="dot"/>
            </w:tabs>
            <w:rPr/>
          </w:pPr>
          <w:hyperlink w:anchor="__RefHeading___Toc1165835_1067777946">
            <w:r>
              <w:rPr>
                <w:webHidden/>
                <w:rStyle w:val="IndexLink"/>
                <w:rtl w:val="true"/>
              </w:rPr>
              <w:t>اشارة</w:t>
            </w:r>
            <w:r>
              <w:rPr>
                <w:rStyle w:val="IndexLink"/>
                <w:rtl w:val="true"/>
              </w:rPr>
              <w:tab/>
            </w:r>
            <w:r>
              <w:rPr>
                <w:rStyle w:val="IndexLink"/>
              </w:rPr>
              <w:t>369</w:t>
            </w:r>
          </w:hyperlink>
        </w:p>
        <w:p>
          <w:pPr>
            <w:pStyle w:val="Contents6"/>
            <w:tabs>
              <w:tab w:val="clear" w:pos="7609"/>
              <w:tab w:val="right" w:pos="9026" w:leader="dot"/>
            </w:tabs>
            <w:rPr/>
          </w:pPr>
          <w:hyperlink w:anchor="__RefHeading___Toc1165837_1067777946">
            <w:r>
              <w:rPr>
                <w:webHidden/>
                <w:rStyle w:val="IndexLink"/>
                <w:rtl w:val="true"/>
              </w:rPr>
              <w:t xml:space="preserve">الأوّل </w:t>
            </w:r>
            <w:r>
              <w:rPr>
                <w:rStyle w:val="IndexLink"/>
                <w:rtl w:val="true"/>
              </w:rPr>
              <w:t xml:space="preserve">: </w:t>
            </w:r>
            <w:r>
              <w:rPr>
                <w:rStyle w:val="IndexLink"/>
                <w:rtl w:val="true"/>
              </w:rPr>
              <w:t>وجوب الصيام في العدّة ، آية لزوم الإفطار</w:t>
            </w:r>
            <w:r>
              <w:rPr>
                <w:rStyle w:val="IndexLink"/>
                <w:rtl w:val="true"/>
              </w:rPr>
              <w:tab/>
            </w:r>
            <w:r>
              <w:rPr>
                <w:rStyle w:val="IndexLink"/>
              </w:rPr>
              <w:t>370</w:t>
            </w:r>
          </w:hyperlink>
        </w:p>
        <w:p>
          <w:pPr>
            <w:pStyle w:val="Contents6"/>
            <w:tabs>
              <w:tab w:val="clear" w:pos="7609"/>
              <w:tab w:val="right" w:pos="9026" w:leader="dot"/>
            </w:tabs>
            <w:rPr/>
          </w:pPr>
          <w:hyperlink w:anchor="__RefHeading___Toc1165839_1067777946">
            <w:r>
              <w:rPr>
                <w:webHidden/>
                <w:rStyle w:val="IndexLink"/>
                <w:rtl w:val="true"/>
              </w:rPr>
              <w:t xml:space="preserve">الثاني </w:t>
            </w:r>
            <w:r>
              <w:rPr>
                <w:rStyle w:val="IndexLink"/>
                <w:rtl w:val="true"/>
              </w:rPr>
              <w:t xml:space="preserve">: </w:t>
            </w:r>
            <w:r>
              <w:rPr>
                <w:rStyle w:val="IndexLink"/>
                <w:rtl w:val="true"/>
              </w:rPr>
              <w:t>التقابل بين الجملتين يدلّ على حرمة الصوم</w:t>
            </w:r>
            <w:r>
              <w:rPr>
                <w:rStyle w:val="IndexLink"/>
                <w:rtl w:val="true"/>
              </w:rPr>
              <w:tab/>
            </w:r>
            <w:r>
              <w:rPr>
                <w:rStyle w:val="IndexLink"/>
              </w:rPr>
              <w:t>370</w:t>
            </w:r>
          </w:hyperlink>
        </w:p>
        <w:p>
          <w:pPr>
            <w:pStyle w:val="Contents6"/>
            <w:tabs>
              <w:tab w:val="clear" w:pos="7609"/>
              <w:tab w:val="right" w:pos="9026" w:leader="dot"/>
            </w:tabs>
            <w:rPr/>
          </w:pPr>
          <w:hyperlink w:anchor="__RefHeading___Toc1165841_1067777946">
            <w:r>
              <w:rPr>
                <w:webHidden/>
                <w:rStyle w:val="IndexLink"/>
                <w:rtl w:val="true"/>
              </w:rPr>
              <w:t xml:space="preserve">الثالث </w:t>
            </w:r>
            <w:r>
              <w:rPr>
                <w:rStyle w:val="IndexLink"/>
                <w:rtl w:val="true"/>
              </w:rPr>
              <w:t xml:space="preserve">: </w:t>
            </w:r>
            <w:r>
              <w:rPr>
                <w:rStyle w:val="IndexLink"/>
                <w:rtl w:val="true"/>
              </w:rPr>
              <w:t>المكتوب عليهما من أوّل الأمر هو صيام العدّة</w:t>
            </w:r>
            <w:r>
              <w:rPr>
                <w:rStyle w:val="IndexLink"/>
                <w:rtl w:val="true"/>
              </w:rPr>
              <w:tab/>
            </w:r>
            <w:r>
              <w:rPr>
                <w:rStyle w:val="IndexLink"/>
              </w:rPr>
              <w:t>371</w:t>
            </w:r>
          </w:hyperlink>
        </w:p>
        <w:p>
          <w:pPr>
            <w:pStyle w:val="Contents6"/>
            <w:tabs>
              <w:tab w:val="clear" w:pos="7609"/>
              <w:tab w:val="right" w:pos="9026" w:leader="dot"/>
            </w:tabs>
            <w:rPr/>
          </w:pPr>
          <w:hyperlink w:anchor="__RefHeading___Toc1165843_1067777946">
            <w:r>
              <w:rPr>
                <w:webHidden/>
                <w:rStyle w:val="IndexLink"/>
                <w:rtl w:val="true"/>
              </w:rPr>
              <w:t>اشارة</w:t>
            </w:r>
            <w:r>
              <w:rPr>
                <w:rStyle w:val="IndexLink"/>
                <w:rtl w:val="true"/>
              </w:rPr>
              <w:tab/>
            </w:r>
            <w:r>
              <w:rPr>
                <w:rStyle w:val="IndexLink"/>
              </w:rPr>
              <w:t>371</w:t>
            </w:r>
          </w:hyperlink>
        </w:p>
        <w:p>
          <w:pPr>
            <w:pStyle w:val="Contents6"/>
            <w:tabs>
              <w:tab w:val="clear" w:pos="7609"/>
              <w:tab w:val="right" w:pos="9026" w:leader="dot"/>
            </w:tabs>
            <w:rPr/>
          </w:pPr>
          <w:hyperlink w:anchor="__RefHeading___Toc1165845_1067777946">
            <w:r>
              <w:rPr>
                <w:webHidden/>
                <w:rStyle w:val="IndexLink"/>
                <w:rtl w:val="true"/>
              </w:rPr>
              <w:t>كلمات بعض المفسرين تدعم موقفنا</w:t>
            </w:r>
            <w:r>
              <w:rPr>
                <w:rStyle w:val="IndexLink"/>
                <w:rtl w:val="true"/>
              </w:rPr>
              <w:tab/>
            </w:r>
            <w:r>
              <w:rPr>
                <w:rStyle w:val="IndexLink"/>
              </w:rPr>
              <w:t>371</w:t>
            </w:r>
          </w:hyperlink>
        </w:p>
        <w:p>
          <w:pPr>
            <w:pStyle w:val="Contents6"/>
            <w:tabs>
              <w:tab w:val="clear" w:pos="7609"/>
              <w:tab w:val="right" w:pos="9026" w:leader="dot"/>
            </w:tabs>
            <w:rPr/>
          </w:pPr>
          <w:hyperlink w:anchor="__RefHeading___Toc1165847_1067777946">
            <w:r>
              <w:rPr>
                <w:webHidden/>
                <w:rStyle w:val="IndexLink"/>
                <w:rtl w:val="true"/>
              </w:rPr>
              <w:t xml:space="preserve">تقدير </w:t>
            </w:r>
            <w:r>
              <w:rPr>
                <w:rStyle w:val="IndexLink"/>
                <w:rtl w:val="true"/>
              </w:rPr>
              <w:t xml:space="preserve">« </w:t>
            </w:r>
            <w:r>
              <w:rPr>
                <w:rStyle w:val="IndexLink"/>
                <w:rtl w:val="true"/>
              </w:rPr>
              <w:t xml:space="preserve">فأفطر </w:t>
            </w:r>
            <w:r>
              <w:rPr>
                <w:rStyle w:val="IndexLink"/>
                <w:rtl w:val="true"/>
              </w:rPr>
              <w:t xml:space="preserve">» </w:t>
            </w:r>
            <w:r>
              <w:rPr>
                <w:rStyle w:val="IndexLink"/>
                <w:rtl w:val="true"/>
              </w:rPr>
              <w:t>لتطبيق الآية على المذهب</w:t>
            </w:r>
            <w:r>
              <w:rPr>
                <w:rStyle w:val="IndexLink"/>
                <w:rtl w:val="true"/>
              </w:rPr>
              <w:tab/>
            </w:r>
            <w:r>
              <w:rPr>
                <w:rStyle w:val="IndexLink"/>
              </w:rPr>
              <w:t>372</w:t>
            </w:r>
          </w:hyperlink>
        </w:p>
        <w:p>
          <w:pPr>
            <w:pStyle w:val="Contents6"/>
            <w:tabs>
              <w:tab w:val="clear" w:pos="7609"/>
              <w:tab w:val="right" w:pos="9026" w:leader="dot"/>
            </w:tabs>
            <w:rPr/>
          </w:pPr>
          <w:hyperlink w:anchor="__RefHeading___Toc1165849_1067777946">
            <w:r>
              <w:rPr>
                <w:webHidden/>
                <w:rStyle w:val="IndexLink"/>
                <w:rtl w:val="true"/>
              </w:rPr>
              <w:t xml:space="preserve">الرابع </w:t>
            </w:r>
            <w:r>
              <w:rPr>
                <w:rStyle w:val="IndexLink"/>
                <w:rtl w:val="true"/>
              </w:rPr>
              <w:t xml:space="preserve">: </w:t>
            </w:r>
            <w:r>
              <w:rPr>
                <w:rStyle w:val="IndexLink"/>
                <w:rtl w:val="true"/>
              </w:rPr>
              <w:t>ذكر المريض والمسافر في سياق واحد</w:t>
            </w:r>
            <w:r>
              <w:rPr>
                <w:rStyle w:val="IndexLink"/>
                <w:rtl w:val="true"/>
              </w:rPr>
              <w:tab/>
            </w:r>
            <w:r>
              <w:rPr>
                <w:rStyle w:val="IndexLink"/>
              </w:rPr>
              <w:t>376</w:t>
            </w:r>
          </w:hyperlink>
        </w:p>
        <w:p>
          <w:pPr>
            <w:pStyle w:val="Contents5"/>
            <w:tabs>
              <w:tab w:val="clear" w:pos="7892"/>
              <w:tab w:val="right" w:pos="9026" w:leader="dot"/>
            </w:tabs>
            <w:rPr/>
          </w:pPr>
          <w:hyperlink w:anchor="__RefHeading___Toc1165851_1067777946">
            <w:r>
              <w:rPr>
                <w:webHidden/>
                <w:rStyle w:val="IndexLink"/>
              </w:rPr>
              <w:t>4</w:t>
            </w:r>
            <w:r>
              <w:rPr>
                <w:rStyle w:val="IndexLink"/>
                <w:rtl w:val="true"/>
              </w:rPr>
              <w:t xml:space="preserve">. </w:t>
            </w:r>
            <w:r>
              <w:rPr>
                <w:rStyle w:val="IndexLink"/>
                <w:rtl w:val="true"/>
              </w:rPr>
              <w:t>المطيق</w:t>
            </w:r>
            <w:r>
              <w:rPr>
                <w:rStyle w:val="IndexLink"/>
                <w:rtl w:val="true"/>
              </w:rPr>
              <w:tab/>
            </w:r>
            <w:r>
              <w:rPr>
                <w:rStyle w:val="IndexLink"/>
              </w:rPr>
              <w:t>377</w:t>
            </w:r>
          </w:hyperlink>
        </w:p>
        <w:p>
          <w:pPr>
            <w:pStyle w:val="Contents6"/>
            <w:tabs>
              <w:tab w:val="clear" w:pos="7609"/>
              <w:tab w:val="right" w:pos="9026" w:leader="dot"/>
            </w:tabs>
            <w:rPr/>
          </w:pPr>
          <w:hyperlink w:anchor="__RefHeading___Toc1165853_1067777946">
            <w:r>
              <w:rPr>
                <w:webHidden/>
                <w:rStyle w:val="IndexLink"/>
                <w:rtl w:val="true"/>
              </w:rPr>
              <w:t>اشارة</w:t>
            </w:r>
            <w:r>
              <w:rPr>
                <w:rStyle w:val="IndexLink"/>
                <w:rtl w:val="true"/>
              </w:rPr>
              <w:tab/>
            </w:r>
            <w:r>
              <w:rPr>
                <w:rStyle w:val="IndexLink"/>
              </w:rPr>
              <w:t>377</w:t>
            </w:r>
          </w:hyperlink>
        </w:p>
        <w:p>
          <w:pPr>
            <w:pStyle w:val="Contents6"/>
            <w:tabs>
              <w:tab w:val="clear" w:pos="7609"/>
              <w:tab w:val="right" w:pos="9026" w:leader="dot"/>
            </w:tabs>
            <w:rPr/>
          </w:pPr>
          <w:hyperlink w:anchor="__RefHeading___Toc1165855_1067777946">
            <w:r>
              <w:rPr>
                <w:webHidden/>
                <w:rStyle w:val="IndexLink"/>
                <w:rtl w:val="true"/>
              </w:rPr>
              <w:t xml:space="preserve">من هو المخاطب في قوله </w:t>
            </w:r>
            <w:r>
              <w:rPr>
                <w:rStyle w:val="IndexLink"/>
                <w:rtl w:val="true"/>
              </w:rPr>
              <w:t xml:space="preserve">( </w:t>
            </w:r>
            <w:r>
              <w:rPr>
                <w:rStyle w:val="IndexLink"/>
                <w:rtl w:val="true"/>
              </w:rPr>
              <w:t xml:space="preserve">وَأَنْ تَصُومُوا خَيْرٌ لَكُمْ </w:t>
            </w:r>
            <w:r>
              <w:rPr>
                <w:rStyle w:val="IndexLink"/>
                <w:rtl w:val="true"/>
              </w:rPr>
              <w:t>)</w:t>
            </w:r>
            <w:r>
              <w:rPr>
                <w:rStyle w:val="IndexLink"/>
                <w:rtl w:val="true"/>
              </w:rPr>
              <w:t>؟</w:t>
            </w:r>
            <w:r>
              <w:rPr>
                <w:rStyle w:val="IndexLink"/>
                <w:rtl w:val="true"/>
              </w:rPr>
              <w:tab/>
            </w:r>
            <w:r>
              <w:rPr>
                <w:rStyle w:val="IndexLink"/>
              </w:rPr>
              <w:t>379</w:t>
            </w:r>
          </w:hyperlink>
        </w:p>
        <w:p>
          <w:pPr>
            <w:pStyle w:val="Contents4"/>
            <w:tabs>
              <w:tab w:val="clear" w:pos="8176"/>
              <w:tab w:val="right" w:pos="9026" w:leader="dot"/>
            </w:tabs>
            <w:rPr/>
          </w:pPr>
          <w:hyperlink w:anchor="__RefHeading___Toc1165857_1067777946">
            <w:r>
              <w:rPr>
                <w:webHidden/>
                <w:rStyle w:val="IndexLink"/>
              </w:rPr>
              <w:t>2</w:t>
            </w:r>
            <w:r>
              <w:rPr>
                <w:rStyle w:val="IndexLink"/>
                <w:rtl w:val="true"/>
              </w:rPr>
              <w:t xml:space="preserve">. </w:t>
            </w:r>
            <w:r>
              <w:rPr>
                <w:rStyle w:val="IndexLink"/>
                <w:rtl w:val="true"/>
              </w:rPr>
              <w:t>السنّة وصوم رمضان في السفر</w:t>
            </w:r>
            <w:r>
              <w:rPr>
                <w:rStyle w:val="IndexLink"/>
                <w:rtl w:val="true"/>
              </w:rPr>
              <w:tab/>
            </w:r>
            <w:r>
              <w:rPr>
                <w:rStyle w:val="IndexLink"/>
              </w:rPr>
              <w:t>382</w:t>
            </w:r>
          </w:hyperlink>
        </w:p>
        <w:p>
          <w:pPr>
            <w:pStyle w:val="Contents4"/>
            <w:tabs>
              <w:tab w:val="clear" w:pos="8176"/>
              <w:tab w:val="right" w:pos="9026" w:leader="dot"/>
            </w:tabs>
            <w:rPr/>
          </w:pPr>
          <w:hyperlink w:anchor="__RefHeading___Toc1165859_1067777946">
            <w:r>
              <w:rPr>
                <w:webHidden/>
                <w:rStyle w:val="IndexLink"/>
              </w:rPr>
              <w:t>3</w:t>
            </w:r>
            <w:r>
              <w:rPr>
                <w:rStyle w:val="IndexLink"/>
                <w:rtl w:val="true"/>
              </w:rPr>
              <w:t xml:space="preserve">. </w:t>
            </w:r>
            <w:r>
              <w:rPr>
                <w:rStyle w:val="IndexLink"/>
                <w:rtl w:val="true"/>
              </w:rPr>
              <w:t>ما اتّخذ ذريعة لجواز الصوم في السفر</w:t>
            </w:r>
            <w:r>
              <w:rPr>
                <w:rStyle w:val="IndexLink"/>
                <w:rtl w:val="true"/>
              </w:rPr>
              <w:tab/>
            </w:r>
            <w:r>
              <w:rPr>
                <w:rStyle w:val="IndexLink"/>
              </w:rPr>
              <w:t>387</w:t>
            </w:r>
          </w:hyperlink>
        </w:p>
        <w:p>
          <w:pPr>
            <w:pStyle w:val="Contents5"/>
            <w:tabs>
              <w:tab w:val="clear" w:pos="7892"/>
              <w:tab w:val="right" w:pos="9026" w:leader="dot"/>
            </w:tabs>
            <w:rPr/>
          </w:pPr>
          <w:hyperlink w:anchor="__RefHeading___Toc1165861_1067777946">
            <w:r>
              <w:rPr>
                <w:webHidden/>
                <w:rStyle w:val="IndexLink"/>
                <w:rtl w:val="true"/>
              </w:rPr>
              <w:t>اشارة</w:t>
            </w:r>
            <w:r>
              <w:rPr>
                <w:rStyle w:val="IndexLink"/>
                <w:rtl w:val="true"/>
              </w:rPr>
              <w:tab/>
            </w:r>
            <w:r>
              <w:rPr>
                <w:rStyle w:val="IndexLink"/>
              </w:rPr>
              <w:t>387</w:t>
            </w:r>
          </w:hyperlink>
        </w:p>
        <w:p>
          <w:pPr>
            <w:pStyle w:val="Contents5"/>
            <w:tabs>
              <w:tab w:val="clear" w:pos="7892"/>
              <w:tab w:val="right" w:pos="9026" w:leader="dot"/>
            </w:tabs>
            <w:rPr/>
          </w:pPr>
          <w:hyperlink w:anchor="__RefHeading___Toc1165863_1067777946">
            <w:r>
              <w:rPr>
                <w:webHidden/>
                <w:rStyle w:val="IndexLink"/>
                <w:rtl w:val="true"/>
              </w:rPr>
              <w:t>أ</w:t>
            </w:r>
            <w:r>
              <w:rPr>
                <w:rStyle w:val="IndexLink"/>
                <w:rtl w:val="true"/>
              </w:rPr>
              <w:t xml:space="preserve">. </w:t>
            </w:r>
            <w:r>
              <w:rPr>
                <w:rStyle w:val="IndexLink"/>
                <w:rtl w:val="true"/>
              </w:rPr>
              <w:t>ما ليس صريحا في شهر رمضان</w:t>
            </w:r>
            <w:r>
              <w:rPr>
                <w:rStyle w:val="IndexLink"/>
                <w:rtl w:val="true"/>
              </w:rPr>
              <w:tab/>
            </w:r>
            <w:r>
              <w:rPr>
                <w:rStyle w:val="IndexLink"/>
              </w:rPr>
              <w:t>388</w:t>
            </w:r>
          </w:hyperlink>
        </w:p>
        <w:p>
          <w:pPr>
            <w:pStyle w:val="Contents5"/>
            <w:tabs>
              <w:tab w:val="clear" w:pos="7892"/>
              <w:tab w:val="right" w:pos="9026" w:leader="dot"/>
            </w:tabs>
            <w:rPr/>
          </w:pPr>
          <w:hyperlink w:anchor="__RefHeading___Toc1165865_1067777946">
            <w:r>
              <w:rPr>
                <w:webHidden/>
                <w:rStyle w:val="IndexLink"/>
                <w:rtl w:val="true"/>
              </w:rPr>
              <w:t xml:space="preserve">ب </w:t>
            </w:r>
            <w:r>
              <w:rPr>
                <w:rStyle w:val="IndexLink"/>
                <w:rtl w:val="true"/>
              </w:rPr>
              <w:t xml:space="preserve">: </w:t>
            </w:r>
            <w:r>
              <w:rPr>
                <w:rStyle w:val="IndexLink"/>
                <w:rtl w:val="true"/>
              </w:rPr>
              <w:t>ما هو صريح في شهر رمضان وليس صريحا في ما بعد الفتح</w:t>
            </w:r>
            <w:r>
              <w:rPr>
                <w:rStyle w:val="IndexLink"/>
                <w:rtl w:val="true"/>
              </w:rPr>
              <w:tab/>
            </w:r>
            <w:r>
              <w:rPr>
                <w:rStyle w:val="IndexLink"/>
              </w:rPr>
              <w:t>389</w:t>
            </w:r>
          </w:hyperlink>
        </w:p>
        <w:p>
          <w:pPr>
            <w:pStyle w:val="Contents5"/>
            <w:tabs>
              <w:tab w:val="clear" w:pos="7892"/>
              <w:tab w:val="right" w:pos="9026" w:leader="dot"/>
            </w:tabs>
            <w:rPr/>
          </w:pPr>
          <w:hyperlink w:anchor="__RefHeading___Toc1165867_1067777946">
            <w:r>
              <w:rPr>
                <w:webHidden/>
                <w:rStyle w:val="IndexLink"/>
                <w:rtl w:val="true"/>
              </w:rPr>
              <w:t xml:space="preserve">ج </w:t>
            </w:r>
            <w:r>
              <w:rPr>
                <w:rStyle w:val="IndexLink"/>
                <w:rtl w:val="true"/>
              </w:rPr>
              <w:t xml:space="preserve">: </w:t>
            </w:r>
            <w:r>
              <w:rPr>
                <w:rStyle w:val="IndexLink"/>
                <w:rtl w:val="true"/>
              </w:rPr>
              <w:t>ما هو ضعيف سندا لا يحتجّ به</w:t>
            </w:r>
            <w:r>
              <w:rPr>
                <w:rStyle w:val="IndexLink"/>
                <w:rtl w:val="true"/>
              </w:rPr>
              <w:tab/>
            </w:r>
            <w:r>
              <w:rPr>
                <w:rStyle w:val="IndexLink"/>
              </w:rPr>
              <w:t>390</w:t>
            </w:r>
          </w:hyperlink>
        </w:p>
        <w:p>
          <w:pPr>
            <w:pStyle w:val="Contents2"/>
            <w:tabs>
              <w:tab w:val="clear" w:pos="8743"/>
              <w:tab w:val="right" w:pos="9026" w:leader="dot"/>
            </w:tabs>
            <w:rPr/>
          </w:pPr>
          <w:hyperlink w:anchor="__RefHeading___Toc1165869_1067777946">
            <w:r>
              <w:rPr>
                <w:webHidden/>
                <w:rStyle w:val="IndexLink"/>
              </w:rPr>
              <w:t>10</w:t>
            </w:r>
            <w:r>
              <w:rPr>
                <w:rStyle w:val="IndexLink"/>
                <w:rtl w:val="true"/>
              </w:rPr>
              <w:t xml:space="preserve">. </w:t>
            </w:r>
            <w:r>
              <w:rPr>
                <w:rStyle w:val="IndexLink"/>
                <w:rtl w:val="true"/>
              </w:rPr>
              <w:t>صلاة التراويح</w:t>
            </w:r>
            <w:r>
              <w:rPr>
                <w:rStyle w:val="IndexLink"/>
                <w:rtl w:val="true"/>
              </w:rPr>
              <w:tab/>
            </w:r>
            <w:r>
              <w:rPr>
                <w:rStyle w:val="IndexLink"/>
              </w:rPr>
              <w:t>391</w:t>
            </w:r>
          </w:hyperlink>
        </w:p>
        <w:p>
          <w:pPr>
            <w:pStyle w:val="Contents3"/>
            <w:tabs>
              <w:tab w:val="clear" w:pos="8459"/>
              <w:tab w:val="right" w:pos="9026" w:leader="dot"/>
            </w:tabs>
            <w:rPr/>
          </w:pPr>
          <w:hyperlink w:anchor="__RefHeading___Toc1165871_1067777946">
            <w:r>
              <w:rPr>
                <w:webHidden/>
                <w:rStyle w:val="IndexLink"/>
                <w:rtl w:val="true"/>
              </w:rPr>
              <w:t>اشارة</w:t>
            </w:r>
            <w:r>
              <w:rPr>
                <w:rStyle w:val="IndexLink"/>
                <w:rtl w:val="true"/>
              </w:rPr>
              <w:tab/>
            </w:r>
            <w:r>
              <w:rPr>
                <w:rStyle w:val="IndexLink"/>
              </w:rPr>
              <w:t>391</w:t>
            </w:r>
          </w:hyperlink>
        </w:p>
        <w:p>
          <w:pPr>
            <w:pStyle w:val="Contents3"/>
            <w:tabs>
              <w:tab w:val="clear" w:pos="8459"/>
              <w:tab w:val="right" w:pos="9026" w:leader="dot"/>
            </w:tabs>
            <w:rPr/>
          </w:pPr>
          <w:hyperlink w:anchor="__RefHeading___Toc1165873_1067777946">
            <w:r>
              <w:rPr>
                <w:webHidden/>
                <w:rStyle w:val="IndexLink"/>
              </w:rPr>
              <w:t>1</w:t>
            </w:r>
            <w:r>
              <w:rPr>
                <w:rStyle w:val="IndexLink"/>
                <w:rtl w:val="true"/>
              </w:rPr>
              <w:t xml:space="preserve">. </w:t>
            </w:r>
            <w:r>
              <w:rPr>
                <w:rStyle w:val="IndexLink"/>
                <w:rtl w:val="true"/>
              </w:rPr>
              <w:t>التراويح لغة واصطلاحا</w:t>
            </w:r>
            <w:r>
              <w:rPr>
                <w:rStyle w:val="IndexLink"/>
                <w:rtl w:val="true"/>
              </w:rPr>
              <w:tab/>
            </w:r>
            <w:r>
              <w:rPr>
                <w:rStyle w:val="IndexLink"/>
              </w:rPr>
              <w:t>393</w:t>
            </w:r>
          </w:hyperlink>
        </w:p>
        <w:p>
          <w:pPr>
            <w:pStyle w:val="Contents3"/>
            <w:tabs>
              <w:tab w:val="clear" w:pos="8459"/>
              <w:tab w:val="right" w:pos="9026" w:leader="dot"/>
            </w:tabs>
            <w:rPr/>
          </w:pPr>
          <w:hyperlink w:anchor="__RefHeading___Toc1165875_1067777946">
            <w:r>
              <w:rPr>
                <w:webHidden/>
                <w:rStyle w:val="IndexLink"/>
              </w:rPr>
              <w:t>2</w:t>
            </w:r>
            <w:r>
              <w:rPr>
                <w:rStyle w:val="IndexLink"/>
                <w:rtl w:val="true"/>
              </w:rPr>
              <w:t xml:space="preserve">. </w:t>
            </w:r>
            <w:r>
              <w:rPr>
                <w:rStyle w:val="IndexLink"/>
                <w:rtl w:val="true"/>
              </w:rPr>
              <w:t>قيام ليالي رمضان بالتطوع</w:t>
            </w:r>
            <w:r>
              <w:rPr>
                <w:rStyle w:val="IndexLink"/>
                <w:rtl w:val="true"/>
              </w:rPr>
              <w:tab/>
            </w:r>
            <w:r>
              <w:rPr>
                <w:rStyle w:val="IndexLink"/>
              </w:rPr>
              <w:t>394</w:t>
            </w:r>
          </w:hyperlink>
        </w:p>
        <w:p>
          <w:pPr>
            <w:pStyle w:val="Contents4"/>
            <w:tabs>
              <w:tab w:val="clear" w:pos="8176"/>
              <w:tab w:val="right" w:pos="9026" w:leader="dot"/>
            </w:tabs>
            <w:rPr/>
          </w:pPr>
          <w:hyperlink w:anchor="__RefHeading___Toc1165877_1067777946">
            <w:r>
              <w:rPr>
                <w:webHidden/>
                <w:rStyle w:val="IndexLink"/>
                <w:rtl w:val="true"/>
              </w:rPr>
              <w:t>سنّة مؤكّدة</w:t>
            </w:r>
            <w:r>
              <w:rPr>
                <w:rStyle w:val="IndexLink"/>
                <w:rtl w:val="true"/>
              </w:rPr>
              <w:tab/>
            </w:r>
            <w:r>
              <w:rPr>
                <w:rStyle w:val="IndexLink"/>
              </w:rPr>
              <w:t>394</w:t>
            </w:r>
          </w:hyperlink>
        </w:p>
        <w:p>
          <w:pPr>
            <w:pStyle w:val="Contents3"/>
            <w:tabs>
              <w:tab w:val="clear" w:pos="8459"/>
              <w:tab w:val="right" w:pos="9026" w:leader="dot"/>
            </w:tabs>
            <w:rPr/>
          </w:pPr>
          <w:hyperlink w:anchor="__RefHeading___Toc1165879_1067777946">
            <w:r>
              <w:rPr>
                <w:webHidden/>
                <w:rStyle w:val="IndexLink"/>
              </w:rPr>
              <w:t>3</w:t>
            </w:r>
            <w:r>
              <w:rPr>
                <w:rStyle w:val="IndexLink"/>
                <w:rtl w:val="true"/>
              </w:rPr>
              <w:t xml:space="preserve">. </w:t>
            </w:r>
            <w:r>
              <w:rPr>
                <w:rStyle w:val="IndexLink"/>
                <w:rtl w:val="true"/>
              </w:rPr>
              <w:t>خير صلاة المرء في بيته إلاّ المكتوبة</w:t>
            </w:r>
            <w:r>
              <w:rPr>
                <w:rStyle w:val="IndexLink"/>
                <w:rtl w:val="true"/>
              </w:rPr>
              <w:tab/>
            </w:r>
            <w:r>
              <w:rPr>
                <w:rStyle w:val="IndexLink"/>
              </w:rPr>
              <w:t>396</w:t>
            </w:r>
          </w:hyperlink>
        </w:p>
        <w:p>
          <w:pPr>
            <w:pStyle w:val="Contents3"/>
            <w:tabs>
              <w:tab w:val="clear" w:pos="8459"/>
              <w:tab w:val="right" w:pos="9026" w:leader="dot"/>
            </w:tabs>
            <w:rPr/>
          </w:pPr>
          <w:hyperlink w:anchor="__RefHeading___Toc1165881_1067777946">
            <w:r>
              <w:rPr>
                <w:webHidden/>
                <w:rStyle w:val="IndexLink"/>
              </w:rPr>
              <w:t>4</w:t>
            </w:r>
            <w:r>
              <w:rPr>
                <w:rStyle w:val="IndexLink"/>
                <w:rtl w:val="true"/>
              </w:rPr>
              <w:t xml:space="preserve">. </w:t>
            </w:r>
            <w:r>
              <w:rPr>
                <w:rStyle w:val="IndexLink"/>
                <w:rtl w:val="true"/>
              </w:rPr>
              <w:t>صلاة التراويح جماعة عند الإماميّة</w:t>
            </w:r>
            <w:r>
              <w:rPr>
                <w:rStyle w:val="IndexLink"/>
                <w:rtl w:val="true"/>
              </w:rPr>
              <w:tab/>
            </w:r>
            <w:r>
              <w:rPr>
                <w:rStyle w:val="IndexLink"/>
              </w:rPr>
              <w:t>401</w:t>
            </w:r>
          </w:hyperlink>
        </w:p>
        <w:p>
          <w:pPr>
            <w:pStyle w:val="Contents3"/>
            <w:tabs>
              <w:tab w:val="clear" w:pos="8459"/>
              <w:tab w:val="right" w:pos="9026" w:leader="dot"/>
            </w:tabs>
            <w:rPr/>
          </w:pPr>
          <w:hyperlink w:anchor="__RefHeading___Toc1165883_1067777946">
            <w:r>
              <w:rPr>
                <w:webHidden/>
                <w:rStyle w:val="IndexLink"/>
              </w:rPr>
              <w:t>5</w:t>
            </w:r>
            <w:r>
              <w:rPr>
                <w:rStyle w:val="IndexLink"/>
                <w:rtl w:val="true"/>
              </w:rPr>
              <w:t xml:space="preserve">. </w:t>
            </w:r>
            <w:r>
              <w:rPr>
                <w:rStyle w:val="IndexLink"/>
                <w:rtl w:val="true"/>
              </w:rPr>
              <w:t>صلاة التراويح جماعة عند أهل السنّة</w:t>
            </w:r>
            <w:r>
              <w:rPr>
                <w:rStyle w:val="IndexLink"/>
                <w:rtl w:val="true"/>
              </w:rPr>
              <w:tab/>
            </w:r>
            <w:r>
              <w:rPr>
                <w:rStyle w:val="IndexLink"/>
              </w:rPr>
              <w:t>404</w:t>
            </w:r>
          </w:hyperlink>
        </w:p>
        <w:p>
          <w:pPr>
            <w:pStyle w:val="Contents3"/>
            <w:tabs>
              <w:tab w:val="clear" w:pos="8459"/>
              <w:tab w:val="right" w:pos="9026" w:leader="dot"/>
            </w:tabs>
            <w:rPr/>
          </w:pPr>
          <w:hyperlink w:anchor="__RefHeading___Toc1165885_1067777946">
            <w:r>
              <w:rPr>
                <w:webHidden/>
                <w:rStyle w:val="IndexLink"/>
              </w:rPr>
              <w:t>6</w:t>
            </w:r>
            <w:r>
              <w:rPr>
                <w:rStyle w:val="IndexLink"/>
                <w:rtl w:val="true"/>
              </w:rPr>
              <w:t xml:space="preserve">. </w:t>
            </w:r>
            <w:r>
              <w:rPr>
                <w:rStyle w:val="IndexLink"/>
                <w:rtl w:val="true"/>
              </w:rPr>
              <w:t>صلاة التراويح جماعة في حديث الرسول صلى الله عليه وآله وسلم</w:t>
            </w:r>
            <w:r>
              <w:rPr>
                <w:rStyle w:val="IndexLink"/>
                <w:rtl w:val="true"/>
              </w:rPr>
              <w:tab/>
            </w:r>
            <w:r>
              <w:rPr>
                <w:rStyle w:val="IndexLink"/>
              </w:rPr>
              <w:t>407</w:t>
            </w:r>
          </w:hyperlink>
        </w:p>
        <w:p>
          <w:pPr>
            <w:pStyle w:val="Contents4"/>
            <w:tabs>
              <w:tab w:val="clear" w:pos="8176"/>
              <w:tab w:val="right" w:pos="9026" w:leader="dot"/>
            </w:tabs>
            <w:rPr/>
          </w:pPr>
          <w:hyperlink w:anchor="__RefHeading___Toc1165887_1067777946">
            <w:r>
              <w:rPr>
                <w:webHidden/>
                <w:rStyle w:val="IndexLink"/>
                <w:rtl w:val="true"/>
              </w:rPr>
              <w:t>اشارة</w:t>
            </w:r>
            <w:r>
              <w:rPr>
                <w:rStyle w:val="IndexLink"/>
                <w:rtl w:val="true"/>
              </w:rPr>
              <w:tab/>
            </w:r>
            <w:r>
              <w:rPr>
                <w:rStyle w:val="IndexLink"/>
              </w:rPr>
              <w:t>407</w:t>
            </w:r>
          </w:hyperlink>
        </w:p>
        <w:p>
          <w:pPr>
            <w:pStyle w:val="Contents4"/>
            <w:tabs>
              <w:tab w:val="clear" w:pos="8176"/>
              <w:tab w:val="right" w:pos="9026" w:leader="dot"/>
            </w:tabs>
            <w:rPr/>
          </w:pPr>
          <w:hyperlink w:anchor="__RefHeading___Toc1165889_1067777946">
            <w:r>
              <w:rPr>
                <w:webHidden/>
                <w:rStyle w:val="IndexLink"/>
              </w:rPr>
              <w:t>1</w:t>
            </w:r>
            <w:r>
              <w:rPr>
                <w:rStyle w:val="IndexLink"/>
                <w:rtl w:val="true"/>
              </w:rPr>
              <w:t xml:space="preserve">. </w:t>
            </w:r>
            <w:r>
              <w:rPr>
                <w:rStyle w:val="IndexLink"/>
                <w:rtl w:val="true"/>
              </w:rPr>
              <w:t>إقامتها ليلة واحدة</w:t>
            </w:r>
            <w:r>
              <w:rPr>
                <w:rStyle w:val="IndexLink"/>
                <w:rtl w:val="true"/>
              </w:rPr>
              <w:tab/>
            </w:r>
            <w:r>
              <w:rPr>
                <w:rStyle w:val="IndexLink"/>
              </w:rPr>
              <w:t>407</w:t>
            </w:r>
          </w:hyperlink>
        </w:p>
        <w:p>
          <w:pPr>
            <w:pStyle w:val="Contents5"/>
            <w:tabs>
              <w:tab w:val="clear" w:pos="7892"/>
              <w:tab w:val="right" w:pos="9026" w:leader="dot"/>
            </w:tabs>
            <w:rPr/>
          </w:pPr>
          <w:hyperlink w:anchor="__RefHeading___Toc1165891_1067777946">
            <w:r>
              <w:rPr>
                <w:webHidden/>
                <w:rStyle w:val="IndexLink"/>
                <w:rtl w:val="true"/>
              </w:rPr>
              <w:t>اشارة</w:t>
            </w:r>
            <w:r>
              <w:rPr>
                <w:rStyle w:val="IndexLink"/>
                <w:rtl w:val="true"/>
              </w:rPr>
              <w:tab/>
            </w:r>
            <w:r>
              <w:rPr>
                <w:rStyle w:val="IndexLink"/>
              </w:rPr>
              <w:t>407</w:t>
            </w:r>
          </w:hyperlink>
        </w:p>
        <w:p>
          <w:pPr>
            <w:pStyle w:val="Contents5"/>
            <w:tabs>
              <w:tab w:val="clear" w:pos="7892"/>
              <w:tab w:val="right" w:pos="9026" w:leader="dot"/>
            </w:tabs>
            <w:rPr/>
          </w:pPr>
          <w:hyperlink w:anchor="__RefHeading___Toc1165893_1067777946">
            <w:r>
              <w:rPr>
                <w:webHidden/>
                <w:rStyle w:val="IndexLink"/>
                <w:rtl w:val="true"/>
              </w:rPr>
              <w:t>تفسير لغات الحديث</w:t>
            </w:r>
            <w:r>
              <w:rPr>
                <w:rStyle w:val="IndexLink"/>
                <w:rtl w:val="true"/>
              </w:rPr>
              <w:tab/>
            </w:r>
            <w:r>
              <w:rPr>
                <w:rStyle w:val="IndexLink"/>
              </w:rPr>
              <w:t>408</w:t>
            </w:r>
          </w:hyperlink>
        </w:p>
        <w:p>
          <w:pPr>
            <w:pStyle w:val="Contents4"/>
            <w:tabs>
              <w:tab w:val="clear" w:pos="8176"/>
              <w:tab w:val="right" w:pos="9026" w:leader="dot"/>
            </w:tabs>
            <w:rPr/>
          </w:pPr>
          <w:hyperlink w:anchor="__RefHeading___Toc1165895_1067777946">
            <w:r>
              <w:rPr>
                <w:webHidden/>
                <w:rStyle w:val="IndexLink"/>
              </w:rPr>
              <w:t>2</w:t>
            </w:r>
            <w:r>
              <w:rPr>
                <w:rStyle w:val="IndexLink"/>
                <w:rtl w:val="true"/>
              </w:rPr>
              <w:t xml:space="preserve">. </w:t>
            </w:r>
            <w:r>
              <w:rPr>
                <w:rStyle w:val="IndexLink"/>
                <w:rtl w:val="true"/>
              </w:rPr>
              <w:t>إقامتها ليلتين</w:t>
            </w:r>
            <w:r>
              <w:rPr>
                <w:rStyle w:val="IndexLink"/>
                <w:rtl w:val="true"/>
              </w:rPr>
              <w:tab/>
            </w:r>
            <w:r>
              <w:rPr>
                <w:rStyle w:val="IndexLink"/>
              </w:rPr>
              <w:t>408</w:t>
            </w:r>
          </w:hyperlink>
        </w:p>
        <w:p>
          <w:pPr>
            <w:pStyle w:val="Contents4"/>
            <w:tabs>
              <w:tab w:val="clear" w:pos="8176"/>
              <w:tab w:val="right" w:pos="9026" w:leader="dot"/>
            </w:tabs>
            <w:rPr/>
          </w:pPr>
          <w:hyperlink w:anchor="__RefHeading___Toc1165897_1067777946">
            <w:r>
              <w:rPr>
                <w:webHidden/>
                <w:rStyle w:val="IndexLink"/>
              </w:rPr>
              <w:t>3</w:t>
            </w:r>
            <w:r>
              <w:rPr>
                <w:rStyle w:val="IndexLink"/>
                <w:rtl w:val="true"/>
              </w:rPr>
              <w:t xml:space="preserve">. </w:t>
            </w:r>
            <w:r>
              <w:rPr>
                <w:rStyle w:val="IndexLink"/>
                <w:rtl w:val="true"/>
              </w:rPr>
              <w:t>إقامتها ثلاث ليال</w:t>
            </w:r>
            <w:r>
              <w:rPr>
                <w:rStyle w:val="IndexLink"/>
                <w:rtl w:val="true"/>
              </w:rPr>
              <w:tab/>
            </w:r>
            <w:r>
              <w:rPr>
                <w:rStyle w:val="IndexLink"/>
              </w:rPr>
              <w:t>409</w:t>
            </w:r>
          </w:hyperlink>
        </w:p>
        <w:p>
          <w:pPr>
            <w:pStyle w:val="Contents5"/>
            <w:tabs>
              <w:tab w:val="clear" w:pos="7892"/>
              <w:tab w:val="right" w:pos="9026" w:leader="dot"/>
            </w:tabs>
            <w:rPr/>
          </w:pPr>
          <w:hyperlink w:anchor="__RefHeading___Toc1165899_1067777946">
            <w:r>
              <w:rPr>
                <w:webHidden/>
                <w:rStyle w:val="IndexLink"/>
                <w:rtl w:val="true"/>
              </w:rPr>
              <w:t>اشارة</w:t>
            </w:r>
            <w:r>
              <w:rPr>
                <w:rStyle w:val="IndexLink"/>
                <w:rtl w:val="true"/>
              </w:rPr>
              <w:tab/>
            </w:r>
            <w:r>
              <w:rPr>
                <w:rStyle w:val="IndexLink"/>
              </w:rPr>
              <w:t>409</w:t>
            </w:r>
          </w:hyperlink>
        </w:p>
        <w:p>
          <w:pPr>
            <w:pStyle w:val="Contents5"/>
            <w:tabs>
              <w:tab w:val="clear" w:pos="7892"/>
              <w:tab w:val="right" w:pos="9026" w:leader="dot"/>
            </w:tabs>
            <w:rPr/>
          </w:pPr>
          <w:hyperlink w:anchor="__RefHeading___Toc1165901_1067777946">
            <w:r>
              <w:rPr>
                <w:webHidden/>
                <w:rStyle w:val="IndexLink"/>
              </w:rPr>
              <w:t>1</w:t>
            </w:r>
            <w:r>
              <w:rPr>
                <w:rStyle w:val="IndexLink"/>
                <w:rtl w:val="true"/>
              </w:rPr>
              <w:t xml:space="preserve">. </w:t>
            </w:r>
            <w:r>
              <w:rPr>
                <w:rStyle w:val="IndexLink"/>
                <w:rtl w:val="true"/>
              </w:rPr>
              <w:t>الاختلاف في عدد الليالي وتواليها ومواضعها</w:t>
            </w:r>
            <w:r>
              <w:rPr>
                <w:rStyle w:val="IndexLink"/>
                <w:rtl w:val="true"/>
              </w:rPr>
              <w:tab/>
            </w:r>
            <w:r>
              <w:rPr>
                <w:rStyle w:val="IndexLink"/>
              </w:rPr>
              <w:t>410</w:t>
            </w:r>
          </w:hyperlink>
        </w:p>
        <w:p>
          <w:pPr>
            <w:pStyle w:val="Contents5"/>
            <w:tabs>
              <w:tab w:val="clear" w:pos="7892"/>
              <w:tab w:val="right" w:pos="9026" w:leader="dot"/>
            </w:tabs>
            <w:rPr/>
          </w:pPr>
          <w:hyperlink w:anchor="__RefHeading___Toc1165903_1067777946">
            <w:r>
              <w:rPr>
                <w:webHidden/>
                <w:rStyle w:val="IndexLink"/>
              </w:rPr>
              <w:t>2</w:t>
            </w:r>
            <w:r>
              <w:rPr>
                <w:rStyle w:val="IndexLink"/>
                <w:rtl w:val="true"/>
              </w:rPr>
              <w:t xml:space="preserve">. </w:t>
            </w:r>
            <w:r>
              <w:rPr>
                <w:rStyle w:val="IndexLink"/>
                <w:rtl w:val="true"/>
              </w:rPr>
              <w:t>عدم إناطة التشريع برغبة الناس</w:t>
            </w:r>
            <w:r>
              <w:rPr>
                <w:rStyle w:val="IndexLink"/>
                <w:rtl w:val="true"/>
              </w:rPr>
              <w:tab/>
            </w:r>
            <w:r>
              <w:rPr>
                <w:rStyle w:val="IndexLink"/>
              </w:rPr>
              <w:t>411</w:t>
            </w:r>
          </w:hyperlink>
        </w:p>
        <w:p>
          <w:pPr>
            <w:pStyle w:val="Contents5"/>
            <w:tabs>
              <w:tab w:val="clear" w:pos="7892"/>
              <w:tab w:val="right" w:pos="9026" w:leader="dot"/>
            </w:tabs>
            <w:rPr/>
          </w:pPr>
          <w:hyperlink w:anchor="__RefHeading___Toc1165905_1067777946">
            <w:r>
              <w:rPr>
                <w:webHidden/>
                <w:rStyle w:val="IndexLink"/>
              </w:rPr>
              <w:t>3</w:t>
            </w:r>
            <w:r>
              <w:rPr>
                <w:rStyle w:val="IndexLink"/>
                <w:rtl w:val="true"/>
              </w:rPr>
              <w:t xml:space="preserve">. </w:t>
            </w:r>
            <w:r>
              <w:rPr>
                <w:rStyle w:val="IndexLink"/>
                <w:rtl w:val="true"/>
              </w:rPr>
              <w:t>مخالفة التعليل لنداء المعراج</w:t>
            </w:r>
            <w:r>
              <w:rPr>
                <w:rStyle w:val="IndexLink"/>
                <w:rtl w:val="true"/>
              </w:rPr>
              <w:tab/>
            </w:r>
            <w:r>
              <w:rPr>
                <w:rStyle w:val="IndexLink"/>
              </w:rPr>
              <w:t>412</w:t>
            </w:r>
          </w:hyperlink>
        </w:p>
        <w:p>
          <w:pPr>
            <w:pStyle w:val="Contents4"/>
            <w:tabs>
              <w:tab w:val="clear" w:pos="8176"/>
              <w:tab w:val="right" w:pos="9026" w:leader="dot"/>
            </w:tabs>
            <w:rPr/>
          </w:pPr>
          <w:hyperlink w:anchor="__RefHeading___Toc1165907_1067777946">
            <w:r>
              <w:rPr>
                <w:webHidden/>
                <w:rStyle w:val="IndexLink"/>
              </w:rPr>
              <w:t>4</w:t>
            </w:r>
            <w:r>
              <w:rPr>
                <w:rStyle w:val="IndexLink"/>
                <w:rtl w:val="true"/>
              </w:rPr>
              <w:t xml:space="preserve">. </w:t>
            </w:r>
            <w:r>
              <w:rPr>
                <w:rStyle w:val="IndexLink"/>
                <w:rtl w:val="true"/>
              </w:rPr>
              <w:t>رغبة الصحابة لا يكون ملاكا للتشريع في حقّ الأجيال</w:t>
            </w:r>
            <w:r>
              <w:rPr>
                <w:rStyle w:val="IndexLink"/>
                <w:rtl w:val="true"/>
              </w:rPr>
              <w:tab/>
            </w:r>
            <w:r>
              <w:rPr>
                <w:rStyle w:val="IndexLink"/>
              </w:rPr>
              <w:t>413</w:t>
            </w:r>
          </w:hyperlink>
        </w:p>
        <w:p>
          <w:pPr>
            <w:pStyle w:val="Contents4"/>
            <w:tabs>
              <w:tab w:val="clear" w:pos="8176"/>
              <w:tab w:val="right" w:pos="9026" w:leader="dot"/>
            </w:tabs>
            <w:rPr/>
          </w:pPr>
          <w:hyperlink w:anchor="__RefHeading___Toc1165909_1067777946">
            <w:r>
              <w:rPr>
                <w:webHidden/>
                <w:rStyle w:val="IndexLink"/>
              </w:rPr>
              <w:t>5</w:t>
            </w:r>
            <w:r>
              <w:rPr>
                <w:rStyle w:val="IndexLink"/>
                <w:rtl w:val="true"/>
              </w:rPr>
              <w:t xml:space="preserve">. </w:t>
            </w:r>
            <w:r>
              <w:rPr>
                <w:rStyle w:val="IndexLink"/>
                <w:rtl w:val="true"/>
              </w:rPr>
              <w:t>القدر المتيقّن من فعل النبيّ صلى الله عليه وآله وسلم</w:t>
            </w:r>
            <w:r>
              <w:rPr>
                <w:rStyle w:val="IndexLink"/>
                <w:rtl w:val="true"/>
              </w:rPr>
              <w:tab/>
            </w:r>
            <w:r>
              <w:rPr>
                <w:rStyle w:val="IndexLink"/>
              </w:rPr>
              <w:t>414</w:t>
            </w:r>
          </w:hyperlink>
        </w:p>
        <w:p>
          <w:pPr>
            <w:pStyle w:val="Contents4"/>
            <w:tabs>
              <w:tab w:val="clear" w:pos="8176"/>
              <w:tab w:val="right" w:pos="9026" w:leader="dot"/>
            </w:tabs>
            <w:rPr/>
          </w:pPr>
          <w:hyperlink w:anchor="__RefHeading___Toc1165911_1067777946">
            <w:r>
              <w:rPr>
                <w:webHidden/>
                <w:rStyle w:val="IndexLink"/>
              </w:rPr>
              <w:t>6</w:t>
            </w:r>
            <w:r>
              <w:rPr>
                <w:rStyle w:val="IndexLink"/>
                <w:rtl w:val="true"/>
              </w:rPr>
              <w:t xml:space="preserve">. </w:t>
            </w:r>
            <w:r>
              <w:rPr>
                <w:rStyle w:val="IndexLink"/>
                <w:rtl w:val="true"/>
              </w:rPr>
              <w:t>صلاة التراويح بين اللغوية وعدم التشريع</w:t>
            </w:r>
            <w:r>
              <w:rPr>
                <w:rStyle w:val="IndexLink"/>
                <w:rtl w:val="true"/>
              </w:rPr>
              <w:tab/>
            </w:r>
            <w:r>
              <w:rPr>
                <w:rStyle w:val="IndexLink"/>
              </w:rPr>
              <w:t>415</w:t>
            </w:r>
          </w:hyperlink>
        </w:p>
        <w:p>
          <w:pPr>
            <w:pStyle w:val="Contents4"/>
            <w:tabs>
              <w:tab w:val="clear" w:pos="8176"/>
              <w:tab w:val="right" w:pos="9026" w:leader="dot"/>
            </w:tabs>
            <w:rPr/>
          </w:pPr>
          <w:hyperlink w:anchor="__RefHeading___Toc1165913_1067777946">
            <w:r>
              <w:rPr>
                <w:webHidden/>
                <w:rStyle w:val="IndexLink"/>
              </w:rPr>
              <w:t>7</w:t>
            </w:r>
            <w:r>
              <w:rPr>
                <w:rStyle w:val="IndexLink"/>
                <w:rtl w:val="true"/>
              </w:rPr>
              <w:t xml:space="preserve">. </w:t>
            </w:r>
            <w:r>
              <w:rPr>
                <w:rStyle w:val="IndexLink"/>
                <w:rtl w:val="true"/>
              </w:rPr>
              <w:t>الاختلاف الكبير في عدد ركعاتها</w:t>
            </w:r>
            <w:r>
              <w:rPr>
                <w:rStyle w:val="IndexLink"/>
                <w:rtl w:val="true"/>
              </w:rPr>
              <w:tab/>
            </w:r>
            <w:r>
              <w:rPr>
                <w:rStyle w:val="IndexLink"/>
              </w:rPr>
              <w:t>417</w:t>
            </w:r>
          </w:hyperlink>
        </w:p>
        <w:p>
          <w:pPr>
            <w:pStyle w:val="Contents3"/>
            <w:tabs>
              <w:tab w:val="clear" w:pos="8459"/>
              <w:tab w:val="right" w:pos="9026" w:leader="dot"/>
            </w:tabs>
            <w:rPr/>
          </w:pPr>
          <w:hyperlink w:anchor="__RefHeading___Toc1165915_1067777946">
            <w:r>
              <w:rPr>
                <w:webHidden/>
                <w:rStyle w:val="IndexLink"/>
              </w:rPr>
              <w:t>7</w:t>
            </w:r>
            <w:r>
              <w:rPr>
                <w:rStyle w:val="IndexLink"/>
                <w:rtl w:val="true"/>
              </w:rPr>
              <w:t xml:space="preserve">. </w:t>
            </w:r>
            <w:r>
              <w:rPr>
                <w:rStyle w:val="IndexLink"/>
                <w:rtl w:val="true"/>
              </w:rPr>
              <w:t>صلاة التراويح جماعة في كلام عمر</w:t>
            </w:r>
            <w:r>
              <w:rPr>
                <w:rStyle w:val="IndexLink"/>
                <w:rtl w:val="true"/>
              </w:rPr>
              <w:tab/>
            </w:r>
            <w:r>
              <w:rPr>
                <w:rStyle w:val="IndexLink"/>
              </w:rPr>
              <w:t>420</w:t>
            </w:r>
          </w:hyperlink>
        </w:p>
        <w:p>
          <w:pPr>
            <w:pStyle w:val="Contents4"/>
            <w:tabs>
              <w:tab w:val="clear" w:pos="8176"/>
              <w:tab w:val="right" w:pos="9026" w:leader="dot"/>
            </w:tabs>
            <w:rPr/>
          </w:pPr>
          <w:hyperlink w:anchor="__RefHeading___Toc1165917_1067777946">
            <w:r>
              <w:rPr>
                <w:webHidden/>
                <w:rStyle w:val="IndexLink"/>
                <w:rtl w:val="true"/>
              </w:rPr>
              <w:t>اشارة</w:t>
            </w:r>
            <w:r>
              <w:rPr>
                <w:rStyle w:val="IndexLink"/>
                <w:rtl w:val="true"/>
              </w:rPr>
              <w:tab/>
            </w:r>
            <w:r>
              <w:rPr>
                <w:rStyle w:val="IndexLink"/>
              </w:rPr>
              <w:t>420</w:t>
            </w:r>
          </w:hyperlink>
        </w:p>
        <w:p>
          <w:pPr>
            <w:pStyle w:val="Contents4"/>
            <w:tabs>
              <w:tab w:val="clear" w:pos="8176"/>
              <w:tab w:val="right" w:pos="9026" w:leader="dot"/>
            </w:tabs>
            <w:rPr/>
          </w:pPr>
          <w:hyperlink w:anchor="__RefHeading___Toc1165919_1067777946">
            <w:r>
              <w:rPr>
                <w:webHidden/>
                <w:rStyle w:val="IndexLink"/>
                <w:rtl w:val="true"/>
              </w:rPr>
              <w:t xml:space="preserve">قوله </w:t>
            </w:r>
            <w:r>
              <w:rPr>
                <w:rStyle w:val="IndexLink"/>
                <w:rtl w:val="true"/>
              </w:rPr>
              <w:t xml:space="preserve">: « </w:t>
            </w:r>
            <w:r>
              <w:rPr>
                <w:rStyle w:val="IndexLink"/>
                <w:rtl w:val="true"/>
              </w:rPr>
              <w:t xml:space="preserve">نعم البدعة </w:t>
            </w:r>
            <w:r>
              <w:rPr>
                <w:rStyle w:val="IndexLink"/>
                <w:rtl w:val="true"/>
              </w:rPr>
              <w:t>» :</w:t>
              <w:tab/>
            </w:r>
            <w:r>
              <w:rPr>
                <w:rStyle w:val="IndexLink"/>
              </w:rPr>
              <w:t>422</w:t>
            </w:r>
          </w:hyperlink>
        </w:p>
        <w:p>
          <w:pPr>
            <w:pStyle w:val="Contents4"/>
            <w:tabs>
              <w:tab w:val="clear" w:pos="8176"/>
              <w:tab w:val="right" w:pos="9026" w:leader="dot"/>
            </w:tabs>
            <w:rPr/>
          </w:pPr>
          <w:hyperlink w:anchor="__RefHeading___Toc1165921_1067777946">
            <w:r>
              <w:rPr>
                <w:webHidden/>
                <w:rStyle w:val="IndexLink"/>
                <w:rtl w:val="true"/>
              </w:rPr>
              <w:t>التشريع مختص بالله سبحانه</w:t>
            </w:r>
            <w:r>
              <w:rPr>
                <w:rStyle w:val="IndexLink"/>
                <w:rtl w:val="true"/>
              </w:rPr>
              <w:tab/>
            </w:r>
            <w:r>
              <w:rPr>
                <w:rStyle w:val="IndexLink"/>
              </w:rPr>
              <w:t>424</w:t>
            </w:r>
          </w:hyperlink>
        </w:p>
        <w:p>
          <w:pPr>
            <w:pStyle w:val="Contents4"/>
            <w:tabs>
              <w:tab w:val="clear" w:pos="8176"/>
              <w:tab w:val="right" w:pos="9026" w:leader="dot"/>
            </w:tabs>
            <w:rPr/>
          </w:pPr>
          <w:hyperlink w:anchor="__RefHeading___Toc1165923_1067777946">
            <w:r>
              <w:rPr>
                <w:webHidden/>
                <w:rStyle w:val="IndexLink"/>
                <w:rtl w:val="true"/>
              </w:rPr>
              <w:t>استنباط مشروعيتها من تقرير النبي صلى الله عليه وآله وسلم</w:t>
            </w:r>
            <w:r>
              <w:rPr>
                <w:rStyle w:val="IndexLink"/>
                <w:rtl w:val="true"/>
              </w:rPr>
              <w:tab/>
            </w:r>
            <w:r>
              <w:rPr>
                <w:rStyle w:val="IndexLink"/>
              </w:rPr>
              <w:t>425</w:t>
            </w:r>
          </w:hyperlink>
        </w:p>
        <w:p>
          <w:pPr>
            <w:pStyle w:val="Contents4"/>
            <w:tabs>
              <w:tab w:val="clear" w:pos="8176"/>
              <w:tab w:val="right" w:pos="9026" w:leader="dot"/>
            </w:tabs>
            <w:rPr/>
          </w:pPr>
          <w:hyperlink w:anchor="__RefHeading___Toc1165925_1067777946">
            <w:r>
              <w:rPr>
                <w:webHidden/>
                <w:rStyle w:val="IndexLink"/>
                <w:rtl w:val="true"/>
              </w:rPr>
              <w:t>خاتمة المطاف</w:t>
            </w:r>
            <w:r>
              <w:rPr>
                <w:rStyle w:val="IndexLink"/>
                <w:rtl w:val="true"/>
              </w:rPr>
              <w:tab/>
            </w:r>
            <w:r>
              <w:rPr>
                <w:rStyle w:val="IndexLink"/>
              </w:rPr>
              <w:t>427</w:t>
            </w:r>
          </w:hyperlink>
        </w:p>
        <w:p>
          <w:pPr>
            <w:pStyle w:val="Contents5"/>
            <w:tabs>
              <w:tab w:val="clear" w:pos="7892"/>
              <w:tab w:val="right" w:pos="9026" w:leader="dot"/>
            </w:tabs>
            <w:rPr/>
          </w:pPr>
          <w:hyperlink w:anchor="__RefHeading___Toc1165927_1067777946">
            <w:r>
              <w:rPr>
                <w:webHidden/>
                <w:rStyle w:val="IndexLink"/>
                <w:rtl w:val="true"/>
              </w:rPr>
              <w:t>اشارة</w:t>
            </w:r>
            <w:r>
              <w:rPr>
                <w:rStyle w:val="IndexLink"/>
                <w:rtl w:val="true"/>
              </w:rPr>
              <w:tab/>
            </w:r>
            <w:r>
              <w:rPr>
                <w:rStyle w:val="IndexLink"/>
              </w:rPr>
              <w:t>427</w:t>
            </w:r>
          </w:hyperlink>
        </w:p>
        <w:p>
          <w:pPr>
            <w:pStyle w:val="Contents5"/>
            <w:tabs>
              <w:tab w:val="clear" w:pos="7892"/>
              <w:tab w:val="right" w:pos="9026" w:leader="dot"/>
            </w:tabs>
            <w:rPr/>
          </w:pPr>
          <w:hyperlink w:anchor="__RefHeading___Toc1165929_1067777946">
            <w:r>
              <w:rPr>
                <w:webHidden/>
                <w:rStyle w:val="IndexLink"/>
              </w:rPr>
              <w:t>1</w:t>
            </w:r>
            <w:r>
              <w:rPr>
                <w:rStyle w:val="IndexLink"/>
                <w:rtl w:val="true"/>
              </w:rPr>
              <w:t xml:space="preserve">. </w:t>
            </w:r>
            <w:r>
              <w:rPr>
                <w:rStyle w:val="IndexLink"/>
                <w:rtl w:val="true"/>
              </w:rPr>
              <w:t>إقامة التراويح جماعة غفلة عن حكمة الله</w:t>
            </w:r>
            <w:r>
              <w:rPr>
                <w:rStyle w:val="IndexLink"/>
                <w:rtl w:val="true"/>
              </w:rPr>
              <w:tab/>
            </w:r>
            <w:r>
              <w:rPr>
                <w:rStyle w:val="IndexLink"/>
              </w:rPr>
              <w:t>427</w:t>
            </w:r>
          </w:hyperlink>
        </w:p>
        <w:p>
          <w:pPr>
            <w:pStyle w:val="Contents5"/>
            <w:tabs>
              <w:tab w:val="clear" w:pos="7892"/>
              <w:tab w:val="right" w:pos="9026" w:leader="dot"/>
            </w:tabs>
            <w:rPr/>
          </w:pPr>
          <w:hyperlink w:anchor="__RefHeading___Toc1165931_1067777946">
            <w:r>
              <w:rPr>
                <w:webHidden/>
                <w:rStyle w:val="IndexLink"/>
              </w:rPr>
              <w:t>2</w:t>
            </w:r>
            <w:r>
              <w:rPr>
                <w:rStyle w:val="IndexLink"/>
                <w:rtl w:val="true"/>
              </w:rPr>
              <w:t xml:space="preserve">. </w:t>
            </w:r>
            <w:r>
              <w:rPr>
                <w:rStyle w:val="IndexLink"/>
                <w:rtl w:val="true"/>
              </w:rPr>
              <w:t>تقديم المصلحة على النصّ</w:t>
            </w:r>
            <w:r>
              <w:rPr>
                <w:rStyle w:val="IndexLink"/>
                <w:rtl w:val="true"/>
              </w:rPr>
              <w:tab/>
            </w:r>
            <w:r>
              <w:rPr>
                <w:rStyle w:val="IndexLink"/>
              </w:rPr>
              <w:t>430</w:t>
            </w:r>
          </w:hyperlink>
        </w:p>
        <w:p>
          <w:pPr>
            <w:pStyle w:val="Contents5"/>
            <w:tabs>
              <w:tab w:val="clear" w:pos="7892"/>
              <w:tab w:val="right" w:pos="9026" w:leader="dot"/>
            </w:tabs>
            <w:rPr/>
          </w:pPr>
          <w:hyperlink w:anchor="__RefHeading___Toc1165933_1067777946">
            <w:r>
              <w:rPr>
                <w:webHidden/>
                <w:rStyle w:val="IndexLink"/>
              </w:rPr>
              <w:t>3</w:t>
            </w:r>
            <w:r>
              <w:rPr>
                <w:rStyle w:val="IndexLink"/>
                <w:rtl w:val="true"/>
              </w:rPr>
              <w:t xml:space="preserve">. </w:t>
            </w:r>
            <w:r>
              <w:rPr>
                <w:rStyle w:val="IndexLink"/>
                <w:rtl w:val="true"/>
              </w:rPr>
              <w:t>تقسيم البدعة إلى الحسنة والسيئة بدعة</w:t>
            </w:r>
            <w:r>
              <w:rPr>
                <w:rStyle w:val="IndexLink"/>
                <w:rtl w:val="true"/>
              </w:rPr>
              <w:tab/>
            </w:r>
            <w:r>
              <w:rPr>
                <w:rStyle w:val="IndexLink"/>
              </w:rPr>
              <w:t>431</w:t>
            </w:r>
          </w:hyperlink>
        </w:p>
        <w:p>
          <w:pPr>
            <w:pStyle w:val="Contents5"/>
            <w:tabs>
              <w:tab w:val="clear" w:pos="7892"/>
              <w:tab w:val="right" w:pos="9026" w:leader="dot"/>
            </w:tabs>
            <w:rPr/>
          </w:pPr>
          <w:hyperlink w:anchor="__RefHeading___Toc1165935_1067777946">
            <w:r>
              <w:rPr>
                <w:webHidden/>
                <w:rStyle w:val="IndexLink"/>
              </w:rPr>
              <w:t>4</w:t>
            </w:r>
            <w:r>
              <w:rPr>
                <w:rStyle w:val="IndexLink"/>
                <w:rtl w:val="true"/>
              </w:rPr>
              <w:t xml:space="preserve">. </w:t>
            </w:r>
            <w:r>
              <w:rPr>
                <w:rStyle w:val="IndexLink"/>
                <w:rtl w:val="true"/>
              </w:rPr>
              <w:t>بين السنة والبدعة</w:t>
            </w:r>
            <w:r>
              <w:rPr>
                <w:rStyle w:val="IndexLink"/>
                <w:rtl w:val="true"/>
              </w:rPr>
              <w:tab/>
            </w:r>
            <w:r>
              <w:rPr>
                <w:rStyle w:val="IndexLink"/>
              </w:rPr>
              <w:t>432</w:t>
            </w:r>
          </w:hyperlink>
        </w:p>
        <w:p>
          <w:pPr>
            <w:pStyle w:val="Contents2"/>
            <w:tabs>
              <w:tab w:val="clear" w:pos="8743"/>
              <w:tab w:val="right" w:pos="9026" w:leader="dot"/>
            </w:tabs>
            <w:rPr/>
          </w:pPr>
          <w:hyperlink w:anchor="__RefHeading___Toc1165937_1067777946">
            <w:r>
              <w:rPr>
                <w:webHidden/>
                <w:rStyle w:val="IndexLink"/>
              </w:rPr>
              <w:t>11</w:t>
            </w:r>
            <w:r>
              <w:rPr>
                <w:rStyle w:val="IndexLink"/>
                <w:rtl w:val="true"/>
              </w:rPr>
              <w:t xml:space="preserve">. </w:t>
            </w:r>
            <w:r>
              <w:rPr>
                <w:rStyle w:val="IndexLink"/>
                <w:rtl w:val="true"/>
              </w:rPr>
              <w:t>متعة الحجّ</w:t>
            </w:r>
            <w:r>
              <w:rPr>
                <w:rStyle w:val="IndexLink"/>
                <w:rtl w:val="true"/>
              </w:rPr>
              <w:tab/>
            </w:r>
            <w:r>
              <w:rPr>
                <w:rStyle w:val="IndexLink"/>
              </w:rPr>
              <w:t>433</w:t>
            </w:r>
          </w:hyperlink>
        </w:p>
        <w:p>
          <w:pPr>
            <w:pStyle w:val="Contents3"/>
            <w:tabs>
              <w:tab w:val="clear" w:pos="8459"/>
              <w:tab w:val="right" w:pos="9026" w:leader="dot"/>
            </w:tabs>
            <w:rPr/>
          </w:pPr>
          <w:hyperlink w:anchor="__RefHeading___Toc1165939_1067777946">
            <w:r>
              <w:rPr>
                <w:webHidden/>
                <w:rStyle w:val="IndexLink"/>
                <w:rtl w:val="true"/>
              </w:rPr>
              <w:t>اشارة</w:t>
            </w:r>
            <w:r>
              <w:rPr>
                <w:rStyle w:val="IndexLink"/>
                <w:rtl w:val="true"/>
              </w:rPr>
              <w:tab/>
            </w:r>
            <w:r>
              <w:rPr>
                <w:rStyle w:val="IndexLink"/>
              </w:rPr>
              <w:t>433</w:t>
            </w:r>
          </w:hyperlink>
        </w:p>
        <w:p>
          <w:pPr>
            <w:pStyle w:val="Contents3"/>
            <w:tabs>
              <w:tab w:val="clear" w:pos="8459"/>
              <w:tab w:val="right" w:pos="9026" w:leader="dot"/>
            </w:tabs>
            <w:rPr/>
          </w:pPr>
          <w:hyperlink w:anchor="__RefHeading___Toc1165941_1067777946">
            <w:r>
              <w:rPr>
                <w:webHidden/>
                <w:rStyle w:val="IndexLink"/>
                <w:rtl w:val="true"/>
              </w:rPr>
              <w:t>المتعة وأقسامها</w:t>
            </w:r>
            <w:r>
              <w:rPr>
                <w:rStyle w:val="IndexLink"/>
                <w:rtl w:val="true"/>
              </w:rPr>
              <w:tab/>
            </w:r>
            <w:r>
              <w:rPr>
                <w:rStyle w:val="IndexLink"/>
              </w:rPr>
              <w:t>435</w:t>
            </w:r>
          </w:hyperlink>
        </w:p>
        <w:p>
          <w:pPr>
            <w:pStyle w:val="Contents3"/>
            <w:tabs>
              <w:tab w:val="clear" w:pos="8459"/>
              <w:tab w:val="right" w:pos="9026" w:leader="dot"/>
            </w:tabs>
            <w:rPr/>
          </w:pPr>
          <w:hyperlink w:anchor="__RefHeading___Toc1165943_1067777946">
            <w:r>
              <w:rPr>
                <w:webHidden/>
                <w:rStyle w:val="IndexLink"/>
                <w:rtl w:val="true"/>
              </w:rPr>
              <w:t>أقسام الحج الثلاثة</w:t>
            </w:r>
            <w:r>
              <w:rPr>
                <w:rStyle w:val="IndexLink"/>
                <w:rtl w:val="true"/>
              </w:rPr>
              <w:tab/>
            </w:r>
            <w:r>
              <w:rPr>
                <w:rStyle w:val="IndexLink"/>
              </w:rPr>
              <w:t>437</w:t>
            </w:r>
          </w:hyperlink>
        </w:p>
        <w:p>
          <w:pPr>
            <w:pStyle w:val="Contents4"/>
            <w:tabs>
              <w:tab w:val="clear" w:pos="8176"/>
              <w:tab w:val="right" w:pos="9026" w:leader="dot"/>
            </w:tabs>
            <w:rPr/>
          </w:pPr>
          <w:hyperlink w:anchor="__RefHeading___Toc1165945_1067777946">
            <w:r>
              <w:rPr>
                <w:webHidden/>
                <w:rStyle w:val="IndexLink"/>
                <w:rtl w:val="true"/>
              </w:rPr>
              <w:t>اشارة</w:t>
            </w:r>
            <w:r>
              <w:rPr>
                <w:rStyle w:val="IndexLink"/>
                <w:rtl w:val="true"/>
              </w:rPr>
              <w:tab/>
            </w:r>
            <w:r>
              <w:rPr>
                <w:rStyle w:val="IndexLink"/>
              </w:rPr>
              <w:t>437</w:t>
            </w:r>
          </w:hyperlink>
        </w:p>
        <w:p>
          <w:pPr>
            <w:pStyle w:val="Contents4"/>
            <w:tabs>
              <w:tab w:val="clear" w:pos="8176"/>
              <w:tab w:val="right" w:pos="9026" w:leader="dot"/>
            </w:tabs>
            <w:rPr/>
          </w:pPr>
          <w:hyperlink w:anchor="__RefHeading___Toc1165947_1067777946">
            <w:r>
              <w:rPr>
                <w:webHidden/>
                <w:rStyle w:val="IndexLink"/>
                <w:rtl w:val="true"/>
              </w:rPr>
              <w:t xml:space="preserve">الأوّل </w:t>
            </w:r>
            <w:r>
              <w:rPr>
                <w:rStyle w:val="IndexLink"/>
                <w:rtl w:val="true"/>
              </w:rPr>
              <w:t xml:space="preserve">: </w:t>
            </w:r>
            <w:r>
              <w:rPr>
                <w:rStyle w:val="IndexLink"/>
                <w:rtl w:val="true"/>
              </w:rPr>
              <w:t>في بيان الأحكام الواردة في الآية</w:t>
            </w:r>
            <w:r>
              <w:rPr>
                <w:rStyle w:val="IndexLink"/>
                <w:rtl w:val="true"/>
              </w:rPr>
              <w:tab/>
            </w:r>
            <w:r>
              <w:rPr>
                <w:rStyle w:val="IndexLink"/>
              </w:rPr>
              <w:t>442</w:t>
            </w:r>
          </w:hyperlink>
        </w:p>
        <w:p>
          <w:pPr>
            <w:pStyle w:val="Contents5"/>
            <w:tabs>
              <w:tab w:val="clear" w:pos="7892"/>
              <w:tab w:val="right" w:pos="9026" w:leader="dot"/>
            </w:tabs>
            <w:rPr/>
          </w:pPr>
          <w:hyperlink w:anchor="__RefHeading___Toc1165949_1067777946">
            <w:r>
              <w:rPr>
                <w:webHidden/>
                <w:rStyle w:val="IndexLink"/>
                <w:rtl w:val="true"/>
              </w:rPr>
              <w:t>اشارة</w:t>
            </w:r>
            <w:r>
              <w:rPr>
                <w:rStyle w:val="IndexLink"/>
                <w:rtl w:val="true"/>
              </w:rPr>
              <w:tab/>
            </w:r>
            <w:r>
              <w:rPr>
                <w:rStyle w:val="IndexLink"/>
              </w:rPr>
              <w:t>442</w:t>
            </w:r>
          </w:hyperlink>
        </w:p>
        <w:p>
          <w:pPr>
            <w:pStyle w:val="Contents5"/>
            <w:tabs>
              <w:tab w:val="clear" w:pos="7892"/>
              <w:tab w:val="right" w:pos="9026" w:leader="dot"/>
            </w:tabs>
            <w:rPr/>
          </w:pPr>
          <w:hyperlink w:anchor="__RefHeading___Toc1165951_1067777946">
            <w:r>
              <w:rPr>
                <w:webHidden/>
                <w:rStyle w:val="IndexLink"/>
              </w:rPr>
              <w:t>1</w:t>
            </w:r>
            <w:r>
              <w:rPr>
                <w:rStyle w:val="IndexLink"/>
                <w:rtl w:val="true"/>
              </w:rPr>
              <w:t xml:space="preserve">. </w:t>
            </w:r>
            <w:r>
              <w:rPr>
                <w:rStyle w:val="IndexLink"/>
                <w:rtl w:val="true"/>
              </w:rPr>
              <w:t>إتمام الحج والعمرة لله</w:t>
            </w:r>
            <w:r>
              <w:rPr>
                <w:rStyle w:val="IndexLink"/>
                <w:rtl w:val="true"/>
              </w:rPr>
              <w:tab/>
            </w:r>
            <w:r>
              <w:rPr>
                <w:rStyle w:val="IndexLink"/>
              </w:rPr>
              <w:t>442</w:t>
            </w:r>
          </w:hyperlink>
        </w:p>
        <w:p>
          <w:pPr>
            <w:pStyle w:val="Contents5"/>
            <w:tabs>
              <w:tab w:val="clear" w:pos="7892"/>
              <w:tab w:val="right" w:pos="9026" w:leader="dot"/>
            </w:tabs>
            <w:rPr/>
          </w:pPr>
          <w:hyperlink w:anchor="__RefHeading___Toc1165953_1067777946">
            <w:r>
              <w:rPr>
                <w:webHidden/>
                <w:rStyle w:val="IndexLink"/>
              </w:rPr>
              <w:t>2</w:t>
            </w:r>
            <w:r>
              <w:rPr>
                <w:rStyle w:val="IndexLink"/>
                <w:rtl w:val="true"/>
              </w:rPr>
              <w:t xml:space="preserve">. </w:t>
            </w:r>
            <w:r>
              <w:rPr>
                <w:rStyle w:val="IndexLink"/>
                <w:rtl w:val="true"/>
              </w:rPr>
              <w:t>إذا أحصر بالعدو أو المرض</w:t>
            </w:r>
            <w:r>
              <w:rPr>
                <w:rStyle w:val="IndexLink"/>
                <w:rtl w:val="true"/>
              </w:rPr>
              <w:tab/>
            </w:r>
            <w:r>
              <w:rPr>
                <w:rStyle w:val="IndexLink"/>
              </w:rPr>
              <w:t>444</w:t>
            </w:r>
          </w:hyperlink>
        </w:p>
        <w:p>
          <w:pPr>
            <w:pStyle w:val="Contents5"/>
            <w:tabs>
              <w:tab w:val="clear" w:pos="7892"/>
              <w:tab w:val="right" w:pos="9026" w:leader="dot"/>
            </w:tabs>
            <w:rPr/>
          </w:pPr>
          <w:hyperlink w:anchor="__RefHeading___Toc1165955_1067777946">
            <w:r>
              <w:rPr>
                <w:webHidden/>
                <w:rStyle w:val="IndexLink"/>
              </w:rPr>
              <w:t>3</w:t>
            </w:r>
            <w:r>
              <w:rPr>
                <w:rStyle w:val="IndexLink"/>
                <w:rtl w:val="true"/>
              </w:rPr>
              <w:t xml:space="preserve">. </w:t>
            </w:r>
            <w:r>
              <w:rPr>
                <w:rStyle w:val="IndexLink"/>
                <w:rtl w:val="true"/>
              </w:rPr>
              <w:t>لا يتحلّل قبل الذبح</w:t>
            </w:r>
            <w:r>
              <w:rPr>
                <w:rStyle w:val="IndexLink"/>
                <w:rtl w:val="true"/>
              </w:rPr>
              <w:tab/>
            </w:r>
            <w:r>
              <w:rPr>
                <w:rStyle w:val="IndexLink"/>
              </w:rPr>
              <w:t>445</w:t>
            </w:r>
          </w:hyperlink>
        </w:p>
        <w:p>
          <w:pPr>
            <w:pStyle w:val="Contents5"/>
            <w:tabs>
              <w:tab w:val="clear" w:pos="7892"/>
              <w:tab w:val="right" w:pos="9026" w:leader="dot"/>
            </w:tabs>
            <w:rPr/>
          </w:pPr>
          <w:hyperlink w:anchor="__RefHeading___Toc1165957_1067777946">
            <w:r>
              <w:rPr>
                <w:webHidden/>
                <w:rStyle w:val="IndexLink"/>
              </w:rPr>
              <w:t>4</w:t>
            </w:r>
            <w:r>
              <w:rPr>
                <w:rStyle w:val="IndexLink"/>
                <w:rtl w:val="true"/>
              </w:rPr>
              <w:t xml:space="preserve">. </w:t>
            </w:r>
            <w:r>
              <w:rPr>
                <w:rStyle w:val="IndexLink"/>
                <w:rtl w:val="true"/>
              </w:rPr>
              <w:t>حكم المريض ومن برأسه أذى</w:t>
            </w:r>
            <w:r>
              <w:rPr>
                <w:rStyle w:val="IndexLink"/>
                <w:rtl w:val="true"/>
              </w:rPr>
              <w:tab/>
            </w:r>
            <w:r>
              <w:rPr>
                <w:rStyle w:val="IndexLink"/>
              </w:rPr>
              <w:t>446</w:t>
            </w:r>
          </w:hyperlink>
        </w:p>
        <w:p>
          <w:pPr>
            <w:pStyle w:val="Contents5"/>
            <w:tabs>
              <w:tab w:val="clear" w:pos="7892"/>
              <w:tab w:val="right" w:pos="9026" w:leader="dot"/>
            </w:tabs>
            <w:rPr/>
          </w:pPr>
          <w:hyperlink w:anchor="__RefHeading___Toc1165959_1067777946">
            <w:r>
              <w:rPr>
                <w:webHidden/>
                <w:rStyle w:val="IndexLink"/>
              </w:rPr>
              <w:t>5</w:t>
            </w:r>
            <w:r>
              <w:rPr>
                <w:rStyle w:val="IndexLink"/>
                <w:rtl w:val="true"/>
              </w:rPr>
              <w:t xml:space="preserve">. </w:t>
            </w:r>
            <w:r>
              <w:rPr>
                <w:rStyle w:val="IndexLink"/>
                <w:rtl w:val="true"/>
              </w:rPr>
              <w:t>التمتّع بالعمرة إلى الحجّ</w:t>
            </w:r>
            <w:r>
              <w:rPr>
                <w:rStyle w:val="IndexLink"/>
                <w:rtl w:val="true"/>
              </w:rPr>
              <w:tab/>
            </w:r>
            <w:r>
              <w:rPr>
                <w:rStyle w:val="IndexLink"/>
              </w:rPr>
              <w:t>446</w:t>
            </w:r>
          </w:hyperlink>
        </w:p>
        <w:p>
          <w:pPr>
            <w:pStyle w:val="Contents5"/>
            <w:tabs>
              <w:tab w:val="clear" w:pos="7892"/>
              <w:tab w:val="right" w:pos="9026" w:leader="dot"/>
            </w:tabs>
            <w:rPr/>
          </w:pPr>
          <w:hyperlink w:anchor="__RefHeading___Toc1165961_1067777946">
            <w:r>
              <w:rPr>
                <w:webHidden/>
                <w:rStyle w:val="IndexLink"/>
              </w:rPr>
              <w:t>6</w:t>
            </w:r>
            <w:r>
              <w:rPr>
                <w:rStyle w:val="IndexLink"/>
                <w:rtl w:val="true"/>
              </w:rPr>
              <w:t xml:space="preserve">. </w:t>
            </w:r>
            <w:r>
              <w:rPr>
                <w:rStyle w:val="IndexLink"/>
                <w:rtl w:val="true"/>
              </w:rPr>
              <w:t>الفاقد للهدي</w:t>
            </w:r>
            <w:r>
              <w:rPr>
                <w:rStyle w:val="IndexLink"/>
                <w:rtl w:val="true"/>
              </w:rPr>
              <w:tab/>
            </w:r>
            <w:r>
              <w:rPr>
                <w:rStyle w:val="IndexLink"/>
              </w:rPr>
              <w:t>447</w:t>
            </w:r>
          </w:hyperlink>
        </w:p>
        <w:p>
          <w:pPr>
            <w:pStyle w:val="Contents5"/>
            <w:tabs>
              <w:tab w:val="clear" w:pos="7892"/>
              <w:tab w:val="right" w:pos="9026" w:leader="dot"/>
            </w:tabs>
            <w:rPr/>
          </w:pPr>
          <w:hyperlink w:anchor="__RefHeading___Toc1165963_1067777946">
            <w:r>
              <w:rPr>
                <w:webHidden/>
                <w:rStyle w:val="IndexLink"/>
              </w:rPr>
              <w:t>7</w:t>
            </w:r>
            <w:r>
              <w:rPr>
                <w:rStyle w:val="IndexLink"/>
                <w:rtl w:val="true"/>
              </w:rPr>
              <w:t xml:space="preserve">. </w:t>
            </w:r>
            <w:r>
              <w:rPr>
                <w:rStyle w:val="IndexLink"/>
                <w:rtl w:val="true"/>
              </w:rPr>
              <w:t>التمتع بالعمرة إلى الحجّ وظيفة الآفاقي</w:t>
            </w:r>
            <w:r>
              <w:rPr>
                <w:rStyle w:val="IndexLink"/>
                <w:rtl w:val="true"/>
              </w:rPr>
              <w:tab/>
            </w:r>
            <w:r>
              <w:rPr>
                <w:rStyle w:val="IndexLink"/>
              </w:rPr>
              <w:t>448</w:t>
            </w:r>
          </w:hyperlink>
        </w:p>
        <w:p>
          <w:pPr>
            <w:pStyle w:val="Contents4"/>
            <w:tabs>
              <w:tab w:val="clear" w:pos="8176"/>
              <w:tab w:val="right" w:pos="9026" w:leader="dot"/>
            </w:tabs>
            <w:rPr/>
          </w:pPr>
          <w:hyperlink w:anchor="__RefHeading___Toc1165965_1067777946">
            <w:r>
              <w:rPr>
                <w:webHidden/>
                <w:rStyle w:val="IndexLink"/>
                <w:rtl w:val="true"/>
              </w:rPr>
              <w:t xml:space="preserve">الثاني </w:t>
            </w:r>
            <w:r>
              <w:rPr>
                <w:rStyle w:val="IndexLink"/>
                <w:rtl w:val="true"/>
              </w:rPr>
              <w:t xml:space="preserve">: </w:t>
            </w:r>
            <w:r>
              <w:rPr>
                <w:rStyle w:val="IndexLink"/>
                <w:rtl w:val="true"/>
              </w:rPr>
              <w:t>متعة الحجّ سنّة أبدية</w:t>
            </w:r>
            <w:r>
              <w:rPr>
                <w:rStyle w:val="IndexLink"/>
                <w:rtl w:val="true"/>
              </w:rPr>
              <w:tab/>
            </w:r>
            <w:r>
              <w:rPr>
                <w:rStyle w:val="IndexLink"/>
              </w:rPr>
              <w:t>449</w:t>
            </w:r>
          </w:hyperlink>
        </w:p>
        <w:p>
          <w:pPr>
            <w:pStyle w:val="Contents4"/>
            <w:tabs>
              <w:tab w:val="clear" w:pos="8176"/>
              <w:tab w:val="right" w:pos="9026" w:leader="dot"/>
            </w:tabs>
            <w:rPr/>
          </w:pPr>
          <w:hyperlink w:anchor="__RefHeading___Toc1165967_1067777946">
            <w:r>
              <w:rPr>
                <w:webHidden/>
                <w:rStyle w:val="IndexLink"/>
                <w:rtl w:val="true"/>
              </w:rPr>
              <w:t xml:space="preserve">الثالث </w:t>
            </w:r>
            <w:r>
              <w:rPr>
                <w:rStyle w:val="IndexLink"/>
                <w:rtl w:val="true"/>
              </w:rPr>
              <w:t xml:space="preserve">: </w:t>
            </w:r>
            <w:r>
              <w:rPr>
                <w:rStyle w:val="IndexLink"/>
                <w:rtl w:val="true"/>
              </w:rPr>
              <w:t>سيرة العرب قبل الإسلام في الحجّ</w:t>
            </w:r>
            <w:r>
              <w:rPr>
                <w:rStyle w:val="IndexLink"/>
                <w:rtl w:val="true"/>
              </w:rPr>
              <w:tab/>
            </w:r>
            <w:r>
              <w:rPr>
                <w:rStyle w:val="IndexLink"/>
              </w:rPr>
              <w:t>453</w:t>
            </w:r>
          </w:hyperlink>
        </w:p>
        <w:p>
          <w:pPr>
            <w:pStyle w:val="Contents4"/>
            <w:tabs>
              <w:tab w:val="clear" w:pos="8176"/>
              <w:tab w:val="right" w:pos="9026" w:leader="dot"/>
            </w:tabs>
            <w:rPr/>
          </w:pPr>
          <w:hyperlink w:anchor="__RefHeading___Toc1165969_1067777946">
            <w:r>
              <w:rPr>
                <w:webHidden/>
                <w:rStyle w:val="IndexLink"/>
                <w:rtl w:val="true"/>
              </w:rPr>
              <w:t xml:space="preserve">الرابع </w:t>
            </w:r>
            <w:r>
              <w:rPr>
                <w:rStyle w:val="IndexLink"/>
                <w:rtl w:val="true"/>
              </w:rPr>
              <w:t xml:space="preserve">: </w:t>
            </w:r>
            <w:r>
              <w:rPr>
                <w:rStyle w:val="IndexLink"/>
                <w:rtl w:val="true"/>
              </w:rPr>
              <w:t>احتدام النزاع بين الصحابة في حياة النبي صلى الله عليه وآله وسلم</w:t>
            </w:r>
            <w:r>
              <w:rPr>
                <w:rStyle w:val="IndexLink"/>
                <w:rtl w:val="true"/>
              </w:rPr>
              <w:tab/>
            </w:r>
            <w:r>
              <w:rPr>
                <w:rStyle w:val="IndexLink"/>
              </w:rPr>
              <w:t>455</w:t>
            </w:r>
          </w:hyperlink>
        </w:p>
        <w:p>
          <w:pPr>
            <w:pStyle w:val="Contents4"/>
            <w:tabs>
              <w:tab w:val="clear" w:pos="8176"/>
              <w:tab w:val="right" w:pos="9026" w:leader="dot"/>
            </w:tabs>
            <w:rPr/>
          </w:pPr>
          <w:hyperlink w:anchor="__RefHeading___Toc1165971_1067777946">
            <w:r>
              <w:rPr>
                <w:webHidden/>
                <w:rStyle w:val="IndexLink"/>
                <w:rtl w:val="true"/>
              </w:rPr>
              <w:t xml:space="preserve">الخامس </w:t>
            </w:r>
            <w:r>
              <w:rPr>
                <w:rStyle w:val="IndexLink"/>
                <w:rtl w:val="true"/>
              </w:rPr>
              <w:t xml:space="preserve">: </w:t>
            </w:r>
            <w:r>
              <w:rPr>
                <w:rStyle w:val="IndexLink"/>
                <w:rtl w:val="true"/>
              </w:rPr>
              <w:t>عودة التقاليد الجاهلية</w:t>
            </w:r>
            <w:r>
              <w:rPr>
                <w:rStyle w:val="IndexLink"/>
                <w:rtl w:val="true"/>
              </w:rPr>
              <w:tab/>
            </w:r>
            <w:r>
              <w:rPr>
                <w:rStyle w:val="IndexLink"/>
              </w:rPr>
              <w:t>458</w:t>
            </w:r>
          </w:hyperlink>
        </w:p>
        <w:p>
          <w:pPr>
            <w:pStyle w:val="Contents5"/>
            <w:tabs>
              <w:tab w:val="clear" w:pos="7892"/>
              <w:tab w:val="right" w:pos="9026" w:leader="dot"/>
            </w:tabs>
            <w:rPr/>
          </w:pPr>
          <w:hyperlink w:anchor="__RefHeading___Toc1165973_1067777946">
            <w:r>
              <w:rPr>
                <w:webHidden/>
                <w:rStyle w:val="IndexLink"/>
                <w:rtl w:val="true"/>
              </w:rPr>
              <w:t>اشارة</w:t>
            </w:r>
            <w:r>
              <w:rPr>
                <w:rStyle w:val="IndexLink"/>
                <w:rtl w:val="true"/>
              </w:rPr>
              <w:tab/>
            </w:r>
            <w:r>
              <w:rPr>
                <w:rStyle w:val="IndexLink"/>
              </w:rPr>
              <w:t>458</w:t>
            </w:r>
          </w:hyperlink>
        </w:p>
        <w:p>
          <w:pPr>
            <w:pStyle w:val="Contents5"/>
            <w:tabs>
              <w:tab w:val="clear" w:pos="7892"/>
              <w:tab w:val="right" w:pos="9026" w:leader="dot"/>
            </w:tabs>
            <w:rPr/>
          </w:pPr>
          <w:hyperlink w:anchor="__RefHeading___Toc1165975_1067777946">
            <w:r>
              <w:rPr>
                <w:webHidden/>
                <w:rStyle w:val="IndexLink"/>
                <w:rtl w:val="true"/>
              </w:rPr>
              <w:t>صورة ثانية</w:t>
            </w:r>
            <w:r>
              <w:rPr>
                <w:rStyle w:val="IndexLink"/>
                <w:rtl w:val="true"/>
              </w:rPr>
              <w:tab/>
            </w:r>
            <w:r>
              <w:rPr>
                <w:rStyle w:val="IndexLink"/>
              </w:rPr>
              <w:t>461</w:t>
            </w:r>
          </w:hyperlink>
        </w:p>
        <w:p>
          <w:pPr>
            <w:pStyle w:val="Contents5"/>
            <w:tabs>
              <w:tab w:val="clear" w:pos="7892"/>
              <w:tab w:val="right" w:pos="9026" w:leader="dot"/>
            </w:tabs>
            <w:rPr/>
          </w:pPr>
          <w:hyperlink w:anchor="__RefHeading___Toc1165977_1067777946">
            <w:r>
              <w:rPr>
                <w:webHidden/>
                <w:rStyle w:val="IndexLink"/>
                <w:rtl w:val="true"/>
              </w:rPr>
              <w:t>صورة ثالثة</w:t>
            </w:r>
            <w:r>
              <w:rPr>
                <w:rStyle w:val="IndexLink"/>
                <w:rtl w:val="true"/>
              </w:rPr>
              <w:tab/>
            </w:r>
            <w:r>
              <w:rPr>
                <w:rStyle w:val="IndexLink"/>
              </w:rPr>
              <w:t>461</w:t>
            </w:r>
          </w:hyperlink>
        </w:p>
        <w:p>
          <w:pPr>
            <w:pStyle w:val="Contents5"/>
            <w:tabs>
              <w:tab w:val="clear" w:pos="7892"/>
              <w:tab w:val="right" w:pos="9026" w:leader="dot"/>
            </w:tabs>
            <w:rPr/>
          </w:pPr>
          <w:hyperlink w:anchor="__RefHeading___Toc1165979_1067777946">
            <w:r>
              <w:rPr>
                <w:webHidden/>
                <w:rStyle w:val="IndexLink"/>
                <w:rtl w:val="true"/>
              </w:rPr>
              <w:t>صورة رابعة</w:t>
            </w:r>
            <w:r>
              <w:rPr>
                <w:rStyle w:val="IndexLink"/>
                <w:rtl w:val="true"/>
              </w:rPr>
              <w:tab/>
            </w:r>
            <w:r>
              <w:rPr>
                <w:rStyle w:val="IndexLink"/>
              </w:rPr>
              <w:t>461</w:t>
            </w:r>
          </w:hyperlink>
        </w:p>
        <w:p>
          <w:pPr>
            <w:pStyle w:val="Contents6"/>
            <w:tabs>
              <w:tab w:val="clear" w:pos="7609"/>
              <w:tab w:val="right" w:pos="9026" w:leader="dot"/>
            </w:tabs>
            <w:rPr/>
          </w:pPr>
          <w:hyperlink w:anchor="__RefHeading___Toc1165981_1067777946">
            <w:r>
              <w:rPr>
                <w:webHidden/>
                <w:rStyle w:val="IndexLink"/>
                <w:rtl w:val="true"/>
              </w:rPr>
              <w:t>اشارة</w:t>
            </w:r>
            <w:r>
              <w:rPr>
                <w:rStyle w:val="IndexLink"/>
                <w:rtl w:val="true"/>
              </w:rPr>
              <w:tab/>
            </w:r>
            <w:r>
              <w:rPr>
                <w:rStyle w:val="IndexLink"/>
              </w:rPr>
              <w:t>461</w:t>
            </w:r>
          </w:hyperlink>
        </w:p>
        <w:p>
          <w:pPr>
            <w:pStyle w:val="Contents6"/>
            <w:tabs>
              <w:tab w:val="clear" w:pos="7609"/>
              <w:tab w:val="right" w:pos="9026" w:leader="dot"/>
            </w:tabs>
            <w:rPr/>
          </w:pPr>
          <w:hyperlink w:anchor="__RefHeading___Toc1165983_1067777946">
            <w:r>
              <w:rPr>
                <w:webHidden/>
                <w:rStyle w:val="IndexLink"/>
                <w:rtl w:val="true"/>
              </w:rPr>
              <w:t>حجّ التمتع على عهد عثمان</w:t>
            </w:r>
            <w:r>
              <w:rPr>
                <w:rStyle w:val="IndexLink"/>
                <w:rtl w:val="true"/>
              </w:rPr>
              <w:tab/>
            </w:r>
            <w:r>
              <w:rPr>
                <w:rStyle w:val="IndexLink"/>
              </w:rPr>
              <w:t>464</w:t>
            </w:r>
          </w:hyperlink>
        </w:p>
        <w:p>
          <w:pPr>
            <w:pStyle w:val="Contents4"/>
            <w:tabs>
              <w:tab w:val="clear" w:pos="8176"/>
              <w:tab w:val="right" w:pos="9026" w:leader="dot"/>
            </w:tabs>
            <w:rPr/>
          </w:pPr>
          <w:hyperlink w:anchor="__RefHeading___Toc1165985_1067777946">
            <w:r>
              <w:rPr>
                <w:webHidden/>
                <w:rStyle w:val="IndexLink"/>
                <w:rtl w:val="true"/>
              </w:rPr>
              <w:t xml:space="preserve">السادس </w:t>
            </w:r>
            <w:r>
              <w:rPr>
                <w:rStyle w:val="IndexLink"/>
                <w:rtl w:val="true"/>
              </w:rPr>
              <w:t xml:space="preserve">: </w:t>
            </w:r>
            <w:r>
              <w:rPr>
                <w:rStyle w:val="IndexLink"/>
                <w:rtl w:val="true"/>
              </w:rPr>
              <w:t>الصحابة وتحريم متعة الحج</w:t>
            </w:r>
            <w:r>
              <w:rPr>
                <w:rStyle w:val="IndexLink"/>
                <w:rtl w:val="true"/>
              </w:rPr>
              <w:tab/>
            </w:r>
            <w:r>
              <w:rPr>
                <w:rStyle w:val="IndexLink"/>
              </w:rPr>
              <w:t>465</w:t>
            </w:r>
          </w:hyperlink>
        </w:p>
        <w:p>
          <w:pPr>
            <w:pStyle w:val="Contents5"/>
            <w:tabs>
              <w:tab w:val="clear" w:pos="7892"/>
              <w:tab w:val="right" w:pos="9026" w:leader="dot"/>
            </w:tabs>
            <w:rPr/>
          </w:pPr>
          <w:hyperlink w:anchor="__RefHeading___Toc1165987_1067777946">
            <w:r>
              <w:rPr>
                <w:webHidden/>
                <w:rStyle w:val="IndexLink"/>
                <w:rtl w:val="true"/>
              </w:rPr>
              <w:t>اشارة</w:t>
            </w:r>
            <w:r>
              <w:rPr>
                <w:rStyle w:val="IndexLink"/>
                <w:rtl w:val="true"/>
              </w:rPr>
              <w:tab/>
            </w:r>
            <w:r>
              <w:rPr>
                <w:rStyle w:val="IndexLink"/>
              </w:rPr>
              <w:t>465</w:t>
            </w:r>
          </w:hyperlink>
        </w:p>
        <w:p>
          <w:pPr>
            <w:pStyle w:val="Contents5"/>
            <w:tabs>
              <w:tab w:val="clear" w:pos="7892"/>
              <w:tab w:val="right" w:pos="9026" w:leader="dot"/>
            </w:tabs>
            <w:rPr/>
          </w:pPr>
          <w:hyperlink w:anchor="__RefHeading___Toc1165989_1067777946">
            <w:r>
              <w:rPr>
                <w:webHidden/>
                <w:rStyle w:val="IndexLink"/>
              </w:rPr>
              <w:t>1</w:t>
            </w:r>
            <w:r>
              <w:rPr>
                <w:rStyle w:val="IndexLink"/>
                <w:rtl w:val="true"/>
              </w:rPr>
              <w:t xml:space="preserve">. </w:t>
            </w:r>
            <w:r>
              <w:rPr>
                <w:rStyle w:val="IndexLink"/>
                <w:rtl w:val="true"/>
              </w:rPr>
              <w:t>الإمام علي بن أبي طالب عليه السلام</w:t>
            </w:r>
            <w:r>
              <w:rPr>
                <w:rStyle w:val="IndexLink"/>
                <w:rtl w:val="true"/>
              </w:rPr>
              <w:tab/>
            </w:r>
            <w:r>
              <w:rPr>
                <w:rStyle w:val="IndexLink"/>
              </w:rPr>
              <w:t>465</w:t>
            </w:r>
          </w:hyperlink>
        </w:p>
        <w:p>
          <w:pPr>
            <w:pStyle w:val="Contents5"/>
            <w:tabs>
              <w:tab w:val="clear" w:pos="7892"/>
              <w:tab w:val="right" w:pos="9026" w:leader="dot"/>
            </w:tabs>
            <w:rPr/>
          </w:pPr>
          <w:hyperlink w:anchor="__RefHeading___Toc1165991_1067777946">
            <w:r>
              <w:rPr>
                <w:webHidden/>
                <w:rStyle w:val="IndexLink"/>
              </w:rPr>
              <w:t>2</w:t>
            </w:r>
            <w:r>
              <w:rPr>
                <w:rStyle w:val="IndexLink"/>
                <w:rtl w:val="true"/>
              </w:rPr>
              <w:t xml:space="preserve">. </w:t>
            </w:r>
            <w:r>
              <w:rPr>
                <w:rStyle w:val="IndexLink"/>
                <w:rtl w:val="true"/>
              </w:rPr>
              <w:t>عبد الله بن عمر</w:t>
            </w:r>
            <w:r>
              <w:rPr>
                <w:rStyle w:val="IndexLink"/>
                <w:rtl w:val="true"/>
              </w:rPr>
              <w:tab/>
            </w:r>
            <w:r>
              <w:rPr>
                <w:rStyle w:val="IndexLink"/>
              </w:rPr>
              <w:t>467</w:t>
            </w:r>
          </w:hyperlink>
        </w:p>
        <w:p>
          <w:pPr>
            <w:pStyle w:val="Contents6"/>
            <w:tabs>
              <w:tab w:val="clear" w:pos="7609"/>
              <w:tab w:val="right" w:pos="9026" w:leader="dot"/>
            </w:tabs>
            <w:rPr/>
          </w:pPr>
          <w:hyperlink w:anchor="__RefHeading___Toc1165993_1067777946">
            <w:r>
              <w:rPr>
                <w:webHidden/>
                <w:rStyle w:val="IndexLink"/>
                <w:rtl w:val="true"/>
              </w:rPr>
              <w:t>اشارة</w:t>
            </w:r>
            <w:r>
              <w:rPr>
                <w:rStyle w:val="IndexLink"/>
                <w:rtl w:val="true"/>
              </w:rPr>
              <w:tab/>
            </w:r>
            <w:r>
              <w:rPr>
                <w:rStyle w:val="IndexLink"/>
              </w:rPr>
              <w:t>467</w:t>
            </w:r>
          </w:hyperlink>
        </w:p>
        <w:p>
          <w:pPr>
            <w:pStyle w:val="Contents6"/>
            <w:tabs>
              <w:tab w:val="clear" w:pos="7609"/>
              <w:tab w:val="right" w:pos="9026" w:leader="dot"/>
            </w:tabs>
            <w:rPr/>
          </w:pPr>
          <w:hyperlink w:anchor="__RefHeading___Toc1165995_1067777946">
            <w:r>
              <w:rPr>
                <w:webHidden/>
                <w:rStyle w:val="IndexLink"/>
                <w:rtl w:val="true"/>
              </w:rPr>
              <w:t>صورة ثانية</w:t>
            </w:r>
            <w:r>
              <w:rPr>
                <w:rStyle w:val="IndexLink"/>
                <w:rtl w:val="true"/>
              </w:rPr>
              <w:tab/>
            </w:r>
            <w:r>
              <w:rPr>
                <w:rStyle w:val="IndexLink"/>
              </w:rPr>
              <w:t>467</w:t>
            </w:r>
          </w:hyperlink>
        </w:p>
        <w:p>
          <w:pPr>
            <w:pStyle w:val="Contents6"/>
            <w:tabs>
              <w:tab w:val="clear" w:pos="7609"/>
              <w:tab w:val="right" w:pos="9026" w:leader="dot"/>
            </w:tabs>
            <w:rPr/>
          </w:pPr>
          <w:hyperlink w:anchor="__RefHeading___Toc1165997_1067777946">
            <w:r>
              <w:rPr>
                <w:webHidden/>
                <w:rStyle w:val="IndexLink"/>
                <w:rtl w:val="true"/>
              </w:rPr>
              <w:t>صورة ثالثة</w:t>
            </w:r>
            <w:r>
              <w:rPr>
                <w:rStyle w:val="IndexLink"/>
                <w:rtl w:val="true"/>
              </w:rPr>
              <w:tab/>
            </w:r>
            <w:r>
              <w:rPr>
                <w:rStyle w:val="IndexLink"/>
              </w:rPr>
              <w:t>468</w:t>
            </w:r>
          </w:hyperlink>
        </w:p>
        <w:p>
          <w:pPr>
            <w:pStyle w:val="Contents5"/>
            <w:tabs>
              <w:tab w:val="clear" w:pos="7892"/>
              <w:tab w:val="right" w:pos="9026" w:leader="dot"/>
            </w:tabs>
            <w:rPr/>
          </w:pPr>
          <w:hyperlink w:anchor="__RefHeading___Toc1165999_1067777946">
            <w:r>
              <w:rPr>
                <w:webHidden/>
                <w:rStyle w:val="IndexLink"/>
              </w:rPr>
              <w:t>3</w:t>
            </w:r>
            <w:r>
              <w:rPr>
                <w:rStyle w:val="IndexLink"/>
                <w:rtl w:val="true"/>
              </w:rPr>
              <w:t xml:space="preserve">. </w:t>
            </w:r>
            <w:r>
              <w:rPr>
                <w:rStyle w:val="IndexLink"/>
                <w:rtl w:val="true"/>
              </w:rPr>
              <w:t>استنكار ابن عباس</w:t>
            </w:r>
            <w:r>
              <w:rPr>
                <w:rStyle w:val="IndexLink"/>
                <w:rtl w:val="true"/>
              </w:rPr>
              <w:tab/>
            </w:r>
            <w:r>
              <w:rPr>
                <w:rStyle w:val="IndexLink"/>
              </w:rPr>
              <w:t>468</w:t>
            </w:r>
          </w:hyperlink>
        </w:p>
        <w:p>
          <w:pPr>
            <w:pStyle w:val="Contents5"/>
            <w:tabs>
              <w:tab w:val="clear" w:pos="7892"/>
              <w:tab w:val="right" w:pos="9026" w:leader="dot"/>
            </w:tabs>
            <w:rPr/>
          </w:pPr>
          <w:hyperlink w:anchor="__RefHeading___Toc1166001_1067777946">
            <w:r>
              <w:rPr>
                <w:webHidden/>
                <w:rStyle w:val="IndexLink"/>
              </w:rPr>
              <w:t>4</w:t>
            </w:r>
            <w:r>
              <w:rPr>
                <w:rStyle w:val="IndexLink"/>
                <w:rtl w:val="true"/>
              </w:rPr>
              <w:t xml:space="preserve">. </w:t>
            </w:r>
            <w:r>
              <w:rPr>
                <w:rStyle w:val="IndexLink"/>
                <w:rtl w:val="true"/>
              </w:rPr>
              <w:t>استنكار أبي بن كعب</w:t>
            </w:r>
            <w:r>
              <w:rPr>
                <w:rStyle w:val="IndexLink"/>
                <w:rtl w:val="true"/>
              </w:rPr>
              <w:tab/>
            </w:r>
            <w:r>
              <w:rPr>
                <w:rStyle w:val="IndexLink"/>
              </w:rPr>
              <w:t>469</w:t>
            </w:r>
          </w:hyperlink>
        </w:p>
        <w:p>
          <w:pPr>
            <w:pStyle w:val="Contents5"/>
            <w:tabs>
              <w:tab w:val="clear" w:pos="7892"/>
              <w:tab w:val="right" w:pos="9026" w:leader="dot"/>
            </w:tabs>
            <w:rPr/>
          </w:pPr>
          <w:hyperlink w:anchor="__RefHeading___Toc1166003_1067777946">
            <w:r>
              <w:rPr>
                <w:webHidden/>
                <w:rStyle w:val="IndexLink"/>
              </w:rPr>
              <w:t>5</w:t>
            </w:r>
            <w:r>
              <w:rPr>
                <w:rStyle w:val="IndexLink"/>
                <w:rtl w:val="true"/>
              </w:rPr>
              <w:t xml:space="preserve">. </w:t>
            </w:r>
            <w:r>
              <w:rPr>
                <w:rStyle w:val="IndexLink"/>
                <w:rtl w:val="true"/>
              </w:rPr>
              <w:t>استنكار سعد بن أبي وقاص</w:t>
            </w:r>
            <w:r>
              <w:rPr>
                <w:rStyle w:val="IndexLink"/>
                <w:rtl w:val="true"/>
              </w:rPr>
              <w:tab/>
            </w:r>
            <w:r>
              <w:rPr>
                <w:rStyle w:val="IndexLink"/>
              </w:rPr>
              <w:t>469</w:t>
            </w:r>
          </w:hyperlink>
        </w:p>
        <w:p>
          <w:pPr>
            <w:pStyle w:val="Contents5"/>
            <w:tabs>
              <w:tab w:val="clear" w:pos="7892"/>
              <w:tab w:val="right" w:pos="9026" w:leader="dot"/>
            </w:tabs>
            <w:rPr/>
          </w:pPr>
          <w:hyperlink w:anchor="__RefHeading___Toc1166005_1067777946">
            <w:r>
              <w:rPr>
                <w:webHidden/>
                <w:rStyle w:val="IndexLink"/>
              </w:rPr>
              <w:t>6</w:t>
            </w:r>
            <w:r>
              <w:rPr>
                <w:rStyle w:val="IndexLink"/>
                <w:rtl w:val="true"/>
              </w:rPr>
              <w:t xml:space="preserve">. </w:t>
            </w:r>
            <w:r>
              <w:rPr>
                <w:rStyle w:val="IndexLink"/>
                <w:rtl w:val="true"/>
              </w:rPr>
              <w:t>عمران بن حصين</w:t>
            </w:r>
            <w:r>
              <w:rPr>
                <w:rStyle w:val="IndexLink"/>
                <w:rtl w:val="true"/>
              </w:rPr>
              <w:tab/>
            </w:r>
            <w:r>
              <w:rPr>
                <w:rStyle w:val="IndexLink"/>
              </w:rPr>
              <w:t>470</w:t>
            </w:r>
          </w:hyperlink>
        </w:p>
        <w:p>
          <w:pPr>
            <w:pStyle w:val="Contents6"/>
            <w:tabs>
              <w:tab w:val="clear" w:pos="7609"/>
              <w:tab w:val="right" w:pos="9026" w:leader="dot"/>
            </w:tabs>
            <w:rPr/>
          </w:pPr>
          <w:hyperlink w:anchor="__RefHeading___Toc1166007_1067777946">
            <w:r>
              <w:rPr>
                <w:webHidden/>
                <w:rStyle w:val="IndexLink"/>
                <w:rtl w:val="true"/>
              </w:rPr>
              <w:t>اشارة</w:t>
            </w:r>
            <w:r>
              <w:rPr>
                <w:rStyle w:val="IndexLink"/>
                <w:rtl w:val="true"/>
              </w:rPr>
              <w:tab/>
            </w:r>
            <w:r>
              <w:rPr>
                <w:rStyle w:val="IndexLink"/>
              </w:rPr>
              <w:t>470</w:t>
            </w:r>
          </w:hyperlink>
        </w:p>
        <w:p>
          <w:pPr>
            <w:pStyle w:val="Contents6"/>
            <w:tabs>
              <w:tab w:val="clear" w:pos="7609"/>
              <w:tab w:val="right" w:pos="9026" w:leader="dot"/>
            </w:tabs>
            <w:rPr/>
          </w:pPr>
          <w:hyperlink w:anchor="__RefHeading___Toc1166009_1067777946">
            <w:r>
              <w:rPr>
                <w:webHidden/>
                <w:rStyle w:val="IndexLink"/>
                <w:rtl w:val="true"/>
              </w:rPr>
              <w:t>التمتّع بالعمرة إلى الحج وشروطه</w:t>
            </w:r>
            <w:r>
              <w:rPr>
                <w:rStyle w:val="IndexLink"/>
                <w:rtl w:val="true"/>
              </w:rPr>
              <w:tab/>
            </w:r>
            <w:r>
              <w:rPr>
                <w:rStyle w:val="IndexLink"/>
              </w:rPr>
              <w:t>470</w:t>
            </w:r>
          </w:hyperlink>
        </w:p>
        <w:p>
          <w:pPr>
            <w:pStyle w:val="Contents4"/>
            <w:tabs>
              <w:tab w:val="clear" w:pos="8176"/>
              <w:tab w:val="right" w:pos="9026" w:leader="dot"/>
            </w:tabs>
            <w:rPr/>
          </w:pPr>
          <w:hyperlink w:anchor="__RefHeading___Toc1166011_1067777946">
            <w:r>
              <w:rPr>
                <w:webHidden/>
                <w:rStyle w:val="IndexLink"/>
                <w:rtl w:val="true"/>
              </w:rPr>
              <w:t xml:space="preserve">السابع </w:t>
            </w:r>
            <w:r>
              <w:rPr>
                <w:rStyle w:val="IndexLink"/>
                <w:rtl w:val="true"/>
              </w:rPr>
              <w:t xml:space="preserve">: </w:t>
            </w:r>
            <w:r>
              <w:rPr>
                <w:rStyle w:val="IndexLink"/>
                <w:rtl w:val="true"/>
              </w:rPr>
              <w:t>التبريرات المختلقة للحظر المفروض</w:t>
            </w:r>
            <w:r>
              <w:rPr>
                <w:rStyle w:val="IndexLink"/>
                <w:rtl w:val="true"/>
              </w:rPr>
              <w:tab/>
            </w:r>
            <w:r>
              <w:rPr>
                <w:rStyle w:val="IndexLink"/>
              </w:rPr>
              <w:t>472</w:t>
            </w:r>
          </w:hyperlink>
        </w:p>
        <w:p>
          <w:pPr>
            <w:pStyle w:val="Contents5"/>
            <w:tabs>
              <w:tab w:val="clear" w:pos="7892"/>
              <w:tab w:val="right" w:pos="9026" w:leader="dot"/>
            </w:tabs>
            <w:rPr/>
          </w:pPr>
          <w:hyperlink w:anchor="__RefHeading___Toc1166013_1067777946">
            <w:r>
              <w:rPr>
                <w:webHidden/>
                <w:rStyle w:val="IndexLink"/>
                <w:rtl w:val="true"/>
              </w:rPr>
              <w:t>اشارة</w:t>
            </w:r>
            <w:r>
              <w:rPr>
                <w:rStyle w:val="IndexLink"/>
                <w:rtl w:val="true"/>
              </w:rPr>
              <w:tab/>
            </w:r>
            <w:r>
              <w:rPr>
                <w:rStyle w:val="IndexLink"/>
              </w:rPr>
              <w:t>472</w:t>
            </w:r>
          </w:hyperlink>
        </w:p>
        <w:p>
          <w:pPr>
            <w:pStyle w:val="Contents5"/>
            <w:tabs>
              <w:tab w:val="clear" w:pos="7892"/>
              <w:tab w:val="right" w:pos="9026" w:leader="dot"/>
            </w:tabs>
            <w:rPr/>
          </w:pPr>
          <w:hyperlink w:anchor="__RefHeading___Toc1166015_1067777946">
            <w:r>
              <w:rPr>
                <w:webHidden/>
                <w:rStyle w:val="IndexLink"/>
              </w:rPr>
              <w:t>1</w:t>
            </w:r>
            <w:r>
              <w:rPr>
                <w:rStyle w:val="IndexLink"/>
                <w:rtl w:val="true"/>
              </w:rPr>
              <w:t xml:space="preserve">. </w:t>
            </w:r>
            <w:r>
              <w:rPr>
                <w:rStyle w:val="IndexLink"/>
                <w:rtl w:val="true"/>
              </w:rPr>
              <w:t>فسخ الحجّ إلى العمرة</w:t>
            </w:r>
            <w:r>
              <w:rPr>
                <w:rStyle w:val="IndexLink"/>
                <w:rtl w:val="true"/>
              </w:rPr>
              <w:tab/>
            </w:r>
            <w:r>
              <w:rPr>
                <w:rStyle w:val="IndexLink"/>
              </w:rPr>
              <w:t>472</w:t>
            </w:r>
          </w:hyperlink>
        </w:p>
        <w:p>
          <w:pPr>
            <w:pStyle w:val="Contents5"/>
            <w:tabs>
              <w:tab w:val="clear" w:pos="7892"/>
              <w:tab w:val="right" w:pos="9026" w:leader="dot"/>
            </w:tabs>
            <w:rPr/>
          </w:pPr>
          <w:hyperlink w:anchor="__RefHeading___Toc1166017_1067777946">
            <w:r>
              <w:rPr>
                <w:webHidden/>
                <w:rStyle w:val="IndexLink"/>
              </w:rPr>
              <w:t>2</w:t>
            </w:r>
            <w:r>
              <w:rPr>
                <w:rStyle w:val="IndexLink"/>
                <w:rtl w:val="true"/>
              </w:rPr>
              <w:t xml:space="preserve">. </w:t>
            </w:r>
            <w:r>
              <w:rPr>
                <w:rStyle w:val="IndexLink"/>
                <w:rtl w:val="true"/>
              </w:rPr>
              <w:t>اختصاص التمتّع بالصحابة</w:t>
            </w:r>
            <w:r>
              <w:rPr>
                <w:rStyle w:val="IndexLink"/>
                <w:rtl w:val="true"/>
              </w:rPr>
              <w:tab/>
            </w:r>
            <w:r>
              <w:rPr>
                <w:rStyle w:val="IndexLink"/>
              </w:rPr>
              <w:t>473</w:t>
            </w:r>
          </w:hyperlink>
        </w:p>
        <w:p>
          <w:pPr>
            <w:pStyle w:val="Contents5"/>
            <w:tabs>
              <w:tab w:val="clear" w:pos="7892"/>
              <w:tab w:val="right" w:pos="9026" w:leader="dot"/>
            </w:tabs>
            <w:rPr/>
          </w:pPr>
          <w:hyperlink w:anchor="__RefHeading___Toc1166019_1067777946">
            <w:r>
              <w:rPr>
                <w:webHidden/>
                <w:rStyle w:val="IndexLink"/>
              </w:rPr>
              <w:t>3</w:t>
            </w:r>
            <w:r>
              <w:rPr>
                <w:rStyle w:val="IndexLink"/>
                <w:rtl w:val="true"/>
              </w:rPr>
              <w:t xml:space="preserve">. </w:t>
            </w:r>
            <w:r>
              <w:rPr>
                <w:rStyle w:val="IndexLink"/>
                <w:rtl w:val="true"/>
              </w:rPr>
              <w:t>عزوه إلى النبي صلى الله عليه وآله وسلم وطروء النسيان على الصحابة</w:t>
            </w:r>
            <w:r>
              <w:rPr>
                <w:rStyle w:val="IndexLink"/>
                <w:rtl w:val="true"/>
              </w:rPr>
              <w:tab/>
            </w:r>
            <w:r>
              <w:rPr>
                <w:rStyle w:val="IndexLink"/>
              </w:rPr>
              <w:t>474</w:t>
            </w:r>
          </w:hyperlink>
        </w:p>
        <w:p>
          <w:pPr>
            <w:pStyle w:val="Contents5"/>
            <w:tabs>
              <w:tab w:val="clear" w:pos="7892"/>
              <w:tab w:val="right" w:pos="9026" w:leader="dot"/>
            </w:tabs>
            <w:rPr/>
          </w:pPr>
          <w:hyperlink w:anchor="__RefHeading___Toc1166021_1067777946">
            <w:r>
              <w:rPr>
                <w:webHidden/>
                <w:rStyle w:val="IndexLink"/>
                <w:rtl w:val="true"/>
              </w:rPr>
              <w:t xml:space="preserve">خاتمة المطاف في أمور </w:t>
            </w:r>
            <w:r>
              <w:rPr>
                <w:rStyle w:val="IndexLink"/>
                <w:rtl w:val="true"/>
              </w:rPr>
              <w:t>:</w:t>
              <w:tab/>
            </w:r>
            <w:r>
              <w:rPr>
                <w:rStyle w:val="IndexLink"/>
              </w:rPr>
              <w:t>476</w:t>
            </w:r>
          </w:hyperlink>
        </w:p>
        <w:p>
          <w:pPr>
            <w:pStyle w:val="Contents2"/>
            <w:tabs>
              <w:tab w:val="clear" w:pos="8743"/>
              <w:tab w:val="right" w:pos="9026" w:leader="dot"/>
            </w:tabs>
            <w:rPr/>
          </w:pPr>
          <w:hyperlink w:anchor="__RefHeading___Toc1166023_1067777946">
            <w:r>
              <w:rPr>
                <w:webHidden/>
                <w:rStyle w:val="IndexLink"/>
              </w:rPr>
              <w:t>12</w:t>
            </w:r>
            <w:r>
              <w:rPr>
                <w:rStyle w:val="IndexLink"/>
                <w:rtl w:val="true"/>
              </w:rPr>
              <w:t xml:space="preserve">. </w:t>
            </w:r>
            <w:r>
              <w:rPr>
                <w:rStyle w:val="IndexLink"/>
                <w:rtl w:val="true"/>
              </w:rPr>
              <w:t>متعة النساء أو الزواج المؤقت</w:t>
            </w:r>
            <w:r>
              <w:rPr>
                <w:rStyle w:val="IndexLink"/>
                <w:rtl w:val="true"/>
              </w:rPr>
              <w:tab/>
            </w:r>
            <w:r>
              <w:rPr>
                <w:rStyle w:val="IndexLink"/>
              </w:rPr>
              <w:t>483</w:t>
            </w:r>
          </w:hyperlink>
        </w:p>
        <w:p>
          <w:pPr>
            <w:pStyle w:val="Contents3"/>
            <w:tabs>
              <w:tab w:val="clear" w:pos="8459"/>
              <w:tab w:val="right" w:pos="9026" w:leader="dot"/>
            </w:tabs>
            <w:rPr/>
          </w:pPr>
          <w:hyperlink w:anchor="__RefHeading___Toc1166025_1067777946">
            <w:r>
              <w:rPr>
                <w:webHidden/>
                <w:rStyle w:val="IndexLink"/>
                <w:rtl w:val="true"/>
              </w:rPr>
              <w:t>اشارة</w:t>
            </w:r>
            <w:r>
              <w:rPr>
                <w:rStyle w:val="IndexLink"/>
                <w:rtl w:val="true"/>
              </w:rPr>
              <w:tab/>
            </w:r>
            <w:r>
              <w:rPr>
                <w:rStyle w:val="IndexLink"/>
              </w:rPr>
              <w:t>483</w:t>
            </w:r>
          </w:hyperlink>
        </w:p>
        <w:p>
          <w:pPr>
            <w:pStyle w:val="Contents3"/>
            <w:tabs>
              <w:tab w:val="clear" w:pos="8459"/>
              <w:tab w:val="right" w:pos="9026" w:leader="dot"/>
            </w:tabs>
            <w:rPr/>
          </w:pPr>
          <w:hyperlink w:anchor="__RefHeading___Toc1166027_1067777946">
            <w:r>
              <w:rPr>
                <w:webHidden/>
                <w:rStyle w:val="IndexLink"/>
                <w:rtl w:val="true"/>
              </w:rPr>
              <w:t>تمهيد</w:t>
            </w:r>
            <w:r>
              <w:rPr>
                <w:rStyle w:val="IndexLink"/>
                <w:rtl w:val="true"/>
              </w:rPr>
              <w:t xml:space="preserve">: </w:t>
            </w:r>
            <w:r>
              <w:rPr>
                <w:rStyle w:val="IndexLink"/>
                <w:rtl w:val="true"/>
              </w:rPr>
              <w:t>الغريزة الجنسية بين التحديد والإباحة الغربية</w:t>
            </w:r>
            <w:r>
              <w:rPr>
                <w:rStyle w:val="IndexLink"/>
                <w:rtl w:val="true"/>
              </w:rPr>
              <w:tab/>
            </w:r>
            <w:r>
              <w:rPr>
                <w:rStyle w:val="IndexLink"/>
              </w:rPr>
              <w:t>485</w:t>
            </w:r>
          </w:hyperlink>
        </w:p>
        <w:p>
          <w:pPr>
            <w:pStyle w:val="Contents3"/>
            <w:tabs>
              <w:tab w:val="clear" w:pos="8459"/>
              <w:tab w:val="right" w:pos="9026" w:leader="dot"/>
            </w:tabs>
            <w:rPr/>
          </w:pPr>
          <w:hyperlink w:anchor="__RefHeading___Toc1166029_1067777946">
            <w:r>
              <w:rPr>
                <w:webHidden/>
                <w:rStyle w:val="IndexLink"/>
                <w:rtl w:val="true"/>
              </w:rPr>
              <w:t>آراء الفقهاء في المتعة</w:t>
            </w:r>
            <w:r>
              <w:rPr>
                <w:rStyle w:val="IndexLink"/>
                <w:rtl w:val="true"/>
              </w:rPr>
              <w:tab/>
            </w:r>
            <w:r>
              <w:rPr>
                <w:rStyle w:val="IndexLink"/>
              </w:rPr>
              <w:t>491</w:t>
            </w:r>
          </w:hyperlink>
        </w:p>
        <w:p>
          <w:pPr>
            <w:pStyle w:val="Contents4"/>
            <w:tabs>
              <w:tab w:val="clear" w:pos="8176"/>
              <w:tab w:val="right" w:pos="9026" w:leader="dot"/>
            </w:tabs>
            <w:rPr/>
          </w:pPr>
          <w:hyperlink w:anchor="__RefHeading___Toc1166031_1067777946">
            <w:r>
              <w:rPr>
                <w:webHidden/>
                <w:rStyle w:val="IndexLink"/>
                <w:rtl w:val="true"/>
              </w:rPr>
              <w:t>اشارة</w:t>
            </w:r>
            <w:r>
              <w:rPr>
                <w:rStyle w:val="IndexLink"/>
                <w:rtl w:val="true"/>
              </w:rPr>
              <w:tab/>
            </w:r>
            <w:r>
              <w:rPr>
                <w:rStyle w:val="IndexLink"/>
              </w:rPr>
              <w:t>491</w:t>
            </w:r>
          </w:hyperlink>
        </w:p>
        <w:p>
          <w:pPr>
            <w:pStyle w:val="Contents4"/>
            <w:tabs>
              <w:tab w:val="clear" w:pos="8176"/>
              <w:tab w:val="right" w:pos="9026" w:leader="dot"/>
            </w:tabs>
            <w:rPr/>
          </w:pPr>
          <w:hyperlink w:anchor="__RefHeading___Toc1166033_1067777946">
            <w:r>
              <w:rPr>
                <w:webHidden/>
                <w:rStyle w:val="IndexLink"/>
              </w:rPr>
              <w:t>1</w:t>
            </w:r>
            <w:r>
              <w:rPr>
                <w:rStyle w:val="IndexLink"/>
                <w:rtl w:val="true"/>
              </w:rPr>
              <w:t xml:space="preserve">. </w:t>
            </w:r>
            <w:r>
              <w:rPr>
                <w:rStyle w:val="IndexLink"/>
                <w:rtl w:val="true"/>
              </w:rPr>
              <w:t>تعريفها ونبذ من أحكامها</w:t>
            </w:r>
            <w:r>
              <w:rPr>
                <w:rStyle w:val="IndexLink"/>
                <w:rtl w:val="true"/>
              </w:rPr>
              <w:tab/>
            </w:r>
            <w:r>
              <w:rPr>
                <w:rStyle w:val="IndexLink"/>
              </w:rPr>
              <w:t>492</w:t>
            </w:r>
          </w:hyperlink>
        </w:p>
        <w:p>
          <w:pPr>
            <w:pStyle w:val="Contents5"/>
            <w:tabs>
              <w:tab w:val="clear" w:pos="7892"/>
              <w:tab w:val="right" w:pos="9026" w:leader="dot"/>
            </w:tabs>
            <w:rPr/>
          </w:pPr>
          <w:hyperlink w:anchor="__RefHeading___Toc1166035_1067777946">
            <w:r>
              <w:rPr>
                <w:webHidden/>
                <w:rStyle w:val="IndexLink"/>
                <w:rtl w:val="true"/>
              </w:rPr>
              <w:t>اشارة</w:t>
            </w:r>
            <w:r>
              <w:rPr>
                <w:rStyle w:val="IndexLink"/>
                <w:rtl w:val="true"/>
              </w:rPr>
              <w:tab/>
            </w:r>
            <w:r>
              <w:rPr>
                <w:rStyle w:val="IndexLink"/>
              </w:rPr>
              <w:t>492</w:t>
            </w:r>
          </w:hyperlink>
        </w:p>
        <w:p>
          <w:pPr>
            <w:pStyle w:val="Contents5"/>
            <w:tabs>
              <w:tab w:val="clear" w:pos="7892"/>
              <w:tab w:val="right" w:pos="9026" w:leader="dot"/>
            </w:tabs>
            <w:rPr/>
          </w:pPr>
          <w:hyperlink w:anchor="__RefHeading___Toc1166037_1067777946">
            <w:r>
              <w:rPr>
                <w:webHidden/>
                <w:rStyle w:val="IndexLink"/>
                <w:rtl w:val="true"/>
              </w:rPr>
              <w:t>نبذ من أحكامها</w:t>
            </w:r>
            <w:r>
              <w:rPr>
                <w:rStyle w:val="IndexLink"/>
                <w:rtl w:val="true"/>
              </w:rPr>
              <w:tab/>
            </w:r>
            <w:r>
              <w:rPr>
                <w:rStyle w:val="IndexLink"/>
              </w:rPr>
              <w:t>492</w:t>
            </w:r>
          </w:hyperlink>
        </w:p>
        <w:p>
          <w:pPr>
            <w:pStyle w:val="Contents6"/>
            <w:tabs>
              <w:tab w:val="clear" w:pos="7609"/>
              <w:tab w:val="right" w:pos="9026" w:leader="dot"/>
            </w:tabs>
            <w:rPr/>
          </w:pPr>
          <w:hyperlink w:anchor="__RefHeading___Toc1166039_1067777946">
            <w:r>
              <w:rPr>
                <w:webHidden/>
                <w:rStyle w:val="IndexLink"/>
                <w:rtl w:val="true"/>
              </w:rPr>
              <w:t>اشارة</w:t>
            </w:r>
            <w:r>
              <w:rPr>
                <w:rStyle w:val="IndexLink"/>
                <w:rtl w:val="true"/>
              </w:rPr>
              <w:tab/>
            </w:r>
            <w:r>
              <w:rPr>
                <w:rStyle w:val="IndexLink"/>
              </w:rPr>
              <w:t>492</w:t>
            </w:r>
          </w:hyperlink>
        </w:p>
        <w:p>
          <w:pPr>
            <w:pStyle w:val="Contents6"/>
            <w:tabs>
              <w:tab w:val="clear" w:pos="7609"/>
              <w:tab w:val="right" w:pos="9026" w:leader="dot"/>
            </w:tabs>
            <w:rPr/>
          </w:pPr>
          <w:hyperlink w:anchor="__RefHeading___Toc1166041_1067777946">
            <w:r>
              <w:rPr>
                <w:webHidden/>
                <w:rStyle w:val="IndexLink"/>
                <w:rtl w:val="true"/>
              </w:rPr>
              <w:t xml:space="preserve">الف </w:t>
            </w:r>
            <w:r>
              <w:rPr>
                <w:rStyle w:val="IndexLink"/>
                <w:rtl w:val="true"/>
              </w:rPr>
              <w:t xml:space="preserve">: </w:t>
            </w:r>
            <w:r>
              <w:rPr>
                <w:rStyle w:val="IndexLink"/>
                <w:rtl w:val="true"/>
              </w:rPr>
              <w:t>الصيغة</w:t>
            </w:r>
            <w:r>
              <w:rPr>
                <w:rStyle w:val="IndexLink"/>
                <w:rtl w:val="true"/>
              </w:rPr>
              <w:tab/>
            </w:r>
            <w:r>
              <w:rPr>
                <w:rStyle w:val="IndexLink"/>
              </w:rPr>
              <w:t>493</w:t>
            </w:r>
          </w:hyperlink>
        </w:p>
        <w:p>
          <w:pPr>
            <w:pStyle w:val="Contents6"/>
            <w:tabs>
              <w:tab w:val="clear" w:pos="7609"/>
              <w:tab w:val="right" w:pos="9026" w:leader="dot"/>
            </w:tabs>
            <w:rPr/>
          </w:pPr>
          <w:hyperlink w:anchor="__RefHeading___Toc1166043_1067777946">
            <w:r>
              <w:rPr>
                <w:webHidden/>
                <w:rStyle w:val="IndexLink"/>
                <w:rtl w:val="true"/>
              </w:rPr>
              <w:t xml:space="preserve">ب </w:t>
            </w:r>
            <w:r>
              <w:rPr>
                <w:rStyle w:val="IndexLink"/>
                <w:rtl w:val="true"/>
              </w:rPr>
              <w:t xml:space="preserve">: </w:t>
            </w:r>
            <w:r>
              <w:rPr>
                <w:rStyle w:val="IndexLink"/>
                <w:rtl w:val="true"/>
              </w:rPr>
              <w:t>المحل</w:t>
            </w:r>
            <w:r>
              <w:rPr>
                <w:rStyle w:val="IndexLink"/>
                <w:rtl w:val="true"/>
              </w:rPr>
              <w:tab/>
            </w:r>
            <w:r>
              <w:rPr>
                <w:rStyle w:val="IndexLink"/>
              </w:rPr>
              <w:t>493</w:t>
            </w:r>
          </w:hyperlink>
        </w:p>
        <w:p>
          <w:pPr>
            <w:pStyle w:val="Contents6"/>
            <w:tabs>
              <w:tab w:val="clear" w:pos="7609"/>
              <w:tab w:val="right" w:pos="9026" w:leader="dot"/>
            </w:tabs>
            <w:rPr/>
          </w:pPr>
          <w:hyperlink w:anchor="__RefHeading___Toc1166045_1067777946">
            <w:r>
              <w:rPr>
                <w:webHidden/>
                <w:rStyle w:val="IndexLink"/>
                <w:rtl w:val="true"/>
              </w:rPr>
              <w:t xml:space="preserve">ج </w:t>
            </w:r>
            <w:r>
              <w:rPr>
                <w:rStyle w:val="IndexLink"/>
                <w:rtl w:val="true"/>
              </w:rPr>
              <w:t xml:space="preserve">: </w:t>
            </w:r>
            <w:r>
              <w:rPr>
                <w:rStyle w:val="IndexLink"/>
                <w:rtl w:val="true"/>
              </w:rPr>
              <w:t>المهر</w:t>
            </w:r>
            <w:r>
              <w:rPr>
                <w:rStyle w:val="IndexLink"/>
                <w:rtl w:val="true"/>
              </w:rPr>
              <w:tab/>
            </w:r>
            <w:r>
              <w:rPr>
                <w:rStyle w:val="IndexLink"/>
              </w:rPr>
              <w:t>493</w:t>
            </w:r>
          </w:hyperlink>
        </w:p>
        <w:p>
          <w:pPr>
            <w:pStyle w:val="Contents6"/>
            <w:tabs>
              <w:tab w:val="clear" w:pos="7609"/>
              <w:tab w:val="right" w:pos="9026" w:leader="dot"/>
            </w:tabs>
            <w:rPr/>
          </w:pPr>
          <w:hyperlink w:anchor="__RefHeading___Toc1166047_1067777946">
            <w:r>
              <w:rPr>
                <w:webHidden/>
                <w:rStyle w:val="IndexLink"/>
                <w:rtl w:val="true"/>
              </w:rPr>
              <w:t xml:space="preserve">د </w:t>
            </w:r>
            <w:r>
              <w:rPr>
                <w:rStyle w:val="IndexLink"/>
                <w:rtl w:val="true"/>
              </w:rPr>
              <w:t xml:space="preserve">: </w:t>
            </w:r>
            <w:r>
              <w:rPr>
                <w:rStyle w:val="IndexLink"/>
                <w:rtl w:val="true"/>
              </w:rPr>
              <w:t>الأجل</w:t>
            </w:r>
            <w:r>
              <w:rPr>
                <w:rStyle w:val="IndexLink"/>
                <w:rtl w:val="true"/>
              </w:rPr>
              <w:tab/>
            </w:r>
            <w:r>
              <w:rPr>
                <w:rStyle w:val="IndexLink"/>
              </w:rPr>
              <w:t>494</w:t>
            </w:r>
          </w:hyperlink>
        </w:p>
        <w:p>
          <w:pPr>
            <w:pStyle w:val="Contents4"/>
            <w:tabs>
              <w:tab w:val="clear" w:pos="8176"/>
              <w:tab w:val="right" w:pos="9026" w:leader="dot"/>
            </w:tabs>
            <w:rPr/>
          </w:pPr>
          <w:hyperlink w:anchor="__RefHeading___Toc1166049_1067777946">
            <w:r>
              <w:rPr>
                <w:webHidden/>
                <w:rStyle w:val="IndexLink"/>
              </w:rPr>
              <w:t>2</w:t>
            </w:r>
            <w:r>
              <w:rPr>
                <w:rStyle w:val="IndexLink"/>
                <w:rtl w:val="true"/>
              </w:rPr>
              <w:t xml:space="preserve">. </w:t>
            </w:r>
            <w:r>
              <w:rPr>
                <w:rStyle w:val="IndexLink"/>
                <w:rtl w:val="true"/>
              </w:rPr>
              <w:t>الزواج المؤقت في صدر الإسلام</w:t>
            </w:r>
            <w:r>
              <w:rPr>
                <w:rStyle w:val="IndexLink"/>
                <w:rtl w:val="true"/>
              </w:rPr>
              <w:tab/>
            </w:r>
            <w:r>
              <w:rPr>
                <w:rStyle w:val="IndexLink"/>
              </w:rPr>
              <w:t>496</w:t>
            </w:r>
          </w:hyperlink>
        </w:p>
        <w:p>
          <w:pPr>
            <w:pStyle w:val="Contents4"/>
            <w:tabs>
              <w:tab w:val="clear" w:pos="8176"/>
              <w:tab w:val="right" w:pos="9026" w:leader="dot"/>
            </w:tabs>
            <w:rPr/>
          </w:pPr>
          <w:hyperlink w:anchor="__RefHeading___Toc1166051_1067777946">
            <w:r>
              <w:rPr>
                <w:webHidden/>
                <w:rStyle w:val="IndexLink"/>
              </w:rPr>
              <w:t>3</w:t>
            </w:r>
            <w:r>
              <w:rPr>
                <w:rStyle w:val="IndexLink"/>
                <w:rtl w:val="true"/>
              </w:rPr>
              <w:t xml:space="preserve">. </w:t>
            </w:r>
            <w:r>
              <w:rPr>
                <w:rStyle w:val="IndexLink"/>
                <w:rtl w:val="true"/>
              </w:rPr>
              <w:t>الزواج المؤقت</w:t>
            </w:r>
            <w:r>
              <w:rPr>
                <w:rStyle w:val="IndexLink"/>
                <w:rtl w:val="true"/>
              </w:rPr>
              <w:tab/>
            </w:r>
            <w:r>
              <w:rPr>
                <w:rStyle w:val="IndexLink"/>
              </w:rPr>
              <w:t>498</w:t>
            </w:r>
          </w:hyperlink>
        </w:p>
        <w:p>
          <w:pPr>
            <w:pStyle w:val="Contents5"/>
            <w:tabs>
              <w:tab w:val="clear" w:pos="7892"/>
              <w:tab w:val="right" w:pos="9026" w:leader="dot"/>
            </w:tabs>
            <w:rPr/>
          </w:pPr>
          <w:hyperlink w:anchor="__RefHeading___Toc1166053_1067777946">
            <w:r>
              <w:rPr>
                <w:webHidden/>
                <w:rStyle w:val="IndexLink"/>
                <w:rtl w:val="true"/>
              </w:rPr>
              <w:t>في الذكر الحكيم</w:t>
            </w:r>
            <w:r>
              <w:rPr>
                <w:rStyle w:val="IndexLink"/>
                <w:rtl w:val="true"/>
              </w:rPr>
              <w:tab/>
            </w:r>
            <w:r>
              <w:rPr>
                <w:rStyle w:val="IndexLink"/>
              </w:rPr>
              <w:t>498</w:t>
            </w:r>
          </w:hyperlink>
        </w:p>
        <w:p>
          <w:pPr>
            <w:pStyle w:val="Contents5"/>
            <w:tabs>
              <w:tab w:val="clear" w:pos="7892"/>
              <w:tab w:val="right" w:pos="9026" w:leader="dot"/>
            </w:tabs>
            <w:rPr/>
          </w:pPr>
          <w:hyperlink w:anchor="__RefHeading___Toc1166055_1067777946">
            <w:r>
              <w:rPr>
                <w:webHidden/>
                <w:rStyle w:val="IndexLink"/>
                <w:rtl w:val="true"/>
              </w:rPr>
              <w:t>تفسير الآيات الثلاث</w:t>
            </w:r>
            <w:r>
              <w:rPr>
                <w:rStyle w:val="IndexLink"/>
                <w:rtl w:val="true"/>
              </w:rPr>
              <w:tab/>
            </w:r>
            <w:r>
              <w:rPr>
                <w:rStyle w:val="IndexLink"/>
              </w:rPr>
              <w:t>499</w:t>
            </w:r>
          </w:hyperlink>
        </w:p>
        <w:p>
          <w:pPr>
            <w:pStyle w:val="Contents5"/>
            <w:tabs>
              <w:tab w:val="clear" w:pos="7892"/>
              <w:tab w:val="right" w:pos="9026" w:leader="dot"/>
            </w:tabs>
            <w:rPr/>
          </w:pPr>
          <w:hyperlink w:anchor="__RefHeading___Toc1166057_1067777946">
            <w:r>
              <w:rPr>
                <w:webHidden/>
                <w:rStyle w:val="IndexLink"/>
                <w:rtl w:val="true"/>
              </w:rPr>
              <w:t xml:space="preserve">القرينة الأولى </w:t>
            </w:r>
            <w:r>
              <w:rPr>
                <w:rStyle w:val="IndexLink"/>
                <w:rtl w:val="true"/>
              </w:rPr>
              <w:t xml:space="preserve">: </w:t>
            </w:r>
            <w:r>
              <w:rPr>
                <w:rStyle w:val="IndexLink"/>
                <w:rtl w:val="true"/>
              </w:rPr>
              <w:t>الاستمتاع هو عقد المتعة</w:t>
            </w:r>
            <w:r>
              <w:rPr>
                <w:rStyle w:val="IndexLink"/>
                <w:rtl w:val="true"/>
              </w:rPr>
              <w:tab/>
            </w:r>
            <w:r>
              <w:rPr>
                <w:rStyle w:val="IndexLink"/>
              </w:rPr>
              <w:t>501</w:t>
            </w:r>
          </w:hyperlink>
        </w:p>
        <w:p>
          <w:pPr>
            <w:pStyle w:val="Contents5"/>
            <w:tabs>
              <w:tab w:val="clear" w:pos="7892"/>
              <w:tab w:val="right" w:pos="9026" w:leader="dot"/>
            </w:tabs>
            <w:rPr/>
          </w:pPr>
          <w:hyperlink w:anchor="__RefHeading___Toc1166059_1067777946">
            <w:r>
              <w:rPr>
                <w:webHidden/>
                <w:rStyle w:val="IndexLink"/>
                <w:rtl w:val="true"/>
              </w:rPr>
              <w:t xml:space="preserve">القرينة الثانية </w:t>
            </w:r>
            <w:r>
              <w:rPr>
                <w:rStyle w:val="IndexLink"/>
                <w:rtl w:val="true"/>
              </w:rPr>
              <w:t xml:space="preserve">: </w:t>
            </w:r>
            <w:r>
              <w:rPr>
                <w:rStyle w:val="IndexLink"/>
                <w:rtl w:val="true"/>
              </w:rPr>
              <w:t>الحمل على المتعة يستلزم التكرار</w:t>
            </w:r>
            <w:r>
              <w:rPr>
                <w:rStyle w:val="IndexLink"/>
                <w:rtl w:val="true"/>
              </w:rPr>
              <w:tab/>
            </w:r>
            <w:r>
              <w:rPr>
                <w:rStyle w:val="IndexLink"/>
              </w:rPr>
              <w:t>503</w:t>
            </w:r>
          </w:hyperlink>
        </w:p>
        <w:p>
          <w:pPr>
            <w:pStyle w:val="Contents5"/>
            <w:tabs>
              <w:tab w:val="clear" w:pos="7892"/>
              <w:tab w:val="right" w:pos="9026" w:leader="dot"/>
            </w:tabs>
            <w:rPr/>
          </w:pPr>
          <w:hyperlink w:anchor="__RefHeading___Toc1166061_1067777946">
            <w:r>
              <w:rPr>
                <w:webHidden/>
                <w:rStyle w:val="IndexLink"/>
                <w:rtl w:val="true"/>
              </w:rPr>
              <w:t xml:space="preserve">القرينة الثالثة </w:t>
            </w:r>
            <w:r>
              <w:rPr>
                <w:rStyle w:val="IndexLink"/>
                <w:rtl w:val="true"/>
              </w:rPr>
              <w:t xml:space="preserve">: </w:t>
            </w:r>
            <w:r>
              <w:rPr>
                <w:rStyle w:val="IndexLink"/>
                <w:rtl w:val="true"/>
              </w:rPr>
              <w:t>الجملتان المتقدّمتان</w:t>
            </w:r>
            <w:r>
              <w:rPr>
                <w:rStyle w:val="IndexLink"/>
                <w:rtl w:val="true"/>
              </w:rPr>
              <w:tab/>
            </w:r>
            <w:r>
              <w:rPr>
                <w:rStyle w:val="IndexLink"/>
              </w:rPr>
              <w:t>504</w:t>
            </w:r>
          </w:hyperlink>
        </w:p>
        <w:p>
          <w:pPr>
            <w:pStyle w:val="Contents5"/>
            <w:tabs>
              <w:tab w:val="clear" w:pos="7892"/>
              <w:tab w:val="right" w:pos="9026" w:leader="dot"/>
            </w:tabs>
            <w:rPr/>
          </w:pPr>
          <w:hyperlink w:anchor="__RefHeading___Toc1166063_1067777946">
            <w:r>
              <w:rPr>
                <w:webHidden/>
                <w:rStyle w:val="IndexLink"/>
                <w:rtl w:val="true"/>
              </w:rPr>
              <w:t xml:space="preserve">القرينة الرابعة </w:t>
            </w:r>
            <w:r>
              <w:rPr>
                <w:rStyle w:val="IndexLink"/>
                <w:rtl w:val="true"/>
              </w:rPr>
              <w:t xml:space="preserve">: </w:t>
            </w:r>
            <w:r>
              <w:rPr>
                <w:rStyle w:val="IndexLink"/>
                <w:rtl w:val="true"/>
              </w:rPr>
              <w:t>تفسيره في لسان الصحابة بنكاح المتعة</w:t>
            </w:r>
            <w:r>
              <w:rPr>
                <w:rStyle w:val="IndexLink"/>
                <w:rtl w:val="true"/>
              </w:rPr>
              <w:tab/>
            </w:r>
            <w:r>
              <w:rPr>
                <w:rStyle w:val="IndexLink"/>
              </w:rPr>
              <w:t>505</w:t>
            </w:r>
          </w:hyperlink>
        </w:p>
        <w:p>
          <w:pPr>
            <w:pStyle w:val="Contents5"/>
            <w:tabs>
              <w:tab w:val="clear" w:pos="7892"/>
              <w:tab w:val="right" w:pos="9026" w:leader="dot"/>
            </w:tabs>
            <w:rPr/>
          </w:pPr>
          <w:hyperlink w:anchor="__RefHeading___Toc1166065_1067777946">
            <w:r>
              <w:rPr>
                <w:webHidden/>
                <w:rStyle w:val="IndexLink"/>
                <w:rtl w:val="true"/>
              </w:rPr>
              <w:t xml:space="preserve">القرينة الخامسة </w:t>
            </w:r>
            <w:r>
              <w:rPr>
                <w:rStyle w:val="IndexLink"/>
                <w:rtl w:val="true"/>
              </w:rPr>
              <w:t xml:space="preserve">: </w:t>
            </w:r>
            <w:r>
              <w:rPr>
                <w:rStyle w:val="IndexLink"/>
                <w:rtl w:val="true"/>
              </w:rPr>
              <w:t>اتّفاق أئمّة أهل البيت عليهم السلام على نزول الآية في المتعة</w:t>
            </w:r>
            <w:r>
              <w:rPr>
                <w:rStyle w:val="IndexLink"/>
                <w:rtl w:val="true"/>
              </w:rPr>
              <w:tab/>
            </w:r>
            <w:r>
              <w:rPr>
                <w:rStyle w:val="IndexLink"/>
              </w:rPr>
              <w:t>507</w:t>
            </w:r>
          </w:hyperlink>
        </w:p>
        <w:p>
          <w:pPr>
            <w:pStyle w:val="Contents5"/>
            <w:tabs>
              <w:tab w:val="clear" w:pos="7892"/>
              <w:tab w:val="right" w:pos="9026" w:leader="dot"/>
            </w:tabs>
            <w:rPr/>
          </w:pPr>
          <w:hyperlink w:anchor="__RefHeading___Toc1166067_1067777946">
            <w:r>
              <w:rPr>
                <w:webHidden/>
                <w:rStyle w:val="IndexLink"/>
                <w:rtl w:val="true"/>
              </w:rPr>
              <w:t xml:space="preserve">القرينة السادسة </w:t>
            </w:r>
            <w:r>
              <w:rPr>
                <w:rStyle w:val="IndexLink"/>
                <w:rtl w:val="true"/>
              </w:rPr>
              <w:t xml:space="preserve">: </w:t>
            </w:r>
            <w:r>
              <w:rPr>
                <w:rStyle w:val="IndexLink"/>
                <w:rtl w:val="true"/>
              </w:rPr>
              <w:t>تصريح الصحابة بالحلّية</w:t>
            </w:r>
            <w:r>
              <w:rPr>
                <w:rStyle w:val="IndexLink"/>
                <w:rtl w:val="true"/>
              </w:rPr>
              <w:tab/>
            </w:r>
            <w:r>
              <w:rPr>
                <w:rStyle w:val="IndexLink"/>
              </w:rPr>
              <w:t>508</w:t>
            </w:r>
          </w:hyperlink>
        </w:p>
        <w:p>
          <w:pPr>
            <w:pStyle w:val="Contents4"/>
            <w:tabs>
              <w:tab w:val="clear" w:pos="8176"/>
              <w:tab w:val="right" w:pos="9026" w:leader="dot"/>
            </w:tabs>
            <w:rPr/>
          </w:pPr>
          <w:hyperlink w:anchor="__RefHeading___Toc1166069_1067777946">
            <w:r>
              <w:rPr>
                <w:webHidden/>
                <w:rStyle w:val="IndexLink"/>
              </w:rPr>
              <w:t>4</w:t>
            </w:r>
            <w:r>
              <w:rPr>
                <w:rStyle w:val="IndexLink"/>
                <w:rtl w:val="true"/>
              </w:rPr>
              <w:t xml:space="preserve">. </w:t>
            </w:r>
            <w:r>
              <w:rPr>
                <w:rStyle w:val="IndexLink"/>
                <w:rtl w:val="true"/>
              </w:rPr>
              <w:t>المتعة في السنّة النبوية</w:t>
            </w:r>
            <w:r>
              <w:rPr>
                <w:rStyle w:val="IndexLink"/>
                <w:rtl w:val="true"/>
              </w:rPr>
              <w:tab/>
            </w:r>
            <w:r>
              <w:rPr>
                <w:rStyle w:val="IndexLink"/>
              </w:rPr>
              <w:t>511</w:t>
            </w:r>
          </w:hyperlink>
        </w:p>
        <w:p>
          <w:pPr>
            <w:pStyle w:val="Contents4"/>
            <w:tabs>
              <w:tab w:val="clear" w:pos="8176"/>
              <w:tab w:val="right" w:pos="9026" w:leader="dot"/>
            </w:tabs>
            <w:rPr/>
          </w:pPr>
          <w:hyperlink w:anchor="__RefHeading___Toc1166071_1067777946">
            <w:r>
              <w:rPr>
                <w:webHidden/>
                <w:rStyle w:val="IndexLink"/>
              </w:rPr>
              <w:t>5</w:t>
            </w:r>
            <w:r>
              <w:rPr>
                <w:rStyle w:val="IndexLink"/>
                <w:rtl w:val="true"/>
              </w:rPr>
              <w:t xml:space="preserve">. </w:t>
            </w:r>
            <w:r>
              <w:rPr>
                <w:rStyle w:val="IndexLink"/>
                <w:rtl w:val="true"/>
              </w:rPr>
              <w:t>المتعة في التفاسير غير الروائية</w:t>
            </w:r>
            <w:r>
              <w:rPr>
                <w:rStyle w:val="IndexLink"/>
                <w:rtl w:val="true"/>
              </w:rPr>
              <w:tab/>
            </w:r>
            <w:r>
              <w:rPr>
                <w:rStyle w:val="IndexLink"/>
              </w:rPr>
              <w:t>516</w:t>
            </w:r>
          </w:hyperlink>
        </w:p>
        <w:p>
          <w:pPr>
            <w:pStyle w:val="Contents4"/>
            <w:tabs>
              <w:tab w:val="clear" w:pos="8176"/>
              <w:tab w:val="right" w:pos="9026" w:leader="dot"/>
            </w:tabs>
            <w:rPr/>
          </w:pPr>
          <w:hyperlink w:anchor="__RefHeading___Toc1166073_1067777946">
            <w:r>
              <w:rPr>
                <w:webHidden/>
                <w:rStyle w:val="IndexLink"/>
              </w:rPr>
              <w:t>6</w:t>
            </w:r>
            <w:r>
              <w:rPr>
                <w:rStyle w:val="IndexLink"/>
                <w:rtl w:val="true"/>
              </w:rPr>
              <w:t xml:space="preserve">. </w:t>
            </w:r>
            <w:r>
              <w:rPr>
                <w:rStyle w:val="IndexLink"/>
                <w:rtl w:val="true"/>
              </w:rPr>
              <w:t>شبهات وحلول</w:t>
            </w:r>
            <w:r>
              <w:rPr>
                <w:rStyle w:val="IndexLink"/>
                <w:rtl w:val="true"/>
              </w:rPr>
              <w:tab/>
            </w:r>
            <w:r>
              <w:rPr>
                <w:rStyle w:val="IndexLink"/>
              </w:rPr>
              <w:t>518</w:t>
            </w:r>
          </w:hyperlink>
        </w:p>
        <w:p>
          <w:pPr>
            <w:pStyle w:val="Contents5"/>
            <w:tabs>
              <w:tab w:val="clear" w:pos="7892"/>
              <w:tab w:val="right" w:pos="9026" w:leader="dot"/>
            </w:tabs>
            <w:rPr/>
          </w:pPr>
          <w:hyperlink w:anchor="__RefHeading___Toc1166075_1067777946">
            <w:r>
              <w:rPr>
                <w:webHidden/>
                <w:rStyle w:val="IndexLink"/>
                <w:rtl w:val="true"/>
              </w:rPr>
              <w:t>اشارة</w:t>
            </w:r>
            <w:r>
              <w:rPr>
                <w:rStyle w:val="IndexLink"/>
                <w:rtl w:val="true"/>
              </w:rPr>
              <w:tab/>
            </w:r>
            <w:r>
              <w:rPr>
                <w:rStyle w:val="IndexLink"/>
              </w:rPr>
              <w:t>518</w:t>
            </w:r>
          </w:hyperlink>
        </w:p>
        <w:p>
          <w:pPr>
            <w:pStyle w:val="Contents5"/>
            <w:tabs>
              <w:tab w:val="clear" w:pos="7892"/>
              <w:tab w:val="right" w:pos="9026" w:leader="dot"/>
            </w:tabs>
            <w:rPr/>
          </w:pPr>
          <w:hyperlink w:anchor="__RefHeading___Toc1166077_1067777946">
            <w:r>
              <w:rPr>
                <w:webHidden/>
                <w:rStyle w:val="IndexLink"/>
                <w:rtl w:val="true"/>
              </w:rPr>
              <w:t xml:space="preserve">الشبهة الأولى </w:t>
            </w:r>
            <w:r>
              <w:rPr>
                <w:rStyle w:val="IndexLink"/>
                <w:rtl w:val="true"/>
              </w:rPr>
              <w:t xml:space="preserve">: </w:t>
            </w:r>
            <w:r>
              <w:rPr>
                <w:rStyle w:val="IndexLink"/>
                <w:rtl w:val="true"/>
              </w:rPr>
              <w:t>المتعة وتكوين الأسرة</w:t>
            </w:r>
            <w:r>
              <w:rPr>
                <w:rStyle w:val="IndexLink"/>
                <w:rtl w:val="true"/>
              </w:rPr>
              <w:tab/>
            </w:r>
            <w:r>
              <w:rPr>
                <w:rStyle w:val="IndexLink"/>
              </w:rPr>
              <w:t>518</w:t>
            </w:r>
          </w:hyperlink>
        </w:p>
        <w:p>
          <w:pPr>
            <w:pStyle w:val="Contents6"/>
            <w:tabs>
              <w:tab w:val="clear" w:pos="7609"/>
              <w:tab w:val="right" w:pos="9026" w:leader="dot"/>
            </w:tabs>
            <w:rPr/>
          </w:pPr>
          <w:hyperlink w:anchor="__RefHeading___Toc1166079_1067777946">
            <w:r>
              <w:rPr>
                <w:webHidden/>
                <w:rStyle w:val="IndexLink"/>
                <w:rtl w:val="true"/>
              </w:rPr>
              <w:t>اشارة</w:t>
            </w:r>
            <w:r>
              <w:rPr>
                <w:rStyle w:val="IndexLink"/>
                <w:rtl w:val="true"/>
              </w:rPr>
              <w:tab/>
            </w:r>
            <w:r>
              <w:rPr>
                <w:rStyle w:val="IndexLink"/>
              </w:rPr>
              <w:t>518</w:t>
            </w:r>
          </w:hyperlink>
        </w:p>
        <w:p>
          <w:pPr>
            <w:pStyle w:val="Contents6"/>
            <w:tabs>
              <w:tab w:val="clear" w:pos="7609"/>
              <w:tab w:val="right" w:pos="9026" w:leader="dot"/>
            </w:tabs>
            <w:rPr/>
          </w:pPr>
          <w:hyperlink w:anchor="__RefHeading___Toc1166081_1067777946">
            <w:r>
              <w:rPr>
                <w:webHidden/>
                <w:rStyle w:val="IndexLink"/>
                <w:rtl w:val="true"/>
              </w:rPr>
              <w:t xml:space="preserve">يلاحظ عليه بوجوه </w:t>
            </w:r>
            <w:r>
              <w:rPr>
                <w:rStyle w:val="IndexLink"/>
                <w:rtl w:val="true"/>
              </w:rPr>
              <w:t>:</w:t>
              <w:tab/>
            </w:r>
            <w:r>
              <w:rPr>
                <w:rStyle w:val="IndexLink"/>
              </w:rPr>
              <w:t>519</w:t>
            </w:r>
          </w:hyperlink>
        </w:p>
        <w:p>
          <w:pPr>
            <w:pStyle w:val="Contents5"/>
            <w:tabs>
              <w:tab w:val="clear" w:pos="7892"/>
              <w:tab w:val="right" w:pos="9026" w:leader="dot"/>
            </w:tabs>
            <w:rPr/>
          </w:pPr>
          <w:hyperlink w:anchor="__RefHeading___Toc1166083_1067777946">
            <w:r>
              <w:rPr>
                <w:webHidden/>
                <w:rStyle w:val="IndexLink"/>
                <w:rtl w:val="true"/>
              </w:rPr>
              <w:t>الشبهة الثانية</w:t>
            </w:r>
            <w:r>
              <w:rPr>
                <w:rStyle w:val="IndexLink"/>
                <w:rtl w:val="true"/>
              </w:rPr>
              <w:tab/>
            </w:r>
            <w:r>
              <w:rPr>
                <w:rStyle w:val="IndexLink"/>
              </w:rPr>
              <w:t>523</w:t>
            </w:r>
          </w:hyperlink>
        </w:p>
        <w:p>
          <w:pPr>
            <w:pStyle w:val="Contents5"/>
            <w:tabs>
              <w:tab w:val="clear" w:pos="7892"/>
              <w:tab w:val="right" w:pos="9026" w:leader="dot"/>
            </w:tabs>
            <w:rPr/>
          </w:pPr>
          <w:hyperlink w:anchor="__RefHeading___Toc1166085_1067777946">
            <w:r>
              <w:rPr>
                <w:webHidden/>
                <w:rStyle w:val="IndexLink"/>
                <w:rtl w:val="true"/>
              </w:rPr>
              <w:t>الشبهة الثالثة</w:t>
            </w:r>
            <w:r>
              <w:rPr>
                <w:rStyle w:val="IndexLink"/>
                <w:rtl w:val="true"/>
              </w:rPr>
              <w:tab/>
            </w:r>
            <w:r>
              <w:rPr>
                <w:rStyle w:val="IndexLink"/>
              </w:rPr>
              <w:t>525</w:t>
            </w:r>
          </w:hyperlink>
        </w:p>
        <w:p>
          <w:pPr>
            <w:pStyle w:val="Contents5"/>
            <w:tabs>
              <w:tab w:val="clear" w:pos="7892"/>
              <w:tab w:val="right" w:pos="9026" w:leader="dot"/>
            </w:tabs>
            <w:rPr/>
          </w:pPr>
          <w:hyperlink w:anchor="__RefHeading___Toc1166087_1067777946">
            <w:r>
              <w:rPr>
                <w:webHidden/>
                <w:rStyle w:val="IndexLink"/>
                <w:rtl w:val="true"/>
              </w:rPr>
              <w:t>الشبهة الرابعة</w:t>
            </w:r>
            <w:r>
              <w:rPr>
                <w:rStyle w:val="IndexLink"/>
                <w:rtl w:val="true"/>
              </w:rPr>
              <w:tab/>
            </w:r>
            <w:r>
              <w:rPr>
                <w:rStyle w:val="IndexLink"/>
              </w:rPr>
              <w:t>528</w:t>
            </w:r>
          </w:hyperlink>
        </w:p>
        <w:p>
          <w:pPr>
            <w:pStyle w:val="Contents5"/>
            <w:tabs>
              <w:tab w:val="clear" w:pos="7892"/>
              <w:tab w:val="right" w:pos="9026" w:leader="dot"/>
            </w:tabs>
            <w:rPr/>
          </w:pPr>
          <w:hyperlink w:anchor="__RefHeading___Toc1166089_1067777946">
            <w:r>
              <w:rPr>
                <w:webHidden/>
                <w:rStyle w:val="IndexLink"/>
                <w:rtl w:val="true"/>
              </w:rPr>
              <w:t>الشبهة الخامسة</w:t>
            </w:r>
            <w:r>
              <w:rPr>
                <w:rStyle w:val="IndexLink"/>
                <w:rtl w:val="true"/>
              </w:rPr>
              <w:tab/>
            </w:r>
            <w:r>
              <w:rPr>
                <w:rStyle w:val="IndexLink"/>
              </w:rPr>
              <w:t>530</w:t>
            </w:r>
          </w:hyperlink>
        </w:p>
        <w:p>
          <w:pPr>
            <w:pStyle w:val="Contents5"/>
            <w:tabs>
              <w:tab w:val="clear" w:pos="7892"/>
              <w:tab w:val="right" w:pos="9026" w:leader="dot"/>
            </w:tabs>
            <w:rPr/>
          </w:pPr>
          <w:hyperlink w:anchor="__RefHeading___Toc1166091_1067777946">
            <w:r>
              <w:rPr>
                <w:webHidden/>
                <w:rStyle w:val="IndexLink"/>
                <w:rtl w:val="true"/>
              </w:rPr>
              <w:t>الشبهة السادسة</w:t>
            </w:r>
            <w:r>
              <w:rPr>
                <w:rStyle w:val="IndexLink"/>
                <w:rtl w:val="true"/>
              </w:rPr>
              <w:tab/>
            </w:r>
            <w:r>
              <w:rPr>
                <w:rStyle w:val="IndexLink"/>
              </w:rPr>
              <w:t>533</w:t>
            </w:r>
          </w:hyperlink>
        </w:p>
        <w:p>
          <w:pPr>
            <w:pStyle w:val="Contents5"/>
            <w:tabs>
              <w:tab w:val="clear" w:pos="7892"/>
              <w:tab w:val="right" w:pos="9026" w:leader="dot"/>
            </w:tabs>
            <w:rPr/>
          </w:pPr>
          <w:hyperlink w:anchor="__RefHeading___Toc1166093_1067777946">
            <w:r>
              <w:rPr>
                <w:webHidden/>
                <w:rStyle w:val="IndexLink"/>
                <w:rtl w:val="true"/>
              </w:rPr>
              <w:t>الشبهة السابعة</w:t>
            </w:r>
            <w:r>
              <w:rPr>
                <w:rStyle w:val="IndexLink"/>
                <w:rtl w:val="true"/>
              </w:rPr>
              <w:tab/>
            </w:r>
            <w:r>
              <w:rPr>
                <w:rStyle w:val="IndexLink"/>
              </w:rPr>
              <w:t>535</w:t>
            </w:r>
          </w:hyperlink>
        </w:p>
        <w:p>
          <w:pPr>
            <w:pStyle w:val="Contents6"/>
            <w:tabs>
              <w:tab w:val="clear" w:pos="7609"/>
              <w:tab w:val="right" w:pos="9026" w:leader="dot"/>
            </w:tabs>
            <w:rPr/>
          </w:pPr>
          <w:hyperlink w:anchor="__RefHeading___Toc1166095_1067777946">
            <w:r>
              <w:rPr>
                <w:webHidden/>
                <w:rStyle w:val="IndexLink"/>
                <w:rtl w:val="true"/>
              </w:rPr>
              <w:t>اشارة</w:t>
            </w:r>
            <w:r>
              <w:rPr>
                <w:rStyle w:val="IndexLink"/>
                <w:rtl w:val="true"/>
              </w:rPr>
              <w:tab/>
            </w:r>
            <w:r>
              <w:rPr>
                <w:rStyle w:val="IndexLink"/>
              </w:rPr>
              <w:t>535</w:t>
            </w:r>
          </w:hyperlink>
        </w:p>
        <w:p>
          <w:pPr>
            <w:pStyle w:val="Contents6"/>
            <w:tabs>
              <w:tab w:val="clear" w:pos="7609"/>
              <w:tab w:val="right" w:pos="9026" w:leader="dot"/>
            </w:tabs>
            <w:rPr/>
          </w:pPr>
          <w:hyperlink w:anchor="__RefHeading___Toc1166097_1067777946">
            <w:r>
              <w:rPr>
                <w:webHidden/>
                <w:rStyle w:val="IndexLink"/>
              </w:rPr>
              <w:t>1</w:t>
            </w:r>
            <w:r>
              <w:rPr>
                <w:rStyle w:val="IndexLink"/>
                <w:rtl w:val="true"/>
              </w:rPr>
              <w:t xml:space="preserve">. </w:t>
            </w:r>
            <w:r>
              <w:rPr>
                <w:rStyle w:val="IndexLink"/>
                <w:rtl w:val="true"/>
              </w:rPr>
              <w:t>سلمة بن الأكوع</w:t>
            </w:r>
            <w:r>
              <w:rPr>
                <w:rStyle w:val="IndexLink"/>
                <w:rtl w:val="true"/>
              </w:rPr>
              <w:tab/>
            </w:r>
            <w:r>
              <w:rPr>
                <w:rStyle w:val="IndexLink"/>
              </w:rPr>
              <w:t>535</w:t>
            </w:r>
          </w:hyperlink>
        </w:p>
        <w:p>
          <w:pPr>
            <w:pStyle w:val="Contents6"/>
            <w:tabs>
              <w:tab w:val="clear" w:pos="7609"/>
              <w:tab w:val="right" w:pos="9026" w:leader="dot"/>
            </w:tabs>
            <w:rPr/>
          </w:pPr>
          <w:hyperlink w:anchor="__RefHeading___Toc1166099_1067777946">
            <w:r>
              <w:rPr>
                <w:webHidden/>
                <w:rStyle w:val="IndexLink"/>
              </w:rPr>
              <w:t>2</w:t>
            </w:r>
            <w:r>
              <w:rPr>
                <w:rStyle w:val="IndexLink"/>
                <w:rtl w:val="true"/>
              </w:rPr>
              <w:t xml:space="preserve">. </w:t>
            </w:r>
            <w:r>
              <w:rPr>
                <w:rStyle w:val="IndexLink"/>
                <w:rtl w:val="true"/>
              </w:rPr>
              <w:t>سبرة بن معد الجهني</w:t>
            </w:r>
            <w:r>
              <w:rPr>
                <w:rStyle w:val="IndexLink"/>
                <w:rtl w:val="true"/>
              </w:rPr>
              <w:tab/>
            </w:r>
            <w:r>
              <w:rPr>
                <w:rStyle w:val="IndexLink"/>
              </w:rPr>
              <w:t>536</w:t>
            </w:r>
          </w:hyperlink>
        </w:p>
        <w:p>
          <w:pPr>
            <w:pStyle w:val="Contents6"/>
            <w:tabs>
              <w:tab w:val="clear" w:pos="7609"/>
              <w:tab w:val="right" w:pos="9026" w:leader="dot"/>
            </w:tabs>
            <w:rPr/>
          </w:pPr>
          <w:hyperlink w:anchor="__RefHeading___Toc1166101_1067777946">
            <w:r>
              <w:rPr>
                <w:webHidden/>
                <w:rStyle w:val="IndexLink"/>
              </w:rPr>
              <w:t>3</w:t>
            </w:r>
            <w:r>
              <w:rPr>
                <w:rStyle w:val="IndexLink"/>
                <w:rtl w:val="true"/>
              </w:rPr>
              <w:t xml:space="preserve">. </w:t>
            </w:r>
            <w:r>
              <w:rPr>
                <w:rStyle w:val="IndexLink"/>
                <w:rtl w:val="true"/>
              </w:rPr>
              <w:t>ابن مسعود</w:t>
            </w:r>
            <w:r>
              <w:rPr>
                <w:rStyle w:val="IndexLink"/>
                <w:rtl w:val="true"/>
              </w:rPr>
              <w:tab/>
            </w:r>
            <w:r>
              <w:rPr>
                <w:rStyle w:val="IndexLink"/>
              </w:rPr>
              <w:t>536</w:t>
            </w:r>
          </w:hyperlink>
        </w:p>
        <w:p>
          <w:pPr>
            <w:pStyle w:val="Contents6"/>
            <w:tabs>
              <w:tab w:val="clear" w:pos="7609"/>
              <w:tab w:val="right" w:pos="9026" w:leader="dot"/>
            </w:tabs>
            <w:rPr/>
          </w:pPr>
          <w:hyperlink w:anchor="__RefHeading___Toc1166103_1067777946">
            <w:r>
              <w:rPr>
                <w:webHidden/>
                <w:rStyle w:val="IndexLink"/>
              </w:rPr>
              <w:t>4</w:t>
            </w:r>
            <w:r>
              <w:rPr>
                <w:rStyle w:val="IndexLink"/>
                <w:rtl w:val="true"/>
              </w:rPr>
              <w:t xml:space="preserve">. </w:t>
            </w:r>
            <w:r>
              <w:rPr>
                <w:rStyle w:val="IndexLink"/>
                <w:rtl w:val="true"/>
              </w:rPr>
              <w:t>أبو ذر</w:t>
            </w:r>
            <w:r>
              <w:rPr>
                <w:rStyle w:val="IndexLink"/>
                <w:rtl w:val="true"/>
              </w:rPr>
              <w:tab/>
            </w:r>
            <w:r>
              <w:rPr>
                <w:rStyle w:val="IndexLink"/>
              </w:rPr>
              <w:t>537</w:t>
            </w:r>
          </w:hyperlink>
        </w:p>
        <w:p>
          <w:pPr>
            <w:pStyle w:val="Contents6"/>
            <w:tabs>
              <w:tab w:val="clear" w:pos="7609"/>
              <w:tab w:val="right" w:pos="9026" w:leader="dot"/>
            </w:tabs>
            <w:rPr/>
          </w:pPr>
          <w:hyperlink w:anchor="__RefHeading___Toc1166105_1067777946">
            <w:r>
              <w:rPr>
                <w:webHidden/>
                <w:rStyle w:val="IndexLink"/>
              </w:rPr>
              <w:t>5</w:t>
            </w:r>
            <w:r>
              <w:rPr>
                <w:rStyle w:val="IndexLink"/>
                <w:rtl w:val="true"/>
              </w:rPr>
              <w:t xml:space="preserve">. </w:t>
            </w:r>
            <w:r>
              <w:rPr>
                <w:rStyle w:val="IndexLink"/>
                <w:rtl w:val="true"/>
              </w:rPr>
              <w:t>ابن عباس</w:t>
            </w:r>
            <w:r>
              <w:rPr>
                <w:rStyle w:val="IndexLink"/>
                <w:rtl w:val="true"/>
              </w:rPr>
              <w:tab/>
            </w:r>
            <w:r>
              <w:rPr>
                <w:rStyle w:val="IndexLink"/>
              </w:rPr>
              <w:t>537</w:t>
            </w:r>
          </w:hyperlink>
        </w:p>
        <w:p>
          <w:pPr>
            <w:pStyle w:val="Contents6"/>
            <w:tabs>
              <w:tab w:val="clear" w:pos="7609"/>
              <w:tab w:val="right" w:pos="9026" w:leader="dot"/>
            </w:tabs>
            <w:rPr/>
          </w:pPr>
          <w:hyperlink w:anchor="__RefHeading___Toc1166107_1067777946">
            <w:r>
              <w:rPr>
                <w:webHidden/>
                <w:rStyle w:val="IndexLink"/>
              </w:rPr>
              <w:t>6</w:t>
            </w:r>
            <w:r>
              <w:rPr>
                <w:rStyle w:val="IndexLink"/>
                <w:rtl w:val="true"/>
              </w:rPr>
              <w:t xml:space="preserve">. </w:t>
            </w:r>
            <w:r>
              <w:rPr>
                <w:rStyle w:val="IndexLink"/>
                <w:rtl w:val="true"/>
              </w:rPr>
              <w:t>علي بن أبي طالب</w:t>
            </w:r>
            <w:r>
              <w:rPr>
                <w:rStyle w:val="IndexLink"/>
                <w:rtl w:val="true"/>
              </w:rPr>
              <w:tab/>
            </w:r>
            <w:r>
              <w:rPr>
                <w:rStyle w:val="IndexLink"/>
              </w:rPr>
              <w:t>537</w:t>
            </w:r>
          </w:hyperlink>
        </w:p>
        <w:p>
          <w:pPr>
            <w:pStyle w:val="Contents6"/>
            <w:tabs>
              <w:tab w:val="clear" w:pos="7609"/>
              <w:tab w:val="right" w:pos="9026" w:leader="dot"/>
            </w:tabs>
            <w:rPr/>
          </w:pPr>
          <w:hyperlink w:anchor="__RefHeading___Toc1166109_1067777946">
            <w:r>
              <w:rPr>
                <w:webHidden/>
                <w:rStyle w:val="IndexLink"/>
              </w:rPr>
              <w:t>7</w:t>
            </w:r>
            <w:r>
              <w:rPr>
                <w:rStyle w:val="IndexLink"/>
                <w:rtl w:val="true"/>
              </w:rPr>
              <w:t xml:space="preserve">. </w:t>
            </w:r>
            <w:r>
              <w:rPr>
                <w:rStyle w:val="IndexLink"/>
                <w:rtl w:val="true"/>
              </w:rPr>
              <w:t>عمر بن الخطاب</w:t>
            </w:r>
            <w:r>
              <w:rPr>
                <w:rStyle w:val="IndexLink"/>
                <w:rtl w:val="true"/>
              </w:rPr>
              <w:tab/>
            </w:r>
            <w:r>
              <w:rPr>
                <w:rStyle w:val="IndexLink"/>
              </w:rPr>
              <w:t>538</w:t>
            </w:r>
          </w:hyperlink>
        </w:p>
        <w:p>
          <w:pPr>
            <w:pStyle w:val="Contents6"/>
            <w:tabs>
              <w:tab w:val="clear" w:pos="7609"/>
              <w:tab w:val="right" w:pos="9026" w:leader="dot"/>
            </w:tabs>
            <w:rPr/>
          </w:pPr>
          <w:hyperlink w:anchor="__RefHeading___Toc1166111_1067777946">
            <w:r>
              <w:rPr>
                <w:webHidden/>
                <w:rStyle w:val="IndexLink"/>
                <w:rtl w:val="true"/>
              </w:rPr>
              <w:t>اشارة</w:t>
            </w:r>
            <w:r>
              <w:rPr>
                <w:rStyle w:val="IndexLink"/>
                <w:rtl w:val="true"/>
              </w:rPr>
              <w:tab/>
            </w:r>
            <w:r>
              <w:rPr>
                <w:rStyle w:val="IndexLink"/>
              </w:rPr>
              <w:t>538</w:t>
            </w:r>
          </w:hyperlink>
        </w:p>
        <w:p>
          <w:pPr>
            <w:pStyle w:val="Contents6"/>
            <w:tabs>
              <w:tab w:val="clear" w:pos="7609"/>
              <w:tab w:val="right" w:pos="9026" w:leader="dot"/>
            </w:tabs>
            <w:rPr/>
          </w:pPr>
          <w:hyperlink w:anchor="__RefHeading___Toc1166113_1067777946">
            <w:r>
              <w:rPr>
                <w:webHidden/>
                <w:rStyle w:val="IndexLink"/>
                <w:rtl w:val="true"/>
              </w:rPr>
              <w:t xml:space="preserve">الأوّل </w:t>
            </w:r>
            <w:r>
              <w:rPr>
                <w:rStyle w:val="IndexLink"/>
                <w:rtl w:val="true"/>
              </w:rPr>
              <w:t xml:space="preserve">: </w:t>
            </w:r>
            <w:r>
              <w:rPr>
                <w:rStyle w:val="IndexLink"/>
                <w:rtl w:val="true"/>
              </w:rPr>
              <w:t>وجود التعارض بين الروايات</w:t>
            </w:r>
            <w:r>
              <w:rPr>
                <w:rStyle w:val="IndexLink"/>
                <w:rtl w:val="true"/>
              </w:rPr>
              <w:tab/>
            </w:r>
            <w:r>
              <w:rPr>
                <w:rStyle w:val="IndexLink"/>
              </w:rPr>
              <w:t>538</w:t>
            </w:r>
          </w:hyperlink>
        </w:p>
        <w:p>
          <w:pPr>
            <w:pStyle w:val="Contents6"/>
            <w:tabs>
              <w:tab w:val="clear" w:pos="7609"/>
              <w:tab w:val="right" w:pos="9026" w:leader="dot"/>
            </w:tabs>
            <w:rPr/>
          </w:pPr>
          <w:hyperlink w:anchor="__RefHeading___Toc1166115_1067777946">
            <w:r>
              <w:rPr>
                <w:webHidden/>
                <w:rStyle w:val="IndexLink"/>
                <w:rtl w:val="true"/>
              </w:rPr>
              <w:t>اشارة</w:t>
            </w:r>
            <w:r>
              <w:rPr>
                <w:rStyle w:val="IndexLink"/>
                <w:rtl w:val="true"/>
              </w:rPr>
              <w:tab/>
            </w:r>
            <w:r>
              <w:rPr>
                <w:rStyle w:val="IndexLink"/>
              </w:rPr>
              <w:t>538</w:t>
            </w:r>
          </w:hyperlink>
        </w:p>
        <w:p>
          <w:pPr>
            <w:pStyle w:val="Contents6"/>
            <w:tabs>
              <w:tab w:val="clear" w:pos="7609"/>
              <w:tab w:val="right" w:pos="9026" w:leader="dot"/>
            </w:tabs>
            <w:rPr/>
          </w:pPr>
          <w:hyperlink w:anchor="__RefHeading___Toc1166117_1067777946">
            <w:r>
              <w:rPr>
                <w:webHidden/>
                <w:rStyle w:val="IndexLink"/>
              </w:rPr>
              <w:t>1</w:t>
            </w:r>
            <w:r>
              <w:rPr>
                <w:rStyle w:val="IndexLink"/>
                <w:rtl w:val="true"/>
              </w:rPr>
              <w:t xml:space="preserve">. </w:t>
            </w:r>
            <w:r>
              <w:rPr>
                <w:rStyle w:val="IndexLink"/>
                <w:rtl w:val="true"/>
              </w:rPr>
              <w:t>جابر بن عبد الله</w:t>
            </w:r>
            <w:r>
              <w:rPr>
                <w:rStyle w:val="IndexLink"/>
                <w:rtl w:val="true"/>
              </w:rPr>
              <w:tab/>
            </w:r>
            <w:r>
              <w:rPr>
                <w:rStyle w:val="IndexLink"/>
              </w:rPr>
              <w:t>538</w:t>
            </w:r>
          </w:hyperlink>
        </w:p>
        <w:p>
          <w:pPr>
            <w:pStyle w:val="Contents6"/>
            <w:tabs>
              <w:tab w:val="clear" w:pos="7609"/>
              <w:tab w:val="right" w:pos="9026" w:leader="dot"/>
            </w:tabs>
            <w:rPr/>
          </w:pPr>
          <w:hyperlink w:anchor="__RefHeading___Toc1166119_1067777946">
            <w:r>
              <w:rPr>
                <w:webHidden/>
                <w:rStyle w:val="IndexLink"/>
              </w:rPr>
              <w:t>2</w:t>
            </w:r>
            <w:r>
              <w:rPr>
                <w:rStyle w:val="IndexLink"/>
                <w:rtl w:val="true"/>
              </w:rPr>
              <w:t xml:space="preserve">. </w:t>
            </w:r>
            <w:r>
              <w:rPr>
                <w:rStyle w:val="IndexLink"/>
                <w:rtl w:val="true"/>
              </w:rPr>
              <w:t>عبد الله بن مسعود</w:t>
            </w:r>
            <w:r>
              <w:rPr>
                <w:rStyle w:val="IndexLink"/>
                <w:rtl w:val="true"/>
              </w:rPr>
              <w:tab/>
            </w:r>
            <w:r>
              <w:rPr>
                <w:rStyle w:val="IndexLink"/>
              </w:rPr>
              <w:t>539</w:t>
            </w:r>
          </w:hyperlink>
        </w:p>
        <w:p>
          <w:pPr>
            <w:pStyle w:val="Contents6"/>
            <w:tabs>
              <w:tab w:val="clear" w:pos="7609"/>
              <w:tab w:val="right" w:pos="9026" w:leader="dot"/>
            </w:tabs>
            <w:rPr/>
          </w:pPr>
          <w:hyperlink w:anchor="__RefHeading___Toc1166121_1067777946">
            <w:r>
              <w:rPr>
                <w:webHidden/>
                <w:rStyle w:val="IndexLink"/>
              </w:rPr>
              <w:t>3</w:t>
            </w:r>
            <w:r>
              <w:rPr>
                <w:rStyle w:val="IndexLink"/>
                <w:rtl w:val="true"/>
              </w:rPr>
              <w:t xml:space="preserve">. </w:t>
            </w:r>
            <w:r>
              <w:rPr>
                <w:rStyle w:val="IndexLink"/>
                <w:rtl w:val="true"/>
              </w:rPr>
              <w:t>عبد الله بن عمر</w:t>
            </w:r>
            <w:r>
              <w:rPr>
                <w:rStyle w:val="IndexLink"/>
                <w:rtl w:val="true"/>
              </w:rPr>
              <w:tab/>
            </w:r>
            <w:r>
              <w:rPr>
                <w:rStyle w:val="IndexLink"/>
              </w:rPr>
              <w:t>539</w:t>
            </w:r>
          </w:hyperlink>
        </w:p>
        <w:p>
          <w:pPr>
            <w:pStyle w:val="Contents6"/>
            <w:tabs>
              <w:tab w:val="clear" w:pos="7609"/>
              <w:tab w:val="right" w:pos="9026" w:leader="dot"/>
            </w:tabs>
            <w:rPr/>
          </w:pPr>
          <w:hyperlink w:anchor="__RefHeading___Toc1166123_1067777946">
            <w:r>
              <w:rPr>
                <w:webHidden/>
                <w:rStyle w:val="IndexLink"/>
              </w:rPr>
              <w:t>4</w:t>
            </w:r>
            <w:r>
              <w:rPr>
                <w:rStyle w:val="IndexLink"/>
                <w:rtl w:val="true"/>
              </w:rPr>
              <w:t xml:space="preserve">. </w:t>
            </w:r>
            <w:r>
              <w:rPr>
                <w:rStyle w:val="IndexLink"/>
                <w:rtl w:val="true"/>
              </w:rPr>
              <w:t>عبد الله بن العباس</w:t>
            </w:r>
            <w:r>
              <w:rPr>
                <w:rStyle w:val="IndexLink"/>
                <w:rtl w:val="true"/>
              </w:rPr>
              <w:tab/>
            </w:r>
            <w:r>
              <w:rPr>
                <w:rStyle w:val="IndexLink"/>
              </w:rPr>
              <w:t>539</w:t>
            </w:r>
          </w:hyperlink>
        </w:p>
        <w:p>
          <w:pPr>
            <w:pStyle w:val="Contents6"/>
            <w:tabs>
              <w:tab w:val="clear" w:pos="7609"/>
              <w:tab w:val="right" w:pos="9026" w:leader="dot"/>
            </w:tabs>
            <w:rPr/>
          </w:pPr>
          <w:hyperlink w:anchor="__RefHeading___Toc1166125_1067777946">
            <w:r>
              <w:rPr>
                <w:webHidden/>
                <w:rStyle w:val="IndexLink"/>
                <w:rtl w:val="true"/>
              </w:rPr>
              <w:t xml:space="preserve">الثاني </w:t>
            </w:r>
            <w:r>
              <w:rPr>
                <w:rStyle w:val="IndexLink"/>
                <w:rtl w:val="true"/>
              </w:rPr>
              <w:t xml:space="preserve">: </w:t>
            </w:r>
            <w:r>
              <w:rPr>
                <w:rStyle w:val="IndexLink"/>
                <w:rtl w:val="true"/>
              </w:rPr>
              <w:t>التعارض في الروايات الحاكية للتحريم</w:t>
            </w:r>
            <w:r>
              <w:rPr>
                <w:rStyle w:val="IndexLink"/>
                <w:rtl w:val="true"/>
              </w:rPr>
              <w:tab/>
            </w:r>
            <w:r>
              <w:rPr>
                <w:rStyle w:val="IndexLink"/>
              </w:rPr>
              <w:t>540</w:t>
            </w:r>
          </w:hyperlink>
        </w:p>
        <w:p>
          <w:pPr>
            <w:pStyle w:val="Contents6"/>
            <w:tabs>
              <w:tab w:val="clear" w:pos="7609"/>
              <w:tab w:val="right" w:pos="9026" w:leader="dot"/>
            </w:tabs>
            <w:rPr/>
          </w:pPr>
          <w:hyperlink w:anchor="__RefHeading___Toc1166127_1067777946">
            <w:r>
              <w:rPr>
                <w:webHidden/>
                <w:rStyle w:val="IndexLink"/>
                <w:rtl w:val="true"/>
              </w:rPr>
              <w:t>اشارة</w:t>
            </w:r>
            <w:r>
              <w:rPr>
                <w:rStyle w:val="IndexLink"/>
                <w:rtl w:val="true"/>
              </w:rPr>
              <w:tab/>
            </w:r>
            <w:r>
              <w:rPr>
                <w:rStyle w:val="IndexLink"/>
              </w:rPr>
              <w:t>540</w:t>
            </w:r>
          </w:hyperlink>
        </w:p>
        <w:p>
          <w:pPr>
            <w:pStyle w:val="Contents6"/>
            <w:tabs>
              <w:tab w:val="clear" w:pos="7609"/>
              <w:tab w:val="right" w:pos="9026" w:leader="dot"/>
            </w:tabs>
            <w:rPr/>
          </w:pPr>
          <w:hyperlink w:anchor="__RefHeading___Toc1166129_1067777946">
            <w:r>
              <w:rPr>
                <w:webHidden/>
                <w:rStyle w:val="IndexLink"/>
                <w:rtl w:val="true"/>
              </w:rPr>
              <w:t>أ</w:t>
            </w:r>
            <w:r>
              <w:rPr>
                <w:rStyle w:val="IndexLink"/>
                <w:rtl w:val="true"/>
              </w:rPr>
              <w:t xml:space="preserve">. </w:t>
            </w:r>
            <w:r>
              <w:rPr>
                <w:rStyle w:val="IndexLink"/>
                <w:rtl w:val="true"/>
              </w:rPr>
              <w:t>التحريم في خيبر</w:t>
            </w:r>
            <w:r>
              <w:rPr>
                <w:rStyle w:val="IndexLink"/>
                <w:rtl w:val="true"/>
              </w:rPr>
              <w:tab/>
            </w:r>
            <w:r>
              <w:rPr>
                <w:rStyle w:val="IndexLink"/>
              </w:rPr>
              <w:t>540</w:t>
            </w:r>
          </w:hyperlink>
        </w:p>
        <w:p>
          <w:pPr>
            <w:pStyle w:val="Contents6"/>
            <w:tabs>
              <w:tab w:val="clear" w:pos="7609"/>
              <w:tab w:val="right" w:pos="9026" w:leader="dot"/>
            </w:tabs>
            <w:rPr/>
          </w:pPr>
          <w:hyperlink w:anchor="__RefHeading___Toc1166131_1067777946">
            <w:r>
              <w:rPr>
                <w:webHidden/>
                <w:rStyle w:val="IndexLink"/>
                <w:rtl w:val="true"/>
              </w:rPr>
              <w:t>ب</w:t>
            </w:r>
            <w:r>
              <w:rPr>
                <w:rStyle w:val="IndexLink"/>
                <w:rtl w:val="true"/>
              </w:rPr>
              <w:t xml:space="preserve">. </w:t>
            </w:r>
            <w:r>
              <w:rPr>
                <w:rStyle w:val="IndexLink"/>
                <w:rtl w:val="true"/>
              </w:rPr>
              <w:t>التحريم في أرض هوازن</w:t>
            </w:r>
            <w:r>
              <w:rPr>
                <w:rStyle w:val="IndexLink"/>
                <w:rtl w:val="true"/>
              </w:rPr>
              <w:tab/>
            </w:r>
            <w:r>
              <w:rPr>
                <w:rStyle w:val="IndexLink"/>
              </w:rPr>
              <w:t>540</w:t>
            </w:r>
          </w:hyperlink>
        </w:p>
        <w:p>
          <w:pPr>
            <w:pStyle w:val="Contents6"/>
            <w:tabs>
              <w:tab w:val="clear" w:pos="7609"/>
              <w:tab w:val="right" w:pos="9026" w:leader="dot"/>
            </w:tabs>
            <w:rPr/>
          </w:pPr>
          <w:hyperlink w:anchor="__RefHeading___Toc1166133_1067777946">
            <w:r>
              <w:rPr>
                <w:webHidden/>
                <w:rStyle w:val="IndexLink"/>
                <w:rtl w:val="true"/>
              </w:rPr>
              <w:t>ج</w:t>
            </w:r>
            <w:r>
              <w:rPr>
                <w:rStyle w:val="IndexLink"/>
                <w:rtl w:val="true"/>
              </w:rPr>
              <w:t xml:space="preserve">. </w:t>
            </w:r>
            <w:r>
              <w:rPr>
                <w:rStyle w:val="IndexLink"/>
                <w:rtl w:val="true"/>
              </w:rPr>
              <w:t>التحريم في أرض مكة</w:t>
            </w:r>
            <w:r>
              <w:rPr>
                <w:rStyle w:val="IndexLink"/>
                <w:rtl w:val="true"/>
              </w:rPr>
              <w:tab/>
            </w:r>
            <w:r>
              <w:rPr>
                <w:rStyle w:val="IndexLink"/>
              </w:rPr>
              <w:t>540</w:t>
            </w:r>
          </w:hyperlink>
        </w:p>
        <w:p>
          <w:pPr>
            <w:pStyle w:val="Contents6"/>
            <w:tabs>
              <w:tab w:val="clear" w:pos="7609"/>
              <w:tab w:val="right" w:pos="9026" w:leader="dot"/>
            </w:tabs>
            <w:rPr/>
          </w:pPr>
          <w:hyperlink w:anchor="__RefHeading___Toc1166135_1067777946">
            <w:r>
              <w:rPr>
                <w:webHidden/>
                <w:rStyle w:val="IndexLink"/>
                <w:rtl w:val="true"/>
              </w:rPr>
              <w:t xml:space="preserve">الثالث </w:t>
            </w:r>
            <w:r>
              <w:rPr>
                <w:rStyle w:val="IndexLink"/>
                <w:rtl w:val="true"/>
              </w:rPr>
              <w:t xml:space="preserve">: </w:t>
            </w:r>
            <w:r>
              <w:rPr>
                <w:rStyle w:val="IndexLink"/>
                <w:rtl w:val="true"/>
              </w:rPr>
              <w:t>خلو حديث الرسول عن التحريم في المواقف المذكورة</w:t>
            </w:r>
            <w:r>
              <w:rPr>
                <w:rStyle w:val="IndexLink"/>
                <w:rtl w:val="true"/>
              </w:rPr>
              <w:tab/>
            </w:r>
            <w:r>
              <w:rPr>
                <w:rStyle w:val="IndexLink"/>
              </w:rPr>
              <w:t>541</w:t>
            </w:r>
          </w:hyperlink>
        </w:p>
        <w:p>
          <w:pPr>
            <w:pStyle w:val="Contents6"/>
            <w:tabs>
              <w:tab w:val="clear" w:pos="7609"/>
              <w:tab w:val="right" w:pos="9026" w:leader="dot"/>
            </w:tabs>
            <w:rPr/>
          </w:pPr>
          <w:hyperlink w:anchor="__RefHeading___Toc1166137_1067777946">
            <w:r>
              <w:rPr>
                <w:webHidden/>
                <w:rStyle w:val="IndexLink"/>
                <w:rtl w:val="true"/>
              </w:rPr>
              <w:t xml:space="preserve">الرابع </w:t>
            </w:r>
            <w:r>
              <w:rPr>
                <w:rStyle w:val="IndexLink"/>
                <w:rtl w:val="true"/>
              </w:rPr>
              <w:t xml:space="preserve">: </w:t>
            </w:r>
            <w:r>
              <w:rPr>
                <w:rStyle w:val="IndexLink"/>
                <w:rtl w:val="true"/>
              </w:rPr>
              <w:t>اضطراب كلماتهم في زمان التحريم</w:t>
            </w:r>
            <w:r>
              <w:rPr>
                <w:rStyle w:val="IndexLink"/>
                <w:rtl w:val="true"/>
              </w:rPr>
              <w:tab/>
            </w:r>
            <w:r>
              <w:rPr>
                <w:rStyle w:val="IndexLink"/>
              </w:rPr>
              <w:t>543</w:t>
            </w:r>
          </w:hyperlink>
        </w:p>
        <w:p>
          <w:pPr>
            <w:pStyle w:val="Contents6"/>
            <w:tabs>
              <w:tab w:val="clear" w:pos="7609"/>
              <w:tab w:val="right" w:pos="9026" w:leader="dot"/>
            </w:tabs>
            <w:rPr/>
          </w:pPr>
          <w:hyperlink w:anchor="__RefHeading___Toc1166139_1067777946">
            <w:r>
              <w:rPr>
                <w:webHidden/>
                <w:rStyle w:val="IndexLink"/>
                <w:rtl w:val="true"/>
              </w:rPr>
              <w:t xml:space="preserve">الخامس </w:t>
            </w:r>
            <w:r>
              <w:rPr>
                <w:rStyle w:val="IndexLink"/>
                <w:rtl w:val="true"/>
              </w:rPr>
              <w:t xml:space="preserve">: </w:t>
            </w:r>
            <w:r>
              <w:rPr>
                <w:rStyle w:val="IndexLink"/>
                <w:rtl w:val="true"/>
              </w:rPr>
              <w:t>نقل أحاديث متعارضة عن راو واحد</w:t>
            </w:r>
            <w:r>
              <w:rPr>
                <w:rStyle w:val="IndexLink"/>
                <w:rtl w:val="true"/>
              </w:rPr>
              <w:tab/>
            </w:r>
            <w:r>
              <w:rPr>
                <w:rStyle w:val="IndexLink"/>
              </w:rPr>
              <w:t>547</w:t>
            </w:r>
          </w:hyperlink>
        </w:p>
        <w:p>
          <w:pPr>
            <w:pStyle w:val="Contents6"/>
            <w:tabs>
              <w:tab w:val="clear" w:pos="7609"/>
              <w:tab w:val="right" w:pos="9026" w:leader="dot"/>
            </w:tabs>
            <w:rPr/>
          </w:pPr>
          <w:hyperlink w:anchor="__RefHeading___Toc1166141_1067777946">
            <w:r>
              <w:rPr>
                <w:webHidden/>
                <w:rStyle w:val="IndexLink"/>
                <w:rtl w:val="true"/>
              </w:rPr>
              <w:t xml:space="preserve">السادس </w:t>
            </w:r>
            <w:r>
              <w:rPr>
                <w:rStyle w:val="IndexLink"/>
                <w:rtl w:val="true"/>
              </w:rPr>
              <w:t xml:space="preserve">: </w:t>
            </w:r>
            <w:r>
              <w:rPr>
                <w:rStyle w:val="IndexLink"/>
                <w:rtl w:val="true"/>
              </w:rPr>
              <w:t>استناد التحريم إلى نفس الخليفة</w:t>
            </w:r>
            <w:r>
              <w:rPr>
                <w:rStyle w:val="IndexLink"/>
                <w:rtl w:val="true"/>
              </w:rPr>
              <w:tab/>
            </w:r>
            <w:r>
              <w:rPr>
                <w:rStyle w:val="IndexLink"/>
              </w:rPr>
              <w:t>549</w:t>
            </w:r>
          </w:hyperlink>
        </w:p>
        <w:p>
          <w:pPr>
            <w:pStyle w:val="Contents6"/>
            <w:tabs>
              <w:tab w:val="clear" w:pos="7609"/>
              <w:tab w:val="right" w:pos="9026" w:leader="dot"/>
            </w:tabs>
            <w:rPr/>
          </w:pPr>
          <w:hyperlink w:anchor="__RefHeading___Toc1166143_1067777946">
            <w:r>
              <w:rPr>
                <w:webHidden/>
                <w:rStyle w:val="IndexLink"/>
                <w:rtl w:val="true"/>
              </w:rPr>
              <w:t xml:space="preserve">السابع </w:t>
            </w:r>
            <w:r>
              <w:rPr>
                <w:rStyle w:val="IndexLink"/>
                <w:rtl w:val="true"/>
              </w:rPr>
              <w:t xml:space="preserve">: </w:t>
            </w:r>
            <w:r>
              <w:rPr>
                <w:rStyle w:val="IndexLink"/>
                <w:rtl w:val="true"/>
              </w:rPr>
              <w:t>سيرة الصحابة بعد رحيل النبي صلى الله عليه وآله وسلم</w:t>
            </w:r>
            <w:r>
              <w:rPr>
                <w:rStyle w:val="IndexLink"/>
                <w:rtl w:val="true"/>
              </w:rPr>
              <w:tab/>
            </w:r>
            <w:r>
              <w:rPr>
                <w:rStyle w:val="IndexLink"/>
              </w:rPr>
              <w:t>551</w:t>
            </w:r>
          </w:hyperlink>
        </w:p>
        <w:p>
          <w:pPr>
            <w:pStyle w:val="Contents5"/>
            <w:tabs>
              <w:tab w:val="clear" w:pos="7892"/>
              <w:tab w:val="right" w:pos="9026" w:leader="dot"/>
            </w:tabs>
            <w:rPr/>
          </w:pPr>
          <w:hyperlink w:anchor="__RefHeading___Toc1166145_1067777946">
            <w:r>
              <w:rPr>
                <w:webHidden/>
                <w:rStyle w:val="IndexLink"/>
                <w:rtl w:val="true"/>
              </w:rPr>
              <w:t>الشبهة الثامنة</w:t>
            </w:r>
            <w:r>
              <w:rPr>
                <w:rStyle w:val="IndexLink"/>
                <w:rtl w:val="true"/>
              </w:rPr>
              <w:tab/>
            </w:r>
            <w:r>
              <w:rPr>
                <w:rStyle w:val="IndexLink"/>
              </w:rPr>
              <w:t>553</w:t>
            </w:r>
          </w:hyperlink>
        </w:p>
        <w:p>
          <w:pPr>
            <w:pStyle w:val="Contents5"/>
            <w:tabs>
              <w:tab w:val="clear" w:pos="7892"/>
              <w:tab w:val="right" w:pos="9026" w:leader="dot"/>
            </w:tabs>
            <w:rPr/>
          </w:pPr>
          <w:hyperlink w:anchor="__RefHeading___Toc1166147_1067777946">
            <w:r>
              <w:rPr>
                <w:webHidden/>
                <w:rStyle w:val="IndexLink"/>
                <w:rtl w:val="true"/>
              </w:rPr>
              <w:t>الشبهة التاسعة</w:t>
            </w:r>
            <w:r>
              <w:rPr>
                <w:rStyle w:val="IndexLink"/>
                <w:rtl w:val="true"/>
              </w:rPr>
              <w:tab/>
            </w:r>
            <w:r>
              <w:rPr>
                <w:rStyle w:val="IndexLink"/>
              </w:rPr>
              <w:t>555</w:t>
            </w:r>
          </w:hyperlink>
        </w:p>
        <w:p>
          <w:pPr>
            <w:pStyle w:val="Contents5"/>
            <w:tabs>
              <w:tab w:val="clear" w:pos="7892"/>
              <w:tab w:val="right" w:pos="9026" w:leader="dot"/>
            </w:tabs>
            <w:rPr/>
          </w:pPr>
          <w:hyperlink w:anchor="__RefHeading___Toc1166149_1067777946">
            <w:r>
              <w:rPr>
                <w:webHidden/>
                <w:rStyle w:val="IndexLink"/>
                <w:rtl w:val="true"/>
              </w:rPr>
              <w:t>الشبهة العاشرة</w:t>
            </w:r>
            <w:r>
              <w:rPr>
                <w:rStyle w:val="IndexLink"/>
                <w:rtl w:val="true"/>
              </w:rPr>
              <w:tab/>
            </w:r>
            <w:r>
              <w:rPr>
                <w:rStyle w:val="IndexLink"/>
              </w:rPr>
              <w:t>557</w:t>
            </w:r>
          </w:hyperlink>
        </w:p>
        <w:p>
          <w:pPr>
            <w:pStyle w:val="Contents4"/>
            <w:tabs>
              <w:tab w:val="clear" w:pos="8176"/>
              <w:tab w:val="right" w:pos="9026" w:leader="dot"/>
            </w:tabs>
            <w:rPr/>
          </w:pPr>
          <w:hyperlink w:anchor="__RefHeading___Toc1166151_1067777946">
            <w:r>
              <w:rPr>
                <w:webHidden/>
                <w:rStyle w:val="IndexLink"/>
                <w:rtl w:val="true"/>
              </w:rPr>
              <w:t>خاتمة المطاف</w:t>
            </w:r>
            <w:r>
              <w:rPr>
                <w:rStyle w:val="IndexLink"/>
                <w:rtl w:val="true"/>
              </w:rPr>
              <w:tab/>
            </w:r>
            <w:r>
              <w:rPr>
                <w:rStyle w:val="IndexLink"/>
              </w:rPr>
              <w:t>560</w:t>
            </w:r>
          </w:hyperlink>
        </w:p>
        <w:p>
          <w:pPr>
            <w:pStyle w:val="Contents2"/>
            <w:tabs>
              <w:tab w:val="clear" w:pos="8743"/>
              <w:tab w:val="right" w:pos="9026" w:leader="dot"/>
            </w:tabs>
            <w:rPr/>
          </w:pPr>
          <w:hyperlink w:anchor="__RefHeading___Toc1166153_1067777946">
            <w:r>
              <w:rPr>
                <w:webHidden/>
                <w:rStyle w:val="IndexLink"/>
                <w:rtl w:val="true"/>
              </w:rPr>
              <w:t>الفهارس</w:t>
            </w:r>
            <w:r>
              <w:rPr>
                <w:rStyle w:val="IndexLink"/>
                <w:rtl w:val="true"/>
              </w:rPr>
              <w:tab/>
            </w:r>
            <w:r>
              <w:rPr>
                <w:rStyle w:val="IndexLink"/>
              </w:rPr>
              <w:t>563</w:t>
            </w:r>
          </w:hyperlink>
        </w:p>
        <w:p>
          <w:pPr>
            <w:pStyle w:val="Contents3"/>
            <w:tabs>
              <w:tab w:val="clear" w:pos="8459"/>
              <w:tab w:val="right" w:pos="9026" w:leader="dot"/>
            </w:tabs>
            <w:rPr/>
          </w:pPr>
          <w:hyperlink w:anchor="__RefHeading___Toc1166155_1067777946">
            <w:r>
              <w:rPr>
                <w:webHidden/>
                <w:rStyle w:val="IndexLink"/>
                <w:rtl w:val="true"/>
              </w:rPr>
              <w:t>اشارة</w:t>
            </w:r>
            <w:r>
              <w:rPr>
                <w:rStyle w:val="IndexLink"/>
                <w:rtl w:val="true"/>
              </w:rPr>
              <w:tab/>
            </w:r>
            <w:r>
              <w:rPr>
                <w:rStyle w:val="IndexLink"/>
              </w:rPr>
              <w:t>563</w:t>
            </w:r>
          </w:hyperlink>
        </w:p>
        <w:p>
          <w:pPr>
            <w:pStyle w:val="Contents3"/>
            <w:tabs>
              <w:tab w:val="clear" w:pos="8459"/>
              <w:tab w:val="right" w:pos="9026" w:leader="dot"/>
            </w:tabs>
            <w:rPr/>
          </w:pPr>
          <w:hyperlink w:anchor="__RefHeading___Toc1166157_1067777946">
            <w:r>
              <w:rPr>
                <w:webHidden/>
                <w:rStyle w:val="IndexLink"/>
                <w:rtl w:val="true"/>
              </w:rPr>
              <w:t>فهرس المصادر</w:t>
            </w:r>
            <w:r>
              <w:rPr>
                <w:rStyle w:val="IndexLink"/>
                <w:rtl w:val="true"/>
              </w:rPr>
              <w:tab/>
            </w:r>
            <w:r>
              <w:rPr>
                <w:rStyle w:val="IndexLink"/>
              </w:rPr>
              <w:t>565</w:t>
            </w:r>
          </w:hyperlink>
        </w:p>
        <w:p>
          <w:pPr>
            <w:pStyle w:val="Contents3"/>
            <w:tabs>
              <w:tab w:val="clear" w:pos="8459"/>
              <w:tab w:val="right" w:pos="9026" w:leader="dot"/>
            </w:tabs>
            <w:rPr/>
          </w:pPr>
          <w:hyperlink w:anchor="__RefHeading___Toc1166159_1067777946">
            <w:r>
              <w:rPr>
                <w:webHidden/>
                <w:rStyle w:val="IndexLink"/>
                <w:rtl w:val="true"/>
              </w:rPr>
              <w:t>فهرس المحتويات</w:t>
            </w:r>
            <w:r>
              <w:rPr>
                <w:rStyle w:val="IndexLink"/>
                <w:rtl w:val="true"/>
              </w:rPr>
              <w:tab/>
            </w:r>
            <w:r>
              <w:rPr>
                <w:rStyle w:val="IndexLink"/>
              </w:rPr>
              <w:t>581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44_71194"/>
      <w:bookmarkStart w:id="1" w:name="pg10144_71194"/>
      <w:bookmarkEnd w:id="1"/>
    </w:p>
    <w:p>
      <w:pPr>
        <w:pStyle w:val="Heading2"/>
        <w:numPr>
          <w:ilvl w:val="1"/>
          <w:numId w:val="1"/>
        </w:numPr>
        <w:rPr/>
      </w:pPr>
      <w:bookmarkStart w:id="2" w:name="pg10144_71194"/>
      <w:bookmarkStart w:id="3" w:name="__RefHeading___Toc1165387_1067777946"/>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السبحاني التبريزي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1308</w:t>
      </w:r>
    </w:p>
    <w:p>
      <w:pPr>
        <w:pStyle w:val="BookText"/>
        <w:rPr/>
      </w:pPr>
      <w:r>
        <w:rPr>
          <w:rFonts w:ascii="Amiri" w:hAnsi="Amiri" w:eastAsia="Amiri" w:cs="Amiri"/>
          <w:color w:val="111111"/>
          <w:sz w:val="28"/>
          <w:sz w:val="28"/>
          <w:szCs w:val="28"/>
          <w:rtl w:val="true"/>
          <w:lang w:bidi="ar-SA"/>
        </w:rPr>
        <w:t>عنوان المؤلف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الانصاف في مسائل دام فيها الخلاف</w:t>
      </w:r>
    </w:p>
    <w:p>
      <w:pPr>
        <w:pStyle w:val="BookText"/>
        <w:rPr/>
      </w:pPr>
      <w:r>
        <w:rPr>
          <w:rFonts w:ascii="Amiri" w:hAnsi="Amiri" w:eastAsia="Amiri" w:cs="Amiri"/>
          <w:color w:val="111111"/>
          <w:sz w:val="28"/>
          <w:sz w:val="28"/>
          <w:szCs w:val="28"/>
          <w:rtl w:val="true"/>
          <w:lang w:bidi="ar-SA"/>
        </w:rPr>
        <w:t>تاليف جعفر السبحاني</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موسسة الامام الصادق ع ،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1382</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تطبيقي</w:t>
      </w:r>
    </w:p>
    <w:p>
      <w:pPr>
        <w:pStyle w:val="BookText"/>
        <w:rPr/>
      </w:pPr>
      <w:r>
        <w:rPr>
          <w:rFonts w:ascii="Amiri" w:hAnsi="Amiri" w:eastAsia="Amiri" w:cs="Amiri"/>
          <w:color w:val="111111"/>
          <w:sz w:val="28"/>
          <w:sz w:val="28"/>
          <w:szCs w:val="28"/>
          <w:rtl w:val="true"/>
          <w:lang w:bidi="ar-SA"/>
        </w:rPr>
        <w:t>معرف المضافة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موسسة الامام الصادق 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BP169/7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8 1381</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297/324</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19943</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الحیدري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65389_106777794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 والصلاة والسلام على أفضل خلقه وخاتم رسله محمّد وعلى آله الطيّبين الطاهرين الذين هم عيبة علمه وحفظة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 فانّ الإسلام عقيدة وشريعة ، فالعقيدة هي الإيمان باللّه ورسله واليوم الآخر ، والشريعة هي الأحكام الإلهية التي تكفل للبشرية الحياة الفضلى وتحقّق لها السعادة الدنيوية والأُخروية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امتازت الشريعة الإسلامية بالشمول ، ووضع الحلول لكافّة المشاكل التي تعتري الإنسان في جميع جوانب الحياة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w:t>
      </w:r>
      <w:r>
        <w:rPr>
          <w:rStyle w:val="FootnoteAnchor"/>
          <w:rtl w:val="true"/>
        </w:rPr>
        <w:footnoteReference w:id="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هناك مسائل فرعية اختلف فيها الفقهاء لاختلافهم فيما أثر عن مبلّغ الرسالة النبي الأكرم صلى الله عليه وآله وسلم ، الأمر الذي أدّى إلى اختلاف كلمتهم فيها ، وبما أنّ الحقيقة بنت البحث فقد حاولنا في هذه الدراسات المتسلسلة أن نطرحها على طاولة البحث ، عسى أن تكون وسيلة لتوحيد الكلمة وتقريب الخطى في هذا الحقل ، فالخلاف فيها ليس خلافاً في جوهر الدين وأُصوله حتّى يستوجب العداء </w:t>
      </w:r>
    </w:p>
    <w:p>
      <w:pPr>
        <w:pStyle w:val="BookText"/>
        <w:rPr/>
      </w:pPr>
      <w:r>
        <w:rPr>
          <w:rFonts w:ascii="Amiri" w:hAnsi="Amiri" w:eastAsia="Amiri" w:cs="Amiri"/>
          <w:color w:val="111111"/>
          <w:sz w:val="28"/>
          <w:sz w:val="28"/>
          <w:szCs w:val="28"/>
          <w:rtl w:val="true"/>
          <w:lang w:bidi="ar-SA"/>
        </w:rPr>
        <w:t xml:space="preserve">والبغضاء ، وإنّما هو خلاف فيما روي عنه صلى الله عليه وآله وسلم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فقال له بعض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دفنتم نبيّكم حتّى اختلفتم فيه فقال الإمام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اختلفنا عنه لا فيه ، ولكنّكم ما جفّت أرجلكم من البحر حتّى قُلتم لنبيّكم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لنا إلهاً كما لهم آلهة فقال إنّكم قوم تجهلون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البلاغة ، قسم الحكم ، تحت رقم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وهو أمر يسير في مقابل المسائل الكثيرة المتّفق عليها بين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ورائدنا في هذا السبيل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وَاعْتَصمُوا بِحَبْلِ اللّه جَمِيعاً وَلا تَفَرَّقُوا وَاذْكُرُوا نِعْمَتَ اللّهِ عَلَيْكُمْ إِذْكُنْتُمْ أَعداءً فَألّفَ بين قُلُوبِكُمْ فَأَصْبَحْتُمْ بِنِعْمَتهِ إِخْواناً </w:t>
      </w:r>
      <w:r>
        <w:rPr>
          <w:rFonts w:eastAsia="Amiri" w:cs="Amiri" w:ascii="Amiri" w:hAnsi="Amiri"/>
          <w:color w:val="111111"/>
          <w:sz w:val="28"/>
          <w:szCs w:val="28"/>
          <w:rtl w:val="true"/>
          <w:lang w:bidi="ar-SA"/>
        </w:rPr>
        <w:t xml:space="preserve">... ).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والكتاب يقع في جزءين ، أهديه ، لكلّ فقيه حرّ التفكير ، يُرجِّح استنطاق الكتاب والسنّة على تقليد أئمّة المذاهب ، وتكون ضالّته الحقّ أينما 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ـ مؤسسة الإمام الصادق عليه السلام </w:t>
      </w:r>
      <w:bookmarkStart w:id="7" w:name="pg10144_71200"/>
    </w:p>
    <w:p>
      <w:pPr>
        <w:pStyle w:val="Heading2"/>
        <w:numPr>
          <w:ilvl w:val="1"/>
          <w:numId w:val="1"/>
        </w:numPr>
        <w:rPr/>
      </w:pPr>
      <w:bookmarkStart w:id="8" w:name="__RefHeading___Toc1165391_1067777946"/>
      <w:bookmarkStart w:id="9" w:name="_Toc3"/>
      <w:bookmarkEnd w:id="7"/>
      <w:bookmarkEnd w:id="8"/>
      <w:r>
        <w:rPr/>
        <w:t>1</w:t>
      </w:r>
      <w:r>
        <w:rPr>
          <w:rtl w:val="true"/>
        </w:rPr>
        <w:t xml:space="preserve">. </w:t>
      </w:r>
      <w:r>
        <w:rPr>
          <w:rtl w:val="true"/>
        </w:rPr>
        <w:t>الوضوء علی ضوء الكتاب والسنة</w:t>
      </w:r>
      <w:bookmarkEnd w:id="9"/>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165393_1067777946"/>
      <w:bookmarkStart w:id="11" w:name="_Toc4"/>
      <w:bookmarkEnd w:id="10"/>
      <w:r>
        <w:rPr>
          <w:rtl w:val="true"/>
        </w:rPr>
        <w:t>اشارة</w:t>
      </w:r>
      <w:bookmarkEnd w:id="1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0144_71202"/>
      <w:bookmarkStart w:id="13" w:name="pg10144_71202"/>
      <w:bookmarkEnd w:id="13"/>
    </w:p>
    <w:p>
      <w:pPr>
        <w:pStyle w:val="Heading3"/>
        <w:numPr>
          <w:ilvl w:val="2"/>
          <w:numId w:val="1"/>
        </w:numPr>
        <w:rPr/>
      </w:pPr>
      <w:bookmarkStart w:id="14" w:name="pg10144_71202"/>
      <w:bookmarkStart w:id="15" w:name="__RefHeading___Toc1165395_1067777946"/>
      <w:bookmarkStart w:id="16" w:name="_Toc5"/>
      <w:bookmarkEnd w:id="14"/>
      <w:bookmarkEnd w:id="15"/>
      <w:r>
        <w:rPr/>
        <w:t>1</w:t>
      </w:r>
      <w:r>
        <w:rPr>
          <w:rtl w:val="true"/>
        </w:rPr>
        <w:t xml:space="preserve">. </w:t>
      </w:r>
      <w:r>
        <w:rPr>
          <w:rtl w:val="true"/>
        </w:rPr>
        <w:t>آية الوضوء آية محكمة</w:t>
      </w:r>
      <w:bookmarkEnd w:id="16"/>
    </w:p>
    <w:p>
      <w:pPr>
        <w:pStyle w:val="BookText"/>
        <w:rPr/>
      </w:pPr>
      <w:r>
        <w:rPr>
          <w:rFonts w:ascii="Amiri" w:hAnsi="Amiri" w:eastAsia="Amiri" w:cs="Amiri"/>
          <w:color w:val="111111"/>
          <w:sz w:val="28"/>
          <w:sz w:val="28"/>
          <w:szCs w:val="28"/>
          <w:rtl w:val="true"/>
          <w:lang w:bidi="ar-SA"/>
        </w:rPr>
        <w:t xml:space="preserve">اتّفق المسلمون تبعا للذكر الحكيم على أنّ الصلاة لا تصحّ إلاّ بطهور ، والطهور هو الوضوء والغسل والتيمّم وقد بيّن سبحانه سرّ التكليف بتحصيل الطهور قبل الصلاة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يُرِيدُ اللهُ لِيَجْعَلَ عَلَيْكُمْ مِنْ حَرَجٍ وَلكِنْ يُرِيدُ لِيُطَهِّرَكُمْ </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وقد حظا الوضوء في التشريع الإسلامي بأهمية بالغة كما نطق بها الكتاب والسنّة فقال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وفي كلام آخر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الوضوء شطر الإيمان </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فإذا كانت هذه مكانة الوضوء فمن واجب المسلم التعرّف على أجزائه وشرائطه ونواقضه ومبطلاته ، وقد تكفّلت الكتب الفقهية بيان هذه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نركز عليه في المقام هو تبيين ما اختلفت فيه كلمة الفقهاء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الأرجل من حيث المسح والغسل ، فنقول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سبحانه في كتابه العزيز مبيّنا وجوب الوضوء وكيفيته بقوله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قُمْتُمْ إِلَى الصَّلاةِ فَاغْسِلُوا وُجُوهَكُمْ وَأَيْدِيَكُمْ إِلَى الْمَرافِقِ وَامْسَحُوا بِرُؤُسِكُمْ وَأَرْجُلَكُمْ إِلَى الْكَعْبَيْنِ وَإِنْ كُنْتُمْ جُنُباً فَاطَّهَّرُوا وَإِنْ كُنْتُمْ مَرْضى أَوْ عَلى سَفَرٍ أَوْ جاءَ أَحَدٌ مِنْكُمْ مِنَ الْغائِطِ أَوْ لامَسْتُمُ النِّساءَ فَلَمْ تَجِدُوا ماءً فَتَيَمَّمُوا صَعِيداً طَيِّباً فَامْسَحُوا بِوُجُوهِكُمْ وَأَيْدِيكُمْ مِنْهُ ما يُرِيدُ اللهُ لِيَجْعَلَ عَلَيْكُمْ مِنْ حَرَجٍ وَلكِنْ يُرِيدُ لِيُطَهِّرَكُمْ وَلِيُتِمَّ نِعْمَتَهُ عَلَيْكُمْ لَعَلَّكُمْ تَشْكُرُونَ </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الآية تشكّل إحدى آيات الأحكام التي تستنبط منها الأحكام الشرعية العملية الراجعة إلى تنظيم أفعال المكلّفين فيما يرتبط بشئون حياتهم الدينية والدنيوية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القسم من الآيات يتمتع بوضوح التعبير ، ونصوع الدلالة ، فإنّ المخاطب فيها هو الجماهير المؤمنة التي ترغب في تطبيق سلوكها العملي عليها ، وبذلك تفترق عن الآيات المتعلّقة بدقائق التوحيد ورقائق المعارف العقلية التي تشدّ إليها أنظار المفكّرين المتضلّعين ، خاصة فيما يرتبط بمسائل المبدأ والمعاد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والإنسان إذا تأمّل في هذه الآيات ونظائرها من الآيات التي تتكفّل بيان وظيفة المسلم ، كالقيام إلى الصلاة في أوقات خمسة ، يجدها محكمة التعبير ، ناصعة البيان ، واضحة الدلالة ، تخاطب المؤمنين كافّة لترسم لهم وظيفتهم عند القيام إلى الصلاة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والخطاب ـ كما عرفت ـ يجب أن يكون بعيدا عن الغموض والتعقيد ، وعن التقديم والتأخير ، وعن تقدير جملة أو كلمة حتّى يقف على مضمونها عامة المسلمين على اختلاف مستوياتهم من غير فرق بين عالم بدقائق القواعد العربية </w:t>
      </w:r>
    </w:p>
    <w:p>
      <w:pPr>
        <w:pStyle w:val="BookText"/>
        <w:rPr/>
      </w:pPr>
      <w:r>
        <w:rPr>
          <w:rFonts w:ascii="Amiri" w:hAnsi="Amiri" w:eastAsia="Amiri" w:cs="Amiri"/>
          <w:color w:val="111111"/>
          <w:sz w:val="28"/>
          <w:sz w:val="28"/>
          <w:szCs w:val="28"/>
          <w:rtl w:val="true"/>
          <w:lang w:bidi="ar-SA"/>
        </w:rPr>
        <w:t>وغير عالم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حاول تفسير الآية على غير هذا النمط فقد غفل عن مكانة الآية ومنزلتها ، كما أنّ من حاول تفسيرها على ضوء الفتاوى الفقهية لأئمّة الفقه فقد دخل من غير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الروح الأمين بهذه الآية على قلب سيّد المرسلين ، فتلاها على المؤمنين وفهموا واجبهم تجاهها بوضوح ، دون تردد ، ودون أن يشوبها أيّ إبهام أو غموض ، وإنّما دبّ الغموض فيها في عصر تضارب الآراء وظهور الاجتهادات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قرأ الآية المباركة بإمعان يقول في قلبه ولسانه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اللهم ما أبلغ كلامك وأفصح بيانك ، وقد أوضحت الفريضة وبيّنت الوظيفة فيما يجب على المسلم فعله قبل الصلاة ، فقلت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قُمْتُمْ إِلَى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قلت مبيّنا لكيفية الوظيفة وانّها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فَاغْسِلُوا وُجُوهَكُمْ وَأَيْدِيَكُمْ إِلَى الْمَرافِقِ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وَامْسَحُوا بِرُؤُسِكُمْ وَأَرْجُلَكُمْ إِلَى الْكَعْبَيْنِ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ما أبقيت إجمالا في كلامك ، ولا إبهاما في بيانك ، فأوصدت باب الخلاف ، وسددت باب الاعتساف بتوضيح الفريضة وبيانها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سبحانك اللهم إن كان كتابك العزيز هو المهيمن على الكتب السماوية كما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إِلَيْكَ الْكِتابَ بِالْحَقِّ مُصَدِّقاً لِما بَيْنَ يَدَيْهِ مِنَ الْكِتابِ وَمُهَيْمِناً عَلَيْهِ </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فهو مهيمن ـ بالقطع واليقين ـ على المأثورات المرويّة عن النبي صلى الله عليه وآله وسلم وهي </w:t>
      </w:r>
    </w:p>
    <w:p>
      <w:pPr>
        <w:pStyle w:val="BookText"/>
        <w:rPr/>
      </w:pPr>
      <w:r>
        <w:rPr>
          <w:rFonts w:ascii="Amiri" w:hAnsi="Amiri" w:eastAsia="Amiri" w:cs="Amiri"/>
          <w:color w:val="111111"/>
          <w:sz w:val="28"/>
          <w:sz w:val="28"/>
          <w:szCs w:val="28"/>
          <w:rtl w:val="true"/>
          <w:lang w:bidi="ar-SA"/>
        </w:rPr>
        <w:t>بين آمرة بغسل الأرجل وآمرة بمسحها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ذا نفعل مع هذه المأثورات المتناقضة المروية عمّن لا ينطق إلاّ عن الوحي ، ولا يناقض نفسه في كلامه؟</w:t>
      </w:r>
    </w:p>
    <w:p>
      <w:pPr>
        <w:pStyle w:val="BookText"/>
        <w:rPr/>
      </w:pPr>
      <w:r>
        <w:rPr>
          <w:rFonts w:ascii="Amiri" w:hAnsi="Amiri" w:eastAsia="Amiri" w:cs="Amiri"/>
          <w:color w:val="111111"/>
          <w:sz w:val="28"/>
          <w:sz w:val="28"/>
          <w:szCs w:val="28"/>
          <w:rtl w:val="true"/>
          <w:lang w:bidi="ar-SA"/>
        </w:rPr>
        <w:t xml:space="preserve">سبحانك لا محيص لنا إلاّ الأخذ بما نادى به كتابك العزيز وقرآنك المجيد وقد بيّنه في جملتين تعربان عن واقع الفريضة وأنّها تتألّف من غسلتين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فَاغْسِلُوا وُجُوهَكُمْ وَأَيْدِيَكُمْ إِلَى الْمَرافِقِ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تتألّف من مسحتين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وَامْسَحُوا بِرُؤُسِكُمْ وَأَرْجُلَكُمْ إِلَى الْكَعْبَيْنِ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أَفَغَيْرَ اللهِ أَبْتَغِي حَكَماً وَهُوَ الَّذِي أَنْزَلَ إِلَيْكُمُ الْكِتابَ مُفَصَّلاً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17" w:name="pg10144_71206"/>
    </w:p>
    <w:p>
      <w:pPr>
        <w:pStyle w:val="Heading3"/>
        <w:numPr>
          <w:ilvl w:val="2"/>
          <w:numId w:val="1"/>
        </w:numPr>
        <w:rPr/>
      </w:pPr>
      <w:bookmarkStart w:id="18" w:name="__RefHeading___Toc1165397_1067777946"/>
      <w:bookmarkStart w:id="19" w:name="_Toc6"/>
      <w:bookmarkEnd w:id="17"/>
      <w:bookmarkEnd w:id="18"/>
      <w:r>
        <w:rPr/>
        <w:t>2</w:t>
      </w:r>
      <w:r>
        <w:rPr>
          <w:rtl w:val="true"/>
        </w:rPr>
        <w:t xml:space="preserve">. </w:t>
      </w:r>
      <w:r>
        <w:rPr>
          <w:rtl w:val="true"/>
        </w:rPr>
        <w:t>بداية الاختلاف</w:t>
      </w:r>
      <w:bookmarkEnd w:id="19"/>
    </w:p>
    <w:p>
      <w:pPr>
        <w:pStyle w:val="BookText"/>
        <w:rPr/>
      </w:pPr>
      <w:r>
        <w:rPr>
          <w:rFonts w:ascii="Amiri" w:hAnsi="Amiri" w:eastAsia="Amiri" w:cs="Amiri"/>
          <w:color w:val="111111"/>
          <w:sz w:val="28"/>
          <w:sz w:val="28"/>
          <w:szCs w:val="28"/>
          <w:rtl w:val="true"/>
          <w:lang w:bidi="ar-SA"/>
        </w:rPr>
        <w:t>كان المسلمون قبل عهد الخليفة الثالث على وفاق في أمر الوضوء ، فلم يكن آنذاك أيّ خلاف بارز في مسح الرجلين أو غسلهما ، وإنّما بدأ الخلاف في عهد الخليفة الثالث كما يظهر من كثير من الروايات البيانيّة المروية عن عثمان ، وقد ذكر مسلم طائفة منها في صحيحه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مسلم عن حمران مولى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عثمان بن عفان بوضوء فتوضأ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ناسا يتحدّثون عن رسول الله صلى الله عليه وآله وسلم أحاديث لا أدري ما هي؟ ألا إنّي رأيت رسول الله صلى الله عليه وآله وسلم توضّأ مثل وضوئي هذا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هكذا ، غفر له ما تقدّم من ذنبه وكانت صلاته ومشيه إلى المسجد نافلة</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مسلم عن أبي أنس انّ عثمان توضّأ بالمقاسمة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أريكم وضوء رسول الله صلى الله عليه وآله وسلم ، ثم توضّأ ثلاثا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قتيبة في روايته ، 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النضر عن أبي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رجال من أصحاب رسول الله 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1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روايات بيانية أخرى على لسان عثمان لم يذكرها مسلم وإنّما ذكرها غيره يشير الجميع إلى أنّ ظهور الاختلاف في كيفية وضوء النبي كان في عصره ، وأمّا ما هو سبب الاختلاف فسيوافيك بيانه</w:t>
      </w:r>
      <w:r>
        <w:rPr>
          <w:rFonts w:eastAsia="Amiri" w:cs="Amiri" w:ascii="Amiri" w:hAnsi="Amiri"/>
          <w:color w:val="111111"/>
          <w:sz w:val="28"/>
          <w:szCs w:val="28"/>
          <w:rtl w:val="true"/>
          <w:lang w:bidi="ar-SA"/>
        </w:rPr>
        <w:t xml:space="preserve">. </w:t>
      </w:r>
      <w:bookmarkStart w:id="20" w:name="pg10144_71208"/>
    </w:p>
    <w:p>
      <w:pPr>
        <w:pStyle w:val="Heading3"/>
        <w:numPr>
          <w:ilvl w:val="2"/>
          <w:numId w:val="1"/>
        </w:numPr>
        <w:rPr/>
      </w:pPr>
      <w:bookmarkStart w:id="21" w:name="__RefHeading___Toc1165399_1067777946"/>
      <w:bookmarkStart w:id="22" w:name="_Toc7"/>
      <w:bookmarkEnd w:id="20"/>
      <w:bookmarkEnd w:id="21"/>
      <w:r>
        <w:rPr/>
        <w:t>3</w:t>
      </w:r>
      <w:r>
        <w:rPr>
          <w:rtl w:val="true"/>
        </w:rPr>
        <w:t xml:space="preserve">. </w:t>
      </w:r>
      <w:r>
        <w:rPr>
          <w:rtl w:val="true"/>
        </w:rPr>
        <w:t>القرآن هو المهيمن</w:t>
      </w:r>
      <w:bookmarkEnd w:id="22"/>
    </w:p>
    <w:p>
      <w:pPr>
        <w:pStyle w:val="Heading4"/>
        <w:numPr>
          <w:ilvl w:val="3"/>
          <w:numId w:val="1"/>
        </w:numPr>
        <w:rPr/>
      </w:pPr>
      <w:bookmarkStart w:id="23" w:name="__RefHeading___Toc1165401_1067777946"/>
      <w:bookmarkStart w:id="24" w:name="_Toc8"/>
      <w:bookmarkEnd w:id="23"/>
      <w:r>
        <w:rPr>
          <w:rtl w:val="true"/>
        </w:rPr>
        <w:t>والمرجع الوحيد عند اختلاف الآثار</w:t>
      </w:r>
      <w:bookmarkEnd w:id="24"/>
    </w:p>
    <w:p>
      <w:pPr>
        <w:pStyle w:val="BookText"/>
        <w:rPr/>
      </w:pPr>
      <w:r>
        <w:rPr>
          <w:rFonts w:ascii="Amiri" w:hAnsi="Amiri" w:eastAsia="Amiri" w:cs="Amiri"/>
          <w:color w:val="111111"/>
          <w:sz w:val="28"/>
          <w:sz w:val="28"/>
          <w:szCs w:val="28"/>
          <w:rtl w:val="true"/>
          <w:lang w:bidi="ar-SA"/>
        </w:rPr>
        <w:t>القرآن الكريم هو المهيمن على الكتب السماوية ، وهو ميزان الحقّ والباطل فما ورد فيها يؤخذ به إذا لم يخالف الكتاب العزيز وإلاّ فيضرب عرض 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موقف القرآن الكريم بالنسبة إلى الكتب السماوية ، فأولى به أن يكون كذلك بالنسبة إلى السنن المأثورة عن النبي صلى الله عليه وآله وسلم فالكتاب مهيمن عليها ، فيؤخذ بالسنّة ـ إذا صحت الاسناد ـ ما دامت غير مخالفة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يعني ذلك الاكتفاء ، بالكتاب وحذف السنّة من الشريعة ، فإنّه من عقائد الزنادقة ، بل السنّة حجّة ثانية للمسلمين ـ بعد الكتاب العزيز ـ بشرط ان لا تضاد السنّة الحاكية السند القطعي عند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القرآن ناطقا بشيء من المسح أو الغسل فما قيمة الخبر الآمر بخلافه ، فلو أمكن الجمع بين القرآن والخبر ، بحمل الثاني على فترة من الزمن ثمّ نسخه القرآن فهو ، وإلاّ فيضرب عرض الجدار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روي لكم حديث فأعرضوه على كتاب الله ، فإن وافقه فاقبلوه ، وإلاّ فردّوه </w:t>
      </w:r>
      <w:r>
        <w:rPr>
          <w:rFonts w:eastAsia="Amiri" w:cs="Amiri" w:ascii="Amiri" w:hAnsi="Amiri"/>
          <w:color w:val="111111"/>
          <w:sz w:val="28"/>
          <w:szCs w:val="28"/>
          <w:rtl w:val="true"/>
          <w:lang w:bidi="ar-SA"/>
        </w:rPr>
        <w:t xml:space="preserve">». </w:t>
      </w:r>
      <w:r>
        <w:rPr>
          <w:rStyle w:val="FootnoteAnchor"/>
          <w:rtl w:val="true"/>
        </w:rPr>
        <w:footnoteReference w:id="13"/>
      </w:r>
      <w:bookmarkStart w:id="25" w:name="pg10144_71209"/>
    </w:p>
    <w:p>
      <w:pPr>
        <w:pStyle w:val="Heading3"/>
        <w:numPr>
          <w:ilvl w:val="2"/>
          <w:numId w:val="1"/>
        </w:numPr>
        <w:rPr/>
      </w:pPr>
      <w:bookmarkStart w:id="26" w:name="__RefHeading___Toc1165403_1067777946"/>
      <w:bookmarkStart w:id="27" w:name="_Toc9"/>
      <w:bookmarkEnd w:id="25"/>
      <w:bookmarkEnd w:id="26"/>
      <w:r>
        <w:rPr/>
        <w:t>4</w:t>
      </w:r>
      <w:r>
        <w:rPr>
          <w:rtl w:val="true"/>
        </w:rPr>
        <w:t xml:space="preserve">. </w:t>
      </w:r>
      <w:r>
        <w:rPr>
          <w:rtl w:val="true"/>
        </w:rPr>
        <w:t>سورة المائدة آخر سورة نزلت</w:t>
      </w:r>
      <w:bookmarkEnd w:id="27"/>
    </w:p>
    <w:p>
      <w:pPr>
        <w:pStyle w:val="BookText"/>
        <w:rPr/>
      </w:pPr>
      <w:r>
        <w:rPr>
          <w:rFonts w:ascii="Amiri" w:hAnsi="Amiri" w:eastAsia="Amiri" w:cs="Amiri"/>
          <w:color w:val="111111"/>
          <w:sz w:val="28"/>
          <w:sz w:val="28"/>
          <w:szCs w:val="28"/>
          <w:rtl w:val="true"/>
          <w:lang w:bidi="ar-SA"/>
        </w:rPr>
        <w:t>إنّ سورة المائدة هي آخر سورة نزلت على النبي صلى الله عليه وآله وسلم وليس فيها آية منسوخة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أحمد ، وأبو عبيد في فضائله ، والنحاس في ناسخه ، والنسائي وابن المنذر ، والحاكم وابن مردويه ، والبيهقي في سننه عن جبير بن نفير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فدخلت على عائشة فقالت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جبير تقرأ المائدة ،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آخر سورة نزلت ، فما وجدتم فيها من حلال فاستحلّوه ، وما وجدتم فيها من حرام فحرّموه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أبو عبيد ، عن ضمرة بن حبيب ، وعطية بن قيس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من آخر القرآن تنزيلا ، فأحلّوا حلالها ، وحرّموا حرامها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الفريابي وأبو عبيد ، وعبد بن حميد ، وابن المنذر ، وأبو الشيخ ، عن أبي ميسرة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المائدة ثماني عشرة فريضة ليس في سورة من القرآن غيرها وليس فيها منسوخ ، وعدّ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الصَّلاةِ فَاغْسِلُوا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أبو داود والنحاس كلاهما في الناسخ عن أبي ميسرة عمرو بن شرحبيل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ينسخ من المائدة شيء</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عبد بن 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من المائدة؟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كلّ ذلك يدلّ على أنّ سورة المائدة آخر سورة نزلت على النبي ، فلا محيص من العمل على وفقها وليس فيها أي 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تضافرت الروايات عن أئمّة أهل البيت على أنّ سورة المائدة آخر سورة نزلت وليس فيها آية منسوخة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محمد بن مسعود العياشي السمرقندي بإسناده عن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القرآن ينسخ بعضه بعضا ، وإنّما يؤخذ من أمر رسول الله صلى الله عليه وآله وسلم بآخره ، وكان من آخر ما نزل عليه سورة المائدة نسخت ما قبلها ولم ينسخها شيء </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أخرج الشيخ الطوسي بإسناده عن الصادق والباقر عليهما السلام ، عن أمير المؤمنين علي عليه السلام ، إذ قال في حديث طويل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وسبق الكتاب الخفّين ، إنّما نزلت السورة قبل أن يقبض بشهرين </w:t>
      </w:r>
      <w:r>
        <w:rPr>
          <w:rFonts w:eastAsia="Amiri" w:cs="Amiri" w:ascii="Amiri" w:hAnsi="Amiri"/>
          <w:color w:val="111111"/>
          <w:sz w:val="28"/>
          <w:szCs w:val="28"/>
          <w:rtl w:val="true"/>
          <w:lang w:bidi="ar-SA"/>
        </w:rPr>
        <w:t xml:space="preserve">». </w:t>
      </w:r>
      <w:r>
        <w:rPr>
          <w:rStyle w:val="FootnoteAnchor"/>
          <w:rtl w:val="true"/>
        </w:rPr>
        <w:footnoteReference w:id="1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ضوء ذلك لو دلّ الكتاب على شيء من المسح والغسل ، فالآثار المخالفة له ، إمّا تؤوّل بكونها منسوخة بالقرآن أو تطرح</w:t>
      </w:r>
      <w:r>
        <w:rPr>
          <w:rFonts w:eastAsia="Amiri" w:cs="Amiri" w:ascii="Amiri" w:hAnsi="Amiri"/>
          <w:color w:val="111111"/>
          <w:sz w:val="28"/>
          <w:szCs w:val="28"/>
          <w:rtl w:val="true"/>
          <w:lang w:bidi="ar-SA"/>
        </w:rPr>
        <w:t xml:space="preserve">. </w:t>
      </w:r>
      <w:bookmarkStart w:id="28" w:name="pg10144_71211"/>
    </w:p>
    <w:p>
      <w:pPr>
        <w:pStyle w:val="Heading3"/>
        <w:numPr>
          <w:ilvl w:val="2"/>
          <w:numId w:val="1"/>
        </w:numPr>
        <w:rPr/>
      </w:pPr>
      <w:bookmarkStart w:id="29" w:name="__RefHeading___Toc1165405_1067777946"/>
      <w:bookmarkStart w:id="30" w:name="_Toc10"/>
      <w:bookmarkEnd w:id="28"/>
      <w:bookmarkEnd w:id="29"/>
      <w:r>
        <w:rPr/>
        <w:t>5</w:t>
      </w:r>
      <w:r>
        <w:rPr>
          <w:rtl w:val="true"/>
        </w:rPr>
        <w:t xml:space="preserve">. </w:t>
      </w:r>
      <w:r>
        <w:rPr>
          <w:rtl w:val="true"/>
        </w:rPr>
        <w:t>مصدر الاختلاف</w:t>
      </w:r>
      <w:bookmarkEnd w:id="30"/>
    </w:p>
    <w:p>
      <w:pPr>
        <w:pStyle w:val="Heading4"/>
        <w:numPr>
          <w:ilvl w:val="3"/>
          <w:numId w:val="1"/>
        </w:numPr>
        <w:rPr/>
      </w:pPr>
      <w:bookmarkStart w:id="31" w:name="__RefHeading___Toc1165407_1067777946"/>
      <w:bookmarkStart w:id="32" w:name="_Toc11"/>
      <w:bookmarkEnd w:id="31"/>
      <w:r>
        <w:rPr>
          <w:rtl w:val="true"/>
        </w:rPr>
        <w:t>اشارة</w:t>
      </w:r>
      <w:bookmarkEnd w:id="32"/>
    </w:p>
    <w:p>
      <w:pPr>
        <w:pStyle w:val="BookText"/>
        <w:rPr/>
      </w:pPr>
      <w:r>
        <w:rPr>
          <w:rFonts w:ascii="Amiri" w:hAnsi="Amiri" w:eastAsia="Amiri" w:cs="Amiri"/>
          <w:color w:val="111111"/>
          <w:sz w:val="28"/>
          <w:sz w:val="28"/>
          <w:szCs w:val="28"/>
          <w:rtl w:val="true"/>
          <w:lang w:bidi="ar-SA"/>
        </w:rPr>
        <w:t xml:space="preserve">فإذا كانت بداية الاختلاف في عهد الخليفة الثالث ، فهناك سؤال يطرح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سبب الاختلاف في أمر الوضوء بعد ما مضت قرابة عشرين سنة من رحيل الرسول صلى الله عليه وآله وسلم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وجوه واحتمالات </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1165409_1067777946"/>
      <w:bookmarkStart w:id="34" w:name="_Toc12"/>
      <w:bookmarkEnd w:id="33"/>
      <w:r>
        <w:rPr/>
        <w:t>1</w:t>
      </w:r>
      <w:r>
        <w:rPr>
          <w:rtl w:val="true"/>
        </w:rPr>
        <w:t xml:space="preserve">. </w:t>
      </w:r>
      <w:r>
        <w:rPr>
          <w:rtl w:val="true"/>
        </w:rPr>
        <w:t>اختلاف القراءة</w:t>
      </w:r>
      <w:bookmarkEnd w:id="34"/>
    </w:p>
    <w:p>
      <w:pPr>
        <w:pStyle w:val="BookText"/>
        <w:rPr/>
      </w:pPr>
      <w:r>
        <w:rPr>
          <w:rFonts w:ascii="Amiri" w:hAnsi="Amiri" w:eastAsia="Amiri" w:cs="Amiri"/>
          <w:color w:val="111111"/>
          <w:sz w:val="28"/>
          <w:sz w:val="28"/>
          <w:szCs w:val="28"/>
          <w:rtl w:val="true"/>
          <w:lang w:bidi="ar-SA"/>
        </w:rPr>
        <w:t xml:space="preserve">ربما يتصوّر انّ مصدر الخلاف في ذلك العصر هو اختلاف القراءة حيث إنّ القرّاء اختلفوا في 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وَامْسَحُوا بِرُؤُسِكُمْ وَأَرْجُلَكُمْ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فمنهم من قرأ بالجرّ عطفا على الرءوس الذي يستلزم وجوب المسح على الأرجل ، ومنهم من قرأ بالفتح عطفا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فَاغْسِلُوا وُجُوهَكُمْ وَأَيْدِيَكُمْ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يستلزم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الوجه باطل جدا ، فإنّ العربي الصميم إذا قرأ الآية مجرّدا عن أي رأي مسبق لا يرضى بغير عطف الأرجل على الرءوس ، سواء أقرأ بالنصب أم بالجر ، وأمّا عطفه على وجوهكم فلا يخطر بباله حتّى يكون مصدرا للخلاف</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من يبتغي تفسير الآية وفهم مدلولها ، أن يجعل نفسه كأنّه الحاضر في </w:t>
      </w:r>
      <w:bookmarkStart w:id="35" w:name="pg10144_71212"/>
    </w:p>
    <w:p>
      <w:pPr>
        <w:pStyle w:val="BookText"/>
        <w:rPr/>
      </w:pPr>
      <w:bookmarkEnd w:id="35"/>
      <w:r>
        <w:rPr>
          <w:rFonts w:ascii="Amiri" w:hAnsi="Amiri" w:eastAsia="Amiri" w:cs="Amiri"/>
          <w:color w:val="111111"/>
          <w:sz w:val="28"/>
          <w:sz w:val="28"/>
          <w:szCs w:val="28"/>
          <w:rtl w:val="true"/>
          <w:lang w:bidi="ar-SA"/>
        </w:rPr>
        <w:t>عصر نزول الآية ويسمع كلام الله من فم الرسول صلى الله عليه وآله وسلم أو أصحابه ، فما يفهمه عند ذاك حجة بينه وبين ربه ، وليس له عند ذاك ، الركون إلى الاحتمالات والوجوه المختلفة التي ظهرت بعد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عرضنا الآية على عربي بعيد عن الأجواء الفقهية ، وعن اختلاف المسلمين في كيفية الوضوء وطلبنا منه تبيين ما فهمه لقال بوضوح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الوضوء غسلتان ومسحتان دون أن يفكّر في أنّ الأرجل هل هي معطوفة على الرءوس أو معطوفة على وجوهكم؟ فهو يدرك بأنّها تتضمّن جملتين صرّح فيهما بحكمين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بدئ في الجملة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فَاغْسِلُوا وُجُوهَكُمْ وَأَيْدِيَكُمْ إِلَى 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بغسل الوجوه ثمّ عطفت الأيدي عليها ، فوجب لها من الحكم مثل حكم الوجوه لأجل العطف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بدئ في الجملة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وَامْسَحُوا بِرُؤُسِكُمْ وَأَرْجُلَكُمْ إِلَى الْكَعْبَيْنِ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بمسح الرءوس ثمّ عطفت الأرجل عليها ، فوجب أن يكون لها من الحكم مثل حكم الرءوس لأجل العطف ، والواو تدلّ على مشاركة ما بعدها لما قبلها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والتفكيك بين حكم الرءوس وحكم الأرجل لا يحتمله عربي صميم ، بل يراه مخالفا لظهور الآية</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1165411_1067777946"/>
      <w:bookmarkStart w:id="37" w:name="_Toc13"/>
      <w:bookmarkEnd w:id="36"/>
      <w:r>
        <w:rPr/>
        <w:t>2</w:t>
      </w:r>
      <w:r>
        <w:rPr>
          <w:rtl w:val="true"/>
        </w:rPr>
        <w:t xml:space="preserve">. </w:t>
      </w:r>
      <w:r>
        <w:rPr>
          <w:rtl w:val="true"/>
        </w:rPr>
        <w:t>التمسّك بروايات الغسل المنسوخة</w:t>
      </w:r>
      <w:bookmarkEnd w:id="3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من غير واحد من الروايات أنّ غسل الرجلين كان سنّة أمر بها النبي صلى الله عليه وآله وسلم في فترة من عمره ، ولمّا نزلت سورة المائدة وفيها آية الوضوء والأمر بمسح </w:t>
      </w:r>
      <w:bookmarkStart w:id="38" w:name="pg10144_71213"/>
    </w:p>
    <w:p>
      <w:pPr>
        <w:pStyle w:val="BookText"/>
        <w:rPr/>
      </w:pPr>
      <w:bookmarkEnd w:id="38"/>
      <w:r>
        <w:rPr>
          <w:rFonts w:ascii="Amiri" w:hAnsi="Amiri" w:eastAsia="Amiri" w:cs="Amiri"/>
          <w:color w:val="111111"/>
          <w:sz w:val="28"/>
          <w:sz w:val="28"/>
          <w:szCs w:val="28"/>
          <w:rtl w:val="true"/>
          <w:lang w:bidi="ar-SA"/>
        </w:rPr>
        <w:t>الأرجل مكان الغسل ، أخذ ـ بعد فترة من الزمن ـ من لا يعرف الناسخ والمنسوخ بالسنّة المنسوخة ، وآثار الخلاف غافلا عن أنّ الواجب عليه الأخذ بالقرآن الناسخ للسنّة وفيه سورة المائدة التي هي آخر سورة نزلت على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ابن جرير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بالمسح ، والسنّة بالغسل</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ويريد من السنّة عمل النبي صلى الله عليه وآله وسلم قبل نزول القرآن ، ومن المعلوم أنّ القرآن حاكم وناسخ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الناس إلاّ الغسل ، ولا أجد في كتاب الله إلاّ المسح</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وبهذا يمكن الجمع بين ما حكي من عمل النبي صلى الله عليه وآله وسلم من الغسل وبين ظهور الآية في المسح ، وانّ الغسل كان قبل نزول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ونرى نظير ذلك في المسح على الخفّين ، فقد روى حاتم بن إسماعيل ، عن جعفر بن محمد ، عن أبيه ، عن علي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سبق الكتاب الخفّين </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وروى عكرمة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الكتاب الخفّين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ذلك انّه لو صدر عن النبي صلى الله عليه وآله وسلم في فترة من عمره ، المسح على الخفّين ، فقد جاء الكتاب على خلافه ناسخا له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وَامْسَحُوا بِرُؤُسِكُمْ وَأَرْجُلَكُمْ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امسحوا على البشرة لا على النعل ولا على الخفّ ولا الجورب</w:t>
      </w:r>
      <w:r>
        <w:rPr>
          <w:rFonts w:eastAsia="Amiri" w:cs="Amiri" w:ascii="Amiri" w:hAnsi="Amiri"/>
          <w:color w:val="111111"/>
          <w:sz w:val="28"/>
          <w:szCs w:val="28"/>
          <w:rtl w:val="true"/>
          <w:lang w:bidi="ar-SA"/>
        </w:rPr>
        <w:t xml:space="preserve">. </w:t>
      </w:r>
      <w:r>
        <w:rPr>
          <w:rStyle w:val="FootnoteAnchor"/>
          <w:rtl w:val="true"/>
        </w:rPr>
        <w:footnoteReference w:id="20"/>
      </w:r>
    </w:p>
    <w:p>
      <w:pPr>
        <w:pStyle w:val="Heading4"/>
        <w:numPr>
          <w:ilvl w:val="3"/>
          <w:numId w:val="1"/>
        </w:numPr>
        <w:rPr/>
      </w:pPr>
      <w:bookmarkStart w:id="39" w:name="__RefHeading___Toc1165413_1067777946"/>
      <w:bookmarkStart w:id="40" w:name="_Toc14"/>
      <w:bookmarkEnd w:id="39"/>
      <w:r>
        <w:rPr/>
        <w:t>3</w:t>
      </w:r>
      <w:r>
        <w:rPr>
          <w:rtl w:val="true"/>
        </w:rPr>
        <w:t xml:space="preserve">. </w:t>
      </w:r>
      <w:r>
        <w:rPr>
          <w:rtl w:val="true"/>
        </w:rPr>
        <w:t>إشاعة الغسل من قبل السلطة</w:t>
      </w:r>
      <w:bookmarkEnd w:id="4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الحكام مصرّين على غسل الأرجل مكان المسح ويلزمون الناس على </w:t>
      </w:r>
    </w:p>
    <w:p>
      <w:pPr>
        <w:pStyle w:val="BookText"/>
        <w:rPr/>
      </w:pPr>
      <w:r>
        <w:rPr>
          <w:rFonts w:ascii="Amiri" w:hAnsi="Amiri" w:eastAsia="Amiri" w:cs="Amiri"/>
          <w:color w:val="111111"/>
          <w:sz w:val="28"/>
          <w:sz w:val="28"/>
          <w:szCs w:val="28"/>
          <w:rtl w:val="true"/>
          <w:lang w:bidi="ar-SA"/>
        </w:rPr>
        <w:t>ذلك بدل المسح لخبث باطن القدمين ، وبما انّ قسما كثيرا منهم كانوا حفاة ، فراق في أنفسهم تبديل المسح بالغسل ، ويدلّ على ذلك بعض ما ورد في النصوص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ابن جرير عن حميد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ابن أنس ونحن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انّ الحجاج خطبنا بالأهواز ونحن معه وذكر الطهور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اغسلوا وجوهكم وأيديكم وامسحوا برءوسكم وأرجلكم ، وانّه ليس شيء من ابن آدم أقرب من خبثه من قدميه ، فاغسلوا بطونهما وظهورهما وعراقيبهما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وكذب الحجاج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وَامْسَحُوا بِرُؤُسِكُمْ وَأَرْجُلَكُمْ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أنس إذا مسح قدميه بلّهما</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يعرب عن أنّ الدعاية الرسمية كانت تؤيد الغسل ، وتؤاخذ من يقول بالمسح ، حتّى أنّ القائلين به كانوا على حذر من إظهار عقيدتهم فلا يصرّحون بها إلاّ خفية ، ما رواه أحمد بن حنبل بسنده عن أبي مالك الأشعري انّه قال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اجتمعوا أصلّي بكم صلاة رسول الله صلى الله عليه وآله وسلم فلمّا اجتمعوا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فيكم أحد غيركم؟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إلاّ ابن أخت لنا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أخت القوم منهم ، فدعا بجفنة فيها ماء ، فتوضّأ ومضمض واستنشق وغسل وجهه ثلاثا وذراعيه ثلاثا ومسح برأسه وظهر قدميه ، ثمّ صلّى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وجوه ثلاثة يمكن أن يبرّر بها الغسل مكان المسح مع دلالة الكتاب العزيز على المسح ، والأقرب هو الثاني ثمّ الثالث</w:t>
      </w:r>
      <w:r>
        <w:rPr>
          <w:rFonts w:eastAsia="Amiri" w:cs="Amiri" w:ascii="Amiri" w:hAnsi="Amiri"/>
          <w:color w:val="111111"/>
          <w:sz w:val="28"/>
          <w:szCs w:val="28"/>
          <w:rtl w:val="true"/>
          <w:lang w:bidi="ar-SA"/>
        </w:rPr>
        <w:t xml:space="preserve">. </w:t>
      </w:r>
      <w:bookmarkStart w:id="41" w:name="pg10144_71215"/>
    </w:p>
    <w:p>
      <w:pPr>
        <w:pStyle w:val="Heading3"/>
        <w:numPr>
          <w:ilvl w:val="2"/>
          <w:numId w:val="1"/>
        </w:numPr>
        <w:rPr/>
      </w:pPr>
      <w:bookmarkStart w:id="42" w:name="__RefHeading___Toc1165415_1067777946"/>
      <w:bookmarkStart w:id="43" w:name="_Toc15"/>
      <w:bookmarkEnd w:id="41"/>
      <w:bookmarkEnd w:id="42"/>
      <w:r>
        <w:rPr/>
        <w:t>6</w:t>
      </w:r>
      <w:r>
        <w:rPr>
          <w:rtl w:val="true"/>
        </w:rPr>
        <w:t xml:space="preserve">. </w:t>
      </w:r>
      <w:r>
        <w:rPr>
          <w:rtl w:val="true"/>
        </w:rPr>
        <w:t xml:space="preserve">ما هو العامل في قوله </w:t>
      </w:r>
      <w:r>
        <w:rPr>
          <w:rtl w:val="true"/>
        </w:rPr>
        <w:t xml:space="preserve">( </w:t>
      </w:r>
      <w:r>
        <w:rPr>
          <w:rtl w:val="true"/>
        </w:rPr>
        <w:t xml:space="preserve">وَأَرْجُلَكُمْ </w:t>
      </w:r>
      <w:r>
        <w:rPr>
          <w:rtl w:val="true"/>
        </w:rPr>
        <w:t>)</w:t>
      </w:r>
      <w:r>
        <w:rPr>
          <w:rtl w:val="true"/>
        </w:rPr>
        <w:t>؟</w:t>
      </w:r>
      <w:bookmarkEnd w:id="43"/>
    </w:p>
    <w:p>
      <w:pPr>
        <w:pStyle w:val="BookText"/>
        <w:rPr/>
      </w:pPr>
      <w:r>
        <w:rPr>
          <w:rFonts w:ascii="Amiri" w:hAnsi="Amiri" w:eastAsia="Amiri" w:cs="Amiri"/>
          <w:color w:val="111111"/>
          <w:sz w:val="28"/>
          <w:sz w:val="28"/>
          <w:szCs w:val="28"/>
          <w:rtl w:val="true"/>
          <w:lang w:bidi="ar-SA"/>
        </w:rPr>
        <w:t xml:space="preserve">أنّ آية الوضوء هي الدليل المبرم على وجوب الوضوء وكيفيته ، وهي آية واضحة نزلت لتبيين ما هو تكليف المصلّي قبل الصلاة ، وطبيعة الحال تقتضي أن تكون آية واضحة المعالم ، محكمة الدلالة ، دون أن يكتنفها إجمال أو إبهام ،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قُمْتُمْ إِلَى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فَاغْسِلُوا وُجُوهَكُمْ وَأَيْدِيَكُمْ إِلَى الْمَرافِقِ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وَامْسَحُوا بِرُؤُسِكُمْ وَأَرْجُلَكُمْ إِلَى الْكَعْبَيْنِ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وتعيين أحد القولين من مسح الرجلين أو غسلهما رهن تشخيص العامل في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الآية المباركة عاملين وفعلين كل يصلح في بدء النظر لأن يكون عاملا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تعيين ما هو العامل حسب ما يستسيغه الذوق العربي؟</w:t>
      </w:r>
    </w:p>
    <w:p>
      <w:pPr>
        <w:pStyle w:val="BookText"/>
        <w:rPr/>
      </w:pPr>
      <w:r>
        <w:rPr>
          <w:rFonts w:ascii="IRNazanin" w:hAnsi="IRNazanin" w:eastAsia="IRNazanin"/>
          <w:color w:val="111111"/>
          <w:sz w:val="28"/>
          <w:sz w:val="28"/>
          <w:szCs w:val="28"/>
          <w:rtl w:val="true"/>
          <w:lang w:bidi="fa-IR"/>
        </w:rPr>
        <w:t xml:space="preserve">والعاملان هما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فاغسلوا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وامسحوا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العامل هو الأوّل يجب غسلهما ، ولو قلنا بأنّ العامل هو الثاني يجب مسحهما ، فملاك إيجاب واحد منهما رهن تعيين العامل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انّ الإمعان في الآية ، مع قطع النظر عن كل رأي مسبق وفعل رائج بين المسلمين ، يثبت انّ الثاني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فامسحوا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العامل دون الأوّل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معطوف على القريب ، أي الرءوس لا على البعيد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الوجوه ، ونوضح ذلك بالمثال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سمعنا قائلاً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زيدا وعمرا ومررت بخالد وبكر من دون أن يعرب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أو الجرّ ، نحكم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والعامل فيه هو الفعل الثاني وليس معطوفا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العامل فيه هو الفعل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علماء العربية أنّ العطف من حقّه أن يكون على الأقرب دون الأبعد ، وهذا هو الأصل والعدول عنه يحتاج إلى قرينة موجودة في الكلام ، وإلاّ ربما يوجب اللّبس واشتباه المراد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فلنفرض أنّ رئيسا قال لخادمه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وعمرا واضرب بكرا وخالدا ، فهو يميز بين الجملتين ، ويرى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يدور بخلده خلاف ذلك</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عامل النصب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وَامْسَحُوا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فَاغْسِلُوا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العاملين إذا اجتمعا على معمول واحد كان إعمال الأقرب أولى ، فوجب أن يكون عامل النصب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وَامْسَحُوا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فثبت 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بنصب اللام توجب المسح</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فإذا كانت الحال كذلك ولا يجوز الخروج عن القواعد في الأمثلة العرفية ، فأولى أن يكون كلام ربّ العزة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المثال منحصرا بما ذكرنا ، بل بإمكانك الأدلاء بأمثلة مختلفة شريطة أن تكون مشابهة لما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إنّك عرضت الآية على أيّ عربيّ صميم يجرّد نفسه عن المذهب الذي يعتنقه ، وسألته عن دلالة الآية يجيبك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هناك أعضاء يجب غسلها ، وهي الوجوه والأيدي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وأعضاء يجب مسحها وهي الرءوس والأرجل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ألفت نظره إلى القواعد العربية تجده انّه لا يتردد انّ العامل في الرءوس والأرجل شيء واحد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وَامْسَحُوا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يدور بخلده التفكيك بين الرءوس والأرجل بأن يكون العامل في الرءوس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فَامْسَحُوا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فَاغْسِلُوا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اتّضحت دلالة الآية على واحد من المسح والغسل فلا نحتاج إلى شيء آخر ، فالموافق منه يؤكّد مضمون الآية ، والمخالف يعالج بنحو من الطرق أفضلها انّها منسوخة بالكتاب</w:t>
      </w:r>
      <w:r>
        <w:rPr>
          <w:rFonts w:eastAsia="Amiri" w:cs="Amiri" w:ascii="Amiri" w:hAnsi="Amiri"/>
          <w:color w:val="111111"/>
          <w:sz w:val="28"/>
          <w:szCs w:val="28"/>
          <w:rtl w:val="true"/>
          <w:lang w:bidi="ar-SA"/>
        </w:rPr>
        <w:t xml:space="preserve">. </w:t>
      </w:r>
      <w:bookmarkStart w:id="44" w:name="pg10144_71218"/>
    </w:p>
    <w:p>
      <w:pPr>
        <w:pStyle w:val="Heading3"/>
        <w:numPr>
          <w:ilvl w:val="2"/>
          <w:numId w:val="1"/>
        </w:numPr>
        <w:rPr/>
      </w:pPr>
      <w:bookmarkStart w:id="45" w:name="__RefHeading___Toc1165417_1067777946"/>
      <w:bookmarkStart w:id="46" w:name="_Toc16"/>
      <w:bookmarkEnd w:id="44"/>
      <w:bookmarkEnd w:id="45"/>
      <w:r>
        <w:rPr/>
        <w:t>7</w:t>
      </w:r>
      <w:r>
        <w:rPr>
          <w:rtl w:val="true"/>
        </w:rPr>
        <w:t xml:space="preserve">. </w:t>
      </w:r>
      <w:r>
        <w:rPr>
          <w:rtl w:val="true"/>
        </w:rPr>
        <w:t>القراءتان والمسح على الأرجل</w:t>
      </w:r>
      <w:bookmarkEnd w:id="46"/>
    </w:p>
    <w:p>
      <w:pPr>
        <w:pStyle w:val="BookText"/>
        <w:rPr/>
      </w:pPr>
      <w:r>
        <w:rPr>
          <w:rFonts w:ascii="Amiri" w:hAnsi="Amiri" w:eastAsia="Amiri" w:cs="Amiri"/>
          <w:color w:val="111111"/>
          <w:sz w:val="28"/>
          <w:sz w:val="28"/>
          <w:szCs w:val="28"/>
          <w:rtl w:val="true"/>
          <w:lang w:bidi="ar-SA"/>
        </w:rPr>
        <w:t xml:space="preserve">إنّ اختلاف القرّاء في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والجر لا يؤثر في دلالة الآية على وجوب المسح ، فالقراءتان تنطبقان على ذلك القول بلا أي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قرأ نافع وابن عامر وعاصم في رواية حفص عنه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 وهذه هي القراءة المعروفة التي عليها المصاحف الرائجة في كلّ عصر وجيل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 ابن كثير وحمزة وأبو عمرو وعاصم في رواية أبي بكر عنه بالجرّ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القراءتين تنطبقان على القول بالمسح بلا تريّث وتردد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الثاني أي قراءة الجر ، فهو أقوى شاهد على أنّه معطوف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بِرُؤُسِكُمْ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لقراءة الجرّ وجه سوى كونه معطوفا على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 تكون الأرجل محكومة بالمسح بلا شك</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قراءة النصب فالوجه فيه أنّه عطف على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بِرُؤُسِكُمْ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منصوب محلاّ مفعول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وَامْسَحُوا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وعندئذ تكون الأرجل أيضا محكومة بالمسح فقط ، والعطف على المحل أمر شائع في اللغة العربية ، وقد ورد أيضا في </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القرآن فقال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بَرِيءٌ مِنَ الْمُشْرِكِينَ وَرَسُولُهُ </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فقراءة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هي القراءة المعروفة الرائجة ولا وجه لرفعه إلاّ كونه معطوفا على محل اسم إنّ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ملئت مسألة العطف على المحل كتب الأعاريب ، فقد عقد ابن هشام بابا خاصا للعطف على المحل وذكر شروطه</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وأمّا في الأدب العربي فحدّث عنه ولا حرج ، قال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 إنّنا بشر فاسجح</w:t>
      </w:r>
    </w:p>
    <w:p>
      <w:pPr>
        <w:pStyle w:val="BookText"/>
        <w:rPr/>
      </w:pPr>
      <w:r>
        <w:rPr>
          <w:rFonts w:ascii="Amiri" w:hAnsi="Amiri" w:eastAsia="Amiri" w:cs="Amiri"/>
          <w:color w:val="111111"/>
          <w:sz w:val="28"/>
          <w:sz w:val="28"/>
          <w:szCs w:val="28"/>
          <w:rtl w:val="true"/>
          <w:lang w:bidi="ar-SA"/>
        </w:rPr>
        <w:t>فلسنا بالجبال ولا الحديدا</w:t>
      </w:r>
    </w:p>
    <w:p>
      <w:pPr>
        <w:pStyle w:val="BookText"/>
        <w:rPr/>
      </w:pPr>
      <w:r>
        <w:rPr>
          <w:rFonts w:ascii="Amiri" w:hAnsi="Amiri" w:eastAsia="Amiri" w:cs="Amiri"/>
          <w:color w:val="111111"/>
          <w:sz w:val="28"/>
          <w:sz w:val="28"/>
          <w:szCs w:val="28"/>
          <w:rtl w:val="true"/>
          <w:lang w:bidi="ar-SA"/>
        </w:rPr>
        <w:t xml:space="preserve">فقول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الحديدا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عطف على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خبر ليس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فخرجنا بالنتيجة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اختلاف القراءتين لا يؤثّر في تعيّن القول بالمسح ، وسوف يوافيك دراسة القراءتين على القول بالغسل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لفيفا من أعلام السّنة صرحوا بدلالة الآية على المسح قائلين بأنّ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الأقرب لا الأبعد ، وانّ العامل فيه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وَامْسَحُوا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ونذكر بعض تلك الكلمات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قولنا في الرجلين ، فان القرآن نزل بالمسح ،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وَامْسَحُوا بِرُؤُسِكُمْ وَأَرْجُلَكُمْ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وسواء قرئ بخفض اللام أو فتحها ، فهي على كلّ حال عطف على الرءوس امّا على اللفظ وإمّا على الموضع ، ولا يجوز</w:t>
      </w:r>
    </w:p>
    <w:p>
      <w:pPr>
        <w:pStyle w:val="BookText"/>
        <w:rPr/>
      </w:pP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وقال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القراءة بالجر فهي تقتضي كون الأرجل معطوفة على الرءوس ، فكما وجب المسح في الرأس فكذلك في الأرجل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القراءة بالنصب ، فقالوا ـ أيضا ـ انّها توجب المسح ، وذلك 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وَامْسَحُوا بِرُؤُسِكُمْ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النصب ، ولكنّها مجرورة بالباء ، فإذا عطف الأرجل على الرءوس جاز في الأرجل النصب عطفا على محل الرءوس ، والجر عطفا على الظاهر ، وهذا مذهب مشهور النحاة</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السندي الحنفي ـ بعد ان جزم انّ ظاهر القرآن هو المسح ـ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المسح هو ظاهر القرآن ، لأنّ قراءة الجر ظاهرة فيه ، وقراءة النصب محمول على جعل العطف على المحل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هذا المقدار من النقول يكفي في تبيين انّ كلتا القراءتين تدعمان المسح فقط وتنطبقان عليه بلا إشكال</w:t>
      </w:r>
      <w:r>
        <w:rPr>
          <w:rFonts w:eastAsia="Amiri" w:cs="Amiri" w:ascii="Amiri" w:hAnsi="Amiri"/>
          <w:color w:val="111111"/>
          <w:sz w:val="28"/>
          <w:szCs w:val="28"/>
          <w:rtl w:val="true"/>
          <w:lang w:bidi="ar-SA"/>
        </w:rPr>
        <w:t xml:space="preserve">. </w:t>
      </w:r>
      <w:bookmarkStart w:id="47" w:name="pg10144_71221"/>
    </w:p>
    <w:p>
      <w:pPr>
        <w:pStyle w:val="Heading3"/>
        <w:numPr>
          <w:ilvl w:val="2"/>
          <w:numId w:val="1"/>
        </w:numPr>
        <w:rPr/>
      </w:pPr>
      <w:bookmarkStart w:id="48" w:name="__RefHeading___Toc1165419_1067777946"/>
      <w:bookmarkStart w:id="49" w:name="_Toc17"/>
      <w:bookmarkEnd w:id="47"/>
      <w:bookmarkEnd w:id="48"/>
      <w:r>
        <w:rPr/>
        <w:t>8</w:t>
      </w:r>
      <w:r>
        <w:rPr>
          <w:rtl w:val="true"/>
        </w:rPr>
        <w:t xml:space="preserve">. </w:t>
      </w:r>
      <w:r>
        <w:rPr>
          <w:rtl w:val="true"/>
        </w:rPr>
        <w:t>القراءتان وغسل الأرجل</w:t>
      </w:r>
      <w:bookmarkEnd w:id="49"/>
    </w:p>
    <w:p>
      <w:pPr>
        <w:pStyle w:val="Heading4"/>
        <w:numPr>
          <w:ilvl w:val="3"/>
          <w:numId w:val="1"/>
        </w:numPr>
        <w:rPr/>
      </w:pPr>
      <w:bookmarkStart w:id="50" w:name="__RefHeading___Toc1165421_1067777946"/>
      <w:bookmarkStart w:id="51" w:name="_Toc18"/>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 xml:space="preserve">قد عرفت أنّ اختلاف القراءة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يؤثر في القول بمسح الرجلين ، سواء أقرأنا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أم قرأناه بالجر ، فكلتا القراءتين تدعمان المسح وبالتالي العامل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وَامْسَحُوا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بِرُؤُسِكُمْ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لفظا أو محلا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إمكانية تطبيق القول بالغسل على القراءتين المعروفتين ومقدار انسجامه معهما والقواعد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وسيتضح من خلاله انّ فرض الغسل على الآية خرق واضح للقواعد العربية ، وإليك البيان </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1165423_1067777946"/>
      <w:bookmarkStart w:id="53" w:name="_Toc19"/>
      <w:bookmarkEnd w:id="52"/>
      <w:r>
        <w:rPr>
          <w:rtl w:val="true"/>
        </w:rPr>
        <w:t>الغسل وقراءة النصب</w:t>
      </w:r>
      <w:bookmarkEnd w:id="5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قلنا بدلالة الآية على غسل الأرجل ، فلا محيص من أن يكون العامل هو قوله في الجملة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فَاغْسِلُوا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يكون معطوفا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يستلزم الفصل بين المعطوف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والمعطوف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بجملة أجنبية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وَامْسَحُوا بِرُؤُسِكُمْ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يفصل بين المعطوف والمعطوف عليه بمفرد فضلا عن جملة أجنبية ، ولم يسمع في كلام العرب الفصيح قائل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ضربت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ببكر وعمرا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عطف أرجلكم على وجوهكم ، لأنّه لا يجوز أن يحال بين المعطوف والمعطوف عليه بقضية مبتدئة</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ذهب إلى أنّ قراءة النصب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فَاغْسِلُوا وُجُوهَكُمْ وَأَيْدِيَكُمْ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وفصل بينهما بهذه الجملة التي 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وَامْسَحُوا بِرُؤُسِكُمْ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بعيد ، لأنّ فيه الفصل بين المتعاطفين بجملة إنشائية</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الحلبي في تفسير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المحل وجرها على اللفظ ، ولا يجوز أن يكون النصب للعطف على وجوهكم ، لامتناع العطف على وجوهكم للفصل بين المعطوف والمعطوف عليه بجملة أجنبية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وَامْسَحُوا بِرُؤُسِكُمْ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أن لا يفصل بينهما بمفرد فضلا عن الجملة ، ولم يسمع في الفصيح نحو ضربت زيدا ومررت ببكر وعمرا بعطف عمرا على زيد</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السندي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قراءة النصب بالعطف على المحل أقرب لاطّراد العطف على المحل ، وأيضا فيه خلوص عن الفصل بالأجنبي بين المعطوف والمعطوف عليه ، فصار ظاهر القرآن هو المسح</w:t>
      </w:r>
      <w:r>
        <w:rPr>
          <w:rFonts w:eastAsia="Amiri" w:cs="Amiri" w:ascii="Amiri" w:hAnsi="Amiri"/>
          <w:color w:val="111111"/>
          <w:sz w:val="28"/>
          <w:szCs w:val="28"/>
          <w:rtl w:val="true"/>
          <w:lang w:bidi="ar-SA"/>
        </w:rPr>
        <w:t xml:space="preserve">. </w:t>
      </w:r>
      <w:r>
        <w:rPr>
          <w:rStyle w:val="FootnoteAnchor"/>
          <w:rtl w:val="true"/>
        </w:rPr>
        <w:footnoteReference w:id="3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الكلمات التي تصرح بأنّ قراءة النصب واستفادة الغسل يتوقّف على خرق قاعدة نحوية ، وهي الفصل بين المعطوف والمعطوف عليه بجملة أجنبية</w:t>
      </w:r>
      <w:r>
        <w:rPr>
          <w:rFonts w:eastAsia="Amiri" w:cs="Amiri" w:ascii="Amiri" w:hAnsi="Amiri"/>
          <w:color w:val="111111"/>
          <w:sz w:val="28"/>
          <w:szCs w:val="28"/>
          <w:rtl w:val="true"/>
          <w:lang w:bidi="ar-SA"/>
        </w:rPr>
        <w:t xml:space="preserve">. </w:t>
      </w:r>
      <w:bookmarkStart w:id="54" w:name="pg10144_71223"/>
    </w:p>
    <w:p>
      <w:pPr>
        <w:pStyle w:val="Heading4"/>
        <w:numPr>
          <w:ilvl w:val="3"/>
          <w:numId w:val="1"/>
        </w:numPr>
        <w:rPr/>
      </w:pPr>
      <w:bookmarkStart w:id="55" w:name="__RefHeading___Toc1165425_1067777946"/>
      <w:bookmarkStart w:id="56" w:name="_Toc20"/>
      <w:bookmarkEnd w:id="54"/>
      <w:bookmarkEnd w:id="55"/>
      <w:r>
        <w:rPr>
          <w:rtl w:val="true"/>
        </w:rPr>
        <w:t>الغسل وقراءة الجر</w:t>
      </w:r>
      <w:bookmarkEnd w:id="56"/>
    </w:p>
    <w:p>
      <w:pPr>
        <w:pStyle w:val="BookText"/>
        <w:rPr/>
      </w:pPr>
      <w:r>
        <w:rPr>
          <w:rFonts w:ascii="Amiri" w:hAnsi="Amiri" w:eastAsia="Amiri" w:cs="Amiri"/>
          <w:color w:val="111111"/>
          <w:sz w:val="28"/>
          <w:sz w:val="28"/>
          <w:szCs w:val="28"/>
          <w:rtl w:val="true"/>
          <w:lang w:bidi="ar-SA"/>
        </w:rPr>
        <w:t xml:space="preserve">إنّ القائلين بغسل الأرجل برّروا قراءة النصب بوجه قد عرفت ضعفه وعدم انسجامه مع القواعد العربية ، ولكنّهم لمّا وقفوا على قراءة الجرّ وانّها تدلّ على المسح دون الغسل حاروا في تبريرها وتوجيهها مع القول بالغسل ، فإنّ قراءة الجر صريحة في 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بِرُؤُسِكُمْ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حكمها حكم الرءوس ، وعند ذلك مالوا يمينا ويسارا حتّى يجدوا لقراءة الخفض مع القول بالغسل مبرّرا ، وليس هو إلاّ القول بالجرّ بالجوار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محكوم حسب القواعد بالنصب لكونها معطوفة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ولكنّه اكتسب أعراب الجرّ من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بِرُؤُسِكُمْ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وقوعه في جنب لفظ مجرور وهذا ما 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الجرّ بالجوار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ترك اللفظ إعرابه الطبيعي واكتساب أعراب اللفظ المجاور معه ، وقد مثلوا له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جحر ضبّ خرب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قرأ بالجرّ لوقوعه في جنب كلمة ضبّ حيث إنّه مجرور باعتبار كونه مضاف إليه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 الجرّ بالجوار إمّا غير واقع في فصيح اللغة ، وعلى فرض وقوعه فله شروط مفقودة في المقام ، نعقد لبيان الموضوع الفصل التالي</w:t>
      </w:r>
      <w:r>
        <w:rPr>
          <w:rFonts w:eastAsia="Amiri" w:cs="Amiri" w:ascii="Amiri" w:hAnsi="Amiri"/>
          <w:color w:val="111111"/>
          <w:sz w:val="28"/>
          <w:szCs w:val="28"/>
          <w:rtl w:val="true"/>
          <w:lang w:bidi="ar-SA"/>
        </w:rPr>
        <w:t xml:space="preserve">. </w:t>
      </w:r>
      <w:bookmarkStart w:id="57" w:name="pg10144_71224"/>
    </w:p>
    <w:p>
      <w:pPr>
        <w:pStyle w:val="Heading3"/>
        <w:numPr>
          <w:ilvl w:val="2"/>
          <w:numId w:val="1"/>
        </w:numPr>
        <w:rPr/>
      </w:pPr>
      <w:bookmarkStart w:id="58" w:name="__RefHeading___Toc1165427_1067777946"/>
      <w:bookmarkStart w:id="59" w:name="_Toc21"/>
      <w:bookmarkEnd w:id="57"/>
      <w:bookmarkEnd w:id="58"/>
      <w:r>
        <w:rPr/>
        <w:t>9</w:t>
      </w:r>
      <w:r>
        <w:rPr>
          <w:rtl w:val="true"/>
        </w:rPr>
        <w:t xml:space="preserve">. </w:t>
      </w:r>
      <w:r>
        <w:rPr>
          <w:rtl w:val="true"/>
        </w:rPr>
        <w:t>الجر بالجوار صحة وشرطا</w:t>
      </w:r>
      <w:bookmarkEnd w:id="59"/>
    </w:p>
    <w:p>
      <w:pPr>
        <w:pStyle w:val="BookText"/>
        <w:rPr/>
      </w:pPr>
      <w:r>
        <w:rPr>
          <w:rFonts w:ascii="Amiri" w:hAnsi="Amiri" w:eastAsia="Amiri" w:cs="Amiri"/>
          <w:color w:val="111111"/>
          <w:sz w:val="28"/>
          <w:sz w:val="28"/>
          <w:szCs w:val="28"/>
          <w:rtl w:val="true"/>
          <w:lang w:bidi="ar-SA"/>
        </w:rPr>
        <w:t>لما كان القائلون بغسل الأرجل يفسّرون قراءة الجرّ بالجوار ، نذكر كلمات أعلام الأدباء في المقام ليعلم مدى صحّة الجرّ بالجوار ، وعلى فرض صحّته ما هي شروطه؟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لأجل الجوار ، أي لوقوعه في جنب الرءوس المجرورة ، نظير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جحر ضب خرب ،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يكون مرفوعا ، لكنّه صار مجرورا لأجل الجوار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ثمّ ردّ عليه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صحيح ، لاتّفاق أهل العربية على أنّ الأعراب بالمجاورة شاذ نادر ، وما هذا سبيله لا يجوز حمل القرآن عليه من غير ضرورة يلجأ إليها</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علاء الدين البغدادي في تفسيره المسمى بالخازن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جعل كسر اللام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مجاورة اللفظ دون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جحر ضب خرب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الخرب نعت للجحر لا الضب ، وإنّما أخذ إعراب الضب للمجاورة فليس بجيّد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الكسر على المجاورة إنّما يحمل لأجل الضرورة في الشعر ، أو يصار إليه حيث يحصل الأمن من الالتباس ، لأنّ الخرب لا يكون نعتا للضب بل للجحر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الكسر بالجوار إنّما يكون بدون واو العطف ، امّا مع حرف العطف فلم تتكلم به العرب</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أنكر السيرافي وابن جنّي الخفض على الجوار وتأوّلا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على أنّه صفة للضب ، ومن أراد التفصيل فليرجع إلى المغني</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الجر بالجوار في النسق ، لأنّ العاطف يمنع التجاور</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ويتلخص من هذه الكلمات التي نقلناها بالإيجاز الأمور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الخفض بالجواز لم يثبت في الكلام الفصيح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الخفض بالجوار على فرض ثبوته إمّا لضرورة الشعر أو لأجل استحسان الطبع المماثلة بين اللفظين المتجاورين ، وكلّ من الوجهين منتفيان في المورد ، فليس هنا ضرورة شعرية ولا استحسان الطبع في إخلاء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إعرابه الواقعي واكتسابه إعراب جاره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العطف بالجوار إنّما يجوز فيما إذا يؤمن عن الاشتباه كما في المثل المعروف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للجحر لا للضبّ وان جرّ ، بخلاف المقام فإنّ قراءة الجرّ تورث الاشتباه ، فلو كان الأرجل في الواقع محكومة بالغسل فالجرّ بالجوار </w:t>
      </w:r>
    </w:p>
    <w:p>
      <w:pPr>
        <w:pStyle w:val="BookText"/>
        <w:rPr/>
      </w:pPr>
      <w:r>
        <w:rPr>
          <w:rFonts w:ascii="Amiri" w:hAnsi="Amiri" w:eastAsia="Amiri" w:cs="Amiri"/>
          <w:color w:val="111111"/>
          <w:sz w:val="28"/>
          <w:sz w:val="28"/>
          <w:szCs w:val="28"/>
          <w:rtl w:val="true"/>
          <w:lang w:bidi="ar-SA"/>
        </w:rPr>
        <w:t>يوهم كون الأرجل محكومة بالمسح وانّها معطوفة على الرءوس من دون أن يلتفت المخاطب إلى أنّ الجرّ للجوار فلا داعي لارتكاب هذا النوع من الخفض الذي يضاد بظاهره مراد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الجر بالجوار إلاّ في الوصف والبدل وأمثالهما لا في المعطوف كما في الآية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وظهر من هذا البحث الضافي انّ القول بالمسح ينطبق على كلتا القراءتين بلا أدنى تأويل وحرج ، وهذا بخلاف القول بالغسل فإنّه لا ينسجم لا مع قراءة النصب ولا مع قراءة الجرّ</w:t>
      </w:r>
      <w:r>
        <w:rPr>
          <w:rFonts w:eastAsia="Amiri" w:cs="Amiri" w:ascii="Amiri" w:hAnsi="Amiri"/>
          <w:color w:val="111111"/>
          <w:sz w:val="28"/>
          <w:szCs w:val="28"/>
          <w:rtl w:val="true"/>
          <w:lang w:bidi="ar-SA"/>
        </w:rPr>
        <w:t xml:space="preserve">. </w:t>
      </w:r>
      <w:bookmarkStart w:id="60" w:name="pg10144_71227"/>
    </w:p>
    <w:p>
      <w:pPr>
        <w:pStyle w:val="Heading3"/>
        <w:numPr>
          <w:ilvl w:val="2"/>
          <w:numId w:val="1"/>
        </w:numPr>
        <w:rPr/>
      </w:pPr>
      <w:bookmarkStart w:id="61" w:name="__RefHeading___Toc1165429_1067777946"/>
      <w:bookmarkStart w:id="62" w:name="_Toc22"/>
      <w:bookmarkEnd w:id="60"/>
      <w:bookmarkEnd w:id="61"/>
      <w:r>
        <w:rPr/>
        <w:t>10</w:t>
      </w:r>
      <w:r>
        <w:rPr>
          <w:rtl w:val="true"/>
        </w:rPr>
        <w:t xml:space="preserve">. </w:t>
      </w:r>
      <w:r>
        <w:rPr>
          <w:rtl w:val="true"/>
        </w:rPr>
        <w:t>الاجتهاد تجاه النص</w:t>
      </w:r>
      <w:bookmarkEnd w:id="62"/>
    </w:p>
    <w:p>
      <w:pPr>
        <w:pStyle w:val="Heading4"/>
        <w:numPr>
          <w:ilvl w:val="3"/>
          <w:numId w:val="1"/>
        </w:numPr>
        <w:rPr/>
      </w:pPr>
      <w:bookmarkStart w:id="63" w:name="__RefHeading___Toc1165431_1067777946"/>
      <w:bookmarkStart w:id="64" w:name="_Toc23"/>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 xml:space="preserve">إنّ آفة الفقه هو التمسك بالاعتبارات والوجوه الاستحسانيّة أمام النصّ ، لأنّه يضاد مذهب التعبديّة ، فالمسلم يتعبد بالنص ـ وإن بلغ ما بلغ ـ ولا يقدّم رأيه على كتاب الله وسنّة رسوله الصحيحة ، وهو آية الاستسلام أمام الله وأمام رسوله وكتابه وسننه ،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تُقَدِّمُوا بَيْنَ يَدَيِ اللهِ وَرَسُولِهِ وَاتَّقُوا اللهَ إِنَّ اللهَ سَمِيعٌ عَلِيمٌ </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أي لا تتقدّموا على الله ورسوله بافتراض رأيكم على الرسول والأمّة 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تقديم الوجوه الاستحسانية على النصّ تقدّم على الله ورسوله ، ونعم ما قال الإمام الشافعي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استحسن فقد شرّع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وقف غير واحد من أعلام السنّة على أنّ ظاهر الآية أو صريحها هو مسح الرجلين واعترفوا بذلك بوجدانهم أو بلسانهم وقلمهم ، ولكن التعبد بمذهب الأئمّة الأربعة وغيرهم عاقهم عن الأخذ بمضمون الآية ، فاتبعوا المذهب الموروث بدل الاتّباع للقرآن الكريم ، ولو لا انّهم نشئوا على هذه الفكرة منذ نعومة أظفارهم ، لما قدّموا اجتهاداتهم على كتاب الله العزيز الدالّ على المسح ، وحرّروا </w:t>
      </w:r>
      <w:bookmarkStart w:id="65" w:name="pg10144_71228"/>
    </w:p>
    <w:p>
      <w:pPr>
        <w:pStyle w:val="BookText"/>
        <w:rPr/>
      </w:pPr>
      <w:bookmarkEnd w:id="65"/>
      <w:r>
        <w:rPr>
          <w:rFonts w:ascii="Amiri" w:hAnsi="Amiri" w:eastAsia="Amiri" w:cs="Amiri"/>
          <w:color w:val="111111"/>
          <w:sz w:val="28"/>
          <w:sz w:val="28"/>
          <w:szCs w:val="28"/>
          <w:rtl w:val="true"/>
          <w:lang w:bidi="ar-SA"/>
        </w:rPr>
        <w:t>تفكّرهم عن قيد التقليد ، وإليك شيئا من هذه الاجتهادات التي لا يرتضيها العقل ولا الوجدان الحرّ</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1165433_1067777946"/>
      <w:bookmarkStart w:id="67" w:name="_Toc24"/>
      <w:bookmarkEnd w:id="66"/>
      <w:r>
        <w:rPr/>
        <w:t>1</w:t>
      </w:r>
      <w:r>
        <w:rPr>
          <w:rtl w:val="true"/>
        </w:rPr>
        <w:t xml:space="preserve">. </w:t>
      </w:r>
      <w:r>
        <w:rPr>
          <w:rtl w:val="true"/>
        </w:rPr>
        <w:t>الغسل يشمل المسح</w:t>
      </w:r>
      <w:bookmarkEnd w:id="67"/>
    </w:p>
    <w:p>
      <w:pPr>
        <w:pStyle w:val="BookText"/>
        <w:rPr/>
      </w:pPr>
      <w:r>
        <w:rPr>
          <w:rFonts w:ascii="Amiri" w:hAnsi="Amiri" w:eastAsia="Amiri" w:cs="Amiri"/>
          <w:color w:val="111111"/>
          <w:sz w:val="28"/>
          <w:sz w:val="28"/>
          <w:szCs w:val="28"/>
          <w:rtl w:val="true"/>
          <w:lang w:bidi="ar-SA"/>
        </w:rPr>
        <w:t>زعم الجصاص أنّ آية الوضوء مجملة فلا بدّ من العمل بالاحتياط ، وهو الغسل المشتمل على المسح أيضا ، بخلاف المسح فإنّه خال عن الغسل ، ثمّ رفع إبهام الآية بادّعاء اتّفاق الجميع على أنّه لو غسل فقد أدّى الفرض</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كيف يرمي الآية بالإجمال مع أنّها واضحة الدلالة ، لأنّها بصدد بيان ما هو الواجب على عامة المصلّين عند القيام إلى الصلاة ، ومثل هذا يجب أن يكون مبيّن المراد ، غير محتمل إلاّ لمعنى واحد ، وإنّما دعاه إلى القول بالإجمال الفرار عن ظاهر الآية الدالّ على أنّ فريضة الأرجل هو المسح لا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يقوله إنّ الغسل يشمل المسح دون العكس فإنّه خال من الغسل ، غير صحيح ، لأنّ المراد من الغسل في المقام هو إسالة الماء على العضو ، كما أنّ المراد من المسح فيها هو إمرار اليد على العضو بالبلل المتبقّي في اليد ، وعندئذ يصبح الغسل والمسح فريضتين مختلفتين على نحو يغاير كلّ الآخر ، فلا الغسل يشتمل على المسح ولا المسح على الغسل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ادّعاء رفع إبهام الآية بأنّه إذا غسل فقد أدّى فرضه باتّفاق الجميع مصادرة بالمطلوب ، إذ كيف يدّعي الاتفاق عليه مع أنّ القائلين بالمسح بين الصحابة والتابعين كما سيوافيك أسماؤهم ، ليسوا بأقلّ من القائلين بالغسل ، كما أنّ الإمامية وهم ربع المسلمين يرون بطلان الغسل ولزوم المسح فأين اتّفاق الجميع على الغسل؟</w:t>
      </w:r>
      <w:r>
        <w:rPr>
          <w:rFonts w:eastAsia="Amiri" w:cs="Amiri" w:ascii="Amiri" w:hAnsi="Amiri"/>
          <w:color w:val="111111"/>
          <w:sz w:val="28"/>
          <w:szCs w:val="28"/>
          <w:rtl w:val="true"/>
          <w:lang w:bidi="ar-SA"/>
        </w:rPr>
        <w:t xml:space="preserve">! </w:t>
      </w:r>
      <w:bookmarkStart w:id="68" w:name="pg10144_71229"/>
    </w:p>
    <w:p>
      <w:pPr>
        <w:pStyle w:val="Heading4"/>
        <w:numPr>
          <w:ilvl w:val="3"/>
          <w:numId w:val="1"/>
        </w:numPr>
        <w:rPr/>
      </w:pPr>
      <w:bookmarkStart w:id="69" w:name="__RefHeading___Toc1165435_1067777946"/>
      <w:bookmarkStart w:id="70" w:name="_Toc25"/>
      <w:bookmarkEnd w:id="68"/>
      <w:bookmarkEnd w:id="69"/>
      <w:r>
        <w:rPr/>
        <w:t>2</w:t>
      </w:r>
      <w:r>
        <w:rPr>
          <w:rtl w:val="true"/>
        </w:rPr>
        <w:t xml:space="preserve">. </w:t>
      </w:r>
      <w:r>
        <w:rPr>
          <w:rtl w:val="true"/>
        </w:rPr>
        <w:t>نسخ السنّة للكتاب</w:t>
      </w:r>
      <w:bookmarkEnd w:id="70"/>
    </w:p>
    <w:p>
      <w:pPr>
        <w:pStyle w:val="BookText"/>
        <w:rPr/>
      </w:pPr>
      <w:r>
        <w:rPr>
          <w:rFonts w:ascii="Amiri" w:hAnsi="Amiri" w:eastAsia="Amiri" w:cs="Amiri"/>
          <w:color w:val="111111"/>
          <w:sz w:val="28"/>
          <w:sz w:val="28"/>
          <w:szCs w:val="28"/>
          <w:rtl w:val="true"/>
          <w:lang w:bidi="ar-SA"/>
        </w:rPr>
        <w:t xml:space="preserve">وهناك من يرى دلالة الآية على المسح بوضوح ويبطل القول بأنّ أرجلكم معطوف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البتة أن يحال بين المعطوف والمعطوف عليه بخبر غير الخبر عن المعطوف ، لأنّه إشكال وتلبيس وإضلال 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محمدا وزيدا ومررت بخالد وعمرا ، وأنت تريد أنّك ضربت عمرا أصلا ، فلما جاءت السنّة بغسل الرجلين صحّ انّ المسح منسوخ عنهما</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يلاحظ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نسخ الكتاب إلاّ بالسنّة القطعية ، لأنّ الكتاب دليل قطعي لا ينسخه إلاّ دليل قطعي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فالسنّة الدالة على الغسل متعارضة مع السنّة الدالة على المسح ، فكيف يمكن أن نقدّم أحد المتعارضين على القرآن الكريم بغير مرجح؟ وستوافيك الروايات المتضافرة الدالة على أنّ النبي وأصحابه كانوا يمسحون الأرجل مكان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الأمّة على أنّ سورة المائدة آخر ما نزل على النبي صلى الله عليه وآله وسلم وانّها لم تنسخ آية منها ، وقد مرّ من الروايات وأقوال الصحابة ما يدلّ على ذلك</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اللازم على ابن حزم أن يجعل الآية دليلا على منسوخيّة السنّة ، ولو ثبت انّ النبي غسل رجليه في فترة من الزمن فالآية ناسخة لها لا أنّها ناسخة للقرآن</w:t>
      </w:r>
      <w:r>
        <w:rPr>
          <w:rFonts w:eastAsia="Amiri" w:cs="Amiri" w:ascii="Amiri" w:hAnsi="Amiri"/>
          <w:color w:val="111111"/>
          <w:sz w:val="28"/>
          <w:szCs w:val="28"/>
          <w:rtl w:val="true"/>
          <w:lang w:bidi="ar-SA"/>
        </w:rPr>
        <w:t xml:space="preserve">. </w:t>
      </w:r>
      <w:bookmarkStart w:id="71" w:name="pg10144_71230"/>
    </w:p>
    <w:p>
      <w:pPr>
        <w:pStyle w:val="Heading4"/>
        <w:numPr>
          <w:ilvl w:val="3"/>
          <w:numId w:val="1"/>
        </w:numPr>
        <w:rPr/>
      </w:pPr>
      <w:bookmarkStart w:id="72" w:name="__RefHeading___Toc1165437_1067777946"/>
      <w:bookmarkStart w:id="73" w:name="_Toc26"/>
      <w:bookmarkEnd w:id="71"/>
      <w:bookmarkEnd w:id="72"/>
      <w:r>
        <w:rPr/>
        <w:t>3</w:t>
      </w:r>
      <w:r>
        <w:rPr>
          <w:rtl w:val="true"/>
        </w:rPr>
        <w:t xml:space="preserve">. </w:t>
      </w:r>
      <w:r>
        <w:rPr>
          <w:rtl w:val="true"/>
        </w:rPr>
        <w:t>التنبيه على وجوب الاقتصاد في صب الماء</w:t>
      </w:r>
      <w:bookmarkEnd w:id="73"/>
    </w:p>
    <w:p>
      <w:pPr>
        <w:pStyle w:val="BookText"/>
        <w:rPr/>
      </w:pPr>
      <w:r>
        <w:rPr>
          <w:rFonts w:ascii="Amiri" w:hAnsi="Amiri" w:eastAsia="Amiri" w:cs="Amiri"/>
          <w:color w:val="111111"/>
          <w:sz w:val="28"/>
          <w:sz w:val="28"/>
          <w:szCs w:val="28"/>
          <w:rtl w:val="true"/>
          <w:lang w:bidi="ar-SA"/>
        </w:rPr>
        <w:t xml:space="preserve">وقد وقف الزمخشري على أنّ قراءة الجر تلزم الإنسان بمسح الأرجل لا غسلهما ، فصار بصدد منع الدلالة ، وانّ الأرجل وإن كانت معطوفة على الرءوس ومع ذلك يفقد العطف الدلالة على الغسل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فدلّ على أنّ الأرجل مغسولة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بقراءة الجر ودخلوها في حكم المسح؟</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الأرجل من بين الأعضاء الثلاثة المغسولة تغسل بصب الماء عليها ، فكان مظنة للإسراف المذموم المنهيّ عنه ، فعطفت على الثالث الممسوح لا لتمسح ولكن لينبّه على وجوب الاقتصاد في صبّ الماء عليها وقيل إلى الكعبين</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يلاحظ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الوجه إنّما يصحّ إذا كانت النكتة ممّا تعيه عامة المخاطبين من المؤمنين ، وأين هؤلاء من هذه النكتة التي ابتدعها الزمخشري توجيها لمذهبه؟</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يصحّ ما ذكره من النكتة إذا أمن من الالتباس لا في مثل المقام الذي لا يؤمن منه ، وبالتالي يحمل ظاهر اللفظ على وجوب المسح غفلة عن النكتة البديعة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الزمخشري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الأيدي أيضا مظنة للإسراف مثل الأرجل ، فلما ذا لم ينبّه على وجوب الاقتصاد في صب الماء فيها أيضا؟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يعرب عن أنّ هذا الوجه توجيه للمذهب الذي نشأ وترعرع صاحب الكشاف عليه ، ولو لا ذلك لم يرد بخلده هذا الوجه</w:t>
      </w:r>
      <w:r>
        <w:rPr>
          <w:rFonts w:eastAsia="Amiri" w:cs="Amiri" w:ascii="Amiri" w:hAnsi="Amiri"/>
          <w:color w:val="111111"/>
          <w:sz w:val="28"/>
          <w:szCs w:val="28"/>
          <w:rtl w:val="true"/>
          <w:lang w:bidi="ar-SA"/>
        </w:rPr>
        <w:t xml:space="preserve">. </w:t>
      </w:r>
      <w:bookmarkStart w:id="74" w:name="pg10144_71231"/>
    </w:p>
    <w:p>
      <w:pPr>
        <w:pStyle w:val="Heading4"/>
        <w:numPr>
          <w:ilvl w:val="3"/>
          <w:numId w:val="1"/>
        </w:numPr>
        <w:rPr/>
      </w:pPr>
      <w:bookmarkStart w:id="75" w:name="__RefHeading___Toc1165439_1067777946"/>
      <w:bookmarkStart w:id="76" w:name="_Toc27"/>
      <w:bookmarkEnd w:id="74"/>
      <w:bookmarkEnd w:id="75"/>
      <w:r>
        <w:rPr/>
        <w:t>4</w:t>
      </w:r>
      <w:r>
        <w:rPr>
          <w:rtl w:val="true"/>
        </w:rPr>
        <w:t xml:space="preserve">. </w:t>
      </w:r>
      <w:r>
        <w:rPr>
          <w:rtl w:val="true"/>
        </w:rPr>
        <w:t>سهولة غسل الرجلين دون الشعر</w:t>
      </w:r>
      <w:bookmarkEnd w:id="76"/>
    </w:p>
    <w:p>
      <w:pPr>
        <w:pStyle w:val="BookText"/>
        <w:rPr/>
      </w:pPr>
      <w:r>
        <w:rPr>
          <w:rFonts w:ascii="Amiri" w:hAnsi="Amiri" w:eastAsia="Amiri" w:cs="Amiri"/>
          <w:color w:val="111111"/>
          <w:sz w:val="28"/>
          <w:sz w:val="28"/>
          <w:szCs w:val="28"/>
          <w:rtl w:val="true"/>
          <w:lang w:bidi="ar-SA"/>
        </w:rPr>
        <w:t xml:space="preserve">لما وقف ابن قدامة على أنّ مقتضى عطف الأرجل على الرءوس هو المسح ، سواء أقرأت بالنصب أو بالجر ، أخذ يتفلسف ويجتهد أمام الدليل الصارم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فرقا بين الرأس والرجل ، ولأجله لا يمكن أن يحكم عليهما بحكم واحد ، وهذه الوجوه عبارة عن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الممسوح في الرأس شعر يشقّ غسله ، والرجلان بخلاف ذلك فهما أشبه بالمغسولات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انّهما محدودان بحد ينتهي إليه فأشبها باليدين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انّهما معرّضتان للخبث لكونهما يوطّأ بهما على الأرض بخلاف الرأس</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اجتهاد مقابل النص وتفلسف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مشقّة في غسل الشعر إذا كان المغسول جزاء منه فإنّه الواجب في المسح ، فليكن كذلك عند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التمسك بالشّبه ضعيف جدا ، إذ كم من متشابهين يختلفان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وأفسد منه هو الوجه الثالث فإنّ كون الرّجلين معرّضتين للخبث لا يقتضي تعيّن الغسل ، فإنّ القائل بالمسح يقول بأنّه يجب أن تكون الرّجل طاهرة من الخبث ثمّ تمسح</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ولعمري إنّ هذا الوجه وما تقدّمه للزمخشري تلاعب بالآية لغاية دعم المذهب ، والجدير بالفقيه الواعي هو الأخذ بالآية ، سواء أوافقت مذهب إمامه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ولصاحب المنار كلمة قيّمة في حقّ هؤلاء الذين يقدّمون فتاوى الأئمّة على </w:t>
      </w:r>
      <w:bookmarkStart w:id="77" w:name="pg10144_71232"/>
    </w:p>
    <w:p>
      <w:pPr>
        <w:pStyle w:val="BookText"/>
        <w:rPr/>
      </w:pPr>
      <w:bookmarkEnd w:id="77"/>
      <w:r>
        <w:rPr>
          <w:rFonts w:ascii="Amiri" w:hAnsi="Amiri" w:eastAsia="Amiri" w:cs="Amiri"/>
          <w:color w:val="111111"/>
          <w:sz w:val="28"/>
          <w:sz w:val="28"/>
          <w:szCs w:val="28"/>
          <w:rtl w:val="true"/>
          <w:lang w:bidi="ar-SA"/>
        </w:rPr>
        <w:t xml:space="preserve">الكتاب العزيز والسنّة الصحيحة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عندهم على أقوال كتبهم دون كتاب الله وسنّة رسوله</w:t>
      </w:r>
      <w:r>
        <w:rPr>
          <w:rFonts w:eastAsia="Amiri" w:cs="Amiri" w:ascii="Amiri" w:hAnsi="Amiri"/>
          <w:color w:val="111111"/>
          <w:sz w:val="28"/>
          <w:szCs w:val="28"/>
          <w:rtl w:val="true"/>
          <w:lang w:bidi="ar-SA"/>
        </w:rPr>
        <w:t xml:space="preserve">. </w:t>
      </w:r>
      <w:r>
        <w:rPr>
          <w:rStyle w:val="FootnoteAnchor"/>
          <w:rtl w:val="true"/>
        </w:rPr>
        <w:footnoteReference w:id="40"/>
      </w:r>
    </w:p>
    <w:p>
      <w:pPr>
        <w:pStyle w:val="Heading4"/>
        <w:numPr>
          <w:ilvl w:val="3"/>
          <w:numId w:val="1"/>
        </w:numPr>
        <w:rPr/>
      </w:pPr>
      <w:bookmarkStart w:id="78" w:name="__RefHeading___Toc1165441_1067777946"/>
      <w:bookmarkStart w:id="79" w:name="_Toc28"/>
      <w:bookmarkEnd w:id="78"/>
      <w:r>
        <w:rPr/>
        <w:t>5</w:t>
      </w:r>
      <w:r>
        <w:rPr>
          <w:rtl w:val="true"/>
        </w:rPr>
        <w:t xml:space="preserve">. </w:t>
      </w:r>
      <w:r>
        <w:rPr>
          <w:rtl w:val="true"/>
        </w:rPr>
        <w:t>اتّباع السلف في الغسل</w:t>
      </w:r>
      <w:bookmarkEnd w:id="79"/>
    </w:p>
    <w:p>
      <w:pPr>
        <w:pStyle w:val="BookText"/>
        <w:rPr/>
      </w:pPr>
      <w:r>
        <w:rPr>
          <w:rFonts w:ascii="Amiri" w:hAnsi="Amiri" w:eastAsia="Amiri" w:cs="Amiri"/>
          <w:color w:val="111111"/>
          <w:sz w:val="28"/>
          <w:sz w:val="28"/>
          <w:szCs w:val="28"/>
          <w:rtl w:val="true"/>
          <w:lang w:bidi="ar-SA"/>
        </w:rPr>
        <w:t xml:space="preserve">لمّا وقف ابن تيمية على أنّ قراءة الخفض تستلزم العطف على الرءوس فيلزم حينئذ مسح الرجلين لا غسلهما ، التجأ إلى تأويل النص ،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بالخفض فليس معناه وامسحوا أرجلكم كما يظنه بعض الناس ، لأوجه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الذين قرءوا ذلك من السلف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الأمر إلى الغسل </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صحّ ما ذكره لزم القول بأنّ السلف تركوا القرآن وراء ظهورهم وأخذوا بما لا يوافق القرآن ، ولو كان رجوعهم لأجل نسخ الكتاب فقد عرفت أنّ القرآن لا ينسخ بخبر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 جواز النسخ فسؤره المائدة لم ينسخ منها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العجب أنّ ابن تيميّة ناقض نفسه فقد ذكر في الوجه السابع ما هذا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التيمّم جعل بدلا عن الوضوء عند الحاجة فحذف شطر أعضاء الوضوء وخفّ الشطر الثاني ، وذلك فإنّه حذف ما كان ممسوحا ومسح ما كان مغسولا </w:t>
      </w:r>
      <w:r>
        <w:rPr>
          <w:rFonts w:eastAsia="Amiri" w:cs="Amiri" w:ascii="Amiri" w:hAnsi="Amiri"/>
          <w:color w:val="111111"/>
          <w:sz w:val="28"/>
          <w:szCs w:val="28"/>
          <w:rtl w:val="true"/>
          <w:lang w:bidi="ar-SA"/>
        </w:rPr>
        <w:t xml:space="preserve">». </w:t>
      </w:r>
      <w:r>
        <w:rPr>
          <w:rStyle w:val="FootnoteAnchor"/>
          <w:rtl w:val="true"/>
        </w:rPr>
        <w:footnoteReference w:id="4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التيمّم على أساس حذف ما كان ممسوحا فقد حذف حكم الأرجل في التيمّم ، فلازم ذلك أن يكون حكمه هو المسح حتّى يصحّ حذفه ، فلو كان حكمه هو الغسل لم يحذف ، بل يبقى كالوجه واليد ويمسح</w:t>
      </w:r>
      <w:r>
        <w:rPr>
          <w:rFonts w:eastAsia="Amiri" w:cs="Amiri" w:ascii="Amiri" w:hAnsi="Amiri"/>
          <w:color w:val="111111"/>
          <w:sz w:val="28"/>
          <w:szCs w:val="28"/>
          <w:rtl w:val="true"/>
          <w:lang w:bidi="ar-SA"/>
        </w:rPr>
        <w:t xml:space="preserve">. </w:t>
      </w:r>
      <w:bookmarkStart w:id="80" w:name="pg10144_71233"/>
    </w:p>
    <w:p>
      <w:pPr>
        <w:pStyle w:val="Heading4"/>
        <w:numPr>
          <w:ilvl w:val="3"/>
          <w:numId w:val="1"/>
        </w:numPr>
        <w:rPr/>
      </w:pPr>
      <w:bookmarkStart w:id="81" w:name="__RefHeading___Toc1165443_1067777946"/>
      <w:bookmarkStart w:id="82" w:name="_Toc29"/>
      <w:bookmarkEnd w:id="80"/>
      <w:bookmarkEnd w:id="81"/>
      <w:r>
        <w:rPr/>
        <w:t>6</w:t>
      </w:r>
      <w:r>
        <w:rPr>
          <w:rtl w:val="true"/>
        </w:rPr>
        <w:t xml:space="preserve">. </w:t>
      </w:r>
      <w:r>
        <w:rPr>
          <w:rtl w:val="true"/>
        </w:rPr>
        <w:t>التحديد آية الغسل</w:t>
      </w:r>
      <w:bookmarkEnd w:id="82"/>
    </w:p>
    <w:p>
      <w:pPr>
        <w:pStyle w:val="BookText"/>
        <w:rPr/>
      </w:pPr>
      <w:r>
        <w:rPr>
          <w:rFonts w:ascii="Amiri" w:hAnsi="Amiri" w:eastAsia="Amiri" w:cs="Amiri"/>
          <w:color w:val="111111"/>
          <w:sz w:val="28"/>
          <w:sz w:val="28"/>
          <w:szCs w:val="28"/>
          <w:rtl w:val="true"/>
          <w:lang w:bidi="ar-SA"/>
        </w:rPr>
        <w:t>إنّ المفسر المعروف بالشيخ إسماعيل حقي البروسوي أيّد القول بالغسل بأنّ المسح لم يعهد محدودا وإنّما جاء التحديد في المغسولات</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يريد بكلامه هذا انّ الأرجل حدّدت بالكعبين فأشبه غسل الكعبين بغسل الأيدي المحدّد بالمرافق ، فيحكم عليها بالغسل يحكم الاشتراك في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 من المغسول والممسوح جاء في الآية محدّدا وغير محدّد ، فالوجوه في الآية تغسل ولم تحدد ، والأيدي تغسل وحدّدت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فيعلم من ذلك انّ الغسل تارة يكون محدّدا وأخرى غير محدد ، فلا التحديد دليل على وجوب الغَسل ولا عدم التحديد دليل على وجوب المسح ، وهكذا الحال في الممسوح فالأرجل ـ على المختار ـ تمسح ويكون محددا إلى الكعبين والرأس تمسح وهو غير محدد ، فجعل التحديد علامة للغسل أشبه بجعل الأعم دليلا على الأخص ، وما ذكره من أنّه لم يجيء في شيء من المسح تحديد ، أوّل الكلام ، وهو من قبيل أخذ المدّعى في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بهذه الاستحسانات ، فالذوق الأدبي يقتضي أن تكون الأرجل ممسوحة لا مغسولة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تضمّنت ذكر عضو مغسول غير محدود وهو الوجه وعطف عليه مغسول محدود وهما اليدان ، ثمّ استؤنف ذكر عضو ممسوح غير محدود وهو الرأس فيجب أن تكون الأرجل ممسوحة وهي محدودة ومعطوفة عليه دون غيره ، لتتقابل الجملتان في عطف مغسول محدود على مغسول غير محدود وفي عطف ممسوح محدود على ممسوح غير محدود</w:t>
      </w:r>
      <w:r>
        <w:rPr>
          <w:rFonts w:eastAsia="Amiri" w:cs="Amiri" w:ascii="Amiri" w:hAnsi="Amiri"/>
          <w:color w:val="111111"/>
          <w:sz w:val="28"/>
          <w:szCs w:val="28"/>
          <w:rtl w:val="true"/>
          <w:lang w:bidi="ar-SA"/>
        </w:rPr>
        <w:t xml:space="preserve">. </w:t>
      </w:r>
      <w:r>
        <w:rPr>
          <w:rStyle w:val="FootnoteAnchor"/>
          <w:rtl w:val="true"/>
        </w:rPr>
        <w:footnoteReference w:id="44"/>
      </w:r>
      <w:bookmarkStart w:id="83" w:name="pg10144_71234"/>
    </w:p>
    <w:p>
      <w:pPr>
        <w:pStyle w:val="Heading4"/>
        <w:numPr>
          <w:ilvl w:val="3"/>
          <w:numId w:val="1"/>
        </w:numPr>
        <w:rPr/>
      </w:pPr>
      <w:bookmarkStart w:id="84" w:name="__RefHeading___Toc1165445_1067777946"/>
      <w:bookmarkStart w:id="85" w:name="_Toc30"/>
      <w:bookmarkEnd w:id="83"/>
      <w:bookmarkEnd w:id="84"/>
      <w:r>
        <w:rPr/>
        <w:t>7</w:t>
      </w:r>
      <w:r>
        <w:rPr>
          <w:rtl w:val="true"/>
        </w:rPr>
        <w:t xml:space="preserve">. </w:t>
      </w:r>
      <w:r>
        <w:rPr>
          <w:rtl w:val="true"/>
        </w:rPr>
        <w:t>المرجع هو السنّة بعد تعارض القراءتين</w:t>
      </w:r>
      <w:bookmarkEnd w:id="85"/>
    </w:p>
    <w:p>
      <w:pPr>
        <w:pStyle w:val="BookText"/>
        <w:rPr/>
      </w:pPr>
      <w:r>
        <w:rPr>
          <w:rFonts w:ascii="Amiri" w:hAnsi="Amiri" w:eastAsia="Amiri" w:cs="Amiri"/>
          <w:color w:val="111111"/>
          <w:sz w:val="28"/>
          <w:sz w:val="28"/>
          <w:szCs w:val="28"/>
          <w:rtl w:val="true"/>
          <w:lang w:bidi="ar-SA"/>
        </w:rPr>
        <w:t>ذهب الآلوسي إلى أنّ القراءتين المتواترتين المتعارضتين كأنّهما آيتان متعارضتان ، والأصل في مثله هو السقوط والرجوع إلى السنّة؟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القراءتين متواترتان بإجماع الفريقين ، بل بإطباق أهل الإسلام كلّهم ، ومن القواعد الأصولية عند الطائفتين انّ القراءتين المتواترتين إذا تعارضتا في آية واحدة فلهما حكم آيتين ، فلا بدّ لنا أن نسعى ونجتهد في تطبيقهما أوّلا ، مهما أمكن ، لأنّ الأصل في الدلائل الأعمال دون الإهمال كما تقرر عند أهل الأصول ، ثمّ نطلب بعد ذلك الترجيح بينهما ، ثمّ إذا لم يتيسر لنا الترجيح فنتركهما ونتوجّه إلى الدلائل الأخر من السنّة</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الغرائب أن نجعل القراءتين متعارضتين ثمّ نسعى في رفع التعارض بالوجوه التي ذكرها القائل ، فإنّ فرض التعارض بين القراءتين رهن فرض المذهب على القرآن وتطبيقه عليه وإلاّ فالقراءتان ليس فيهما أي تعارض وتهافت وكلتاهما تهدفان إلى أمر واحد وهو مسح الرجلين ، 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كلتا القراءتين معطوف على لفظ واحد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بِرُؤُسِكُمْ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إمّا عطفا على المحل فتنصب أو عطفا على الظاهر فتجر</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1165447_1067777946"/>
      <w:bookmarkStart w:id="87" w:name="_Toc31"/>
      <w:bookmarkEnd w:id="86"/>
      <w:r>
        <w:rPr/>
        <w:t>8</w:t>
      </w:r>
      <w:r>
        <w:rPr>
          <w:rtl w:val="true"/>
        </w:rPr>
        <w:t xml:space="preserve">. </w:t>
      </w:r>
      <w:r>
        <w:rPr>
          <w:rtl w:val="true"/>
        </w:rPr>
        <w:t>الغسل إضافة من النبي صلى الله عليه وآله وسلم</w:t>
      </w:r>
      <w:bookmarkEnd w:id="8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جمال الدين القاسمي إلى أنّ الآية صريحة في أنّ الفريضة هي المسح كما قاله ابن عباس وغيره ، ولكن إيثار غسلهما في المأثور عنه إنّما هو للتزيّد في الفرض والتوسّع فيه حسب عادته ، فإنّه سنّ في كلّ فرض سننا تدعمه وتقوّيه في </w:t>
      </w:r>
    </w:p>
    <w:p>
      <w:pPr>
        <w:pStyle w:val="BookText"/>
        <w:rPr/>
      </w:pPr>
      <w:r>
        <w:rPr>
          <w:rFonts w:ascii="Amiri" w:hAnsi="Amiri" w:eastAsia="Amiri" w:cs="Amiri"/>
          <w:color w:val="111111"/>
          <w:sz w:val="28"/>
          <w:sz w:val="28"/>
          <w:szCs w:val="28"/>
          <w:rtl w:val="true"/>
          <w:lang w:bidi="ar-SA"/>
        </w:rPr>
        <w:t>الصلاة والزكاة والصوم والحجّ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أنّ واجبهما المسح تشريع المسح على الخفّين والجوربين ولا سند له إلاّ هذه الآية ، فإنّ كلّ سنّة أصلها في كتاب الله منطوقا أو مفهوما ، فاعرف ذلك واحتفظ به والله الهادي</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 النبي صلى الله عليه وآله وسلم أن يزيد أو ينقص في الفرائض ، بل هو يتّبع الوحي ، وكان شعاره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أَتَّبِعُ ما يُوحى إِلَيَّ مِنْ رَبِّي </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يَكُونُ لِي أَنْ أُبَدِّلَهُ مِنْ تِلْقاءِ نَفْسِي إِنْ أَتَّبِعُ إِلاَّ ما يُوحى إِلَيَ </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ولو زاد في الصلوات فإنّما بأمر من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زاد ما زاد فإنّما يزيد فيما ثبت أصله بالسنّة ، لا بالكتاب العزيز كإضافة ركعتين في الرباعية وركعة في الثلاثيّة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مسلم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الصلاة على لسان نبيّكم صلى الله عليه وآله وسلم في الحضر أربعا وفي السفر ركعتين</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فلو افترضنا أنّ الفريضة كانت هي المسح دون الغسل وانّ النبي صلى الله عليه وآله وسلم زاد في الفرض بحكم الروايات الآمرة بالغسل ، لكن ما ذا نفعل عندئذ بالروايات الآمرة بالمسح ، وهي روايات صحاح هائلة كما سيوافيك ، فهل هنا ملجأ بعد التعارض إلاّ الذكر الحكيم؟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هذه الكلمات تعرب عن أنّ أصحابها اتّخذوا موقفا مسبقا حيال الآية </w:t>
      </w:r>
      <w:bookmarkStart w:id="88" w:name="pg10144_71236"/>
    </w:p>
    <w:p>
      <w:pPr>
        <w:pStyle w:val="BookText"/>
        <w:rPr/>
      </w:pPr>
      <w:bookmarkEnd w:id="88"/>
      <w:r>
        <w:rPr>
          <w:rFonts w:ascii="Amiri" w:hAnsi="Amiri" w:eastAsia="Amiri" w:cs="Amiri"/>
          <w:color w:val="111111"/>
          <w:sz w:val="28"/>
          <w:sz w:val="28"/>
          <w:szCs w:val="28"/>
          <w:rtl w:val="true"/>
          <w:lang w:bidi="ar-SA"/>
        </w:rPr>
        <w:t>الصريحة الواضحة الدلالة ، وفرضوا مذهبهم عليها ، الأمر الذي أوقعهم في حيص بيص ومأزق ، وطرقوا كافة الأبواب للخروج منه وتشبّثوا بوجوه استحسانية لا تغني عن الحقّ شيئا</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1165449_1067777946"/>
      <w:bookmarkStart w:id="90" w:name="_Toc32"/>
      <w:bookmarkEnd w:id="89"/>
      <w:r>
        <w:rPr/>
        <w:t>9</w:t>
      </w:r>
      <w:r>
        <w:rPr>
          <w:rtl w:val="true"/>
        </w:rPr>
        <w:t xml:space="preserve">. </w:t>
      </w:r>
      <w:r>
        <w:rPr>
          <w:rtl w:val="true"/>
        </w:rPr>
        <w:t>التمسّك بالمصالح</w:t>
      </w:r>
      <w:bookmarkEnd w:id="90"/>
    </w:p>
    <w:p>
      <w:pPr>
        <w:pStyle w:val="BookText"/>
        <w:rPr/>
      </w:pPr>
      <w:r>
        <w:rPr>
          <w:rFonts w:ascii="Amiri" w:hAnsi="Amiri" w:eastAsia="Amiri" w:cs="Amiri"/>
          <w:color w:val="111111"/>
          <w:sz w:val="28"/>
          <w:sz w:val="28"/>
          <w:szCs w:val="28"/>
          <w:rtl w:val="true"/>
          <w:lang w:bidi="ar-SA"/>
        </w:rPr>
        <w:t xml:space="preserve">لما استشعر صاحب المنار ، بأنّ الآية ظاهرة في مسح الرجلين باليد المبلّلة بالماء حاول صرف الآية عن ظاهرها بالتمسّك بالمصالح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يعقل لإيجاب مسح ظاهر القدم باليد المبلّلة بالماء حكمة ، بل هو خلاف حكمة الوضوء ، لأنّ طروء الرطوبة القليلة على العضو الذي عليه غبار أو وسخ يزيده وساخة ، وينال اليد الماسحة حظ من هذه الوساخة</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استحسان لا يعرّج عليه مع وجود النص ، فلا شك أنّ الأحكام الشرعية تابعة للمصالح الواقعية ولا يجب علينا أن نقف عليها ، فأي مصلحة في المسح على الرأس ولو بمقدار إصبع أو إصبعين حتى 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مسح الرأس بإصبع واحدة أو بعض إصبع أو باطن كفه ، أو أمر من يمسح له أجزأه ذلك؟</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كلمة قيّمة للإمام شرف الدين الموسوي نأتي بنصها ، قال ـ رحمه الله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نؤمن بأنّ الشارع المقدّس لاحظ عباده في كل ما كلّفهم به من أحكامه الشرعية ، فلم يأمرهم إلاّ بما فيه مصلحتهم ، ولم ينههم إلاّ عمّا فيه مفسدة لهم ، لكنّه مع ذلك لم يجعل شيئا من مدارك تلك الأحكام منوطا من حيث المصالح والمفاسد بآراء العباد ، بل تعبّدهم بأدلّة قويّة عيّنها لهم ، فلم يجعل لهم مندوحة </w:t>
      </w:r>
      <w:bookmarkStart w:id="91" w:name="pg10144_71237"/>
    </w:p>
    <w:p>
      <w:pPr>
        <w:pStyle w:val="BookText"/>
        <w:rPr/>
      </w:pPr>
      <w:bookmarkEnd w:id="91"/>
      <w:r>
        <w:rPr>
          <w:rFonts w:ascii="Amiri" w:hAnsi="Amiri" w:eastAsia="Amiri" w:cs="Amiri"/>
          <w:color w:val="111111"/>
          <w:sz w:val="28"/>
          <w:sz w:val="28"/>
          <w:szCs w:val="28"/>
          <w:rtl w:val="true"/>
          <w:lang w:bidi="ar-SA"/>
        </w:rPr>
        <w:t>عنها إلى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تلك الأدلّة الحكيمة كتاب الله عزّ وجلّ ، وقد حكم بمسح الرءوس والأرجل في الوضوء ، فلا مندوحة عن البخوع لحكمه ، أمّا نقاء الأرجل من الدنس فلا بدّ من إحرازه قبل المسح عليها عملا بأدلّة خاصّة دلّت على اشتراط الطهارة في أعضاء الوضوء قبل الشروع فيه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
      </w:r>
    </w:p>
    <w:p>
      <w:pPr>
        <w:pStyle w:val="Heading4"/>
        <w:numPr>
          <w:ilvl w:val="3"/>
          <w:numId w:val="1"/>
        </w:numPr>
        <w:rPr/>
      </w:pPr>
      <w:bookmarkStart w:id="92" w:name="__RefHeading___Toc1165451_1067777946"/>
      <w:bookmarkStart w:id="93" w:name="_Toc33"/>
      <w:bookmarkEnd w:id="92"/>
      <w:r>
        <w:rPr/>
        <w:t>10</w:t>
      </w:r>
      <w:r>
        <w:rPr>
          <w:rtl w:val="true"/>
        </w:rPr>
        <w:t xml:space="preserve">. </w:t>
      </w:r>
      <w:r>
        <w:rPr>
          <w:rtl w:val="true"/>
        </w:rPr>
        <w:t xml:space="preserve">اعتراض جملة </w:t>
      </w:r>
      <w:r>
        <w:rPr>
          <w:rtl w:val="true"/>
        </w:rPr>
        <w:t xml:space="preserve">( </w:t>
      </w:r>
      <w:r>
        <w:rPr>
          <w:rtl w:val="true"/>
        </w:rPr>
        <w:t>وَامْسَحُوا</w:t>
      </w:r>
      <w:r>
        <w:rPr>
          <w:rtl w:val="true"/>
        </w:rPr>
        <w:t xml:space="preserve">. ) </w:t>
      </w:r>
      <w:r>
        <w:rPr>
          <w:rtl w:val="true"/>
        </w:rPr>
        <w:t>لبيان الترتب</w:t>
      </w:r>
      <w:bookmarkEnd w:id="93"/>
    </w:p>
    <w:p>
      <w:pPr>
        <w:pStyle w:val="BookText"/>
        <w:rPr/>
      </w:pPr>
      <w:r>
        <w:rPr>
          <w:rFonts w:ascii="Amiri" w:hAnsi="Amiri" w:eastAsia="Amiri" w:cs="Amiri"/>
          <w:color w:val="111111"/>
          <w:sz w:val="28"/>
          <w:sz w:val="28"/>
          <w:szCs w:val="28"/>
          <w:rtl w:val="true"/>
          <w:lang w:bidi="ar-SA"/>
        </w:rPr>
        <w:t xml:space="preserve">إنّ الفصل بين المتعاطفات 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وَامْسَحُوا بِرُؤُسِكُمْ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تقدّم المسح على غسل الأرجل</w:t>
      </w:r>
      <w:r>
        <w:rPr>
          <w:rFonts w:eastAsia="Amiri" w:cs="Amiri" w:ascii="Amiri" w:hAnsi="Amiri"/>
          <w:color w:val="111111"/>
          <w:sz w:val="28"/>
          <w:szCs w:val="28"/>
          <w:rtl w:val="true"/>
          <w:lang w:bidi="ar-SA"/>
        </w:rPr>
        <w:t xml:space="preserve">. </w:t>
      </w:r>
      <w:r>
        <w:rPr>
          <w:rStyle w:val="FootnoteAnchor"/>
          <w:rtl w:val="true"/>
        </w:rPr>
        <w:footnoteReference w:id="5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في وسع المتكلم أن يجمع بين ذكر الترتيب ووضوح البيان بتكرار الفعل بأن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فامسحوا برءوسكم واغسلوا 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كلامه مبيّنا لمقصده وفي الوقت نفسه نزيها عن اللّبس</w:t>
      </w:r>
      <w:r>
        <w:rPr>
          <w:rFonts w:eastAsia="Amiri" w:cs="Amiri" w:ascii="Amiri" w:hAnsi="Amiri"/>
          <w:color w:val="111111"/>
          <w:sz w:val="28"/>
          <w:szCs w:val="28"/>
          <w:rtl w:val="true"/>
          <w:lang w:bidi="ar-SA"/>
        </w:rPr>
        <w:t xml:space="preserve">. </w:t>
      </w:r>
      <w:bookmarkStart w:id="94" w:name="pg10144_71238"/>
    </w:p>
    <w:p>
      <w:pPr>
        <w:pStyle w:val="Heading3"/>
        <w:numPr>
          <w:ilvl w:val="2"/>
          <w:numId w:val="1"/>
        </w:numPr>
        <w:rPr/>
      </w:pPr>
      <w:bookmarkStart w:id="95" w:name="__RefHeading___Toc1165453_1067777946"/>
      <w:bookmarkStart w:id="96" w:name="_Toc34"/>
      <w:bookmarkEnd w:id="94"/>
      <w:bookmarkEnd w:id="95"/>
      <w:r>
        <w:rPr/>
        <w:t>11</w:t>
      </w:r>
      <w:r>
        <w:rPr>
          <w:rtl w:val="true"/>
        </w:rPr>
        <w:t xml:space="preserve">. </w:t>
      </w:r>
      <w:r>
        <w:rPr>
          <w:rtl w:val="true"/>
        </w:rPr>
        <w:t>المسح على الأرجل في الأحاديث الصحيحة</w:t>
      </w:r>
      <w:bookmarkEnd w:id="96"/>
    </w:p>
    <w:p>
      <w:pPr>
        <w:pStyle w:val="Heading4"/>
        <w:numPr>
          <w:ilvl w:val="3"/>
          <w:numId w:val="1"/>
        </w:numPr>
        <w:rPr/>
      </w:pPr>
      <w:bookmarkStart w:id="97" w:name="__RefHeading___Toc1165455_1067777946"/>
      <w:bookmarkStart w:id="98" w:name="_Toc35"/>
      <w:bookmarkEnd w:id="97"/>
      <w:r>
        <w:rPr>
          <w:rtl w:val="true"/>
        </w:rPr>
        <w:t>اشارة</w:t>
      </w:r>
      <w:bookmarkEnd w:id="98"/>
    </w:p>
    <w:p>
      <w:pPr>
        <w:pStyle w:val="BookText"/>
        <w:rPr/>
      </w:pPr>
      <w:r>
        <w:rPr>
          <w:rFonts w:ascii="Amiri" w:hAnsi="Amiri" w:eastAsia="Amiri" w:cs="Amiri"/>
          <w:color w:val="111111"/>
          <w:sz w:val="28"/>
          <w:sz w:val="28"/>
          <w:szCs w:val="28"/>
          <w:rtl w:val="true"/>
          <w:lang w:bidi="ar-SA"/>
        </w:rPr>
        <w:t>قد تعرّفت ـ من دلالة الآية ـ على أنّ الفرض في مورد الأرجل هو المسح ، وبما انّ الآية نزلت في أخريات حياة النبي ولم تنسخ بعد فهي بنفسها كافية في الدلالة على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إنّنا تعزيزا للمطلب نذكر ما روي عن النبي صلى الله عليه وآله وسلم وأصحابه من لزوم المسح على الأرجل ، ونقتصر في ذلك بالمتون مع تجريد الأسانيد ، لأنّ الكتاب لا يسع لذكرها</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1165457_1067777946"/>
      <w:bookmarkStart w:id="100" w:name="_Toc36"/>
      <w:bookmarkEnd w:id="99"/>
      <w:r>
        <w:rPr>
          <w:rtl w:val="true"/>
        </w:rPr>
        <w:t>ما روي عن رسول الله صلى الله عليه وآله وسلم حول مسح الأرجل</w:t>
      </w:r>
      <w:bookmarkEnd w:id="1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بسر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عثمان المقاعد فدعا بوضوء فتمضمض واستنشق ثمّ غسل وجهه ثلاثا ويديه ثلاثا ثلاثا ومسح برأسه ورجليه ثلاثا ثلاثا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وآله وسلم هكذا توضّأ ، يا هؤلاء أكذلك؟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لنفر من أصحاب رسول الله صلى الله عليه وآله وسلم عنده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حمران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عثمان بماء فتوضّأ ثمّ ضحك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تسألوني ممّ أضحك؟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أضحكك؟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وآله وسلم توضّأ كما توضّأت ، فتمضمض واستنشق وغسل وجهه ثلاثا ويديه ثلاثا ومسح برأسه وظهر قدميه</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مسند عبد الله بن زيد المازني انّ النبي صلى الله عليه وآله وسلم توضّأ فغسل وجهه ثلاثا ويديه مرتين ومسح رأسه ورجليه مرتين</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مطر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نحن جلوس مع علي في المسجد ، جاء رجل إلى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أرني وضوء رسول الله صلى الله عليه وآله وسلم فدعا قنبر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بكوز من ماء فغسل يديه ووجهه ثلاثا ، فأدخل بعض أصابعه في فيه واستنشق ثلاثا ، وغسل ذراعيه ثلاثا ومسح رأسه واحدة ورجليه إلى الكعبين ولحيته تهطل على صدره ثمّ حسا حسوة بعد الوضوء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السائل عن وضوء رسول الله صلى الله عليه وآله وسلم ، كذا كان وضوء رسول الله 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عباد بن تميم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وآله وسلم توضّأ ومسح بالماء على لحيته ورجليه</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بن أبي طالب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أرى أنّ باطن القدمين أحق بالمسح من ظاهرهما حتى رأيت رسول الله صلى الله عليه وآله وسلم يمسح ظاهرهما</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رفاعة بن رافع انّه سمع رسول الله صلى الله عليه وآله وسلم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 يجوز صلاة أحدكم حتى يسبغ الوضوء كما أمره الله عزّ وجلّ ، ثمّ يغسل وجهه ويديه إلى المرفقين ، ويمسح رأسه ورجليه إلى الكعبين </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روي عن عبد الله بن عمرو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تخلّف عنّا رسول الله صلى الله عليه وآله وسلم في سفرة سافرناها ، فأدركنا وقد أرهقتنا الصلاة ونحن نتوضّأ فجعلنا نمسح على أرجلنا ، فنادى بأعلى صوته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 للأعقاب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أو ثلاثا</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مالك الأشعري انّه قال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اجتمعوا أصلّي بكم صلاة رسول الله صلى الله عليه وآله وسلم ، فلمّا اجتمعوا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فيكم أحد غيركم؟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إلاّ ابن أخت لنا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أخت القوم منهم ، فدعا بجفنة فيها ماء ، فتوضّأ ومضمض واستنشق ، وغسل وجهه ثلاثا وذراعيه ثلاثا ، ومسح برأسه وظهر قدميه ، ثمّ صلّى بهم فكبر بهم اثنتين وعشرين تكبيرة</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عباد بن تميم المازني ، عن أبيه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وآله وسلم يتوضّأ ويمسح الماء على رجليه</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أوس بن أبي أوس الثقفي أنّه رأى النبي صلى الله عليه وآله وسلم أتى كظامة قوم بالطائف ، فتوضّأ ومسح على قدميه</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رفاعة بن رافع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رسول الله صلى الله عليه وآله وسلم إذ جاءه رجل فدخل المسجد ، فصلّى فلمّا قضى الصلاة جاء فسلم على رسول الله صلى الله عليه وآله وسلم وعلى </w:t>
      </w:r>
    </w:p>
    <w:p>
      <w:pPr>
        <w:pStyle w:val="BookText"/>
        <w:rPr/>
      </w:pPr>
      <w:r>
        <w:rPr>
          <w:rFonts w:ascii="Amiri" w:hAnsi="Amiri" w:eastAsia="Amiri" w:cs="Amiri"/>
          <w:color w:val="111111"/>
          <w:sz w:val="28"/>
          <w:sz w:val="28"/>
          <w:szCs w:val="28"/>
          <w:rtl w:val="true"/>
          <w:lang w:bidi="ar-SA"/>
        </w:rPr>
        <w:t xml:space="preserve">القوم ، فقال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ارجع فصلّ فإنّك لم 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الرجل يصلّي ، وجعلنا نرمق صلاته لا ندري ما يعيب منها ، فلمّا جاء فسلم على النبي صلى الله عليه وآله وسلم وعلى القوم قال له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وعليك ارجع فصلّ فإنّك لم تصل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ندري أمره بذلك مرتين أو ثلاثا ،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عبت من صلاتي؟</w:t>
      </w:r>
    </w:p>
    <w:p>
      <w:pPr>
        <w:pStyle w:val="BookText"/>
        <w:rPr/>
      </w:pPr>
      <w:r>
        <w:rPr>
          <w:rFonts w:ascii="Amiri" w:hAnsi="Amiri" w:eastAsia="Amiri" w:cs="Amiri"/>
          <w:color w:val="111111"/>
          <w:sz w:val="28"/>
          <w:sz w:val="28"/>
          <w:szCs w:val="28"/>
          <w:rtl w:val="true"/>
          <w:lang w:bidi="ar-SA"/>
        </w:rPr>
        <w:t xml:space="preserve">فقال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تتم صلاة أحدكم حتّى يسبغ الوضوء كما أمره الله ، فيغسل وجهه ويديه إلى المرفقين ، ويمسح برأسه ورجليه إلى الكعبين ، ثمّ يكبر الله تعالى ويثني عليه ، ثمّ يقرأ أمّ القرآن وما أذن له فيه ويسر ، ثمّ يكبر فيركع فيضع كفيه على ركبتيه حتّى تطمئن مفاصله ، ويسترخي ثمّ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الله لمن حمده ، ويستوي قائماً حتّى يقيم صلبه ويأخذ كلّ عظم مأخذه ، ثمّ يكبر فيسجد فيمكن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قال جبهته من الأرض حتّى تطمئن مفاصله ويسترخي ، ثمّ يكبر فيستوي قاعدا على مقعده ويقيم صلبه ، فوصف الصلاة هكذا أربع ركعات حتّى فرغ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صلاة أحدكم حتّى يفعل ذلك</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عباس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المسح على القدمين عند عمر وسعد وعبد الله بن عمر 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أفقه منك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انّا لا ننكر انّ رسول الله صلى الله عليه وآله وسلم مسح ـ أي على القدمين ـ ولكن هل مسح منذ أنزلت سورة المائدة فإنّها أحكمت كل شيء وكانت آخر سورة من القرآن إلا براءة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01" w:name="pg10144_71242"/>
    </w:p>
    <w:p>
      <w:pPr>
        <w:pStyle w:val="BookText"/>
        <w:rPr/>
      </w:pPr>
      <w:bookmarkEnd w:id="101"/>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عروة بن الزبير انّ جبرئيل عليه السلام لمّا نزل على النبي صلى الله عليه وآله وسلم في أوّل البعثة فتح بالإعجاز عينا من ماء فتوضأ ومحمد صلى الله عليه وآله وسلم ينظر إليه فغسل وجهه ويديه إلى المرفقين ومسح برأسه ورجليه إلى الكعبين ، ففعل النبي محمد صلى الله عليه وآله وسلم كما رأى جبرئيل يفعل</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عبد الرحمن بن جبير بن نفير ، عن أبيه انّ أبا جبير قدم على النبي صلى الله عليه وآله وسلم مع ابنته التي تزوجها رسول الله ، فدعا رسول الله بوضوء فغسل يديه فأنقاهما ، ثمّ مضمض فاه واستنشق بماء ، ثمّ غسل وجهه ويديه إلى المرفقين ثلاثا ، ثمّ مسح رأسه ورجليه</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إلى هنا تمّ ما عثرنا عليه من الروايات عن النبي الأكرم صلى الله عليه وآله وسلم على وجه عابر ، وهي تدلّ على أنّ قول النبي وفعله كان على المسح لا الغسل</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1165459_1067777946"/>
      <w:bookmarkStart w:id="103" w:name="_Toc37"/>
      <w:bookmarkEnd w:id="102"/>
      <w:r>
        <w:rPr>
          <w:rtl w:val="true"/>
        </w:rPr>
        <w:t>ما حكي عن الصحابة والتابعين حول مسح الأرجل</w:t>
      </w:r>
      <w:bookmarkEnd w:id="103"/>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 سفيان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عليه السلام توضّأ فمسح ظهورهما</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حمران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عثمان دعا بماء غسل ، فغسل كفيه ثلاثا ومضمض واستنشق وغسل وجهه ثلاثا وذراعيه ثلاثا ومسح برأسه وظهر قدميه</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عاصم الأحول ،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بالمسح والسنّة بالغسل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اسناد صحيح</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عكرمة ،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غسلتان ومسحتان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عبد الله العتكي ، عن عكرمة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الرجلين غسل انّما نزل فيهما المسح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جابر ، عن أبي جعفر الباقر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على رأسك وقدميك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علية بن داود ، عن عامر الشعبي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المسح على الرجلين ألا ترى أنّ ما كان عليه الغسل جعل عليه المسح وما كان عليه المسح أهمل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التيمّم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عامر الشعبي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أن يمسح في التيمّم ما أمر أن يغسل في الوضوء ، وأبطل ما أمر أن يمسح في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 والرجلان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عامر الشعبي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أن يمسح بالصعيد في التيمّم ، ما أمر أن يغسل بالماء ، وأهمل ما أمر أن يمسح بالماء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يونس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صحب عكرمة إلى واسط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رأيته غسل رجليه ، إنّما يمسح عليهما حتّى خرج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قتادة في تفسير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فَاغْسِلُوا وُجُوهَكُمْ وَأَيْدِيَكُمْ إِلَى الْمَرافِقِ وَامْسَحُوا بِرُؤُسِكُمْ وَأَرْجُلَكُمْ إِلَى الْكَعْبَيْنِ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افترض الله غسلتين ومسحتين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موسى بن أنس لأبي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الحجاج خطبنا بالأهواز ونحن معه ، فذكر الطهور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اغسلوا وجوهكم وأيديكم وامسحوا برءوسكم وأرجلكم ، وأنّه ليس شيء من ابن آدم أقرب من خبثه من قدميه ، فاغسلوا بطونهما وظهورهما وعراقيبهما ، فقال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وكذب الحجاج ، قال الله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وَامْسَحُوا بِرُؤُسِكُمْ وَأَرْجُلَكُمْ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أنس إذا مسح قدميه 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صحيح إليه</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الشعبي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بالمسح ، ثمّ 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التيمم أن يمسح ما كان غسل ويلغى ما كان مسحا</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إسماعيل قلت لعامر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أناسا يقولون إنّ جبرئيل نزل بغسل الرجلين؟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بالمسح</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النزال بن سبرة انّ عليا دعا بماء فتوضأ ثمّ مسح على نعليه وقدميه ، ثمّ دخل المسجد فخلع نعليه ثمّ صلّى</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ظبيان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وعليه إزار أصفر وخميصة وفي يديه عنزة أتى حائط السجن ، ثم تنحى فتوضأ ومسح على نعليه وقدميه ثمّ دخل المسجد ، فخلع نعليه ثمّ صلّى</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هذا غيض من فيض ، وقليل من كثير ، فمن تفحّص المسانيد والصحاح ومجامع الآثار يقف على أكثر ممّا وقفنا عليه على وجه عابر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هَدَى اللهُ فَبِهُداهُمُ اقْتَدِهْ </w:t>
      </w:r>
      <w:r>
        <w:rPr>
          <w:rFonts w:eastAsia="Amiri" w:cs="Amiri" w:ascii="Amiri" w:hAnsi="Amiri"/>
          <w:color w:val="111111"/>
          <w:sz w:val="28"/>
          <w:szCs w:val="28"/>
          <w:rtl w:val="true"/>
          <w:lang w:bidi="ar-SA"/>
        </w:rPr>
        <w:t xml:space="preserve">). </w:t>
      </w:r>
      <w:r>
        <w:rPr>
          <w:rStyle w:val="FootnoteAnchor"/>
          <w:rtl w:val="true"/>
        </w:rPr>
        <w:footnoteReference w:id="75"/>
      </w:r>
      <w:bookmarkStart w:id="104" w:name="pg10144_71245"/>
    </w:p>
    <w:p>
      <w:pPr>
        <w:pStyle w:val="Heading3"/>
        <w:numPr>
          <w:ilvl w:val="2"/>
          <w:numId w:val="1"/>
        </w:numPr>
        <w:rPr/>
      </w:pPr>
      <w:bookmarkStart w:id="105" w:name="__RefHeading___Toc1165461_1067777946"/>
      <w:bookmarkStart w:id="106" w:name="_Toc38"/>
      <w:bookmarkEnd w:id="104"/>
      <w:bookmarkEnd w:id="105"/>
      <w:r>
        <w:rPr/>
        <w:t>12</w:t>
      </w:r>
      <w:r>
        <w:rPr>
          <w:rtl w:val="true"/>
        </w:rPr>
        <w:t xml:space="preserve">. </w:t>
      </w:r>
      <w:r>
        <w:rPr>
          <w:rtl w:val="true"/>
        </w:rPr>
        <w:t>التجاهل لروايات المسح</w:t>
      </w:r>
      <w:bookmarkEnd w:id="106"/>
    </w:p>
    <w:p>
      <w:pPr>
        <w:pStyle w:val="BookText"/>
        <w:rPr/>
      </w:pPr>
      <w:r>
        <w:rPr>
          <w:rFonts w:ascii="Amiri" w:hAnsi="Amiri" w:eastAsia="Amiri" w:cs="Amiri"/>
          <w:color w:val="111111"/>
          <w:sz w:val="28"/>
          <w:sz w:val="28"/>
          <w:szCs w:val="28"/>
          <w:rtl w:val="true"/>
          <w:lang w:bidi="ar-SA"/>
        </w:rPr>
        <w:t xml:space="preserve">قد تجاهل ابن كثير ومن تبعه روايات المسح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خالف الروافض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مستند ، بل بجهل وضلالة ، فالآية الكريمة دالّة على وجوب غسل الرجلين مع ما ثبت بالتواتر من فعل رسول الله صلى الله عليه وآله وسلم على وفق ما دلّت عليه الآية الكريمة ، وهم مخالفون لذلك كلّه وليس لهم دليل صحيح في نفس الأمر</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وكأنّه لم يمعن النظر في الآية الكريمة ونصوص دلالتها على لزوم المسح ، وكأنّه لم يقف على تلك الأحاديث الكثيرة حينما ادّعى التواتر على الغَسل ، أو وقف عليها ولم يتأمّل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تبعه الشيخ إسماعيل البروسوي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الروافض إلى أنّ الواجب في الرجلين المسح ، ورووا في المسح خبرا ضعيفا شاذّا</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وكذلك ادّعى الآلوسي تشبّث الشيعة برواية واحدة حيث قال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حجّة لهم في دعوى المسح إلاّ بما روي عن علي ـ كرم الله تعالى وجهه ـ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مسح </w:t>
      </w:r>
      <w:r>
        <w:rPr>
          <w:rStyle w:val="FootnoteAnchor"/>
          <w:rtl w:val="true"/>
        </w:rPr>
        <w:footnoteReference w:id="78"/>
      </w:r>
      <w:r>
        <w:rPr>
          <w:rFonts w:ascii="Amiri" w:hAnsi="Amiri" w:eastAsia="Amiri" w:cs="Amiri"/>
          <w:color w:val="111111"/>
          <w:sz w:val="28"/>
          <w:sz w:val="28"/>
          <w:szCs w:val="28"/>
          <w:rtl w:val="true"/>
          <w:lang w:bidi="ar-SA"/>
        </w:rPr>
        <w:t xml:space="preserve">وجهه ويديه ، ومسح رأسه ورجليه ، وشرب فضل طهوره قائماً </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ولو كان البروسوي والآلوسي معذورين في هذا العزو ، وأنّه ليس لوجوب المسح أيّ دليل سوى رواية شاذّة ، فليس هناك عذر لمن وقف على هذه الروايات الكثيرة التي تتجاوز الثلاثين ، فلو لم نقل بأنّ المسح نقل بالتواتر فلا بدّ أن نقول إنّه مستفيض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أنّ الكتاب يدعمه ، فلا سبيل لنا إلاّ الأخذ بما يوافق الكتاب ، وتأويل المخالف أي ما دلّ على الغسل بوجه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يغسل في فترة بعد البعثة لكن نسخته الآية المباركة أو غير ذلك من المحامل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تَقْفُ ما لَيْسَ لَكَ بِهِ عِلْمٌ </w:t>
      </w:r>
      <w:r>
        <w:rPr>
          <w:rFonts w:eastAsia="Amiri" w:cs="Amiri" w:ascii="Amiri" w:hAnsi="Amiri"/>
          <w:color w:val="111111"/>
          <w:sz w:val="28"/>
          <w:szCs w:val="28"/>
          <w:rtl w:val="true"/>
          <w:lang w:bidi="ar-SA"/>
        </w:rPr>
        <w:t xml:space="preserve">). </w:t>
      </w:r>
      <w:r>
        <w:rPr>
          <w:rStyle w:val="FootnoteAnchor"/>
          <w:rtl w:val="true"/>
        </w:rPr>
        <w:footnoteReference w:id="80"/>
      </w:r>
      <w:bookmarkStart w:id="107" w:name="pg10144_71247"/>
    </w:p>
    <w:p>
      <w:pPr>
        <w:pStyle w:val="Heading3"/>
        <w:numPr>
          <w:ilvl w:val="2"/>
          <w:numId w:val="1"/>
        </w:numPr>
        <w:rPr/>
      </w:pPr>
      <w:bookmarkStart w:id="108" w:name="__RefHeading___Toc1165463_1067777946"/>
      <w:bookmarkStart w:id="109" w:name="_Toc39"/>
      <w:bookmarkEnd w:id="107"/>
      <w:bookmarkEnd w:id="108"/>
      <w:r>
        <w:rPr/>
        <w:t>13</w:t>
      </w:r>
      <w:r>
        <w:rPr>
          <w:rtl w:val="true"/>
        </w:rPr>
        <w:t xml:space="preserve">. </w:t>
      </w:r>
      <w:r>
        <w:rPr>
          <w:rtl w:val="true"/>
        </w:rPr>
        <w:t>أسماء أعلام الصحابة والتابعين القائلين بالمسح</w:t>
      </w:r>
      <w:bookmarkEnd w:id="109"/>
    </w:p>
    <w:p>
      <w:pPr>
        <w:pStyle w:val="BookText"/>
        <w:rPr/>
      </w:pPr>
      <w:r>
        <w:rPr>
          <w:rFonts w:ascii="Amiri" w:hAnsi="Amiri" w:eastAsia="Amiri" w:cs="Amiri"/>
          <w:color w:val="111111"/>
          <w:sz w:val="28"/>
          <w:sz w:val="28"/>
          <w:szCs w:val="28"/>
          <w:rtl w:val="true"/>
          <w:lang w:bidi="ar-SA"/>
        </w:rPr>
        <w:t>قد تعرّفت على الروايات الدّالة على لزوم المسح في الوضوء ، وقد رواها أعلام الصحابة والتابعين ونقلها أصحاب الصحاح والمسانيد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إيقاف القارئ على أسمائهم وشيء من مكانتهم في النقل نذكر أسماءهم مع الإيعاز إلى ترجمتهم على وجه الإيجاز مرفقة برقم حديثهم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ليقف القارئ على أنّ القائلين به هم جبهة الصحابة والتابعين وسنام الثقات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بن أبي طالب عليه السلام وأنّه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الدين بالرأي لكان باطن القدمين أحق بالمسح من ظاهرهما ، لكن رأيت رسول الله صلى الله عليه وآله وسلم مسح ظاهرهما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عليه السلام محمد بن علي بن الحسين الإمام الثبت الهاشمي العلوي المدني أحد الأعلام ، روى عن أبيه ، وكان سيد بني هاشم في زمانه ، اشتهر بالباقر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 العلم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شقّه ، فعلم أصله وخفيه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بسر بن سعيد ، الإمام القدوة المدني ، مولى بني الحضرمي ، حدّث عن عثمان بن عفان ، وثّقه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معين والنسائي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العباد المنقطعين والزهاد ، كثير الحديث</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حمران بن أبان مولى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من أهل الوجاهة ، ذكره ابن حبان في الثقات</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عثمان بن عفان ، وقد تقدم في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كان يتوضأ ويمسح على رجليه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وضوء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مطر ذكره ابن حبان في الثقات ، روى عنه الحجاج بن أرطاة</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زيد المازني صاحب حديث الوضوء عن فضلاء الصحابة يعرف بابن أم عمارة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حبان في الثقات </w:t>
      </w:r>
      <w:r>
        <w:rPr>
          <w:rStyle w:val="FootnoteAnchor"/>
          <w:rtl w:val="true"/>
        </w:rPr>
        <w:footnoteReference w:id="8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النزال بن سبرة الهلالي الكوفي ، روى عن النبي صلى الله عليه وآله وسلم وعلي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وعثمان وأبي بكر وابن مسعود ، وقال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تابعي ، ثقة من كبار التابعين ، وذكره ابن حبان في الثقات</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خير بن يزيد ، قال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تابعي ثقة ، وذكره ابن حبان في الثقات التابعين وجزم بصحبته عبد الصمد بن سعيد الحمصي في كتاب </w:t>
      </w:r>
    </w:p>
    <w:p>
      <w:pPr>
        <w:pStyle w:val="BookText"/>
        <w:rPr/>
      </w:pP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عباد بن تميم بن غزية الأنصاري الخزرجي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أبيه وعن عمه عبد الله بن زيد وعن عويمر بن سعد ، وثّقه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العجلي والنسائي وغيرهما ، وحديثه في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ومسلم </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وذكره ابن حبان في الثقات </w:t>
      </w:r>
      <w:r>
        <w:rPr>
          <w:rStyle w:val="FootnoteAnchor"/>
          <w:rtl w:val="true"/>
        </w:rPr>
        <w:footnoteReference w:id="9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عباس بن عبد المطلب بن هاشم بن عبد مناف ، وكان يسمّى البحر لسعة علمه ، ويسمّى حبر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عبد الله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قد فاق الناس بخصال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 ما سبقه ، وفقه فيما احتيج إليه من رأيه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كان أعلم بما سبقه من حديث رسول الله صلى الله عليه وآله وسلم منه ، ولا أفقه في رأي عنه ، ولا أعلم بتفسير القرآن منه </w:t>
      </w:r>
      <w:r>
        <w:rPr>
          <w:rStyle w:val="FootnoteAnchor"/>
          <w:rtl w:val="true"/>
        </w:rPr>
        <w:footnoteReference w:id="9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أوس بن أبي أوس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له أصحاب السنن الأربعة ، أحاديث صحيحة من رواية الشاميين عنه </w:t>
      </w:r>
      <w:r>
        <w:rPr>
          <w:rStyle w:val="FootnoteAnchor"/>
          <w:rtl w:val="true"/>
        </w:rPr>
        <w:footnoteReference w:id="9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شراحيل بن عبد ، هو الإمام الحافظ الفقيه المتقي أستاذ أبي حنيفة وشيخه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بن حنبل ، والعجلي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الشعبي صحيح ، لأنّه لا يكاد يرسل إلاّ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في زمانه ، والشعبي في زمانه ، والثوري في زمانه </w:t>
      </w:r>
      <w:r>
        <w:rPr>
          <w:rStyle w:val="FootnoteAnchor"/>
          <w:rtl w:val="true"/>
        </w:rPr>
        <w:footnoteReference w:id="9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المدني مولى ابن عباس ، ذكره ابن حبان في الثقات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علماء زمانه بالفقه والقرآن ، وكان جابر بن زيد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 من أعلم الناس ، روى له أصحاب السنن الأربعة أحاديث صحيحة</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رفاعة بن رافع بن مالك بن العجلان أبو معاذ الزرقي ، 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النبي صلى الله عليه وآله وسلم مات في أوّل خلافة معاوية</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ذكره ابن حبان في الثقات</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عروة بن الزبير بن العوام القرشي أخو عبد الله بن الزبير ، فقيه عالم ، وكان من أفاضل أهل المدينة وعلمائهم ، ذكره ابن حبان في الثقات</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قتادة بن عزيز الحافظ العلامة أبو الخطاب السدوسي البصري الضرير الأكمه المفسر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عالم بالتفسير وباختلاف العلماء ، ووصفه بالحفظ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وأطنب في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أحفظ أهل البصرة ، مات بواسط في الطاعون سنة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وذكره ابن حبان في الثقات </w:t>
      </w:r>
      <w:r>
        <w:rPr>
          <w:rStyle w:val="FootnoteAnchor"/>
          <w:rtl w:val="true"/>
        </w:rPr>
        <w:footnoteReference w:id="9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أنس بن مالك بن النضر خادم رسول الله صلى الله عليه وآله وسلم ، قدم رسول الله صلى الله عليه وآله وسلم </w:t>
      </w:r>
    </w:p>
    <w:p>
      <w:pPr>
        <w:pStyle w:val="BookText"/>
        <w:rPr/>
      </w:pPr>
      <w:r>
        <w:rPr>
          <w:rFonts w:ascii="Amiri" w:hAnsi="Amiri" w:eastAsia="Amiri" w:cs="Amiri"/>
          <w:color w:val="111111"/>
          <w:sz w:val="28"/>
          <w:sz w:val="28"/>
          <w:szCs w:val="28"/>
          <w:rtl w:val="true"/>
          <w:lang w:bidi="ar-SA"/>
        </w:rPr>
        <w:t xml:space="preserve">المدينة وهو ابن عشر سنين ، وتوفي صلى الله عليه وآله وسلم وهو ابن عشرين سنة ، انتقل إلى البصرة وتوفي بها عام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موسى بن أنس بن مالك قاضي البصرة ، يروي عن أبيه ، روى عنه مكحول وحميد الطويل</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حصين بن جندب الكوفي الجنبي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ظبيان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علي بن أبي طالب وسلمان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والأعمش ، مات سنة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ذكره ابن حبان في الثقات</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جبير بن نفير بن مالك بن عامر الحضرمي ، يروي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ذر وأبي الدرداء ، روى عنه أهل الشام ، كنيته أبو عبد الرحمن ، مات سنة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بالشام ، ذكره ابن حبان في الثقات</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بن أبي خالد البجلي الأحمسي أبو عبد الله الكوفي ، قال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رجلا صالحا ثقة ثبتا وكان طحانا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مروان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إسماعيل يسمّى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تميم بن زيد المازني ، أبو عباد الأنصاري من بني النجّار ، له صحبة ، وحديثه عند ولده</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عطاء القداحي ، يروي عن عبد الله بن عمر ، وروى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قيس ، والد يعلى بن عطاء ، ذكره ابن حبان في الثقات</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مالك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الحارث الأشعري الشامي الصحابي ، روى عن النبي صلى الله عليه وآله وسلم ، وعنه أبو سلام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مالك ، طعن أبو مالك الأشعري وأبو عبيدة بن الجراح في يوم واحد ، وتوفي في خلافة عمر</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تعجب فعجب قول الشوكاني ،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من أحد من الصحابة 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علي وابن عباس وأنس</w:t>
      </w:r>
      <w:r>
        <w:rPr>
          <w:rFonts w:eastAsia="Amiri" w:cs="Amiri" w:ascii="Amiri" w:hAnsi="Amiri"/>
          <w:color w:val="111111"/>
          <w:sz w:val="28"/>
          <w:szCs w:val="28"/>
          <w:rtl w:val="true"/>
          <w:lang w:bidi="ar-SA"/>
        </w:rPr>
        <w:t xml:space="preserve">. </w:t>
      </w:r>
      <w:r>
        <w:rPr>
          <w:rStyle w:val="FootnoteAnchor"/>
          <w:rtl w:val="true"/>
        </w:rPr>
        <w:footnoteReference w:id="10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انّ اعتقاده بالغسل عاقه عن الفحص والتتبّع في السنن والمسانيد</w:t>
      </w:r>
      <w:r>
        <w:rPr>
          <w:rFonts w:eastAsia="Amiri" w:cs="Amiri" w:ascii="Amiri" w:hAnsi="Amiri"/>
          <w:color w:val="111111"/>
          <w:sz w:val="28"/>
          <w:szCs w:val="28"/>
          <w:rtl w:val="true"/>
          <w:lang w:bidi="ar-SA"/>
        </w:rPr>
        <w:t xml:space="preserve">. </w:t>
      </w:r>
      <w:bookmarkStart w:id="110" w:name="pg10144_71253"/>
    </w:p>
    <w:p>
      <w:pPr>
        <w:pStyle w:val="Heading3"/>
        <w:numPr>
          <w:ilvl w:val="2"/>
          <w:numId w:val="1"/>
        </w:numPr>
        <w:rPr/>
      </w:pPr>
      <w:bookmarkStart w:id="111" w:name="__RefHeading___Toc1165465_1067777946"/>
      <w:bookmarkStart w:id="112" w:name="_Toc40"/>
      <w:bookmarkEnd w:id="110"/>
      <w:bookmarkEnd w:id="111"/>
      <w:r>
        <w:rPr/>
        <w:t>14</w:t>
      </w:r>
      <w:r>
        <w:rPr>
          <w:rtl w:val="true"/>
        </w:rPr>
        <w:t xml:space="preserve">. </w:t>
      </w:r>
      <w:r>
        <w:rPr>
          <w:rtl w:val="true"/>
        </w:rPr>
        <w:t>تأمّلات واهية في أخبار المسح</w:t>
      </w:r>
      <w:bookmarkEnd w:id="112"/>
    </w:p>
    <w:p>
      <w:pPr>
        <w:pStyle w:val="Heading4"/>
        <w:numPr>
          <w:ilvl w:val="3"/>
          <w:numId w:val="1"/>
        </w:numPr>
        <w:rPr/>
      </w:pPr>
      <w:bookmarkStart w:id="113" w:name="__RefHeading___Toc1165467_1067777946"/>
      <w:bookmarkStart w:id="114" w:name="_Toc41"/>
      <w:bookmarkEnd w:id="113"/>
      <w:r>
        <w:rPr>
          <w:rtl w:val="true"/>
        </w:rPr>
        <w:t>اشارة</w:t>
      </w:r>
      <w:bookmarkEnd w:id="114"/>
    </w:p>
    <w:p>
      <w:pPr>
        <w:pStyle w:val="BookText"/>
        <w:rPr/>
      </w:pPr>
      <w:r>
        <w:rPr>
          <w:rFonts w:ascii="Amiri" w:hAnsi="Amiri" w:eastAsia="Amiri" w:cs="Amiri"/>
          <w:color w:val="111111"/>
          <w:sz w:val="28"/>
          <w:sz w:val="28"/>
          <w:szCs w:val="28"/>
          <w:rtl w:val="true"/>
          <w:lang w:bidi="ar-SA"/>
        </w:rPr>
        <w:t xml:space="preserve">إنّ لأهل النظر والبحث من أهل السنّة القائلين بالغسل في الوضوء ـ أمام تلك الروايات المخالفة لمذهبهم ـ تأمّلات مختلفة نذكر المهمّ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التأمّل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روايات المسح ضعيفة ، ونقل عن البخاري والشافعي أنّهما ضعّفاها باعتبار أنّ مخالفها أكثر وأثبت منها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 كيف نضعّف تلك الروايات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الذي يخضع للنقاش والجرح هو الخبر الواحد ، لا المستفيض ولا المتواتر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في الروايات من يرويها البخاري ، فما ظنّك برواية يرويها الإمام البخاري؟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لاحظ الرواية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التأمّل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كان في أوّل الإسلام ، ثم نسخ بأحاديث الغسل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من هذه الروايات رويت للاحتجاج على القائلين بالغسل ، فهل يمكن غفلة الراوي عن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الصحابة والتابعين يروونها لغاية إثبات أنّ الفريضة في </w:t>
      </w:r>
    </w:p>
    <w:p>
      <w:pPr>
        <w:pStyle w:val="BookText"/>
        <w:rPr/>
      </w:pPr>
      <w:r>
        <w:rPr>
          <w:rFonts w:ascii="Amiri" w:hAnsi="Amiri" w:eastAsia="Amiri" w:cs="Amiri"/>
          <w:color w:val="111111"/>
          <w:sz w:val="28"/>
          <w:sz w:val="28"/>
          <w:szCs w:val="28"/>
          <w:rtl w:val="true"/>
          <w:lang w:bidi="ar-SA"/>
        </w:rPr>
        <w:t>الوضوء هي المسح لا الغسل ، فلو كانت الروايات ناظرة إلى العصر الأوّل من البعثة ، فهل يمكن أن يغفل عنها الصحابة الأجلاّء والتابعون لهم بإحسان؟ وقد شارك في الروايات ثلّة من الصحابة والتابعين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التأمّل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أحاديث المسح ، انّما هي وضوء من لم يحدث ، وقد اعتمد عليه ابن كثير في تفسيره</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وسار على ضوئه المتأخرون ، كالآلوسي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المعاني </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وأخيرا الشيخ أبو عبد الرحمن بن عقيل الظاهري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النقاط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لفيفا من الروايات الدالّة على المسح وردت في وضوء المحدث ، لا في الوضوء بعد الوضوء ، فكيف يمكن حملها على وضوء من لم يحدث؟ كرواية النزال ابن سبرة ، حيث يحكي وضوء عليّ بعد البول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أكثر هذه الروايات الدالّة على المسح ، تحكي وضوء رسول الله ، والمتبادر منه هو وضوؤه بعد الحدث ، لا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هذه الروايات الكثيرة ، على الوضوء بعد الوضوء ، تفسير بالرأي ، حفظا للمذهب وانتصارا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سلّمنا أنّ ما ورد من الروايات في المسح على الرجلين ، بأنّه وضوء من لم يحدث ، لكنّها لا تشير إلى أنّ المسح على الرجلين فقط وضوء من لم يحدث ، وإنّما تشير إلى أنّ الاكتفاء بكفّ من الماء في غسل الوجه واليدين ومسح الرأس والرجلين ، وضوء من لم يحدث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فكم فرق بين أن يرجع اسم الإشارة إلى أنّ المسح على الرجلين هو وضوء من لم يحدث ، وبين أن ترجع إلى مجموع ما ورد في الرواية من الغسل والمسح بكفّ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في شكّ من ذلك فنتلو عليك نصوص تلك الروايات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الحافظ البيهقي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علي الروذباري ، حدثنا أبو بكر محمد بن أحمد بن محويه العسكري ، حدثنا جعفر بن محمد القلانسي ، حدثنا آدم ، حدثنا شعبة ، حدثنا عبد الملك بن ميسرة ، سمعت النزال بن سبرة يحدث عن علي بن أبي طالب أنّه صلّى الظهر ، ثم قعد في حوائج الناس في رحبة الكوفة حتى حضرت صلاة العصر ، ثم أتي بكوز من ماء ، فأخذ منه حفنة واحدة ، فمسح بها وجهه ويديه ورأسه ورجليه ، ثم قام فشرب فضله وهو قائم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ناسا يكرهون الشرب قائماً ، وإنّ رسول الله صلى الله عليه وآله وسلم صنع كما صنعت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وضوء من لم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البخاري في الصحيح عن آدم بن أبي إياس ببعض معناه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إذا حضرت الصلاة دعا بماء ، فأخذ كفّا من ماء ، فتمضمض منه واستنشق منه ، ومسح بفضلة وجهه وذراعيه رأسه ورجليه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وضوء من لم يحدث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ترى أنّ الإمام اكتفى في الوضوء بكف ماء وحفنة منه مع أنّه غير كاف في الوضوء الواجب باتفاق الأمّة ، ولأجل ذلك نبّه المخاطب بأنّه وضوء من لم يحدث ، وإلا فعلى المحدث أن يسبغ ماء الوضوء بأكف وحفنات ، فمحور المذاكرة بين </w:t>
      </w:r>
      <w:bookmarkStart w:id="115" w:name="pg10144_71256"/>
    </w:p>
    <w:p>
      <w:pPr>
        <w:pStyle w:val="BookText"/>
        <w:rPr/>
      </w:pPr>
      <w:bookmarkEnd w:id="115"/>
      <w:r>
        <w:rPr>
          <w:rFonts w:ascii="Amiri" w:hAnsi="Amiri" w:eastAsia="Amiri" w:cs="Amiri"/>
          <w:color w:val="111111"/>
          <w:sz w:val="28"/>
          <w:sz w:val="28"/>
          <w:szCs w:val="28"/>
          <w:rtl w:val="true"/>
          <w:lang w:bidi="ar-SA"/>
        </w:rPr>
        <w:t>الإمام ومخاطبة هو الاكتفاء بماء قليل لا المسح على الرجلين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أحمد بسنده عن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خيثمة ، حدثنا إسحاق ابن إسماعيل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جرير ، عن منصور ، عن عبد الملك ، عن النزال بن سبرة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صلّينا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 فانطلق إلى مجلس له يجلسه في الرحبة ، فقعد وقعدنا حوله ، ثم حضرت العصر ، فأتى بإناء فأخذ منه كفا ، فتمضمض واستنشق ومسح بوجهه وذراعيه ومسح برأسه ورجليه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رسول الله صلى الله عليه وآله وسلم فعل كما فعلت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ذلك تحمل الرواية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عبد خير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بماء ليتوضّأ ، فتمسح بها تمسحا ومسح على ظهر قدميه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وضوء من لم يحدث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إني رأيت رسول الله مسح على ظهر قدميه رأيت أنّ بطونهما أحقّ ، ثم شرب فضلة وضوئه وهو قائم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الظاهر أنّ الإمام قام بمجموع العمل بكف ماء واحد ، ويحتمل اتحاد الحديث مع الحديث الأوّل ، فاسم الإشارة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إشارة إلى مسح القدمين ، بل إلى مجموع ما أتى به من الأعمال من مسح الوجه والأيدي وغيرهما بالماء ، فإنّ الواجب فيهما الغسل ، والاكتفاء بالمسح لخلوه من الحدث</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1165469_1067777946"/>
      <w:bookmarkStart w:id="117" w:name="_Toc42"/>
      <w:bookmarkEnd w:id="116"/>
      <w:r>
        <w:rPr>
          <w:rtl w:val="true"/>
        </w:rPr>
        <w:t xml:space="preserve">عثرة لا تقال </w:t>
      </w:r>
      <w:r>
        <w:rPr>
          <w:rtl w:val="true"/>
        </w:rPr>
        <w:t>:</w:t>
      </w:r>
      <w:bookmarkEnd w:id="11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أنّ مجموعة كبيرة من الروايات الدالّة على المسح رواها ابن جرير </w:t>
      </w:r>
    </w:p>
    <w:p>
      <w:pPr>
        <w:pStyle w:val="BookText"/>
        <w:rPr/>
      </w:pPr>
      <w:r>
        <w:rPr>
          <w:rFonts w:ascii="Amiri" w:hAnsi="Amiri" w:eastAsia="Amiri" w:cs="Amiri"/>
          <w:color w:val="111111"/>
          <w:sz w:val="28"/>
          <w:sz w:val="28"/>
          <w:szCs w:val="28"/>
          <w:rtl w:val="true"/>
          <w:lang w:bidi="ar-SA"/>
        </w:rPr>
        <w:t xml:space="preserve">الطبري صاحب التفسير والتأريخ ، الغني عن الإطراء والبيان ، ولما كان ذلك الأمر ثقيلا على من يرى الغسل في الوضوء عاد يتحمل لتكذيب تلك الروايات بأنّه لم ينقلها ابن جرير الطبري السنّي وانّما رواها ابن جرير الشيعي ، وهي من غرائب الأمور كما سيوافيك ، وممّن التجأ إلى هذا العذر ابن القيم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حكاية المسح عن ابن جرير غلط بيّن ، فهذه كتبه وتفسيره كلّها تكذّب هذا النقل عنه ، وإنّما دخلت الشبهة ، لأنّ ابن جرير القائل بهذه المقالة رجل آخر من الشيعة يوافقه في اسمه واسم أبيه ، وقد رأيت له مؤلفات في أصول مذهب الشيعة وفروعهم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تبعه في هذه العثرة الآلوسي في تفسيره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نشر رواة الشيعة هذه الأكاذيب المختلقة ، ورواها بعض أهل السنّة ممن لم يميّز الصحيح والسقيم من الأخبار بلا تحقّق ولا سند ، واتسع الخرق على الراقع ، ولعل محمد بن جرير القائل بالتخيير هو محمد بن جرير بن رستم الشيعي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الإيضاح للمسترشد في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أبو جعفر محمد بن جرير بن غالب الطبري الشافعي الذي هو من أعلام أهل السنّة ، والمذكور في تفسير هذا هو الغسل فقط لا المسح ، ولا الجمع ، ولا التخيير الذي نسبه الشيعة إليه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تنبّه إلى عثرة ابن قيم والآلوسي ، صاحب المنار حيث إنّه بعد ما نقل عبارة الآلوسي أعقبه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في كلامه ـ عفا الله عنه ـ تحاملا على الشيعة وتكذيبا لهم في نقل وجد مثله في كتب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لم يطّلع على تفسير ابن جرير الطبري </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نقل أيضا غير واحد أنّ ابن جرير قال بالتخيير بين المسح والغسل ، ولكن اللاّئح من عبارته هو الجمع بينهما ، فمن أمعن النظر في تفسير ابن جرير يقف على أمور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رجّح قراءة الجرّ على النصب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وأعجب القراءتين إليّ أن أقرأها قراءة من قرأ ذلك خفضا ، لما وصفت من جمع المسح المعنيين اللّذين وصفت ، ولأنّه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وَامْسَحُوا بِرُؤُسِكُمْ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فالعطف على الرءوس مع قربه منه أولى من العطف به على الأيدي ، وقد حيل بينه وبينها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وَامْسَحُوا بِرُؤُسِكُمْ </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يروي روايات المسح بصدر رحب ولا يتضايق كما نقل روايات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قائل بالجمع بين المسح والغسل ، ومراده منه ليس هو التوضّؤ مرتين تارة بالغسل وأخرى بالمسح بالنداوة المتبقّية على اليد ، بل بغسلهما باليد ومسح الرجل بها ، وإليك نص عبارته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من القول عندنا في ذلك أنّ الله أمر بعموم مسح الرجلين بالماء في الوضوء ، كما أمر بعموم مسح الوجه بالتراب في التيمّم ، فإذا فعل ذلك بهما المتوضّي كان مستحقّا اسم ماسح غاسل ، لأنّ غسلهما ، إمرار الماء عليهما أو إصابتهما بالماء ، ومسحهما إمرار اليد أو ما قام مقام اليد عليه ، فإذا فعل ذلك بهما فاعل فهو غاسل ماسح </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عن عدّة من الباحثين حيث نسبوا إلى الطبري القول بالتخيير ، </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الدين النيسابوري في تفسيره غرائب القرآن </w:t>
      </w:r>
      <w:r>
        <w:rPr>
          <w:rStyle w:val="FootnoteAnchor"/>
          <w:rtl w:val="true"/>
        </w:rPr>
        <w:footnoteReference w:id="120"/>
      </w:r>
      <w:r>
        <w:rPr>
          <w:rFonts w:ascii="Amiri" w:hAnsi="Amiri" w:eastAsia="Amiri" w:cs="Amiri"/>
          <w:color w:val="111111"/>
          <w:sz w:val="28"/>
          <w:sz w:val="28"/>
          <w:szCs w:val="28"/>
          <w:rtl w:val="true"/>
          <w:lang w:bidi="ar-SA"/>
        </w:rPr>
        <w:t xml:space="preserve">والقرطبي </w:t>
      </w:r>
      <w:r>
        <w:rPr>
          <w:rStyle w:val="FootnoteAnchor"/>
          <w:rtl w:val="true"/>
        </w:rPr>
        <w:footnoteReference w:id="121"/>
      </w:r>
      <w:r>
        <w:rPr>
          <w:rFonts w:ascii="Amiri" w:hAnsi="Amiri" w:eastAsia="Amiri" w:cs="Amiri"/>
          <w:color w:val="111111"/>
          <w:sz w:val="28"/>
          <w:sz w:val="28"/>
          <w:szCs w:val="28"/>
          <w:rtl w:val="true"/>
          <w:lang w:bidi="ar-SA"/>
        </w:rPr>
        <w:t xml:space="preserve">والشوكاني </w:t>
      </w:r>
      <w:r>
        <w:rPr>
          <w:rStyle w:val="FootnoteAnchor"/>
          <w:rtl w:val="true"/>
        </w:rPr>
        <w:footnoteReference w:id="122"/>
      </w:r>
      <w:r>
        <w:rPr>
          <w:rFonts w:ascii="Amiri" w:hAnsi="Amiri" w:eastAsia="Amiri" w:cs="Amiri"/>
          <w:color w:val="111111"/>
          <w:sz w:val="28"/>
          <w:sz w:val="28"/>
          <w:szCs w:val="28"/>
          <w:rtl w:val="true"/>
          <w:lang w:bidi="ar-SA"/>
        </w:rPr>
        <w:t xml:space="preserve">والشعراني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والعجب أيضا انّ الآلوسي نسب إلى ابن جرير القول بالغسل فقط لا المسح ولا الجمع ولا التخيير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وَنَزَّلْنا عَلَيْكَ الْكِتابَ تِبْياناً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لِكُلِّ شَيْءٍ وَهُدىً وَرَحْمَةً وَبُشْرى لِلْمُسْلِمِينَ </w:t>
      </w:r>
      <w:r>
        <w:rPr>
          <w:rFonts w:eastAsia="Amiri" w:cs="Amiri" w:ascii="Amiri" w:hAnsi="Amiri"/>
          <w:color w:val="111111"/>
          <w:sz w:val="28"/>
          <w:szCs w:val="28"/>
          <w:rtl w:val="true"/>
          <w:lang w:bidi="ar-SA"/>
        </w:rPr>
        <w:t xml:space="preserve">). </w:t>
      </w:r>
      <w:r>
        <w:rPr>
          <w:rStyle w:val="FootnoteAnchor"/>
          <w:rtl w:val="true"/>
        </w:rPr>
        <w:footnoteReference w:id="125"/>
      </w:r>
      <w:bookmarkStart w:id="118" w:name="pg10144_71260"/>
    </w:p>
    <w:p>
      <w:pPr>
        <w:pStyle w:val="Heading3"/>
        <w:numPr>
          <w:ilvl w:val="2"/>
          <w:numId w:val="1"/>
        </w:numPr>
        <w:rPr/>
      </w:pPr>
      <w:bookmarkStart w:id="119" w:name="__RefHeading___Toc1165471_1067777946"/>
      <w:bookmarkStart w:id="120" w:name="_Toc43"/>
      <w:bookmarkEnd w:id="118"/>
      <w:bookmarkEnd w:id="119"/>
      <w:r>
        <w:rPr/>
        <w:t>15</w:t>
      </w:r>
      <w:r>
        <w:rPr>
          <w:rtl w:val="true"/>
        </w:rPr>
        <w:t xml:space="preserve">. </w:t>
      </w:r>
      <w:r>
        <w:rPr>
          <w:rtl w:val="true"/>
        </w:rPr>
        <w:t>وضوء النبي صلى الله عليه وآله وسلم عن لسان أئمّة أهل البيت عليهم السلام</w:t>
      </w:r>
      <w:bookmarkEnd w:id="120"/>
    </w:p>
    <w:p>
      <w:pPr>
        <w:pStyle w:val="BookText"/>
        <w:rPr/>
      </w:pPr>
      <w:r>
        <w:rPr>
          <w:rFonts w:ascii="Amiri" w:hAnsi="Amiri" w:eastAsia="Amiri" w:cs="Amiri"/>
          <w:color w:val="111111"/>
          <w:sz w:val="28"/>
          <w:sz w:val="28"/>
          <w:szCs w:val="28"/>
          <w:rtl w:val="true"/>
          <w:lang w:bidi="ar-SA"/>
        </w:rPr>
        <w:t xml:space="preserve">إنّ أئمّة أهل البيت هم المرجع الثاني للمسلمين بعد كتاب الله فيما اختلفوا فيه ، فإنّهم حفظة سنن رسول الله صلى الله عليه وآله وسلم وعيبة علمه ، فقد نصّ الرسول صلى الله عليه وآله وسلم على ذلك في حديث الثقلين الذي اتّفق المسلمون على نقله وصحته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 كتاب الله وعترتي </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ـ أخرجه الترمذي عن زيد بن أرقم وهو الحديث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أحاديث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أخرجه الإمام أحمد من حديث زيد بن ثابت في الجزء الخامس من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أخرجه الطبراني في الكبير عن زيد بن ثابت أيضا وهو الحديث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أحاديث الكنز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أخرجه الحاكم في الجزء الثالث من 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الاسناد على شرط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أخرجه الذهبي في تلخيص 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معترفا بصحته على شرط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أخرجه الإمام أحمد من حديث أبي سعيد الخدري في الجزء الثالث من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10747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أخرجه ابن أبي شيبة وأبو يعلى وابن سعد عن أبي سعيد وهو الحديث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أحاديث الكنز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أخرجه ابن حجر في أواخر الفصل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كانت هذه مكانة أهل البيت ، فلنرجع إليهم في كيفيّة وضوء رسول الله صلى الله عليه وآله وسلم ، فإنّهم ارتشفوا من عذب معين ، وحفظوا سنّة الرسول بنقل كابر عن كابر ، وإليك ما رووه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من أصحابنا ، عن أحمد بن محمد وأبي داود جميعا ، عن الحسين بن سعيد ، عن فضالة ، عن داود بن فرقد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للوضوء حدّا من تعدّاه لم يؤجر ، وكان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يتلدّد ،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وجهك ويديك ، وتمسح رأسك ورجليك</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 عن أبيه ، ومحمد بن إسماعيل ، عن الفضل بن شاذان جميعا ، عن حماد بن عيسى ، عن حريز ،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أحكي لكم وضوء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فدعا بقعب فيه شيء من ماء ، ثم وضعه بين يديه ، ثم حسر عن ذراعيه ، ثم غمس فيه كفّه اليمنى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إذا كانت الكفّ طاهرة ، ثم غرف فملأها ماء فوضعها على جبينه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وسدله على أطراف لحيته ، ثم أمرّ يده على وجهه وظاهر جبينه مرة واحدة ، ثم غمس يده اليسرى فغرف بها ملأها ، ثم وضعه على مرفقه اليمنى وأمرّ كفّه على ساعده حتى جرى الماء على أطراف أصابعه ، ثم غرف بيمينه ملأها ، فوضعه على مرفقه اليسرى ، وأمرّ كفّه على ساعده حتى جرى الماء على أطراف أصابعه ، ومسح مقدم رأسه وظهر قدميه ببلّة يساره وبقية بلّة يمناه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وتر يحب الوتر ، فقد يجزئك من الوضوء ثلاث غرفات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للوجه واثنتان للذراعين ، وتمسح ببلة يمناك ناصيتك وما بقي من بلّة يمينك ظهر قدمك اليمنى ، وتمسح ببلّة يسارك ظهر قدمك اليسرى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رجل أمير المؤمنين عليه السلام عن وضوء رسول الله صلى الله عليه وآله وسلم فحكى له مثل ذلك </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 عن أبيه ، عن ابن أبي عمير ، عن عمر بن أذينة ، عن زرارة وبكير أنّهما سألا أبا جعفر عليه السلام عن وضوء رسول الله صلى الله عليه وآله وسلم ، فدعا بطست أو تور فيه ماء ، فغمس يده اليمنى فغرف بها غرفة فصبّها على وجهه فغسل بها وجهه ، ثم غمس كفّه اليسرى فغرف بها غرفة فأفرغ على ذراعه اليمنى فغسل بها ذراعه من المرفق إلى الكفّ لا يردها إلى المرفق ، ثم غمس كفّه اليمنى فأفرغ بها على ذراعه اليسرى من المرفق وصنع بها مثل ما صنع باليمنى ، ثم مسح رأسه وقدميه ببلل كفه ، لم يحدث لهما ماء جديدا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يدخل أصابعه تحت الشراك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قُمْتُمْ إِلَى الصَّلاةِ فَاغْسِلُوا وُجُوهَكُمْ وَأَيْدِيَكُمْ </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فليس له أن يدع شيئا من يديه إلى المرفقين إلاّ غسله ، لأنّ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فَاغْسِلُوا وُجُوهَكُمْ وَأَيْدِيَكُمْ إِلَى 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وَامْسَحُوا بِرُؤُسِكُمْ وَأَرْجُلَكُمْ إِلَى الْكَعْبَيْنِ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مسح بشيء من رأسه أو بشيء من قدميه ما بين الكعبين إلى أطراف الأصابع فقد أجزأه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الكعبان؟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المفصل دون عظم الساق ، </w:t>
      </w:r>
    </w:p>
    <w:p>
      <w:pPr>
        <w:pStyle w:val="BookText"/>
        <w:rPr/>
      </w:pP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هو؟</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عظم الساق ، والكعب أسفل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فالغرفة الواحدة تجزي للوجه وغرفة للذراع؟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بالغت فيها والثنتان تأتيان على ذلك كلّه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من أصحابنا ، عن أحمد بن محمد ، عن علي بن الحكم ، عن داود بن النعمان ، عن أبي أيوب ، عن بكير ابن أعين ،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أحكي لكم وضوء رسول الله صلى الله عليه وآله وسلم ، فأخذ بكفّه اليمنى كفّا من ماء فغسل به وجهه ، ثم أخذ بيده اليسرى كفّا من ماء فغسل به يده اليمنى ، ثم أخذ بيده اليمنى كفّا من ماء فغسل به يده اليسرى ، ثم مسح بفضل يديه رأسه ورجليه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131"/>
      </w:r>
      <w:bookmarkStart w:id="121" w:name="pg10144_71264"/>
    </w:p>
    <w:p>
      <w:pPr>
        <w:pStyle w:val="Heading3"/>
        <w:numPr>
          <w:ilvl w:val="2"/>
          <w:numId w:val="1"/>
        </w:numPr>
        <w:rPr/>
      </w:pPr>
      <w:bookmarkStart w:id="122" w:name="__RefHeading___Toc1165473_1067777946"/>
      <w:bookmarkStart w:id="123" w:name="_Toc44"/>
      <w:bookmarkEnd w:id="121"/>
      <w:bookmarkEnd w:id="122"/>
      <w:r>
        <w:rPr/>
        <w:t>16</w:t>
      </w:r>
      <w:r>
        <w:rPr>
          <w:rtl w:val="true"/>
        </w:rPr>
        <w:t xml:space="preserve">. </w:t>
      </w:r>
      <w:r>
        <w:rPr>
          <w:rtl w:val="true"/>
        </w:rPr>
        <w:t>نظرة عامّة في أخبار الغسل</w:t>
      </w:r>
      <w:bookmarkEnd w:id="123"/>
    </w:p>
    <w:p>
      <w:pPr>
        <w:pStyle w:val="Heading4"/>
        <w:numPr>
          <w:ilvl w:val="3"/>
          <w:numId w:val="1"/>
        </w:numPr>
        <w:rPr/>
      </w:pPr>
      <w:bookmarkStart w:id="124" w:name="__RefHeading___Toc1165475_1067777946"/>
      <w:bookmarkStart w:id="125" w:name="_Toc45"/>
      <w:bookmarkEnd w:id="124"/>
      <w:r>
        <w:rPr>
          <w:rtl w:val="true"/>
        </w:rPr>
        <w:t>اشارة</w:t>
      </w:r>
      <w:bookmarkEnd w:id="125"/>
    </w:p>
    <w:p>
      <w:pPr>
        <w:pStyle w:val="BookText"/>
        <w:rPr/>
      </w:pPr>
      <w:r>
        <w:rPr>
          <w:rFonts w:ascii="Amiri" w:hAnsi="Amiri" w:eastAsia="Amiri" w:cs="Amiri"/>
          <w:color w:val="111111"/>
          <w:sz w:val="28"/>
          <w:sz w:val="28"/>
          <w:szCs w:val="28"/>
          <w:rtl w:val="true"/>
          <w:lang w:bidi="ar-SA"/>
        </w:rPr>
        <w:t>قد تعرّفت على قضايا الكتاب ، والسنّة النبويّة الصحيحة ، في حكم الأرجل ، وأنّهما قد أطبقا على المسح ، من غير مرية ولا شكّ ، لكن بقي الكلام في المأثورات عن النبي صلى الله عليه وآله وسلم التي تعرب عن كون حكمها هو الغسل ، فلا محيص عن دراستها وتحليلها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ـ ما روي بسند صحيح ، رواه الشيخان البخاري ومسلم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ـ ما روي بسند 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مسلم ، عن أبي الطاهر أحمد بن عمرو بن عبد الله بن عمرو بن سرح ، وحرملة بن يحيى التجيبي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وهب ، عن يونس ، عن ابن شهاب ، أنّ عطاء بن يزيد الليثي أخبره ، أنّ حمران مولى عثمان أخبره ، أنّ عثمان بن عفان دعا بوضوء فتوضأ فغسل كفيه ثلاث مرات ، ثم مضمض واستنثر ، ثم غسل وجهه ثلاث مرات ، ثم غسل يده اليمنى إلى المرفق ثلاث مرات ، ثم غسل يده اليسرى مثل ذلك ، ثم مسح رأسه ، ثم غسل رجله اليمنى إلى الكعبين ثلاث مرات ، ثم غسل اليسرى مثل ذلك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وآله وسلم توضّأ نحو</w:t>
      </w:r>
    </w:p>
    <w:p>
      <w:pPr>
        <w:pStyle w:val="BookText"/>
        <w:rPr/>
      </w:pPr>
      <w:r>
        <w:rPr>
          <w:rFonts w:ascii="Amiri" w:hAnsi="Amiri" w:eastAsia="Amiri" w:cs="Amiri"/>
          <w:color w:val="111111"/>
          <w:sz w:val="28"/>
          <w:sz w:val="28"/>
          <w:szCs w:val="28"/>
          <w:rtl w:val="true"/>
          <w:lang w:bidi="ar-SA"/>
        </w:rPr>
        <w:t xml:space="preserve">وضوئي هذا ، ثم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نحو وضوئي هذا ، ثم قام فركع ركعتين لا يحدث فيها نفسه غفر له ما تقدّم من ذنبه</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البخاري ، عن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عوانة ، عن أبي بشر ، عن يوسف بن ماهك ، عن عبد الله بن عمرو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تخلّف النبي صلى الله عليه وآله وسلم عنّا في سفرة سافرناها ، فأدركنا وقد أرهقنا العصر ، فجعلنا نتوضّأ ونمسح على أرجلنا ، فنادى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للأعقاب من النار ، مرتين أو ثلاثا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مسلم ، عن زهير بن حرب ، حدثنا يعقوب بن إبراهيم ، حدثنا أبي ، عن ابن شهاب ، عن عطاء بن يزيد الليثي ، عن حمران مولى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رأى عثمان ، دعا بإناء فأفرغ على كفيه ثلاث مرّات فغسلهما ، ثم أدخل يمينه في الإناء فمضمض واستنشق ، ثم غسل وجهه ثلاث مرات ، ويديه إلى المرفقين ثلاث مرات ، ثم مسح برأسه ، ثم غسل رجليه ثلاث مرات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توضّأ نحو وضوئي هذا ، ثم صلّى ركعتين ، لا يحدث فيها نفسه غفر له ما تقدّم من ذنبه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بشر بن المفضل ، عن عبد الله بن محمد بن عقيل ، عن الربيع بنت معوذ بن عفراء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وسلم يأتينا ، فحدثتنا أنّه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اسكبي لي وضوءا ـ فذكرت وضوء رسول الله صلى الله عليه وآله وسلم ـ قالت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 كفّيه ثلاثا ، ووضأ وجهه</w:t>
      </w:r>
    </w:p>
    <w:p>
      <w:pPr>
        <w:pStyle w:val="BookText"/>
        <w:rPr/>
      </w:pPr>
      <w:r>
        <w:rPr>
          <w:rFonts w:ascii="Amiri" w:hAnsi="Amiri" w:eastAsia="Amiri" w:cs="Amiri"/>
          <w:color w:val="111111"/>
          <w:sz w:val="28"/>
          <w:sz w:val="28"/>
          <w:szCs w:val="28"/>
          <w:rtl w:val="true"/>
          <w:lang w:bidi="ar-SA"/>
        </w:rPr>
        <w:t xml:space="preserve">ثلاثا ، ومضمض واستنشق مرة ، ووضأ يديه ثلاثا ثلاثا ، ومسح برأسه مرّتين ، بدأ بمؤخّر رأسه ، ثم بمقدمه ، وبأذنيه كلتيهما ظهورهما وبطونهما ، ووضأ رجليه ثلاثا ثلاثا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وهيب ، عن عمرو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عمرو بن أبي حسن ، سأل عبد الله بن زيد عن وضوء النبي صلى الله عليه وآله وسلم ، فدعا بتور من ماء ، فتوضّأ لهم وضوء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فأكفأ على يده من التور فغسل يديه ثلاثا ، ثم أدخل يده في التور فمضمض واستنشق واستنثر ثلاث غرفات ، ثم أدخل يده فغسل وجهه ثلاثا ، ثم غسل يديه مرتين إلى المرفقين ، ثم أدخل يده فمسح رأسه فأقبل به وأدبر مرة واحدة ، ثم غسل رجليه إلى الكعبين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الروايات وان نقلت بسند صحيح ، لكنّ الاختلاف والتهافت في المضمون مريب جدا ومسقط لها عن الحجّية ، وكلّها تحكي وضوء رسول الله صلى الله عليه وآله وسلم إذ الاختلاف والتهافت فيها من جوانب أربعة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الاختلاف في عدد غسل اليدين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الاختلاف في مقدار المسح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الاختلاف في كيفيّة المسح من جهة التقديم والتأخير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الاختلاف في عدد مسح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البيان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رواية حمران مولى عثمان أنّه غسل يده اليمنى إلى المرفقين </w:t>
      </w:r>
    </w:p>
    <w:p>
      <w:pPr>
        <w:pStyle w:val="BookText"/>
        <w:rPr/>
      </w:pPr>
      <w:r>
        <w:rPr>
          <w:rFonts w:ascii="Amiri" w:hAnsi="Amiri" w:eastAsia="Amiri" w:cs="Amiri"/>
          <w:color w:val="111111"/>
          <w:sz w:val="28"/>
          <w:sz w:val="28"/>
          <w:szCs w:val="28"/>
          <w:rtl w:val="true"/>
          <w:lang w:bidi="ar-SA"/>
        </w:rPr>
        <w:t>ثلاث مرات ، ثم غسل يده اليسرى مثل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رواية عبد الله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غسل يده مرتين إلى المرفقين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رواية الصحابية الربيع بنت معوذ بن عفراء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بأذنيه كلتيهما ظهورهما وبطونهما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 المذكور في غير هذه الرواية أنّه مسح رأسه دون أذنيه ظهورهما وبطونهما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رواية الصحابيّة أنّه بدأ بمؤخّر رأسه ثم بمقدّمه ، ولكن في رواية عبد الله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رأسه فأقبل بها وأدبر مرة واحدة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رواية الصحابيّة أنّه مسح برأسه مرتين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 المذكور في غيرها أنّه مسح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كونه مرّة واحدة إذ لو كان متعددا لم يغفل الراوي عن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فوجوه الاختلاف هذه تعرب عن اضطراب الحديث وعدم إمكان الأخذ به ، وتصوّر أنّ النبي صلى الله عليه وآله وسلم توضأ بكيفيّات مختلفة ، وإنّ كلّ واحد يروي ما رآه من الكيفيّة بعيد جدا خاصّة وأنّ النبي صلى الله عليه وآله وسلم إنّما يتوضّأ بأفضل الكيفيّات ما لم تكن هناك ضرورة على ترك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عبد الله بن عمر فهي على الخلاف أدلّ ، لأنّها تعرب أنّ عبد الله ابن عمر ورهطه كانوا يمسحون الأرجل طيلة أعوام ، ومن البعيد أن يكون مثله غافلا عما هو الواجب</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في الرواية أذن أي دلالة على غسل الأرجل ، وإنّما توهم من توهم </w:t>
      </w:r>
    </w:p>
    <w:p>
      <w:pPr>
        <w:pStyle w:val="BookText"/>
        <w:rPr/>
      </w:pPr>
      <w:r>
        <w:rPr>
          <w:rFonts w:ascii="Amiri" w:hAnsi="Amiri" w:eastAsia="Amiri" w:cs="Amiri"/>
          <w:color w:val="111111"/>
          <w:sz w:val="28"/>
          <w:sz w:val="28"/>
          <w:szCs w:val="28"/>
          <w:rtl w:val="true"/>
          <w:lang w:bidi="ar-SA"/>
        </w:rPr>
        <w:t>ذلك ، لأنّ البخاري ذكرها تحت عنوان باب غسل الرجلين ، ومن المعلوم أنّ تبويب المحدّث وذكر الحديث تحت عنوان لا يثبت ظهورا له فيه ، فعلى المجتهد بذل الجهد في فهم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أنّه صلى الله عليه وآله وسلم لما ذا دعا بالويل للأعقاب من النار؟ فيه وجوه واحتمالات أرجحها أنّه كان قوم من طغام العرب يمشون حفاة ولا يبالون من تلبيس الأرجل بأي نجاسة ، وكانوا يتوضّئون ويمسحون أرجلهم دون غسلها قبل الوضوء من آثار النجاسة ، فتوعّدهم النبي بما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النبي من أفصح العرب وأفضل من نطق بالضاد ، فلو أراد بكلمته هذه التنبيه على وجوب غسل الأرجل لأتى بكلمة واضحة الدلالة ، ترشد المكلّف إلى وظيفته لا أن يتوصل بكلمة غامضة لإفادة مراده ، أعني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 للأعقاب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هي حال الصحاح من الروايات ، وإليك ما نقل في ذلك المجال من ضعافها ، وحسبك ما نذكره فيما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أبي مليكة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عثمان بن عفان يسأل عن الوضوء؟ فدعا بماء فأتى بميضاة ، فأصغى على يده اليمنى ، ثم أدخلها في الماء فتمضمض ثلاثا واستنثر ثلاثا وغسل وجهه ثلاثا ، ثم غسل يده اليمنى ثلاثا وغسل يده اليسرى ثلاثا أدخل يده فأخذ ماء فمسح برأسه وأذنيه فغسل بطونهما وظهورهما مرّة واحدة ، ثم غسل رجليه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السائلون عن الوضوء؟ هكذا رأيت رسول الله صلى الله عليه وآله وسلم يتوضّأ</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سنده ابن أبي مليكة ، قال عنه البخاري وأحمد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وقال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أحاديث </w:t>
      </w:r>
      <w:r>
        <w:rPr>
          <w:rStyle w:val="FootnoteAnchor"/>
          <w:rtl w:val="true"/>
        </w:rPr>
        <w:footnoteReference w:id="137"/>
      </w:r>
      <w:r>
        <w:rPr>
          <w:rFonts w:ascii="Amiri" w:hAnsi="Amiri" w:eastAsia="Amiri" w:cs="Amiri"/>
          <w:color w:val="111111"/>
          <w:sz w:val="28"/>
          <w:sz w:val="28"/>
          <w:szCs w:val="28"/>
          <w:rtl w:val="true"/>
          <w:lang w:bidi="ar-SA"/>
        </w:rPr>
        <w:t xml:space="preserve">، 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 وقال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ابن ماجة بسنده عن هشام بن عمار ، حدثنا الوليد بن مسلم ، عن حريز بن عثمان ، عن عبد الرحمن بن ميسرة ، عن المقدام بن معديكرب أنّ رسول الله صلى الله عليه وآله وسلم توضّأ فغسل رجليه ثلاثا ثلاثا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سنده عبد الرحمن بن ميسرة الحضرمي ، قال عنه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لم يرو عنه غير حريز بن عثمان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محمد بن بشار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جعفر المدني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عثمان بن حنيف ـ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مع النبي صلى الله عليه وآله وسلم في سفر فأتى بماء فقال على يديه من الإناء فغسلهما مرة ، وغسل وجهه وذراعيه مرة مرة وغسل رجليه بيمينه كلتيهما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سنده عمارة بن عثمان بن حنيف وهو مجهول ، فعن خزيمة بن ثابت أنّه لا يعرف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عمرو بن شعيب ، عن أبيه ،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أتى النبي صلى الله عليه وآله وسلم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كيف الطهور؟ ، فدعا بماء في إناء ، فغسل كفيه ثلاثا ، ثم غسل وجهه ثلاثا ، ثم غسل ذراعيه ثلاثا ، ثم مسح برأسه ، فأدخل إصبعيه السباحتين في أذنيه ومسح بإبهاميه على ظاهر أذنيه ، وبالسباحتين باطن أذنيه ، ثم غسل رجليه ثلاثا ثلاثا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الوضوء ، فمن زاد على هذا أو نقص فقد أساء وظلم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سنده عمرو بن شعيب ، قال عنه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أشياء مناكير وإنّما نكتب حديثه نعتبر به فأمّا أن يكون حجة ، فلا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النسائي ، أخبرنا محمّد بن آدم ، عن ابن أبي زائدة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وغيره ، عن أبي إسحاق ، عن أبي حية الوادعي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توضأ فغسل كفّيه حتى أنقاهما ، ثم تمضمض ثلاثا واستنشق ثلاثا وغسل وجهه ثلاثا وغسل ذراعيه ثلاثا ، ثم مسح برأسه ، ثم غسل قدميه إلى الكعبين ، ثم قام ، فأخذ فضل طهوره فشرب وهو قائم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أن أريكم كيف كان طهور النبي صلى الله عليه وآله وسلم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الحديث ساقط بسقوط سنده من عدة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إباحيّة راوي هذا الحديث نكرة من أبهم النكرات ، وقد أورده الذهبي في الكنى من ميزانه ، فنصّ على أنّه لا يعرف ، ثم نقل عن ابن المديني وأبي الوليد الفرضي النصّ على أنّه مجهول ، وقال 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يسمّى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الحديث تفرّد به أبو إسحاق وقد شاخ ونسي واختلط ، فتركه </w:t>
      </w:r>
    </w:p>
    <w:p>
      <w:pPr>
        <w:pStyle w:val="BookText"/>
        <w:rPr/>
      </w:pPr>
      <w:r>
        <w:rPr>
          <w:rFonts w:ascii="Amiri" w:hAnsi="Amiri" w:eastAsia="Amiri" w:cs="Amiri"/>
          <w:color w:val="111111"/>
          <w:sz w:val="28"/>
          <w:sz w:val="28"/>
          <w:szCs w:val="28"/>
          <w:rtl w:val="true"/>
          <w:lang w:bidi="ar-SA"/>
        </w:rPr>
        <w:t xml:space="preserve">الناس ولم يروه عنه إلاّ أبو الأحوص وزهير بن معاوية الجعفي ، فعابهم الناس بذلك ، قال 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سمع من أبي إسحاق بعد الاختلاط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الحديث يعارض الأحاديث الثابتة عن أمير المؤمنين وعن أبنائه الميامين ، أهل بيت النبوة ، وموضع الرسالة ، ومختلف الملائكة ، ومهبط الوحي والتنزيل ، ويخالف كتاب الله ، فليضرب به عرض الجدار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عبد الرحمن بن عباد بن يحيى بن خلاد الزرقي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عبد الله بن أنيس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أريكم كيف توضّأ رسول الله صلى الله عليه وآله وسلم وكيف صلّى؟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فغسل يديه ثلاثا ثلاثا ومسح برأسه مقبلا ومدبرا وأمس أذنيه وغسل رجليه ثلاثا ثلاثا ، ثم أخذ ثوبا فاشتمل به وصلّى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رأيت رسول الله صلى الله عليه وآله وسلم يتوضّأ ويصلّي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الأوسط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سنده عبد الرحمن بن عباد بن يحيى بن خلاد الزرقي ، وهو مجهول لم أجد من ترجم له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خالد بن معدان ، عن بعض أصحاب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وسلم رأى رجلا يصلّي وفي ظهر قدمه لمعة قدر الدرهم لم يصبها الماء ، فأمره النبي صلى الله عليه وآله وسلم أن يعيد الوضوء والصلاة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سنده بقية بن الوليد ، وهو كثير التدليس عن الضعفاء ، وقال عبد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لا يحتج به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صلى الله عليه وآله وسلم وهو يتطهّر وبين يديه إناء قدر المدّ وإن زاد فقلّ ما زاد ، وإن نقص فقلّ ما نقص ، فغسل يديه وتمضمض واستنشق ثلاثا ثلاثا ، وغسل وجهه ثلاثا وخلّل لحيته ، وغسل ذراعيه ثلاثا ، ومسح برأسه وأذنيه مرتين مرتين ، وغسل رجليه حتى أنقاهما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هكذا التطهّر؟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أمرني ربي عزّ وجلّ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سنده نافع أبو هرمز ، ضعّفه أحمد وجماعة ، وكذّبه ابن معين ، 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ذاهب الحديث ، وقال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بثقة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عثمان دعا بالوضوء وعنده الزبير وطلحة وعلي وسعد ، فتوضّأ وهم ينظرون ، فغسل وجهه ثلاث مرات ، ثم أفرغ على يمينه ثلاث مرات وعلى شماله ثلاث مرات ، ومسح برأسه ورشّ على رجله اليمنى ثلاث مرات ثمّ غسلها ، ثم رشّ على رجله اليسرى ثم غسلها ثلاث مرات ، ثم قال للّذين حضروا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أناشدكم الله عزّ وجلّ أتعلمون أنّ رسول الله صلى الله عليه وآله وسلم كان يتوضّأ كما توضّأت الآن؟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وذلك لشيء بلغه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سنده غسان ابن الربيع ، ضعّفه الدارقطني ، وقال عنه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بحجّة في الحديث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وائل بن حجر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رسول الله صلى الله عليه وآله وسلم وقد أتى بإناء فيه ماء ، فأكفأ على يمينه ثلاثا ، غمس يمينه في الإناء فأفاض بها على اليسرى ثلاثا ، ثم</w:t>
      </w:r>
    </w:p>
    <w:p>
      <w:pPr>
        <w:pStyle w:val="BookText"/>
        <w:rPr/>
      </w:pPr>
      <w:r>
        <w:rPr>
          <w:rFonts w:ascii="Amiri" w:hAnsi="Amiri" w:eastAsia="Amiri" w:cs="Amiri"/>
          <w:color w:val="111111"/>
          <w:sz w:val="28"/>
          <w:sz w:val="28"/>
          <w:szCs w:val="28"/>
          <w:rtl w:val="true"/>
          <w:lang w:bidi="ar-SA"/>
        </w:rPr>
        <w:t xml:space="preserve">غمس اليمنى فحفن حفنة من ماء فتمضمض بها واستنشق واستنثر ثلاثا ، ثم أدخل كفّيه في الإناء فحمل بهما ماء فغسل وجهه ثلاثا ، ثم خلّل لحيته ومسح باطن أذنيه وأدخل خنصره في داخل أذنه ليبلغ الماء ، ثم مسح رقبته وباطن لحيته من فضل ماء الوجه وغسل ذراعه اليمنى ثلاثا حتى جاوز المرفق وغسل اليسرى مثل ذلك باليمنى حتى جاوز المرفق ، ثم مسح على رأسه ثلاثا ومسح ظاهر أذنيه ومسح رقبته وباطن لحيته بفضل ماء الرأس ، ثم غسل قدمه اليمنى ثلاثا وخلّل أصابعها وجاوز بالماء الكعب ورفع في الساق الماء ، ثم فعل في اليسرى مثل ذلك ، ثم أخذ حفنة من الماء بيده اليمنى فوضعه على رأسه حتى انحدر من جوانب رأسه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الوضوء ، فدخل محرابه ، وصفّ الناس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الكبير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سنده سعيد بن عبد الجبار ، قال عنه محمد بن مخلد الرعيني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سنده أيضا محمد بن حجر ، قال عنه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أنس بن مالك عن النبي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أحدكم فليمضمض ثلاثا فإنّ الخطايا تخرج من وجهه ، ويغسل يديه ثلاثا ، ويمسح برأسه ثلاثا ، ثم يدخل يديه في أذنيه ، ثم يفرغ على رجليه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الأوسط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سنده أبو موسى الحناط ، وهو متروك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جابر ، عن عبد الله بن بدر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بالمسح ، فأمرنا رسول الله صلى الله عليه وآله وسلم بالغسل فغسلنا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الكبير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سنده محمد بن جابر وهو ضعيف ، كان أعمى واختلط عليه حديثه ، وقال عنه عمرو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الوهم ، متروك الحديث ، وقال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بالقوي ، يتكلّمون فيه ، روى مناكير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أعرابيا أتى النبي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كيف الوضوء؟ فدعا رسول الله صلى الله عليه وآله وسلم بوضوء فغسل يده اليمنى ثلاثا ، ثم أدخل يده اليمنى في الإناء ، ثم مضمض واستنشق ثلاثا ، وغسل وجهه ويديه ثلاثا ، ومسح برأسه وظاهر أذنيه مع رأسه ، ثم غسل رجليه ثلاثا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الوضوء ، فمن زاد فقد تعدّى وظلم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الكبير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سنده سويد بن عبد العزيز ، قال عنه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حديثه نظر ، 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 متروك ، وقال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بثقة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عرفت مكانة هذه الروايات من حيث ضعف رواتها وعدم وثاقتهم ، ومع ذلك كلّه فلنا حول هذه الروايات صحيحها وضعيفها تأمّلات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يكفي في عدم صحّة الاحتجاج أنّها مخالفة لكتاب الله سبحانه ، ولا قيمة لرواية مهما صحّ سندها إذا كانت معارضة للكتاب ، ولا يمكن أن يقال أنّها ناسخة له ، لما عرفت أنّ الكتاب لا ينسخ بالرواية خصوصا الآحاد منها ، مضافا</w:t>
      </w:r>
      <w:bookmarkStart w:id="126" w:name="pg10144_71275"/>
    </w:p>
    <w:p>
      <w:pPr>
        <w:pStyle w:val="BookText"/>
        <w:rPr/>
      </w:pPr>
      <w:bookmarkEnd w:id="126"/>
      <w:r>
        <w:rPr>
          <w:rFonts w:ascii="Amiri" w:hAnsi="Amiri" w:eastAsia="Amiri" w:cs="Amiri"/>
          <w:color w:val="111111"/>
          <w:sz w:val="28"/>
          <w:sz w:val="28"/>
          <w:szCs w:val="28"/>
          <w:rtl w:val="true"/>
          <w:lang w:bidi="ar-SA"/>
        </w:rPr>
        <w:t>إلى أنّ سورة المائدة هي السورة الأخيرة التي اتّفقت الأمّة على عدم نسخ شيء منها ، فهل يمكن أن ينزل الوحي في أواخر عمر النبي بالمسح ثم ينسخه بالغسل؟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حبر الأمّة وعيبة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كان يحتجّ بالكتاب على المسح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افترض الله غسلتين ومسحتين ، ألا ترى أنّه ذكر التيمم وجعل مكان الغسلتين مسحتين وترك المسحتين؟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غسلتان ومسحتان ، ولمّا بلغه أنّ الربيع بنت معوذ بن عفراء الأنصارية تزعم أنّ النبي توضّأ عندها فغسل رجليه ، أتاها يسألها عن ذلك ، وحين حدّثته به قال ـ غير مصدّق بل منكرا ومحتجا ـ إنّ الناس أبو إلاّ الغسل ، ولا أجد في كتاب الله إلاّ المسح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أنّها لو كانت حقّا لا ربت على التواتر ، لأنّ الحاجة إلى معرفة طهارة الأرجل في الوضوء حاجة عامّة لرجال الأمّة ونسائها ، أحرارها ومماليكها ، وهي حاجة ماسّة لهم في كلّ يوم وليلة ، فلو كان هناك حكم غير المسح بين الحدّين حيث دلّ عليه الكتاب ، لَعَلِمَهُ المكلّفون في عهد النبوة وبعده ، وكان مسلّما بينهم ، ولتواترت أخباره عن النبي صلى الله عليه وآله وسلم في كل عصر ومصر ، فلا يبقى مجال لإنكاره ولا الريب فيه ، ولمّا لم يكن الأمر كذلك ظهر لنا الوهن المسقط لتلك الأخبار عن درجة الاعتبار</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1165477_1067777946"/>
      <w:bookmarkStart w:id="128" w:name="_Toc46"/>
      <w:bookmarkEnd w:id="127"/>
      <w:r>
        <w:rPr>
          <w:rtl w:val="true"/>
        </w:rPr>
        <w:t>معالجة روايات الغسل</w:t>
      </w:r>
      <w:bookmarkEnd w:id="12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دلالة القرآن الكريم على المسح وتضافر السنّة عليه ، فيبقى السؤال عن كيفيّة معالجة الروايات الدالة على الغسل ، فنقول هناك علاجان </w:t>
      </w:r>
      <w:r>
        <w:rPr>
          <w:rFonts w:eastAsia="Amiri" w:cs="Amiri" w:ascii="Amiri" w:hAnsi="Amiri"/>
          <w:color w:val="111111"/>
          <w:sz w:val="28"/>
          <w:szCs w:val="28"/>
          <w:rtl w:val="true"/>
          <w:lang w:bidi="ar-SA"/>
        </w:rPr>
        <w:t xml:space="preserve">: </w:t>
      </w:r>
      <w:bookmarkStart w:id="129" w:name="pg10144_71276"/>
    </w:p>
    <w:p>
      <w:pPr>
        <w:pStyle w:val="Heading4"/>
        <w:numPr>
          <w:ilvl w:val="3"/>
          <w:numId w:val="1"/>
        </w:numPr>
        <w:rPr/>
      </w:pPr>
      <w:bookmarkStart w:id="130" w:name="__RefHeading___Toc1165479_1067777946"/>
      <w:bookmarkStart w:id="131" w:name="_Toc47"/>
      <w:bookmarkEnd w:id="129"/>
      <w:bookmarkEnd w:id="130"/>
      <w:r>
        <w:rPr>
          <w:rtl w:val="true"/>
        </w:rPr>
        <w:t>أ</w:t>
      </w:r>
      <w:r>
        <w:rPr>
          <w:rtl w:val="true"/>
        </w:rPr>
        <w:t xml:space="preserve">. </w:t>
      </w:r>
      <w:r>
        <w:rPr>
          <w:rtl w:val="true"/>
        </w:rPr>
        <w:t>نسخها بالقرآن</w:t>
      </w:r>
      <w:bookmarkEnd w:id="131"/>
    </w:p>
    <w:p>
      <w:pPr>
        <w:pStyle w:val="BookText"/>
        <w:rPr/>
      </w:pPr>
      <w:r>
        <w:rPr>
          <w:rFonts w:ascii="Amiri" w:hAnsi="Amiri" w:eastAsia="Amiri" w:cs="Amiri"/>
          <w:color w:val="111111"/>
          <w:sz w:val="28"/>
          <w:sz w:val="28"/>
          <w:szCs w:val="28"/>
          <w:rtl w:val="true"/>
          <w:lang w:bidi="ar-SA"/>
        </w:rPr>
        <w:t xml:space="preserve">إنّ النبي صلى الله عليه وآله وسلم كان في فترة من عمره الشريف يغسل رجليه بأمر من الله سبحانه ، ولعلّ الحديث المعروف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 للأعقاب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تلك الفترة ، ولكن لمّا نزل القرآن الكريم بالمسح نُسِخَت السنّة بالقرآن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سورة المائدة آخر سورة نزلت على النبي صلى الله عليه وآله وسلم ولم ينسخ منها شيء</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1165481_1067777946"/>
      <w:bookmarkStart w:id="133" w:name="_Toc48"/>
      <w:bookmarkEnd w:id="132"/>
      <w:r>
        <w:rPr>
          <w:rtl w:val="true"/>
        </w:rPr>
        <w:t>ب</w:t>
      </w:r>
      <w:r>
        <w:rPr>
          <w:rtl w:val="true"/>
        </w:rPr>
        <w:t xml:space="preserve">. </w:t>
      </w:r>
      <w:r>
        <w:rPr>
          <w:rtl w:val="true"/>
        </w:rPr>
        <w:t>إشاعة الغسل بعد نزول القرآن من قبل السلطة</w:t>
      </w:r>
      <w:bookmarkEnd w:id="133"/>
    </w:p>
    <w:p>
      <w:pPr>
        <w:pStyle w:val="BookText"/>
        <w:rPr/>
      </w:pPr>
      <w:r>
        <w:rPr>
          <w:rFonts w:ascii="Amiri" w:hAnsi="Amiri" w:eastAsia="Amiri" w:cs="Amiri"/>
          <w:color w:val="111111"/>
          <w:sz w:val="28"/>
          <w:sz w:val="28"/>
          <w:szCs w:val="28"/>
          <w:rtl w:val="true"/>
          <w:lang w:bidi="ar-SA"/>
        </w:rPr>
        <w:t xml:space="preserve">لا شكّ أنّ القرآن دعا للمسح ، ولكن المصلحة لدى الخلفاء والحكام اقتضت إلزام الناس على غسل الأرجل بدل المسح لخبث باطن القدمين ، وبما أنّ قسما كبيرا منهم كانوا حفاة ، فراق في أنفسهم تبديل المسح بالغسل ، ويدلّ على ذلك بعض ما ورد في النصوص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جرير عن حميد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بن أنس ونحن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أنّ الحجاج خطبنا بالأهواز ونحن معه وذكر الطهور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اغسلوا وجوهكم وأيديكم وامسحوا برءوسكم وأرجلكم ، وإنّه ليس شيء من ابن آدم أقرب من خبثه من قدميه ، فاغسلوا بطونهما وظهورهما وعراقيبهما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وكذب الحجّاج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وَامْسَحُوا بِرُؤُسِكُمْ وَأَرْجُلَكُمْ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أنس إذا مسح قدميه بلّها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يعرب عن أنّ الدعاية الرسمية كانت تؤيد الغسل ، وتؤاخذ من يقول </w:t>
      </w:r>
    </w:p>
    <w:p>
      <w:pPr>
        <w:pStyle w:val="BookText"/>
        <w:rPr/>
      </w:pPr>
      <w:r>
        <w:rPr>
          <w:rFonts w:ascii="Amiri" w:hAnsi="Amiri" w:eastAsia="Amiri" w:cs="Amiri"/>
          <w:color w:val="111111"/>
          <w:sz w:val="28"/>
          <w:sz w:val="28"/>
          <w:szCs w:val="28"/>
          <w:rtl w:val="true"/>
          <w:lang w:bidi="ar-SA"/>
        </w:rPr>
        <w:t xml:space="preserve">بالمسح ، حتّى إنّ القائلين به كانوا على حذر من إظهار عقيدتهم فلا يصرّحون بها إلاّ خفية ، ما رواه أحمد بن حنبل بسنده عن أبي مالك الأشعري أنّه قال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اجتمعوا أصلّي بكم صلاة رسول الله صلى الله عليه وآله وسلم فلمّا اجتمعوا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فيكم أحد غيركم؟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إلاّ ابن أخت لنا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أخت القوم منهم ، فدعا بجفنة فيها ماء ، فتوضّأ ومضمض واستنشق ، وغسل وجهه ثلاثا وذراعيه ثلاثا ، ومسح برأسه وظهر قدميه ، ثم صلّى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كِتابٌ أُحْكِمَتْ آياتُهُ ثُمَّ فُصِّلَتْ مِنْ لَدُنْ حَكِيمٍ خَبِيرٍ </w:t>
      </w:r>
      <w:r>
        <w:rPr>
          <w:rFonts w:eastAsia="Amiri" w:cs="Amiri" w:ascii="Amiri" w:hAnsi="Amiri"/>
          <w:color w:val="111111"/>
          <w:sz w:val="28"/>
          <w:szCs w:val="28"/>
          <w:rtl w:val="true"/>
          <w:lang w:bidi="ar-SA"/>
        </w:rPr>
        <w:t xml:space="preserve">). </w:t>
      </w:r>
      <w:r>
        <w:rPr>
          <w:rStyle w:val="FootnoteAnchor"/>
          <w:rtl w:val="true"/>
        </w:rPr>
        <w:footnoteReference w:id="158"/>
      </w:r>
      <w:bookmarkStart w:id="134" w:name="pg10144_71278"/>
    </w:p>
    <w:p>
      <w:pPr>
        <w:pStyle w:val="Heading4"/>
        <w:numPr>
          <w:ilvl w:val="3"/>
          <w:numId w:val="1"/>
        </w:numPr>
        <w:rPr/>
      </w:pPr>
      <w:bookmarkStart w:id="135" w:name="__RefHeading___Toc1165483_1067777946"/>
      <w:bookmarkStart w:id="136" w:name="_Toc49"/>
      <w:bookmarkEnd w:id="134"/>
      <w:bookmarkEnd w:id="135"/>
      <w:r>
        <w:rPr>
          <w:rtl w:val="true"/>
        </w:rPr>
        <w:t>خاتمة المطاف</w:t>
      </w:r>
      <w:r>
        <w:rPr>
          <w:rtl w:val="true"/>
        </w:rPr>
        <w:t xml:space="preserve">: </w:t>
      </w:r>
      <w:r>
        <w:rPr>
          <w:rtl w:val="true"/>
        </w:rPr>
        <w:t>الآن حصحص الحق</w:t>
      </w:r>
      <w:bookmarkEnd w:id="136"/>
    </w:p>
    <w:p>
      <w:pPr>
        <w:pStyle w:val="BookText"/>
        <w:rPr/>
      </w:pPr>
      <w:r>
        <w:rPr>
          <w:rFonts w:ascii="Amiri" w:hAnsi="Amiri" w:eastAsia="Amiri" w:cs="Amiri"/>
          <w:color w:val="111111"/>
          <w:sz w:val="28"/>
          <w:sz w:val="28"/>
          <w:szCs w:val="28"/>
          <w:rtl w:val="true"/>
          <w:lang w:bidi="ar-SA"/>
        </w:rPr>
        <w:t xml:space="preserve">لقد بانت الحقيقة وظهرت بأجلى مظاهرها وذلك بالأمور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تصريح الكتاب بمسح الأرجل وأنّ غسلها لا يوافق 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لفيفا من أعلام الصحابة وسنامها ـ الذين هم عيبة السنّة وحفظة الآثار ـ كانوا يمسحون وينكرون الغسل أشدّ الإنكار ، وقد وقفت على رواياتهم الكثيرة البالغة حدّ التضافر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أئمّة أهل البيت عليهم السلام ، وفيهم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الإمامان الباقر والصادق عليهما السلام بيّنوا وضوء رسول الله ، وانّه كان يمسح الأرجل بدل غسلها ، وقد مرت كلماتهم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ما دلّ على غسل الأرجل ففيه الصحيح ، والضعيف ، بل الضعاف أكثر من الصحاح ، فعلى الفقيه معالجة تعارض الروايات الدالّة على الغسل ، بعرضها على الكتاب أوّلا وعلى السنّة الدالة على المسح ثانيا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النبيّ صلى الله عليه وآله وسلم هو الذي أمر المسلمين قاطبة بالأخذ بأقوال العترة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كتاب الله وعترتي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فالتمسّك بأقوالهم وأحاديثهم امتثال لقول الرسول صلى الله عليه وآله وسلم وهو لا يصدر إلاّ عن الحق ، فمن أخذ بالثقلين فقد تمسّك بما ينقذه من الضلالة ، ومن أخذ بواحد منهما فقد خالف الرسول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إلى أنّ عليا ـ باب علم النبيّ ـ هو المعروف بالقول بالمسح ، ويقول الرازي في الاقتداء بعليّ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اقتدى في دينه بعلي بن أبي طالب فقد اهتدى ، والدليل عليه قوله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أدر الحق مع علي حيث دار </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الاجتهاد بمعنى بذل الجهد في استنباط الأحكام عن أدلّتها الشرعيّة فلما ذا اختصّت هذه النعمة الكبرى بالأئمّة الأربعة دون سواهم ، وكيف صار السلف أولى بها من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ونظيره يقتضي لزوم فتح باب الاجتهاد في أعصارنا هذه والإمعان في عطاء الكتاب والسنّة في حكم هذه المسألة ونظائرها ممّا ستمرّ عليك في هذا الكتاب متجردا عن قول الأئمّة الأربعة ونظرائهم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الاجتهاد رمز خلود الدين وصلاحيته للظروف والبيئات وليس من البدع المحدثة ، بل كان مفتوحا منذ زمن النبيّ وبعد وفاته صلى الله عليه وآله وسلم وقد أغلق لأمور سياسية عام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المقريزي في بدء انحصار المذاهب في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فاستمرت ولاية القضاة الأربعة من سنة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حتى لم يبق في مجموع أقطار الإسلام مذهب يعرف من مذاهب الإسلام غير هذه الأربعة وعودي من تمذهب بغيرها ، وأنكر عليه ولم يولّ قاضٍ ولا قبلت شهادة أحد ما لم يكن مقلّدا لأحد هذه المذاهب وأفتى فقهاؤهم في هذه الأمصار في طول هذه المدّة بوجوب اتّباع هذه المذاهب وتحريم عداها ، والعمل على هذا إلى اليوم</w:t>
      </w:r>
      <w:r>
        <w:rPr>
          <w:rFonts w:eastAsia="Amiri" w:cs="Amiri" w:ascii="Amiri" w:hAnsi="Amiri"/>
          <w:color w:val="111111"/>
          <w:sz w:val="28"/>
          <w:szCs w:val="28"/>
          <w:rtl w:val="true"/>
          <w:lang w:bidi="ar-SA"/>
        </w:rPr>
        <w:t xml:space="preserve">. </w:t>
      </w:r>
      <w:r>
        <w:rPr>
          <w:rStyle w:val="FootnoteAnchor"/>
          <w:rtl w:val="true"/>
        </w:rPr>
        <w:footnoteReference w:id="160"/>
      </w:r>
      <w:bookmarkStart w:id="137" w:name="pg10144_71280"/>
    </w:p>
    <w:p>
      <w:pPr>
        <w:pStyle w:val="Heading4"/>
        <w:numPr>
          <w:ilvl w:val="3"/>
          <w:numId w:val="1"/>
        </w:numPr>
        <w:rPr/>
      </w:pPr>
      <w:bookmarkStart w:id="138" w:name="__RefHeading___Toc1165485_1067777946"/>
      <w:bookmarkStart w:id="139" w:name="_Toc50"/>
      <w:bookmarkEnd w:id="137"/>
      <w:bookmarkEnd w:id="138"/>
      <w:r>
        <w:rPr>
          <w:rtl w:val="true"/>
        </w:rPr>
        <w:t>إكمال</w:t>
      </w:r>
      <w:r>
        <w:rPr>
          <w:rtl w:val="true"/>
        </w:rPr>
        <w:t xml:space="preserve">: </w:t>
      </w:r>
      <w:r>
        <w:rPr>
          <w:rtl w:val="true"/>
        </w:rPr>
        <w:t>آية الوضوء وكيفية غسل الأيدي</w:t>
      </w:r>
      <w:bookmarkEnd w:id="139"/>
    </w:p>
    <w:p>
      <w:pPr>
        <w:pStyle w:val="BookText"/>
        <w:rPr/>
      </w:pPr>
      <w:r>
        <w:rPr>
          <w:rFonts w:ascii="Amiri" w:hAnsi="Amiri" w:eastAsia="Amiri" w:cs="Amiri"/>
          <w:color w:val="111111"/>
          <w:sz w:val="28"/>
          <w:sz w:val="28"/>
          <w:szCs w:val="28"/>
          <w:rtl w:val="true"/>
          <w:lang w:bidi="ar-SA"/>
        </w:rPr>
        <w:t>أنّ آية الوضوء نزلت لتعليم الأمّة كيفية الوضوء والتيمّم ، والمخاطب بها جميع المسلمين عبر القرون إلى يوم القيامة ، ومثلها يجب أن تكون واضحة المعالم مبيّنة المراد ، حتّى ينتفع بها القريب والبعيد والصحابي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فالآية جديرة بالبحث من جانبين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كيفية غسل اليدين ، وأنّه هل يجب الغسل من أعلى إلى أسفل أو بالعكس؟</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الأرجل من حيث المسح أو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فلنشرع في البحث في الجانب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قُمْتُمْ إِلَى الصَّلاةِ فَاغْسِلُوا وُجُوهَكُمْ وَأَيْدِيَكُمْ إِلَى الْمَرافِقِ </w:t>
      </w:r>
      <w:r>
        <w:rPr>
          <w:rFonts w:eastAsia="Amiri" w:cs="Amiri" w:ascii="Amiri" w:hAnsi="Amiri"/>
          <w:color w:val="111111"/>
          <w:sz w:val="28"/>
          <w:szCs w:val="28"/>
          <w:rtl w:val="true"/>
          <w:lang w:bidi="ar-SA"/>
        </w:rPr>
        <w:t xml:space="preserve">). </w:t>
      </w:r>
      <w:r>
        <w:rPr>
          <w:rStyle w:val="FootnoteAnchor"/>
          <w:rtl w:val="true"/>
        </w:rPr>
        <w:footnoteReference w:id="16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 الفقهاء في كيفية غسل اليدين ، فأئمّة أهل البيت وشيعتهم ، على أنّ الابتداء بالمرفقين إلى أطراف الأصابع وانّ هذه هي السنّة ، وحجتهم على ذلك هو ظاهر الآية المتبادر عند العرف ، فإنّ المتبادر في نظائر هذه التراكيب هو الابتداء من أعلى إلى أسفل ، فمثلا إذا قال الطبيب للمريض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رجلك بالماء الفاتر إلى الركبة ، يتبع المريض ما هو المتداول في غسل الرجل عند العرف ، وهو الغسل </w:t>
      </w:r>
    </w:p>
    <w:p>
      <w:pPr>
        <w:pStyle w:val="BookText"/>
        <w:rPr/>
      </w:pPr>
      <w:r>
        <w:rPr>
          <w:rFonts w:ascii="Amiri" w:hAnsi="Amiri" w:eastAsia="Amiri" w:cs="Amiri"/>
          <w:color w:val="111111"/>
          <w:sz w:val="28"/>
          <w:sz w:val="28"/>
          <w:szCs w:val="28"/>
          <w:rtl w:val="true"/>
          <w:lang w:bidi="ar-SA"/>
        </w:rPr>
        <w:t>من أعلى إلى 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إذا قال صاحب الدار للصبّاغ ، أصبغ جدران هذه الغرفة إلى السقف ، فيتبع الصبّاغ ما هو المألوف في صبغ الجدران من الأعلى إلى الأسفل ولا يدور بخلده ، أو بخلد المريض من أنّ مالك الدار أو الطبيب استخدم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انتهاء غاية الصبغ والغسل عند السقف والرجل بل لتحديد المقدار اللازم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كيفية الغسل فمتروك إلى ما هو المتّبع والمتداول في العرف ، وهو ـ بلا ريب ـ يتبع الأسهل فالأسهل ، وهو الابتداء من فوق إلى تحت ، وما هذا إلاّ لأنّ المتكلّم بصدد تحديد العضو المغسول ، وهو اليد مع قطع النظر عن كيفية الغسل من حيث الابتداء والانتهاء ، فإذا كان هذا هو المفهوم ، فليكن الأمر كذلك في الآية المذكورة من دون أن نتكلّف بشيء من الوجوه التي يذكرها المفسّرون في تأييد أحد المذهبين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إنّ أساس الاختلاف في الابتداء بالمرفقين إلى أصول الأصابع أو بالعكس عندهم إنّما هو في تعيين 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الكريمة ، فهل هو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المغسول ، أو قيد للفعل أعني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واغسلوا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الأوّل تكون الآية بمنزلة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الأيدي إلى 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غسلها ، وإنّما جاء بالقيد لأنّ اليد مشترك تطلق على أصول الأصابع والزند والمرفق إلى المنكب ، ولما كان المغسول محددا إلى المرافق قيّدت اليد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ليفهم أنّ المغسول هو هذا المقدار المحدد من اليد ولو لا اشتراك اليد بين المراتب المختلفة وانّ المغسول بعض المراتب لما جاءت 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فالإتيان بها لأجل تحديد المقدار المغسول من اليد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الثاني ، أي إذا قلنا بكونه قيدا للأمر بالاغتسال ، فربّما يوحي إلى ضرورة الابتداء من أصول الأصابع إلى المرفقين ، فكأنّه سبحانه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اغسلوها إلى المرافق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ما في هذا الإيحاء من غموض ، لما عرفت من أنّ المتّبع في نظائر هذه الأمثلة ما هو المتعارف وهو الابتداء من الأعلى إلى الأسفل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سلمنا أنّ حرف الجر قيد للفعل ، لا نسلم أنّه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لانتهاء الغاية ، بل يحتمل أن يكون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الأيدي اغسلوها مع المرافق ، وليس هذا بعزيز في القرآن والأدب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تَأْكُلُوا أَمْوالَهُمْ إِلى أَمْوالِكُمْ </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وقال سبحانه ـ حاكيا عن المسيح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 عِيسى مِنْهُمُ الْكُفْرَ قالَ مَنْ أَنْصارِي إِلَى اللهِ </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أي مع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وَيَزِدْكُمْ قُوَّةً إِلى قُوَّتِكُمْ </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 أي مع قوتكم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في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فلان الكوفة إلى البصرة ، أي مع البصرة ، وليس في هذه الموارد من الغاية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النابغة الذبياني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تتركني بالوعيد كأنّني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مطليّ به القار أجرب</w:t>
      </w:r>
    </w:p>
    <w:p>
      <w:pPr>
        <w:pStyle w:val="BookText"/>
        <w:rPr/>
      </w:pPr>
      <w:r>
        <w:rPr>
          <w:rFonts w:ascii="IRNazanin" w:hAnsi="IRNazanin" w:eastAsia="IRNazanin"/>
          <w:color w:val="111111"/>
          <w:sz w:val="28"/>
          <w:sz w:val="28"/>
          <w:szCs w:val="28"/>
          <w:rtl w:val="true"/>
          <w:lang w:bidi="fa-IR"/>
        </w:rPr>
        <w:t>أراد مع الناس أو عند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بها كلّ خوار إلى كل 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ورفض المذرعات الترائب </w:t>
      </w:r>
    </w:p>
    <w:p>
      <w:pPr>
        <w:pStyle w:val="BookText"/>
        <w:rPr/>
      </w:pPr>
      <w:r>
        <w:rPr>
          <w:rFonts w:ascii="Amiri" w:hAnsi="Amiri" w:eastAsia="Amiri" w:cs="Amiri"/>
          <w:color w:val="111111"/>
          <w:sz w:val="28"/>
          <w:sz w:val="28"/>
          <w:szCs w:val="28"/>
          <w:rtl w:val="true"/>
          <w:lang w:bidi="ar-SA"/>
        </w:rPr>
        <w:t xml:space="preserve">وقال امرؤ القيس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كفل كالدعص لبّده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حارك مثل الغبيط المذأب</w:t>
      </w:r>
    </w:p>
    <w:p>
      <w:pPr>
        <w:pStyle w:val="BookText"/>
        <w:rPr/>
      </w:pPr>
      <w:r>
        <w:rPr>
          <w:rFonts w:ascii="Amiri" w:hAnsi="Amiri" w:eastAsia="Amiri" w:cs="Amiri"/>
          <w:color w:val="111111"/>
          <w:sz w:val="28"/>
          <w:sz w:val="28"/>
          <w:szCs w:val="28"/>
          <w:rtl w:val="true"/>
          <w:lang w:bidi="ar-SA"/>
        </w:rPr>
        <w:t>أراد مع حارك</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وعلى ضوء ذلك فليست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الغاية ، بل لبيان الجزء الواجب من المغسول سواء أكان الغسل من الأعلى أو من الأسفل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والدليل القاطع على لزوم الابتداء من الأغلى إلى الأسفل هو لزوم اتّباع ما هو المألوف في أمثال المورد كما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أئمّة أهل البيت عليهم السلام وضوء رسول الله صلى الله عليه وآله وسلم بالنحو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الشيخ الطوسي بسنده عن بكير وزرارة بن أعين ، أنّهما سألا أبا جعفر عن وضوء رسول الله صلى الله عليه وآله وسلم فدعا بطست أو بتَوْر </w:t>
      </w:r>
      <w:r>
        <w:rPr>
          <w:rStyle w:val="FootnoteAnchor"/>
          <w:rtl w:val="true"/>
        </w:rPr>
        <w:footnoteReference w:id="166"/>
      </w:r>
      <w:r>
        <w:rPr>
          <w:rFonts w:ascii="Amiri" w:hAnsi="Amiri" w:eastAsia="Amiri" w:cs="Amiri"/>
          <w:color w:val="111111"/>
          <w:sz w:val="28"/>
          <w:sz w:val="28"/>
          <w:szCs w:val="28"/>
          <w:rtl w:val="true"/>
          <w:lang w:bidi="ar-SA"/>
        </w:rPr>
        <w:t>فيه ماء ، فغسل كفّيه ، ثمّ غمس كفّه اليمنى في التور فغسل وجهه بها ، واستعان بيده اليسرى بكفّه على غسل وجهه ، ثمّ غمس كفّه اليسرى في الماء فاغترف بها من الماء فغسل يده اليمنى من المرفق إلى الأصابع لا يردّ الماء إلى المرفقين ، ثمّ غمس كفّه اليمنى في الماء فاغترف بها من الماء فأفرغه على يده اليسرى من المرفق إلى الكفّ لا يردّ الماء إلى المرفق كما صنع باليمنى ، ثمّ مسح رأسه وقدميه إلى الكعبين بفضل كفّيه ولم يجدد ماء</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اللهُ لِيَجْعَلَ عَلَيْكُمْ مِنْ حَرَجٍ</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يُرِيدُ لِيُطَهِّرَكُمْ </w:t>
      </w:r>
      <w:r>
        <w:rPr>
          <w:rFonts w:eastAsia="Amiri" w:cs="Amiri" w:ascii="Amiri" w:hAnsi="Amiri"/>
          <w:color w:val="111111"/>
          <w:sz w:val="28"/>
          <w:szCs w:val="28"/>
          <w:rtl w:val="true"/>
          <w:lang w:bidi="ar-SA"/>
        </w:rPr>
        <w:t xml:space="preserve">). </w:t>
      </w:r>
      <w:r>
        <w:rPr>
          <w:rStyle w:val="FootnoteAnchor"/>
          <w:rtl w:val="true"/>
        </w:rPr>
        <w:footnoteReference w:id="168"/>
      </w:r>
      <w:bookmarkStart w:id="140" w:name="pg10144_71284"/>
    </w:p>
    <w:p>
      <w:pPr>
        <w:pStyle w:val="Heading2"/>
        <w:numPr>
          <w:ilvl w:val="1"/>
          <w:numId w:val="1"/>
        </w:numPr>
        <w:rPr/>
      </w:pPr>
      <w:bookmarkStart w:id="141" w:name="__RefHeading___Toc1165487_1067777946"/>
      <w:bookmarkStart w:id="142" w:name="_Toc51"/>
      <w:bookmarkEnd w:id="140"/>
      <w:bookmarkEnd w:id="141"/>
      <w:r>
        <w:rPr/>
        <w:t>2</w:t>
      </w:r>
      <w:r>
        <w:rPr>
          <w:rtl w:val="true"/>
        </w:rPr>
        <w:t xml:space="preserve">. </w:t>
      </w:r>
      <w:r>
        <w:rPr>
          <w:rtl w:val="true"/>
        </w:rPr>
        <w:t>المسح على الخفّين اختيارا في الحضر والسفر</w:t>
      </w:r>
      <w:bookmarkEnd w:id="14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3" w:name="__RefHeading___Toc1165489_1067777946"/>
      <w:bookmarkStart w:id="144" w:name="_Toc52"/>
      <w:bookmarkEnd w:id="143"/>
      <w:r>
        <w:rPr>
          <w:rtl w:val="true"/>
        </w:rPr>
        <w:t>اشارة</w:t>
      </w:r>
      <w:bookmarkEnd w:id="14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 w:name="pg10144_71286"/>
      <w:bookmarkStart w:id="146" w:name="pg10144_71286"/>
      <w:bookmarkEnd w:id="146"/>
    </w:p>
    <w:p>
      <w:pPr>
        <w:pStyle w:val="Heading3"/>
        <w:numPr>
          <w:ilvl w:val="2"/>
          <w:numId w:val="1"/>
        </w:numPr>
        <w:rPr/>
      </w:pPr>
      <w:bookmarkStart w:id="147" w:name="pg10144_71286"/>
      <w:bookmarkStart w:id="148" w:name="__RefHeading___Toc1165491_1067777946"/>
      <w:bookmarkStart w:id="149" w:name="_Toc53"/>
      <w:bookmarkEnd w:id="147"/>
      <w:bookmarkEnd w:id="148"/>
      <w:r>
        <w:rPr/>
        <w:t>2</w:t>
      </w:r>
      <w:r>
        <w:rPr>
          <w:rtl w:val="true"/>
        </w:rPr>
        <w:t xml:space="preserve">. </w:t>
      </w:r>
      <w:r>
        <w:rPr>
          <w:rtl w:val="true"/>
        </w:rPr>
        <w:t>المسح على الخفّين اختيارا في الحضر والسفر</w:t>
      </w:r>
      <w:bookmarkEnd w:id="149"/>
    </w:p>
    <w:p>
      <w:pPr>
        <w:pStyle w:val="BookText"/>
        <w:rPr/>
      </w:pPr>
      <w:r>
        <w:rPr>
          <w:rFonts w:ascii="Amiri" w:hAnsi="Amiri" w:eastAsia="Amiri" w:cs="Amiri"/>
          <w:color w:val="111111"/>
          <w:sz w:val="28"/>
          <w:sz w:val="28"/>
          <w:szCs w:val="28"/>
          <w:rtl w:val="true"/>
          <w:lang w:bidi="ar-SA"/>
        </w:rPr>
        <w:t>حكي عن كثير من الصحابة والتابعين جواز المسح على الخفّين ، في الحضر والسفر اختيارا من دون ضرورة تقتضيه ، وانّ المكلّف مخيّر بمباشرة الرجلين بالغَسْل ، والخفّين بالمسح ، مع اتّفاقهم على عدم جواز المسح على الرجلين مكان الغَسْل اختيارا واضطرارا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انّ لفيفا من الصحابة وأئمّة أهل البيت قاطبة ، أنكروا جواز المسح على الخفّين ، أشدّ الإنكار كما ستوافيك كلماتهم وفي مقدّمتهم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بن أبي 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حبر الأمّة عبد الله 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المؤمنين عائشة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عمر ، وإن حكي عنه العدول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مالك على إحدى الروايتين ، فقد أنكر جواز المسح على الخفّين في آخر أيّامه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مالك فإحدى الروايتين عنه انّه أنكر جواز المسح على الخفّين ، ولا نزاع انّه كان في علم الحديث كالشمس الطالعة فلو لا انّه عرف فيه ضعفا وإلاّ لما قال ذلك ، والرواية الثانية عن مالك انّه ما أباح المسح على الخفّين للمقيم وأباحه للمسافر مهما شاء من غير تقدير فيه</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وروى النووي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مالك ست روايات ، 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المسح ،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ولكنّه يكره ،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أبدا وهي الأشهر عنه والأرجح عند أصحابه ،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مؤقتا ،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للمسافر دون الحاضر ،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عكسه</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بكر محمد بن داود الظاهري ، وهو ابن داود الذي ينسب إليه المذهب الظاهري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هذا هو موقف الصحابة والتابعين وإمام الظاهريّة في المسألة ، والمهم هو دراسة الأدلّة ، فإنّ الإجماع غير محقّق في المسألة وقد عرفت وجود الاختلاف بينهم ، وقبل أن ندخل في صلب الموضوع نرى من الأجدر أن نشير إلى نكتة مهمة في المقام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الاختلاف في الرأي إنّما يكون سائغا إذا كان نتيجة الاجتهاد في فهم الأدلّة ، كاختلاف المصلّين في غَسْل الأرجل ومَسْحِهما ، لأجل الاختلاف في 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وَامْسَحُوا بِرُؤُسِكُمْ وَأَرْجُلَكُمْ إِلَى الْكَعْبَيْنِ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حيث اختلفوا ـ في أنّها هل هي معطوفة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بِرُؤُسِكُمْ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مسحهما أو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الوجوه والأيدي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المذكورتين في الجملة السابقة فلا بد من </w:t>
      </w:r>
      <w:bookmarkStart w:id="150" w:name="pg10144_71288"/>
    </w:p>
    <w:p>
      <w:pPr>
        <w:pStyle w:val="BookText"/>
        <w:rPr/>
      </w:pPr>
      <w:bookmarkEnd w:id="150"/>
      <w:r>
        <w:rPr>
          <w:rFonts w:ascii="Amiri" w:hAnsi="Amiri" w:eastAsia="Amiri" w:cs="Amiri"/>
          <w:color w:val="111111"/>
          <w:sz w:val="28"/>
          <w:sz w:val="28"/>
          <w:szCs w:val="28"/>
          <w:rtl w:val="true"/>
          <w:lang w:bidi="ar-SA"/>
        </w:rPr>
        <w:t>غسلهما؟ فبذلك صار المسلمون على طائفتين مختلفتين في حكم الأرجل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النوع من الاختلاف إنّما يتصوّر فيما إذا كان في المسألة دليل من الكتاب والسنّة قابل للاجتهاد وبالتالي قابل للاختلاف في الاستظهار ، وأمّا إذا لم يكن فيها أيّ دليل لفظي ، غير ادّعاء رؤية عمل النبي وانّه كان يمسح على الخفّين فالاختلاف في مثلها عجيب جدّا ، لأنّه صلى الله عليه وآله وسلم كان يتوضّأ أمام الناس ، ليله ونهاره وكان الناس يتسابقون بالتبرّك بماء وضوئه ، ومع ذلك صارت الصحابة بعد رحيله على صنفين ، بين مثبت للمسح على الخفّين مطلقا ، وناف كذلك ، ومفصل بين الحضر والسفر ، مع أنّ الطائفة النافية كانوا هم الذين يلازمونه طيلة حياته ، في إقامته وظعنه كعلي وعائشة وكانوا يعدّون شعارا بالنسبة إليه صلى الله عليه وآله وسلم لا دثارا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فالمتّبع هو الدليل ، وإليك دراسة أدلّة النافين ، فقد احتجّوا بالكتاب والسنّة واتّفاق أئمّة أهل البيت</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1165493_1067777946"/>
      <w:bookmarkStart w:id="152" w:name="_Toc54"/>
      <w:bookmarkEnd w:id="151"/>
      <w:r>
        <w:rPr/>
        <w:t>1</w:t>
      </w:r>
      <w:r>
        <w:rPr>
          <w:rtl w:val="true"/>
        </w:rPr>
        <w:t xml:space="preserve">. </w:t>
      </w:r>
      <w:r>
        <w:rPr>
          <w:rtl w:val="true"/>
        </w:rPr>
        <w:t>الاحتجاج بالكتاب العزيز</w:t>
      </w:r>
      <w:bookmarkEnd w:id="152"/>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وَامْسَحُوا بِرُؤُسِكُمْ وَأَرْجُلَكُمْ إِلَى الْكَعْبَيْنِ </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فظاهر الآية فرض مباشرة الأرجل نفسها والمسح على الخفّين ليس مسحا على الأرجل ، والآية ، في سورة المائدة المشتملة على آية الوضوء ، وهي آخر سورة نزلت على النبي كما نصّت عليه أمّ المؤمنين عائشة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الحاكم عن جبير بن نفير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فدخلت على عائشة وقالت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جبير تقرأ المائدة؟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إنّها آخر سورة نزلت ، فما وجدتم </w:t>
      </w:r>
      <w:bookmarkStart w:id="153" w:name="pg10144_71289"/>
    </w:p>
    <w:p>
      <w:pPr>
        <w:pStyle w:val="BookText"/>
        <w:rPr/>
      </w:pPr>
      <w:bookmarkEnd w:id="153"/>
      <w:r>
        <w:rPr>
          <w:rFonts w:ascii="Amiri" w:hAnsi="Amiri" w:eastAsia="Amiri" w:cs="Amiri"/>
          <w:color w:val="111111"/>
          <w:sz w:val="28"/>
          <w:sz w:val="28"/>
          <w:szCs w:val="28"/>
          <w:rtl w:val="true"/>
          <w:lang w:bidi="ar-SA"/>
        </w:rPr>
        <w:t>فيها من حلال فاستحلّوه ، وما وجدتم من حرام فحرّموه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أيضا عن عبد الله بن عمرو ، انّ آخر سورة نزلت ،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ولم يخرجاه ، وأقرّه الذهبي وصححه</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وعلى هذا فليس لنا العدول عمّا في هذه السورة من الأحكام إلاّ بدليل قطعي يصحّ نسخ الكتاب به إذا قيل بجوازه في الحضر أو السفر اختيارا ولو مدة قصيرة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المفسرون على أنّ هذه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منسوخ فيها البتة إلاّ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تُحِلُّوا شَعائِرَ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بعضهم قال هذه الآية منسوخة ، وإذا كان كذلك امتنع القول بأنّ وجوب </w:t>
      </w:r>
      <w:r>
        <w:rPr>
          <w:rStyle w:val="FootnoteAnchor"/>
          <w:rtl w:val="true"/>
        </w:rPr>
        <w:footnoteReference w:id="173"/>
      </w:r>
      <w:r>
        <w:rPr>
          <w:rFonts w:ascii="Amiri" w:hAnsi="Amiri" w:eastAsia="Amiri" w:cs="Amiri"/>
          <w:color w:val="111111"/>
          <w:sz w:val="28"/>
          <w:sz w:val="28"/>
          <w:szCs w:val="28"/>
          <w:rtl w:val="true"/>
          <w:lang w:bidi="ar-SA"/>
        </w:rPr>
        <w:t>غسل الرجلين منسوخ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خبر المسح على الخفّين بتقدير انّه كان متقدّما على نزول الآية ، كان خبر الواحد منسوخا بالقرآن ، ولو كان بالعكس كان خبر الواحد ناسخا للقرآن</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ولا ينسخ القرآن بخبر الواحد مهما بلغ من الصحة</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1165495_1067777946"/>
      <w:bookmarkStart w:id="155" w:name="_Toc55"/>
      <w:bookmarkEnd w:id="154"/>
      <w:r>
        <w:rPr/>
        <w:t>2</w:t>
      </w:r>
      <w:r>
        <w:rPr>
          <w:rtl w:val="true"/>
        </w:rPr>
        <w:t xml:space="preserve">. </w:t>
      </w:r>
      <w:r>
        <w:rPr>
          <w:rtl w:val="true"/>
        </w:rPr>
        <w:t>الاحتجاج بالسنّة</w:t>
      </w:r>
      <w:bookmarkEnd w:id="15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البيهقي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النبي صلى الله عليه وآله وسلم مرّة مرّة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وضوء من لا تقبل له صلاة إلاّ به ، ثمّ توضّأ مرّتين مرّتين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وضوء من </w:t>
      </w:r>
      <w:bookmarkStart w:id="156" w:name="pg10144_71290"/>
    </w:p>
    <w:p>
      <w:pPr>
        <w:pStyle w:val="BookText"/>
        <w:rPr/>
      </w:pPr>
      <w:bookmarkEnd w:id="156"/>
      <w:r>
        <w:rPr>
          <w:rFonts w:ascii="Amiri" w:hAnsi="Amiri" w:eastAsia="Amiri" w:cs="Amiri"/>
          <w:color w:val="111111"/>
          <w:sz w:val="28"/>
          <w:sz w:val="28"/>
          <w:szCs w:val="28"/>
          <w:rtl w:val="true"/>
          <w:lang w:bidi="ar-SA"/>
        </w:rPr>
        <w:t xml:space="preserve">يضاعف له الأجر مرتين ، ثمّ توضّأ ثلاثا ثلاثا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وضوئي ووضوء المرسلين من قبلي</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ولا شكّ انّ النبي صلى الله عليه وآله وسلم باشر الفعل بالرجلين دون الخف ، لأنّه لو أوقع الفعل على الخفّين لم يحصل الإجزاء إلاّ به وذلك منفي اتفاقا ، وعلى ضوء ذلك فمن توضّأ ومسح على الخفّين لا تقبل صلاته حسب تصريح الرسول</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1165497_1067777946"/>
      <w:bookmarkStart w:id="158" w:name="_Toc56"/>
      <w:bookmarkEnd w:id="157"/>
      <w:r>
        <w:rPr/>
        <w:t>3</w:t>
      </w:r>
      <w:r>
        <w:rPr>
          <w:rtl w:val="true"/>
        </w:rPr>
        <w:t xml:space="preserve">. </w:t>
      </w:r>
      <w:r>
        <w:rPr>
          <w:rtl w:val="true"/>
        </w:rPr>
        <w:t>إجماع أئمة أهل البيت عليهم السلام</w:t>
      </w:r>
      <w:bookmarkEnd w:id="158"/>
    </w:p>
    <w:p>
      <w:pPr>
        <w:pStyle w:val="Heading4"/>
        <w:numPr>
          <w:ilvl w:val="3"/>
          <w:numId w:val="1"/>
        </w:numPr>
        <w:rPr/>
      </w:pPr>
      <w:bookmarkStart w:id="159" w:name="__RefHeading___Toc1165499_1067777946"/>
      <w:bookmarkStart w:id="160" w:name="_Toc57"/>
      <w:bookmarkEnd w:id="159"/>
      <w:r>
        <w:rPr>
          <w:rtl w:val="true"/>
        </w:rPr>
        <w:t>اشارة</w:t>
      </w:r>
      <w:bookmarkEnd w:id="160"/>
    </w:p>
    <w:p>
      <w:pPr>
        <w:pStyle w:val="BookText"/>
        <w:rPr/>
      </w:pPr>
      <w:r>
        <w:rPr>
          <w:rFonts w:ascii="Amiri" w:hAnsi="Amiri" w:eastAsia="Amiri" w:cs="Amiri"/>
          <w:color w:val="111111"/>
          <w:sz w:val="28"/>
          <w:sz w:val="28"/>
          <w:szCs w:val="28"/>
          <w:rtl w:val="true"/>
          <w:lang w:bidi="ar-SA"/>
        </w:rPr>
        <w:t>اتّفق أئمّة أهل البيت عليهم السلام على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تضافرت الروايات عنهم ، نذكر منها 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الشيخ الطوسي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صحيح عن زرارة بن أعين ، عن أبي جعفر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مسح الخفّين تقية؟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لا أتّقي فيهنّ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المسكر ، ومسح الخفّين ، ومتعة الحجّ </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الشيخ الطوسي بسنده عن أبي الورد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ظبيان حدّثني أنّه ـ رأى عليا عليه السلام ـ أراق الماء ثمّ مسح على الخفّين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 أبو ظبيان ، أما بلغك قول علي عليه السلام فيكم سبق الكتاب الخفّين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فيهما رخصة؟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إلاّ من عدوّ تقية ، أو ثلج تخاف على رجليك </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الطوسي عن زرارة ، عن أبي جعفر الباقر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عمر بن الخطاب أصحاب النبي صلى الله عليه وآله وسلم وفيهم عليّ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في المسح على الخفّين؟ فقام المغيرة بن شعبة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وآله وسلم يمسح الخفّين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المائدة أو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سبق الكتاب الخفّين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أنزلت المائدة قبل أن يقبض بشهرين أو ثلاثة </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الصدوق بإسناده عن ثابت الثمالي ، عن حبابة الوالبية في حديث عن أمير المؤمنين عليه السلام قالت سمعته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أهل بيت لا نمسح على الخفّين ، فمن كان من شيعتنا فليقتد بنا وليستنّ بسنتنا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مكان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ولم يعرف للنبيّ صلى الله عليه وآله وسلم خفّ إلاّ خفّ أهداه له النجاشي وكان موضع ظهر القدمين منه مشقوقا ، فمسح النبي صلى الله عليه وآله وسلم على رجليه وعليه خفّاه ،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مسح على خفّيه </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الصدوق بإسناده عن الأعمش ، عن جعفر بن محمد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شرائع الدين لمن أراد أن يتمسّك بها ، وأراد الله هداه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إسباغ الوضوء كما أمر الله في كتابه الناطق ، غسل الوجه واليدين إلى المرفقين ، ومسح الرأس والقدمين إلى الكعبين مرّة مرّة ومرّتان جائز ، ولا ينقض الوضوء إلاّ البول والريح والنوم والغائط والجنابة ، ومن مسح على الخفّين فقد خالف الله ورسوله وكتابه ، ووضوؤه لم يتمّ ، وصلاته غير مجزية</w:t>
      </w:r>
      <w:r>
        <w:rPr>
          <w:rFonts w:eastAsia="Amiri" w:cs="Amiri" w:ascii="Amiri" w:hAnsi="Amiri"/>
          <w:color w:val="111111"/>
          <w:sz w:val="28"/>
          <w:szCs w:val="28"/>
          <w:rtl w:val="true"/>
          <w:lang w:bidi="ar-SA"/>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61" w:name="pg10144_71292"/>
    </w:p>
    <w:p>
      <w:pPr>
        <w:pStyle w:val="BookText"/>
        <w:rPr/>
      </w:pPr>
      <w:bookmarkEnd w:id="161"/>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تضافر عن علي عليه السلام أنّه كان يحتج على القائل بالجواز ، بأنّ الكتاب سبق المسح على الخفّين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62" w:name="__RefHeading___Toc1165501_1067777946"/>
      <w:bookmarkStart w:id="163" w:name="_Toc58"/>
      <w:bookmarkEnd w:id="162"/>
      <w:r>
        <w:rPr>
          <w:rtl w:val="true"/>
        </w:rPr>
        <w:t>ما يدعم القول بالمنع</w:t>
      </w:r>
      <w:bookmarkEnd w:id="163"/>
    </w:p>
    <w:p>
      <w:pPr>
        <w:pStyle w:val="BookText"/>
        <w:rPr/>
      </w:pPr>
      <w:r>
        <w:rPr>
          <w:rFonts w:ascii="Amiri" w:hAnsi="Amiri" w:eastAsia="Amiri" w:cs="Amiri"/>
          <w:color w:val="111111"/>
          <w:sz w:val="28"/>
          <w:sz w:val="28"/>
          <w:szCs w:val="28"/>
          <w:rtl w:val="true"/>
          <w:lang w:bidi="ar-SA"/>
        </w:rPr>
        <w:t xml:space="preserve">إنّ هناك وجوها تدعم القول بالمنع نذكرها تباعا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روي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هؤلاء الذين يروون المسح هل مسح رسول الله صلى الله عليه وآله وسلم بعد نزول المائدة؟ والله ما مسح رسول الله صلى الله عليه وآله وسلم بعد نزول المائدة ، ولئن أمْسَحُ على ظهر عنز في الصلاة أحب إليّ من أن أمسح على الخفّين</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روي عن عائشة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تقطع قدماي أحبّ إليّ من أن أمسح على خفّين</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نعم نقل غير واحد انّ عليا وعائشة رجعا عن القول بالمنع ، إلى القول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انّ قولهم بالمنع ثابت عند الجميع ورجوعهم عمّا قالا ، خبر واحد لا يصح الاعتماد عليه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الإمام عليّا وعائشة كانا مع النبي ليله ونهاره ، فكيف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 عليهما كيفية وضوء النبي فأفتيا بالمنع ولمّا تبيّن الحق ، عدلا عن قولهما؟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الأخذ بالجواز لو كان متأخّرا عن نزول المائدة كان ناسخا للقرآن الكريم ، والقرآن لا ينسخ بخبر الواحد ، وقد اتّفق الأصوليون إلاّ من شذّ على ما</w:t>
      </w:r>
    </w:p>
    <w:p>
      <w:pPr>
        <w:pStyle w:val="BookText"/>
        <w:rPr/>
      </w:pPr>
      <w:r>
        <w:rPr>
          <w:rFonts w:ascii="Amiri" w:hAnsi="Amiri" w:eastAsia="Amiri" w:cs="Amiri"/>
          <w:color w:val="111111"/>
          <w:sz w:val="28"/>
          <w:sz w:val="28"/>
          <w:szCs w:val="28"/>
          <w:rtl w:val="true"/>
          <w:lang w:bidi="ar-SA"/>
        </w:rPr>
        <w:t xml:space="preserve">ذكرنا ، فلا محالة يكون الحديث معارضا للقرآن الكريم وقد روي عنه صلى الله عليه وآله وسلم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روي لكم عني حديث فأعرضوه على كتاب الله ، فإن وافقه فاقبلوه وإلاّ فردّوه </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اتّفق فقهاء السنّة على أنّ مسح البشرة لا يغني عن الغسل ، فالقول بأنّ المسح على الخفّين يغني عن غَسْل الرجلين أمر عجيب يخالف العقل الصريح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الاختلاف الشديد بين الفقهاء في الجواز وعدمه يوجب سقوط الروايات المجوزة والمانعة فلا محيص من الرجوع إلى ظاهر كتاب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المسح على الخفّين اختيارا مكان الغسل أو المسح لو كان أمرا مشروعا ، لعرفه الصحابة كلّهم ولم يقع بينهم نزاع ولبلغ مبلغ التواتر مع انّا نرى أنّ النزاع كان بينهم على قدم وساق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يدلّ على عدم الجواز ، وعلى فرض ثبوت المسح على الخفّين من النبي صلى الله عليه وآله وسلم يمكن الجمع بينه وبين الآية الكريمة بالوجهين التاليين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الأكرم صلى الله عليه وآله وسلم مسح على الخفّين في فترة خاصة قبل نزول آية الوضوء في سورة المائدة ، والكتاب نسخ ما أثر عن النبي صلى الله عليه وآله وسلم ، وبهذا يمكن الجمع بين جواز المسح على الخفّين ، ولزوم مباشرة الرجلين ، وما روي عن علي عليه السلام متضافرا بأنّه سبق الكتاب الخفّين يشير إلى ذلك ، وأنّ المسح على الخفّين كان رخصة من النبي صلى الله عليه وآله وسلم في فترة من الزمان ، غير أنّ الكتاب نسخ هذه الرخصة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 الله عليه وآله وسلم مسح على خفّ أهداه له النجاشي وكان موضع ظهر </w:t>
      </w:r>
      <w:bookmarkStart w:id="164" w:name="pg10144_71294"/>
    </w:p>
    <w:p>
      <w:pPr>
        <w:pStyle w:val="BookText"/>
        <w:rPr/>
      </w:pPr>
      <w:bookmarkEnd w:id="164"/>
      <w:r>
        <w:rPr>
          <w:rFonts w:ascii="Amiri" w:hAnsi="Amiri" w:eastAsia="Amiri" w:cs="Amiri"/>
          <w:color w:val="111111"/>
          <w:sz w:val="28"/>
          <w:sz w:val="28"/>
          <w:szCs w:val="28"/>
          <w:rtl w:val="true"/>
          <w:lang w:bidi="ar-SA"/>
        </w:rPr>
        <w:t xml:space="preserve">القدم منه مشقوقا غير مانع عن مسح البشرة ، فمسح النبي صلى الله عليه وآله وسلم على رجليه وعليه خفّاه ،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صلى الله عليه وآله وسلم مسح على خفّيه ، من دون التفات إلى أنّه لم يمسح على نفس الخفّ بل على الرجلين تحت الخفّ</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وبما ذكرنا من الوجهين يمكن الجمع بين ما نقل من النبي صلى الله عليه وآله وسلم من أنّه مسح على الخفّين وما يستفاد من الكتاب من لزوم مباشرة الرجلين وما عليه أئمّة أهل البيت عليهم السلام ولفيف من الصحابة وعلى رأسهم الإمام علي بن أبي طالب عليه السلام الذي عرفه النبي صلى الله عليه وآله وسلم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مع الحقّ والحقّ مع علي لا يفترقان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والذي قال الإمام الرازي في حقّه في مسألة الجهر بالبسملة ـ حيث كان علي عليه السلام يرى لزوم الجهر بالبسملة في الصلاة الجهرية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اتّخذ عليّا إماما لدينه فقد استمسك بالعروة الوثقى في دينه ونفسه</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إلى هنا تمت دراسة أدلّة القائلين بالمنع ، فهلمّ معي ندرس أدلّة القائلين بالجواز</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1165503_1067777946"/>
      <w:bookmarkStart w:id="166" w:name="_Toc59"/>
      <w:bookmarkEnd w:id="165"/>
      <w:r>
        <w:rPr>
          <w:rtl w:val="true"/>
        </w:rPr>
        <w:t>أدلّة القائلين بجواز المسح</w:t>
      </w:r>
      <w:bookmarkEnd w:id="166"/>
    </w:p>
    <w:p>
      <w:pPr>
        <w:pStyle w:val="Heading5"/>
        <w:numPr>
          <w:ilvl w:val="4"/>
          <w:numId w:val="1"/>
        </w:numPr>
        <w:rPr/>
      </w:pPr>
      <w:bookmarkStart w:id="167" w:name="__RefHeading___Toc1165505_1067777946"/>
      <w:bookmarkStart w:id="168" w:name="_Toc60"/>
      <w:bookmarkEnd w:id="167"/>
      <w:r>
        <w:rPr>
          <w:rtl w:val="true"/>
        </w:rPr>
        <w:t>اشارة</w:t>
      </w:r>
      <w:bookmarkEnd w:id="168"/>
    </w:p>
    <w:p>
      <w:pPr>
        <w:pStyle w:val="BookText"/>
        <w:rPr/>
      </w:pPr>
      <w:r>
        <w:rPr>
          <w:rFonts w:ascii="Amiri" w:hAnsi="Amiri" w:eastAsia="Amiri" w:cs="Amiri"/>
          <w:color w:val="111111"/>
          <w:sz w:val="28"/>
          <w:sz w:val="28"/>
          <w:szCs w:val="28"/>
          <w:rtl w:val="true"/>
          <w:lang w:bidi="ar-SA"/>
        </w:rPr>
        <w:t xml:space="preserve">قد تعرفت على أدلّة القائلين بالمنع ، فهلمّ معي ندرس أدلّة القائلين بالجواز ، وهي عبارة عن عدّة روايات </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1165507_1067777946"/>
      <w:bookmarkStart w:id="170" w:name="_Toc61"/>
      <w:bookmarkEnd w:id="169"/>
      <w:r>
        <w:rPr>
          <w:rtl w:val="true"/>
        </w:rPr>
        <w:t xml:space="preserve">الأوّل </w:t>
      </w:r>
      <w:r>
        <w:rPr>
          <w:rtl w:val="true"/>
        </w:rPr>
        <w:t xml:space="preserve">: </w:t>
      </w:r>
      <w:r>
        <w:rPr>
          <w:rtl w:val="true"/>
        </w:rPr>
        <w:t>رواية جرير بن عبد الله البجلي</w:t>
      </w:r>
      <w:bookmarkEnd w:id="17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القائلون بالجواز بما رواه مسلم في صحيحه عن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w:t>
      </w:r>
    </w:p>
    <w:p>
      <w:pPr>
        <w:pStyle w:val="BookText"/>
        <w:rPr/>
      </w:pPr>
      <w:r>
        <w:rPr>
          <w:rFonts w:ascii="Amiri" w:hAnsi="Amiri" w:eastAsia="Amiri" w:cs="Amiri"/>
          <w:color w:val="111111"/>
          <w:sz w:val="28"/>
          <w:sz w:val="28"/>
          <w:szCs w:val="28"/>
          <w:rtl w:val="true"/>
          <w:lang w:bidi="ar-SA"/>
        </w:rPr>
        <w:t xml:space="preserve">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إبراهيم الأدهم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في المسح على الخفّين أحسن من حديث جرير</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فأخرج مسلم عن الأعمش ، عن إبراهيم ، عن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 جرير ثمّ توضّأ ومسح على خفّيه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تفعل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رأيت رسول الله صلى الله عليه وآله وسلم بال ثمّ توضأ ومسح على خفّيه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الأعمش ، 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يعجبهم هذا الحديث ، لأنّ إسلام جرير كان بعد نزول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فسر النووي وجه إعجابهم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قال في سورة المائدة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فَاغْسِلُوا وُجُوهَكُمْ وَأَيْدِيَكُمْ إِلَى الْمَرافِقِ وَامْسَحُوا بِرُؤُسِكُمْ وَأَرْجُلَكُمْ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إسلام جرير متقدّما على نزول المائدة ، لاحتمل كون حديثه في مسح الخف منسوخا بآية المائدة ، فلمّا كان إسلامه متأخّرا علمنا أنّ حديثه يعمل به ، وهو مبين انّ المراد بآية المائدة غير صاحب الخف ، والسنّة مخصّصة للآية ، والله أعلم</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خبر واحد لا ينسخ الكتاب به ، فان للكتاب العزيز مكانة عظيمة لا يجاريه شيء سوى السنة المتواترة أو الخبر المحفوف بالقرائن المفيدة للعلم لا الخبر الواحد فضلا عن حديث يتعجّب راويه عن عمل جرير ، فلو كان شيئا شائعا بين المسلمين لما تعجّب منه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الاحتجاج به فرع أن يكون إسلام جرير بعد نزول المائدة وهو غير ثابت ، بل الثابت خلافه حيث أسلم قبله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جزم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جريرا أسلم قبل وفاة النبي صلى الله عليه وآله وسلم بأربعين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غلط ، ففي الصحيحين عنه انّ النبي صلى الله عليه وآله وسلم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استنصت الناس في حجة الوداع ، وجزم الواقدي بأنّه وفد على النبي صلى الله عليه وآله وسلم في شهر رمضان سنة عشر وانّ بعثه إلى ذي الخلصة كان بعد ذلك وانّه وافى مع النبي حجّة الوداع من عامه ـ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إنّ الشعبي حدّث عن جرير انّه قال لنا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أخاكم النجاشي قد مات ، أخرجه الطبراني فهذا يدلّ على أنّ إسلام جرير كان قبل سنة عشر ، لأنّ النجاشي مات قبل ذلك</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النجاشي قد توفي في حياة النبي في شهر رجب سنة تسع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أخا لكم قد مات بأرض الحبشة ، فخرج بهم إلى الصحراء وصفّهم صفوفا ، ثمّ صلّى عليه ، فنقل بعض العلماء انّ ذلك كان في شهر رجب سنة تسع من الهجرة</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ونقل في الموسوعة العربية العالمية أنّه توفّى في عام تسع من الهجرة يعادل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وعلى ضوء هذا فلا يصحّ الاحتجاج بخبر جرير ، لأنّه من المحتمل جدّا أن يكون عمل النبي قبل نزول المائدة بكثير ، فنسخته سورة المائدة كما 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سبق الكتاب الخفّين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احتملنا أنّ إسلامه كان بعد سورة المائدة ، فهو خبر واحد لا ينسخ به </w:t>
      </w:r>
      <w:bookmarkStart w:id="171" w:name="pg10144_71297"/>
    </w:p>
    <w:p>
      <w:pPr>
        <w:pStyle w:val="BookText"/>
        <w:rPr/>
      </w:pPr>
      <w:bookmarkEnd w:id="171"/>
      <w:r>
        <w:rPr>
          <w:rFonts w:ascii="Amiri" w:hAnsi="Amiri" w:eastAsia="Amiri" w:cs="Amiri"/>
          <w:color w:val="111111"/>
          <w:sz w:val="28"/>
          <w:sz w:val="28"/>
          <w:szCs w:val="28"/>
          <w:rtl w:val="true"/>
          <w:lang w:bidi="ar-SA"/>
        </w:rPr>
        <w:t>الكتاب فان للكتاب ، منزلة عظيمة لا يعادلها شيء</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1165509_1067777946"/>
      <w:bookmarkStart w:id="173" w:name="_Toc62"/>
      <w:bookmarkEnd w:id="172"/>
      <w:r>
        <w:rPr>
          <w:rtl w:val="true"/>
        </w:rPr>
        <w:t xml:space="preserve">الثاني </w:t>
      </w:r>
      <w:r>
        <w:rPr>
          <w:rtl w:val="true"/>
        </w:rPr>
        <w:t xml:space="preserve">: </w:t>
      </w:r>
      <w:r>
        <w:rPr>
          <w:rtl w:val="true"/>
        </w:rPr>
        <w:t>رواية المغيرة بن شعبة</w:t>
      </w:r>
      <w:bookmarkEnd w:id="173"/>
    </w:p>
    <w:p>
      <w:pPr>
        <w:pStyle w:val="BookText"/>
        <w:rPr/>
      </w:pPr>
      <w:r>
        <w:rPr>
          <w:rFonts w:ascii="Amiri" w:hAnsi="Amiri" w:eastAsia="Amiri" w:cs="Amiri"/>
          <w:color w:val="111111"/>
          <w:sz w:val="28"/>
          <w:sz w:val="28"/>
          <w:szCs w:val="28"/>
          <w:rtl w:val="true"/>
          <w:lang w:bidi="ar-SA"/>
        </w:rPr>
        <w:t xml:space="preserve">أخرج مسلم بسنده عن الأسود بن هلال ، عن المغيرة بن شعبة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مع رسول الله صلى الله عليه وآله وسلم ذات ليلة إذ نزل فقضى حاجته ، ثمّ جاء فصببت عليه من إداوَة كان معي ، فتوضّأ ومسح على خفّيه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أخرجه بطرق أخرى كلّها تنتهي إلى المغيرة بن شعبة</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يلاحظ على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المغيرة بن شعبة لا يحتج بحديثه لسوابقه النكراء قبل إسلامه وبعده على الرغم من أنّ له في الصحيحين اثني عشر حديثا ، ويكفي في ذلك ما نتلوه عليك من جريمته المروّعة على قومه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المغيرة مع نفر من بني مالك على المقوقس فأهدى لهم ما أهدى ، فلمّا خرجوا من عنده أقبلت بنو مالك يشترون هدايا لأهلهم فخرجوا وحملوا معهم الخمر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نشرب الخمر فأجمعت على قتلهم فتمارضت ، وعصبت رأسي ، فوضعوا شرابهم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رأسي يُصدَّع ولكنّي أُسقيكم فلم ينكروا ، فجعلت أسرف لهم ، وأترع لهم جميعا الكأس ، فيشربون ولا يدرون حتى ناموا سكرا ، فوثبت وقتلتهم جميعا وأخذت ما معهم ، فقدمت على النبي صلى الله عليه وآله وسلم فوجدته جالسا في المسجد مع أصحابه وعليّ ثياب سفر ، فسلّمت ، 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مصر أقبلتم؟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المالكيون؟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قتلتهم ، وأخذت أسلابهم ، وجئت بها إلى رسول الله ليخمسها ، فقال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إسلامك فنقبله ولا آخذ من أموالهم </w:t>
      </w:r>
    </w:p>
    <w:p>
      <w:pPr>
        <w:pStyle w:val="BookText"/>
        <w:rPr/>
      </w:pPr>
      <w:r>
        <w:rPr>
          <w:rFonts w:ascii="Amiri" w:hAnsi="Amiri" w:eastAsia="Amiri" w:cs="Amiri"/>
          <w:color w:val="111111"/>
          <w:sz w:val="28"/>
          <w:sz w:val="28"/>
          <w:szCs w:val="28"/>
          <w:rtl w:val="true"/>
          <w:lang w:bidi="ar-SA"/>
        </w:rPr>
        <w:t xml:space="preserve">شيئا ، لأنّ هذا غدر ولا خير في الغدر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فأخذني ما قرب وما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قتلتهم وأنا على دين قومي ، ثمّ أسلمت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الإسلام يجبّ ما كان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قتل منهم ثلاثة عشر</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هذه جريمته النكراء في عهد الجاهلية وتكشف عن خبث باطنه وطينته حيث قتل ثلاثة عشر شخصا من أرحامه طمعا في أموالهم ، والإسلام وإن كان يجبّ ما قبله من حيث الحكم التكليفي ، إلاّ أنّه لا يغيّر خبث سريرة الإنسان الذي شبّ عليه إلاّ بالعكوف على باب التوبة والانقطاع إلى الأعمال الحسنة والتداوم عليها والتي تنمّ عن تبدّل حاله وإيقاظ ضميره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صحيفة حياته السوداء قبل الإسلام ، وأمّا بعده فلم تختلف كثيرا ، ويشهد على ذلك الأمور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الذهبي عن عبد الله بن ظالم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المغيرة ينال في خطبته من علي ، وأقام خطباء ينالون منه ، وذكر الحديث في العشرة المشهود لهم بالجنة لسعيد بن زيد</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معاوية وضع قوما من الصحابة وقوما من التابعين على رواية أخبار قبيحة في علي عليه السلام تقتضي الطعن فيه والبراءة منه ، وجعل على ذلك جعلا يرغب في مثله ، فاختلقوا ما أرضوه ، منهم المغيرة بن شعبة</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أحمد في مسنده عن قطبة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 المغيرة بن شعبة من </w:t>
      </w:r>
    </w:p>
    <w:p>
      <w:pPr>
        <w:pStyle w:val="BookText"/>
        <w:rPr/>
      </w:pPr>
      <w:r>
        <w:rPr>
          <w:rFonts w:ascii="Amiri" w:hAnsi="Amiri" w:eastAsia="Amiri" w:cs="Amiri"/>
          <w:color w:val="111111"/>
          <w:sz w:val="28"/>
          <w:sz w:val="28"/>
          <w:szCs w:val="28"/>
          <w:rtl w:val="true"/>
          <w:lang w:bidi="ar-SA"/>
        </w:rPr>
        <w:t xml:space="preserve">علي ، فقال 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رسول الله صلى الله عليه وآله وسلم كان ينهى عن سبّ الموتى فلم تسبّ عليّا وقد مات</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أخرج أيضا في مسنده أحاديث نيله من أمير المؤمنين عليه السلام في خطبته واعتراض سعيد بن زيد عليه</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الجوزي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الأذكياء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الخطباء إلى المغيرة بن شعبة بالكوفة ، فقام صعصعة بن صوحان فتكلّم ، فقال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أرجوه فأقيموه على المصطبة فليلعن عليا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من لعن الله ولعن علي بن أبي طالب ، فأخبره بذلك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بالله لتقيّدنه ، فخرج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يأبى إلاّ علي بن أبي طالب فالعنوه لعنه الله ، فقال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 أخرج الله نفسه</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إنّ سوابقه تحكي على أنّه كان داهية يستغل دهاءه لنيل مآربه بأي قيمة كانت وإن انتهت على حساب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الذهبي أنّ معاوية دعا عمرو بن العاص بالكوفة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على الكوفة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بمصر؟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عليها ابنك عبد الله بن عمرو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فنعم ، فبينا هم على ذلك جاء المغيرة بن شعبة ـ وكان معتزلا بالطائف ـ فناجاه معاوية ، فقال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تؤمّر عمرا على الكوفة ، وابنه على مصر وتكون كالقاعد بين لحيي الأسد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أكفيك الكوفة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لعمرو حين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رأيت كذا ، ففهم عمرو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أدلّك على أمير 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 واستغن برأيه وقوته عن المكيدة ، واعزله عن</w:t>
      </w:r>
    </w:p>
    <w:p>
      <w:pPr>
        <w:pStyle w:val="BookText"/>
        <w:rPr/>
      </w:pPr>
      <w:r>
        <w:rPr>
          <w:rFonts w:ascii="Amiri" w:hAnsi="Amiri" w:eastAsia="Amiri" w:cs="Amiri"/>
          <w:color w:val="111111"/>
          <w:sz w:val="28"/>
          <w:sz w:val="28"/>
          <w:szCs w:val="28"/>
          <w:rtl w:val="true"/>
          <w:lang w:bidi="ar-SA"/>
        </w:rPr>
        <w:t xml:space="preserve">المال ، قد كان قبلك عمر وعثمان فعلا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رأيت ، فدخل عليه المغيرة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أمّرتك على الجند والأرض ، ثمّ ذكرت سنّة عمر وعثمان قبلي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وكفت سنّة عمر وعثمان في حقّه في الدلالة على مدى ما كان يتمتّع به الرجل من الأمانة والورع في حقوق المسلمين وأموالهم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يشهد على موبقات الرجل وانّه لم يتغير عمّا كان عليه في عصر الجاهلية انّه اتّهم بالزنا وهو أمير الكوفة في عصر الخليفة عمر بن الخطاب وشهد عليه شهود أربعة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بكرة ونافع وشبل فشهدوا على أنّهم رأوه يولجه ويخرجه ويلج ولوج المِرْوَد في المكحلة فلمّا حاول رابع الشهود وهو زياد بن أبيه حاول الخليفة أن يدرأ عنه الحد للشبهة فخاطبه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لأرى رجلا لم يخز الله على لسانه رجلا من المهاجرين ، فقال له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أرأيته يدخله كالميل في المكحلة؟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ولكنّي رأيت مجلسا قبيحا وسمعت نَفَسا عاليا ورأيته متبطّنها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درأ عنه الحدّ بالشبهة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مكانة الرجل بين المسلمين ، أفيمكن أن يقبل حديث ذلك الرجل في أمر عبادي يمارسه المسلمون في نهارهم وليلهم؟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نفترض انّه رجل يحتج بحديثه وانّ الإسلام جبّ ما قبله ، ولكنّه من أين ثبت انّ فعل النبي صلى الله عليه وآله وسلم كان بعد نزول المائدة؟ إذ من المحتمل أن يكون قبله بكثير ، وقد أسلم الرجل قبل صلح الحديبية الذي كان في العام السادس ، ويؤيد </w:t>
      </w:r>
      <w:bookmarkStart w:id="174" w:name="pg10144_71301"/>
    </w:p>
    <w:p>
      <w:pPr>
        <w:pStyle w:val="BookText"/>
        <w:rPr/>
      </w:pPr>
      <w:bookmarkEnd w:id="174"/>
      <w:r>
        <w:rPr>
          <w:rFonts w:ascii="Amiri" w:hAnsi="Amiri" w:eastAsia="Amiri" w:cs="Amiri"/>
          <w:color w:val="111111"/>
          <w:sz w:val="28"/>
          <w:sz w:val="28"/>
          <w:szCs w:val="28"/>
          <w:rtl w:val="true"/>
          <w:lang w:bidi="ar-SA"/>
        </w:rPr>
        <w:t xml:space="preserve">ذلك ما رواه الذهبي عن أبي إدريس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المغيرة بن شعبة دمشق فسألته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وضّأت رسول الله صلى الله عليه وآله وسلم في غزوة تبوك فمسح على خفّيه</w:t>
      </w:r>
      <w:r>
        <w:rPr>
          <w:rFonts w:eastAsia="Amiri" w:cs="Amiri" w:ascii="Amiri" w:hAnsi="Amiri"/>
          <w:color w:val="111111"/>
          <w:sz w:val="28"/>
          <w:szCs w:val="28"/>
          <w:rtl w:val="true"/>
          <w:lang w:bidi="ar-SA"/>
        </w:rPr>
        <w:t xml:space="preserve">. </w:t>
      </w:r>
      <w:r>
        <w:rPr>
          <w:rStyle w:val="FootnoteAnchor"/>
          <w:rtl w:val="true"/>
        </w:rPr>
        <w:footnoteReference w:id="199"/>
      </w:r>
    </w:p>
    <w:p>
      <w:pPr>
        <w:pStyle w:val="Heading5"/>
        <w:numPr>
          <w:ilvl w:val="4"/>
          <w:numId w:val="1"/>
        </w:numPr>
        <w:rPr/>
      </w:pPr>
      <w:bookmarkStart w:id="175" w:name="__RefHeading___Toc1165511_1067777946"/>
      <w:bookmarkStart w:id="176" w:name="_Toc63"/>
      <w:bookmarkEnd w:id="175"/>
      <w:r>
        <w:rPr>
          <w:rtl w:val="true"/>
        </w:rPr>
        <w:t xml:space="preserve">الثالث </w:t>
      </w:r>
      <w:r>
        <w:rPr>
          <w:rtl w:val="true"/>
        </w:rPr>
        <w:t xml:space="preserve">: </w:t>
      </w:r>
      <w:r>
        <w:rPr>
          <w:rtl w:val="true"/>
        </w:rPr>
        <w:t>دراسة سائر الروايات</w:t>
      </w:r>
      <w:bookmarkEnd w:id="176"/>
    </w:p>
    <w:p>
      <w:pPr>
        <w:pStyle w:val="BookText"/>
        <w:rPr/>
      </w:pPr>
      <w:r>
        <w:rPr>
          <w:rFonts w:ascii="Amiri" w:hAnsi="Amiri" w:eastAsia="Amiri" w:cs="Amiri"/>
          <w:color w:val="111111"/>
          <w:sz w:val="28"/>
          <w:sz w:val="28"/>
          <w:szCs w:val="28"/>
          <w:rtl w:val="true"/>
          <w:lang w:bidi="ar-SA"/>
        </w:rPr>
        <w:t xml:space="preserve">قد روى غير واحد من المحدّثين فعل النبي في السفر أو في السفر والحضر وأنّه مسح على الخفّين ، والغالب عليها هو نقل فعل النبي من دون أن يذكر فيها لفظه وأنّه أمر لفظا بالمسح على الخفّين ، وعلى فرض أنّه أمر بالمسح على الخفين لم تُعيّن ظروف العمل ، وقد جمع أبو بكر البيهقي عامّة الروايات في السنن ، فنذكر قسما كبيرا ممّا رواه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سعد بن أبي وقّاص أنّ رسول الله صلى الله عليه وآله وسلم مسح على الخفّين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حذيفة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رسول الله إلى سباطة قوم فبال قائماً ، ثمّ دعا بماء فجئته بماء فتوضّأ ومسح على خفّيه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 في الصحيح عن آدم بن أبي إياس ، ورواه مسلم من وجه آخر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وكفى في ضعف الرواية الثانية أنّه نسب إلى النبي صلى الله عليه وآله وسلم ما لا يليق بمنزلته ومكانته ولا يرتكبه إلاّ الأراذل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يمكن أن ينسب إلى النبي صلى الله عليه وآله وسلم انّه بال قائماً مع أنّ المروي عن ابن مسعود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الجفاء أن تبول وأنت قائم ، وكان سعد بن إبراهيم لا يجيز شهادة من بال قائماً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حدّثكم انّ رسول الله صلى الله عليه وآله وسلم كان يبول قائماً فلا تصدّقوه ، ما كان يبول إلاّ قاعدا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ابن قدامة بعد ما نقل هذا حاول أن يصحّح الحديث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النبي صلى الله عليه وآله وسلم 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لتبيين الجواز ولم يفعله إلاّ مرة واحدة ، ويحتمل انّه في موضع لا يتمكّن من الجلوس فيه</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وما ذكر من الوجه الأوّل مردود بأنّ في إمكان الرسول أن يبيّن جواز المسح على الخفين بكلامه لا بفعله الذي يعد من صفات غير المبالين بأحكام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أخرج ابن ماجة في سننه عن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رآني رسول الله أبول قائماً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لا تبل قائماً</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مضافا إلى أنّ ظاهر الحديث أنّ النبي صلى الله عليه وآله وسلم لم يتطهّر من البول فلا بدّ من القول بالحذف والتقدير في جمل الحديث ، وعلى فرض الصحّة فهو ينقل فعل النبي صلى الله عليه وآله وسلم من دون أن يوقّت ظروفه فلا يكون حجّة في مقابل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كان قبل نزول آية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تظهر حال رواية سعد بن أبي وقاص حيث لم تعيّن ظرف العمل وانّه هل كان قبل نزول المائدة أو بعدها؟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جعفر بن أميّة بن الضمري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وآله وسلم مسح على عمامته وخفّيه ، والكلام في هذا الحديث هو نفس الكلام في الحديثين السابقين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كعب بن عجرة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وآله وسلم توضّأ ومسح على الخفّين والخمار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سليمان بن بريدة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وآله وسلم توضّأ مرّة مرّة ومسح على الخفّين ، وصلّى الصلوات كلّها بوضوء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صنعت شيئا ما كنت تصنعه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فعلته يا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 رسول الله صلى الله عليه وآله وسلم بفعله هذا يوم الفتح قبل نزول سورة المائدة بشهادة رواية بريدة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صلى الله عليه وآله وسلم يوم الفتح خمس صلوات بوضوء واحد ومسح على خفّيه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رأيتك صنعت شيئا لم تصنعه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صنعته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المقدام بن شريح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عائشة عن المسح على الخفّين؟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عليا فإنّه أعلم بذلك منّي ، فأتيت عليّا فسألته عن المسح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يأمرنا أن يمسح المقيم يوما وليلة والمسافر ثلاثا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يصحّ الاحتجاج به وبنظيره ما لم يثبت ظرف العمل وانّ فعل النبي كان بعد نزول سورة المائدة</w:t>
      </w:r>
      <w:r>
        <w:rPr>
          <w:rFonts w:eastAsia="Amiri" w:cs="Amiri" w:ascii="Amiri" w:hAnsi="Amiri"/>
          <w:color w:val="111111"/>
          <w:sz w:val="28"/>
          <w:szCs w:val="28"/>
          <w:rtl w:val="true"/>
          <w:lang w:bidi="ar-SA"/>
        </w:rPr>
        <w:t xml:space="preserve">. </w:t>
      </w:r>
      <w:r>
        <w:rPr>
          <w:rStyle w:val="FootnoteAnchor"/>
          <w:rtl w:val="true"/>
        </w:rPr>
        <w:footnoteReference w:id="202"/>
      </w:r>
      <w:bookmarkStart w:id="177" w:name="pg10144_71304"/>
    </w:p>
    <w:p>
      <w:pPr>
        <w:pStyle w:val="Heading4"/>
        <w:numPr>
          <w:ilvl w:val="3"/>
          <w:numId w:val="1"/>
        </w:numPr>
        <w:rPr/>
      </w:pPr>
      <w:bookmarkStart w:id="178" w:name="__RefHeading___Toc1165513_1067777946"/>
      <w:bookmarkStart w:id="179" w:name="_Toc64"/>
      <w:bookmarkEnd w:id="177"/>
      <w:bookmarkEnd w:id="178"/>
      <w:r>
        <w:rPr>
          <w:rtl w:val="true"/>
        </w:rPr>
        <w:t>تساؤلات حول مسألة المسح على الخفّين</w:t>
      </w:r>
      <w:bookmarkEnd w:id="179"/>
    </w:p>
    <w:p>
      <w:pPr>
        <w:pStyle w:val="BookText"/>
        <w:rPr/>
      </w:pPr>
      <w:r>
        <w:rPr>
          <w:rFonts w:ascii="Amiri" w:hAnsi="Amiri" w:eastAsia="Amiri" w:cs="Amiri"/>
          <w:color w:val="111111"/>
          <w:sz w:val="28"/>
          <w:sz w:val="28"/>
          <w:szCs w:val="28"/>
          <w:rtl w:val="true"/>
          <w:lang w:bidi="ar-SA"/>
        </w:rPr>
        <w:t xml:space="preserve">ثمّ إنّ هناك تساؤلات حول هذه المسألة نطرحها على صعيد البحث والدراسة ، ولعلّ الفقيه المفتي بجواز المسح على الخفّين في عصرنا هذا يجد لها أجوبة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شكّ أنّ الوضوء وإن كان عبادة وشرطا في صحّة الصلاة ولكنّه في الوقت نفسه تطهير للمتوضّئ يقول سبحانه في ذيل آية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يُرِيدُ لِيُطَهِّرَكُمْ وَلِيُتِمَّ نِعْمَتَهُ عَلَيْكُمْ لَعَلَّكُمْ تَشْكُرُونَ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فإذا كان الوضوء كالغسل والتيمّم سببا للتطهير فهو فرع مباشرة الرجلين لا الخفّين والنعلين ولا الجوربين ، فان المسح عليها لا يستتبع طهارة إن لم يؤثر في انفعال اليد بالأوساخ التي على الخفّين أو النعلين أو الجوربين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فتجويزه في الحضر والسفر اختيارا مؤقتا أو غير مؤقت على خلاف النظافة التي دعا إليها الإسلام في غير واحد من تعاليمه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المسح على الخفّين مسألة فقهية فرعية اختلف فيها الصحابة والتابعون ، وقد اشتهر عن علي وابن عباس وعائشة وأئمة أهل البيت قاطبة وغيرهم المنع عنه ، وكان الإمام عليه السلام وتلميذه حبر الأمّة يستدلاّن بأنّ آية الوضوء نسخت هذا ، ومع هذا فلا يتجاوز الاختلاف فيه عن الاختلاف في الحكم</w:t>
      </w:r>
    </w:p>
    <w:p>
      <w:pPr>
        <w:pStyle w:val="BookText"/>
        <w:rPr/>
      </w:pPr>
      <w:r>
        <w:rPr>
          <w:rFonts w:ascii="Amiri" w:hAnsi="Amiri" w:eastAsia="Amiri" w:cs="Amiri"/>
          <w:color w:val="111111"/>
          <w:sz w:val="28"/>
          <w:sz w:val="28"/>
          <w:szCs w:val="28"/>
          <w:rtl w:val="true"/>
          <w:lang w:bidi="ar-SA"/>
        </w:rPr>
        <w:t xml:space="preserve">الفرعي ، وما أكثر الخلاف في الأحكام الفرعية ؛ ومع ذلك نرى أنّ شهاب الدّين أحمد بن محمد القسطلاني ينقل في شرحه على صحيح البخاري عن الكرخي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الكفر على من لا يرى المسح على الخفّين ، وليس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بمنسوخ ، لحديث مغيرة في غزوة تبوك وهي آخر غزواته صلى الله عليه وآله وسلم والمائدة نزلت قبلها في غزوة المريسيع ، فأين النسخ للمسح</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ولا يخفى ما في كلامه من الوهن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ذكره لا يخلو من المغالاة في القول ، إذ أي ملازمة بين عدم تجويز المسح على الخفّين والخروج عن حظيرة الإسلام ، وليس في المسألة إلاّ خبر واحد كخبر المغيرة ، غير المفيد علما ولا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واتّهام المخالف بالكفر سيئة موبقة ، وقد 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كفّر الرجل أخاه فقد باء بها أحدهما </w:t>
      </w:r>
      <w:r>
        <w:rPr>
          <w:rFonts w:eastAsia="Amiri" w:cs="Amiri" w:ascii="Amiri" w:hAnsi="Amiri"/>
          <w:color w:val="111111"/>
          <w:sz w:val="28"/>
          <w:szCs w:val="28"/>
          <w:rtl w:val="true"/>
          <w:lang w:bidi="ar-SA"/>
        </w:rPr>
        <w:t xml:space="preserve">». </w:t>
      </w:r>
      <w:r>
        <w:rPr>
          <w:rStyle w:val="FootnoteAnchor"/>
          <w:rtl w:val="true"/>
        </w:rPr>
        <w:footnoteReference w:id="20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المائدة نزلت قبل رحيله صلى الله عليه وآله وسلم بثلاثة أشهر أو أقلّ ، وأمّا غزوة المريسيع ، فقد كانت في شهر شعبان من العام السادس من الهجرة ، وقيل قبله</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نعم نزل فيها آية التيمّم وهي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تَقْرَبُوا الصَّلاةَ وَأَنْتُمْ سُكارى حَتَّى تَعْلَمُوا ما تَقُولُونَ وَلا جُنُباً إِلاَّ عابِرِي سَبِيلٍ حَتَّى تَغْتَسِلُوا وَإِنْ كُنْتُمْ مَرْضى أَوْ عَلى سَفَرٍ أَوْ جاءَ أَحَدٌ مِنْكُمْ مِنَ الْغائِطِ أَوْ لامَسْتُمُ النِّساءَ فَلَمْ تَجِدُوا ماءً فَتَيَمَّمُوا صَعِيداً طَيِّباً فَامْسَحُوا بِوُجُوهِكُمْ وَأَيْدِيكُمْ إِنَّ اللهَ كانَ عَفُوًّا غَفُوراً </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يشهد على أنّ النزاع بين الصحابة والتابعين في مسألة المسح على الخفّين كان على قدم وساق انّ بعض من يروي المسح على الخفّين عن النبي صلى الله عليه وآله وسلم يعمل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البيهقي عن عبد الرحمن بن أبي بكرة ، عن أبيه أنّ رسول الله صلى الله عليه وآله وسلم سئل عن المسح على الخفّين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للمسافر ثلاثة أيام ولياليهنّ وللمقيم يوم وليلة ، وكان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ينزع خفّيه ويغسل رجليه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ولما كان ذيل الحديث يوجد وهنا فيما يرويه عن النبي صلى الله عليه وآله وسلم حيث إنّ عمله كان على خلاف روايته ، حاول غير واحد من المحدّثين تصحيحه</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الظاهر من غير واحد من الروايات التي نقلها البيهقي في سننه أنّه يجوز المسح على الخفّين في السفر والحضر جميعا ، وقد عقد بابا بهذا العنوان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مسح النبي صلى الله عليه وآله وسلم على الخفّين في السفر والحضر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عرفت رواية حذيفة وأسامة انّ النبي صلى الله عليه وآله وسلم مسح على الخفّين وهو في المدينة ، ومعنى ذلك أنّه يجوز أن يختار المكلّف طيلة عمره المسح على الخفّين ، وأنّ غسل الرجلين مختصّ بمن لم يلبس الخفّين ، وهذا شيء لا ترتضيه روح الفقه ولا سيرة المتشرّعة ولا حكمة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كنت في شكّ من ذلك ، فإليك فتاوى الفقهاء في هذا الصدد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جمهور الفقهاء الحنفيّة والشافعيّة والحنابلة ، توقيت مدّة المسح على الخفّين بيوم وليلة في الحضر وثلاثة أيّام للمسافر ، ولكن المالكية تجوّز المسح على الخفّين في الحضر والسفر من غير توقيت بزمان ، فلا ينزعهما إلاّ بموجب الغسل ويندب للمكلّف نزعهما في كلّ أسبوع مرّة يوم الجمعة ولو لم يرد الغسل لها ، ونزعهما </w:t>
      </w:r>
    </w:p>
    <w:p>
      <w:pPr>
        <w:pStyle w:val="BookText"/>
        <w:rPr/>
      </w:pPr>
      <w:r>
        <w:rPr>
          <w:rFonts w:ascii="Amiri" w:hAnsi="Amiri" w:eastAsia="Amiri" w:cs="Amiri"/>
          <w:color w:val="111111"/>
          <w:sz w:val="28"/>
          <w:sz w:val="28"/>
          <w:szCs w:val="28"/>
          <w:rtl w:val="true"/>
          <w:lang w:bidi="ar-SA"/>
        </w:rPr>
        <w:t>مرّة في كلّ أسبوع في مثل اليوم الذي لبسهما فيه ، فإذا نزعهما لسبب أو لغيره وجب غسل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واستدلّوا بما رواه ابن أبي عمارة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أمسح على الخفّين؟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وثلاثة؟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وما شئت</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الشيء الغريب حقّا هو انّ الفقهاء لم يجوّزوا المسح بماء الوضوء على الرجلين مباشرة لا في الحضر ولا في السفر ، ومع ذلك جوّزوا المسح على الخفّين على الرغم من أنّ الخفين لا صلة لها بالمتوضّي سوى انّهما وعاءان للرجْلين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هناك من يتصوّر انّ الحكمة في جواز المسح على الخفّين ، التيسير والتخفيف عن المكلّفين الذين يشق عليهم نزع الخف وغسل الرجلين في أوقات الشتاء والبرد الشديد ، وفي السفر وما يصاحبه من الاستعجال ومواصلة السفر</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وما ذكر من الحكمة ـ لو صحت ـ يوجب اختصاص المسح على الخفّين بموارد الحرج والضرورة ، وأين هذا من الإفتاء به دون تقييد؟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وأظنّ أنّ الإصرار على بقاء حكم المسح على الخفّين كان لأجل مخالفة الإمام علي عليه السلام ؛ حيث كان هو وبيته الرفيع يجاهرون بالمنع من المسح على الخفّين ، وقد أعطى المجوّزون المسألة أكثر ممّا تستحقّ ، قال أبو بكر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الحسن البصري ، حدثني سبعون من أصحاب رسول الله صلى الله عليه وآله وسلم أنّه صلى الله عليه وآله وسلم كان يمسح على الخفّين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وروينا عن ابن المبارك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المسح على الخفّين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جائز قال جماعات من السلف نحو هذا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80" w:name="pg10144_71308"/>
    </w:p>
    <w:p>
      <w:pPr>
        <w:pStyle w:val="BookText"/>
        <w:rPr/>
      </w:pPr>
      <w:bookmarkEnd w:id="180"/>
      <w:r>
        <w:rPr>
          <w:rFonts w:ascii="Amiri" w:hAnsi="Amiri" w:eastAsia="Amiri" w:cs="Amiri"/>
          <w:color w:val="111111"/>
          <w:sz w:val="28"/>
          <w:sz w:val="28"/>
          <w:szCs w:val="28"/>
          <w:rtl w:val="true"/>
          <w:lang w:bidi="ar-SA"/>
        </w:rPr>
        <w:t xml:space="preserve">كما ذكر البيهقي أسماء حوالي عشرين صحابيا جوّزوا المسح على الخفّين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وسعد بن أبي وقاص وعبد الله بن مسعود وحذيفة بن اليمان وأبو أيوب الأنصاري وأبو موسى الأشعري وعمّار بن ياسر وجابر بن عبد الله وعمرو بن العاص وأنس بن مالك وسهل بن سعد وأبي مسعود الأنصاري والمغيرة بن شعبة والبراء بن عازب وأبي سعيد الخدري وجابر بن سمرة وأبو أمامة الباهلي وعبد الله بن الحارث بن جزر وأبو زيد الأنصاري</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والعجب انّهم عطفوا عليّا عليه السلام ؛ وابن عباس على هؤلاء لمزيد كسب الثقة بالجواز</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1165515_1067777946"/>
      <w:bookmarkStart w:id="182" w:name="_Toc65"/>
      <w:bookmarkEnd w:id="181"/>
      <w:r>
        <w:rPr>
          <w:rtl w:val="true"/>
        </w:rPr>
        <w:t>فروع المسألة</w:t>
      </w:r>
      <w:bookmarkEnd w:id="182"/>
    </w:p>
    <w:p>
      <w:pPr>
        <w:pStyle w:val="BookText"/>
        <w:rPr/>
      </w:pPr>
      <w:r>
        <w:rPr>
          <w:rFonts w:ascii="Amiri" w:hAnsi="Amiri" w:eastAsia="Amiri" w:cs="Amiri"/>
          <w:color w:val="111111"/>
          <w:sz w:val="28"/>
          <w:sz w:val="28"/>
          <w:szCs w:val="28"/>
          <w:rtl w:val="true"/>
          <w:lang w:bidi="ar-SA"/>
        </w:rPr>
        <w:t xml:space="preserve">ثمّ إنّ القائلين بجواز المسح على الخفّين اختلفوا فيما يرجع إليه من فروع اختلافا شديدا فاختلفوا في المواضع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تحديد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فاختلفوا فيه فقال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 من ذلك مسح أعلى الخف وإنّ مسح الباطن ـ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 الخف ـ مستحب ، ومالك أحد من رأى هذا ، والشافعي ؛ ومنهم من أوجب مسح ظهورهما وبطونهما ، وهو مذهب ابن نافع من أصحاب مالك</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أوجب مسح الظهور فقط ولم يستحب مسح البطون ، وهو مذهب أبي حنيفة وداود وسفيان وجماعة ؛ وشذّ أشهب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 مسح الباطن أو الأعلى ، أيّهما مسح ، وسبب اختلافهم تعارض الآثار الواردة في ذلك </w:t>
      </w:r>
    </w:p>
    <w:p>
      <w:pPr>
        <w:pStyle w:val="BookText"/>
        <w:rPr/>
      </w:pPr>
      <w:r>
        <w:rPr>
          <w:rFonts w:ascii="Amiri" w:hAnsi="Amiri" w:eastAsia="Amiri" w:cs="Amiri"/>
          <w:color w:val="111111"/>
          <w:sz w:val="28"/>
          <w:sz w:val="28"/>
          <w:szCs w:val="28"/>
          <w:rtl w:val="true"/>
          <w:lang w:bidi="ar-SA"/>
        </w:rPr>
        <w:t>وتشبيه المسح بالغسل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نوع محل المسح فإنّ القائلين به اتّفقوا على جواز المسح على الخفّين واختلفوا في المسح على الجوربين ، فأجاز ذلك قوم ومنعه قوم ، وممّن منع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والشافعي وأبو حنيفة ، وممّن أجاز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يوسف ومحمد صاحبا أبي حنيفة وسفيان الثوري ، وسبب اختلافهم في صحّة الآثار الواردة عنه صلى الله عليه وآله وسلم ، انّه مسح على الجوربين والنعلين ، واختلافهم أيضا في هل يقاس على الخف غيره ، أم هي عبادة لا يقاس عليها ولا يتعدّى بها محلّها؟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صفة الخفّ فإنّهم اتّفقوا على جواز المسح على الخفّ الصحيح واختلفوا في المخْرَق ، فقال مالك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عليه إذا كان الخرق يسيرا ، وحدّد أبو حنيفة بما يكره الظاهر منه أقلّ من ثلاثة أصابع ، وقال قوم بجواز المسح على الخفّ المنخرق ما دام يسمّى خفّا ، وإن تفاحش خرقه ، وممّن روي عنه ذلك الثوري ، ومنع الشافعي أن يكون في مقدّم الخف خرق يظهر منه القدم ، ولو يسيرا في أحد القولين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سبب اختلافهم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التوقيت فان الفقهاء اختلفوا فيه ، فرأى مالك انّ ذلك غير مؤقت وإنّ لا بس الخفّين يمسح عليها ما لم ينزعهما أو تصيبه جنابة ، وذهب أبو حنيفة والشافعي إلى أنّ ذلك مؤقت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اختلافهم اختلاف الآثار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شرط المسح على الخفين هو أن تكون الرْجلان طاهرتين بطُهر الوضوء وذلك شيء مجمع عليه إلاّ خلافا شاذا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عن ابن القاسم عن مالك ، ذكره ابن لبابة في المنتخب ، وإنّما قال به الأكثر لثبوته في حديث المغيرة وغيره إذا أراد أن ينزع الخف عنه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دعهما فإنّي أدخلتهما وهما طاهرتان ، والمخالف حمل </w:t>
      </w:r>
    </w:p>
    <w:p>
      <w:pPr>
        <w:pStyle w:val="BookText"/>
        <w:rPr/>
      </w:pPr>
      <w:r>
        <w:rPr>
          <w:rFonts w:ascii="Amiri" w:hAnsi="Amiri" w:eastAsia="Amiri" w:cs="Amiri"/>
          <w:color w:val="111111"/>
          <w:sz w:val="28"/>
          <w:sz w:val="28"/>
          <w:szCs w:val="28"/>
          <w:rtl w:val="true"/>
          <w:lang w:bidi="ar-SA"/>
        </w:rPr>
        <w:t>هذه الطهارة على الطهارة اللغوية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الاختلاف في نواقض هذه الطهارة فإنّهم أجمعوا على أنّها نواقض الوضوء بعينها واختلفوا هل نزع الخف ناقض لهذه الطهارة أم لا؟ فقال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نَزَعه وغسل قدميه فطهارته باقية ، وإن لم يغسلهما وصلّى أعاد الصلاة بعد غسل قدميه ، وممّن قال بذلك مالك وأصحابه والشافعي وأبو حنيفة ـ إلى أن قال ـ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طهارته باقية حتى يحدث حدثا ينقض الوضوء وليس عليه غسل ، وممّن قال بهذا القول داود وابن أبي ليلى وقال الحسن بن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نزع خفّيه فقد بطلت طهارته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الاختلافات في الفروع مبنية على القول بجواز المسح على اختيار ، فإذا بطل الأصل يكون الكلام في الفروع أمرا لغوا لا طائل تحته وإن أطنب القائلون بالجواز الكلام فيها</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 w:name="pg10144_71312"/>
      <w:bookmarkStart w:id="184" w:name="pg10144_71312"/>
      <w:bookmarkEnd w:id="184"/>
    </w:p>
    <w:p>
      <w:pPr>
        <w:pStyle w:val="Heading2"/>
        <w:numPr>
          <w:ilvl w:val="1"/>
          <w:numId w:val="1"/>
        </w:numPr>
        <w:rPr/>
      </w:pPr>
      <w:bookmarkStart w:id="185" w:name="pg10144_71312"/>
      <w:bookmarkStart w:id="186" w:name="__RefHeading___Toc1165517_1067777946"/>
      <w:bookmarkStart w:id="187" w:name="_Toc66"/>
      <w:bookmarkEnd w:id="185"/>
      <w:bookmarkEnd w:id="186"/>
      <w:r>
        <w:rPr/>
        <w:t>3</w:t>
      </w:r>
      <w:r>
        <w:rPr>
          <w:rtl w:val="true"/>
        </w:rPr>
        <w:t xml:space="preserve">. </w:t>
      </w:r>
      <w:r>
        <w:rPr>
          <w:rtl w:val="true"/>
        </w:rPr>
        <w:t>تشريع الأذان و التثويب في أذان الفجر</w:t>
      </w:r>
      <w:bookmarkEnd w:id="187"/>
    </w:p>
    <w:p>
      <w:pPr>
        <w:pStyle w:val="Heading3"/>
        <w:numPr>
          <w:ilvl w:val="2"/>
          <w:numId w:val="1"/>
        </w:numPr>
        <w:rPr/>
      </w:pPr>
      <w:bookmarkStart w:id="188" w:name="__RefHeading___Toc1165519_1067777946"/>
      <w:bookmarkStart w:id="189" w:name="_Toc67"/>
      <w:bookmarkEnd w:id="188"/>
      <w:r>
        <w:rPr>
          <w:rtl w:val="true"/>
        </w:rPr>
        <w:t>اشارة</w:t>
      </w:r>
      <w:bookmarkEnd w:id="1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للإمام الصادق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إنّ رجلا من الأنصار رأى الأذان في النوم ، فأجاب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فان دين الله أعزّ من أن يُرى في النوم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الحنفية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عمدتم إلى ما هو الأصل في شرائع الإسلام ومعالم دينكم فزعمتم أنّه انّما كان من رؤيا رآها رجل من الأنصار في منامه تحتمل الصدق والكذب وقد تكون أضغاث أحلام</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0" w:name="pg10144_71314"/>
      <w:bookmarkStart w:id="191" w:name="pg10144_71314"/>
      <w:bookmarkEnd w:id="191"/>
    </w:p>
    <w:p>
      <w:pPr>
        <w:pStyle w:val="Heading3"/>
        <w:numPr>
          <w:ilvl w:val="2"/>
          <w:numId w:val="1"/>
        </w:numPr>
        <w:rPr/>
      </w:pPr>
      <w:bookmarkStart w:id="192" w:name="pg10144_71314"/>
      <w:bookmarkStart w:id="193" w:name="__RefHeading___Toc1165521_1067777946"/>
      <w:bookmarkStart w:id="194" w:name="_Toc68"/>
      <w:bookmarkEnd w:id="192"/>
      <w:bookmarkEnd w:id="193"/>
      <w:r>
        <w:rPr>
          <w:rtl w:val="true"/>
        </w:rPr>
        <w:t xml:space="preserve">تمهيد </w:t>
      </w:r>
      <w:r>
        <w:rPr>
          <w:rtl w:val="true"/>
        </w:rPr>
        <w:t xml:space="preserve">: </w:t>
      </w:r>
      <w:r>
        <w:rPr>
          <w:rtl w:val="true"/>
        </w:rPr>
        <w:t>الأذان لغة وشرعا ومكانة المؤذّن عند الله</w:t>
      </w:r>
      <w:bookmarkEnd w:id="194"/>
    </w:p>
    <w:p>
      <w:pPr>
        <w:pStyle w:val="BookText"/>
        <w:rPr/>
      </w:pPr>
      <w:r>
        <w:rPr>
          <w:rFonts w:ascii="Amiri" w:hAnsi="Amiri" w:eastAsia="Amiri" w:cs="Amiri"/>
          <w:color w:val="111111"/>
          <w:sz w:val="28"/>
          <w:sz w:val="28"/>
          <w:szCs w:val="28"/>
          <w:rtl w:val="true"/>
          <w:lang w:bidi="ar-SA"/>
        </w:rPr>
        <w:t xml:space="preserve">الأذان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الإعلام ،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وَأَذانٌ مِنَ اللهِ وَرَسُولِهِ إِلَى النَّاسِ يَوْمَ الْحَجِّ الْأَكْبَرِ </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أي إعلام منهما 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الإعلام بدخول وقت الصلاة المفروضة بألفاظ معلومة مأثورة على صفة مخصوصة ، وهو من خير الأعمال التي يتقرّب بها إلى الله تعالى ، وفيه فضل كثير وأجر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الشيخ الطوسي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 بن وهب ، عن أبي عبد 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أذّن في مصر من أمصار المسلمين سنة ، وجبت له الجنة </w:t>
      </w:r>
      <w:r>
        <w:rPr>
          <w:rFonts w:eastAsia="Amiri" w:cs="Amiri" w:ascii="Amiri" w:hAnsi="Amiri"/>
          <w:color w:val="111111"/>
          <w:sz w:val="28"/>
          <w:szCs w:val="28"/>
          <w:rtl w:val="true"/>
          <w:lang w:bidi="ar-SA"/>
        </w:rPr>
        <w:t xml:space="preserve">». </w:t>
      </w:r>
      <w:r>
        <w:rPr>
          <w:rStyle w:val="FootnoteAnchor"/>
          <w:rtl w:val="true"/>
        </w:rPr>
        <w:footnoteReference w:id="212"/>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أيضا عن سعد الإسكاف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أذّن سبع سنين احتسابا جاء يوم القيامة ولا ذنب له </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وأخرج الصدوق عن العرزمي ، عن أبي عبد 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أطول الناس أعناقا يوم القيامة ، المؤذّنون </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وأخرج أحمد بن محمد بن خالد البرقي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الجعفي ، عن محمد بن علي الباقر عليه 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المؤذّن المحتسب ، كالشاهر بسيفه في سبيل الله ، القاتل بين الصفّين </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إلى غير ذلك من الروايات الحاثّة على نشر الأذان وقيام قاطبة الطبقات به ، وكراهة حصر الأذان بضعفائهم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وعقدنا هذا البحث لبيان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تشريع الأذان كان إلهيّا لا مدخلية للإنسان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تاريخ التثويب في الفجر وانّه ليس جزءا من الأذان وإنّما دخل فيه بتصويب البعض</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فيقع الكلام في مقامين </w:t>
      </w:r>
      <w:r>
        <w:rPr>
          <w:rFonts w:eastAsia="Amiri" w:cs="Amiri" w:ascii="Amiri" w:hAnsi="Amiri"/>
          <w:color w:val="111111"/>
          <w:sz w:val="28"/>
          <w:szCs w:val="28"/>
          <w:rtl w:val="true"/>
          <w:lang w:bidi="ar-SA"/>
        </w:rPr>
        <w:t xml:space="preserve">: </w:t>
      </w:r>
      <w:bookmarkStart w:id="195" w:name="pg10144_71316"/>
    </w:p>
    <w:p>
      <w:pPr>
        <w:pStyle w:val="Heading3"/>
        <w:numPr>
          <w:ilvl w:val="2"/>
          <w:numId w:val="1"/>
        </w:numPr>
        <w:rPr/>
      </w:pPr>
      <w:bookmarkStart w:id="196" w:name="__RefHeading___Toc1165523_1067777946"/>
      <w:bookmarkStart w:id="197" w:name="_Toc69"/>
      <w:bookmarkEnd w:id="195"/>
      <w:bookmarkEnd w:id="196"/>
      <w:r>
        <w:rPr>
          <w:rtl w:val="true"/>
        </w:rPr>
        <w:t>المقام الأوّل</w:t>
      </w:r>
      <w:bookmarkEnd w:id="197"/>
    </w:p>
    <w:p>
      <w:pPr>
        <w:pStyle w:val="Heading4"/>
        <w:numPr>
          <w:ilvl w:val="3"/>
          <w:numId w:val="1"/>
        </w:numPr>
        <w:rPr/>
      </w:pPr>
      <w:bookmarkStart w:id="198" w:name="__RefHeading___Toc1165525_1067777946"/>
      <w:bookmarkStart w:id="199" w:name="_Toc70"/>
      <w:bookmarkEnd w:id="198"/>
      <w:r>
        <w:rPr/>
        <w:t>1</w:t>
      </w:r>
      <w:r>
        <w:rPr>
          <w:rtl w:val="true"/>
        </w:rPr>
        <w:t xml:space="preserve">. </w:t>
      </w:r>
      <w:r>
        <w:rPr>
          <w:rtl w:val="true"/>
        </w:rPr>
        <w:t>منزلة الأذان في التشريع الإسلامي</w:t>
      </w:r>
      <w:bookmarkEnd w:id="199"/>
    </w:p>
    <w:p>
      <w:pPr>
        <w:pStyle w:val="BookText"/>
        <w:rPr/>
      </w:pPr>
      <w:r>
        <w:rPr>
          <w:rFonts w:ascii="Amiri" w:hAnsi="Amiri" w:eastAsia="Amiri" w:cs="Amiri"/>
          <w:color w:val="111111"/>
          <w:sz w:val="28"/>
          <w:sz w:val="28"/>
          <w:szCs w:val="28"/>
          <w:rtl w:val="true"/>
          <w:lang w:bidi="ar-SA"/>
        </w:rPr>
        <w:t>لم يشارك في تشريعه أيّ إنسان</w:t>
      </w:r>
    </w:p>
    <w:p>
      <w:pPr>
        <w:pStyle w:val="BookText"/>
        <w:rPr/>
      </w:pPr>
      <w:r>
        <w:rPr>
          <w:rFonts w:ascii="Amiri" w:hAnsi="Amiri" w:eastAsia="Amiri" w:cs="Amiri"/>
          <w:color w:val="111111"/>
          <w:sz w:val="28"/>
          <w:sz w:val="28"/>
          <w:szCs w:val="28"/>
          <w:rtl w:val="true"/>
          <w:lang w:bidi="ar-SA"/>
        </w:rPr>
        <w:t>إنّ الأذان والإقامة من صميم الدين وشعائره ، أنزله الله سبحانه على قلب سيّد المرسلين ، وإنّ الله الذي فرض الصلاة ، هو الذي فرض الأذان ، وإنّ منشأ الجميع واحد ولم يُشارك في تشريعه أيّ إنسان لا في اليقظة ولا في المنام ، وهذا شأن كلّ عبادة يعبد بها الإنسان خالقَه وبارئه ، ولم نجد في التشريع الإسلامي عبادة مشروعة قام الإنسان بوضعها ، ثمّ نالت إمضاء الشارع وتصويبه إلاّ في مواضع خاصة ثبتت من النبيّ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يعرب عن ذلك انّ لجميع فصوله من التكبير إلى التهليل ، مسحة إلهية وعذوبة ، وسموّ المعنى وفخامته ، تثير شعور الإنسان إلى مفاهيم أرقى وأعلى وأنبل ممّا في عقول الناس ، فلو كان للأذان والإقامة مصدر غير الوحي ربّما لا تتمتع بهذه العذوبة ولا المسحة الإلهيّة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ضوء ذلك فليس لمسلم إلاّ قبول أمرين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تشريع الأذان والإقامة يرجع إلى الله سبحانه وانّه أوحى إلى عبده الأذان والإقامة ولم يكن لبشر دور في تشريعهما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أصل الأذان وحي إلهي أنزله الله على قلب النبي صلى الله عليه وآله وسلم فهكذا كلّ فصل منه إيحاء إلى النبي فليس لأيّ إنسان أن ينقص منه فصلا أو يضيف إليه جزءاً</w:t>
      </w:r>
      <w:r>
        <w:rPr>
          <w:rFonts w:eastAsia="Amiri" w:cs="Amiri" w:ascii="Amiri" w:hAnsi="Amiri"/>
          <w:color w:val="111111"/>
          <w:sz w:val="28"/>
          <w:szCs w:val="28"/>
          <w:rtl w:val="true"/>
          <w:lang w:bidi="ar-SA"/>
        </w:rPr>
        <w:t xml:space="preserve">. </w:t>
      </w:r>
      <w:bookmarkStart w:id="200" w:name="pg10144_71318"/>
    </w:p>
    <w:p>
      <w:pPr>
        <w:pStyle w:val="Heading4"/>
        <w:numPr>
          <w:ilvl w:val="3"/>
          <w:numId w:val="1"/>
        </w:numPr>
        <w:rPr/>
      </w:pPr>
      <w:bookmarkStart w:id="201" w:name="__RefHeading___Toc1165527_1067777946"/>
      <w:bookmarkStart w:id="202" w:name="_Toc71"/>
      <w:bookmarkEnd w:id="200"/>
      <w:bookmarkEnd w:id="201"/>
      <w:r>
        <w:rPr/>
        <w:t>2</w:t>
      </w:r>
      <w:r>
        <w:rPr>
          <w:rtl w:val="true"/>
        </w:rPr>
        <w:t xml:space="preserve">. </w:t>
      </w:r>
      <w:r>
        <w:rPr>
          <w:rtl w:val="true"/>
        </w:rPr>
        <w:t>تاريخ تشريع الأذان في أحاديث أهل البيت عليهم السلام</w:t>
      </w:r>
      <w:bookmarkEnd w:id="202"/>
    </w:p>
    <w:p>
      <w:pPr>
        <w:pStyle w:val="BookText"/>
        <w:rPr/>
      </w:pPr>
      <w:r>
        <w:rPr>
          <w:rFonts w:ascii="Amiri" w:hAnsi="Amiri" w:eastAsia="Amiri" w:cs="Amiri"/>
          <w:color w:val="111111"/>
          <w:sz w:val="28"/>
          <w:sz w:val="28"/>
          <w:szCs w:val="28"/>
          <w:rtl w:val="true"/>
          <w:lang w:bidi="ar-SA"/>
        </w:rPr>
        <w:t xml:space="preserve">اتّفقت أئمة أهل البيت عليهم السلام على أنّ الأذان من الأمور العبادية ، له من الشأن ما لغيره من العبادات وأنّ المشرّع له هو الله سبحانه وقد هبط جبرئيل بأمر منه وعلّمه رسول الله ، كما علّمه رسول الله بلالا ، ولم يشارك في تشريعه بل ولا في تشريع الإقامة أحد ، فهذا من الأمور المسلّمة عند أئمّة أهل البيت ، وقد تضافرت عليه رواياتهم وكلماتهم نذكر في المقام نزرا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ويكفيك من القلادة موضع عنقها </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ثقة الإسلام الكليني بسند صحيح عن زرارة والفضيل ، عن أبي جعفر الباقر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أسري برسول الله صلى الله عليه وآله وسلم إلى السماء فبلغ البيت المعمور ، وحضرت الصلاة ، فأذّن جبرئيل عليه السلام وأقام فتقدم رسول الله صلى الله عليه وآله وسلم وصفّ الملائكة والنبيّون خلف محمّد صلى الله عليه وآله وسلم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أيضا بسند صحيح ، عن الإمام الصادق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w:t>
      </w:r>
    </w:p>
    <w:p>
      <w:pPr>
        <w:pStyle w:val="BookText"/>
        <w:rPr/>
      </w:pPr>
      <w:r>
        <w:rPr>
          <w:rFonts w:ascii="Amiri" w:hAnsi="Amiri" w:eastAsia="Amiri" w:cs="Amiri"/>
          <w:color w:val="111111"/>
          <w:sz w:val="28"/>
          <w:sz w:val="28"/>
          <w:szCs w:val="28"/>
          <w:rtl w:val="true"/>
          <w:lang w:bidi="ar-SA"/>
        </w:rPr>
        <w:t xml:space="preserve">هبط جبرئيل بالأذان على رسول الله صلى الله عليه وآله وسلم كان رأسه في حجر علي عليه السلام ، فأذّن جبرئيل وأقام </w:t>
      </w:r>
      <w:r>
        <w:rPr>
          <w:rStyle w:val="FootnoteAnchor"/>
          <w:rtl w:val="true"/>
        </w:rPr>
        <w:footnoteReference w:id="217"/>
      </w:r>
      <w:r>
        <w:rPr>
          <w:rFonts w:ascii="Amiri" w:hAnsi="Amiri" w:eastAsia="Amiri" w:cs="Amiri"/>
          <w:color w:val="111111"/>
          <w:sz w:val="28"/>
          <w:sz w:val="28"/>
          <w:szCs w:val="28"/>
          <w:rtl w:val="true"/>
          <w:lang w:bidi="ar-SA"/>
        </w:rPr>
        <w:t xml:space="preserve">، فلمّا انتبه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سمعت؟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2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بلالا ، فدعا علي عليه السلام ؛ بلالا فعلّمه </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أيضا بسند صحيح عن عمر بن أذينة عن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تروي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في ما 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أذانهم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 إنّ أبيّ بن كعب رآه في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فان دين الله أعزّ من أن يرى في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سدير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فأحدث لنا من ذلك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لمّا عرج بنبيه صلى الله عليه وآله وسلم إلى سماواته السبع إلى آخر الحديث الأوّل</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محمد بن مكي الشهيد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فقيه الشيعة في أوائل القرن الرابع ـ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عقيل العماني ـ أنّه روى عن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لعن قوما زعموا أنّ النبيّ صلى الله عليه وآله وسلم أخذ الأذان من عبد الله بن زيد </w:t>
      </w:r>
      <w:r>
        <w:rPr>
          <w:rStyle w:val="FootnoteAnchor"/>
          <w:rtl w:val="true"/>
        </w:rPr>
        <w:footnoteReference w:id="221"/>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الوحي على نبيّكم فتزعمون أنّه أخذ الأذان من عبد الله بن زيد؟</w:t>
      </w:r>
      <w:r>
        <w:rPr>
          <w:rFonts w:eastAsia="Amiri" w:cs="Amiri" w:ascii="Amiri" w:hAnsi="Amiri"/>
          <w:color w:val="111111"/>
          <w:sz w:val="28"/>
          <w:szCs w:val="28"/>
          <w:rtl w:val="true"/>
          <w:lang w:bidi="ar-SA"/>
        </w:rPr>
        <w:t xml:space="preserve">! »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وليست الشيعة متفرّدة في هذا النقل عن أئمة أهل البيت ، فقد روى الحاكم وغيره نفس النقل عنهم ، وإليك بعض ما أثر في ذلك المجال عن طريق أهل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الحاكم عن سفيان بن الليل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أمر الحسن بن علي ومعاوية ما كان ، قدمت عليه المدينة وهو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فتذاكرنا عنده الأذان ، فقال بعضنا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بدء الأذان رؤيا عبد الله بن زيد ، فقال له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شأن الأذان أعظم من ذاك ، أذّن جبرئيل عليه السلام في السماء مثنى مثنى ، وعلّمه رسول الله وأقام مرة مرة </w:t>
      </w:r>
      <w:r>
        <w:rPr>
          <w:rStyle w:val="FootnoteAnchor"/>
          <w:rtl w:val="true"/>
        </w:rPr>
        <w:footnoteReference w:id="223"/>
      </w:r>
      <w:r>
        <w:rPr>
          <w:rFonts w:ascii="Amiri" w:hAnsi="Amiri" w:eastAsia="Amiri" w:cs="Amiri"/>
          <w:color w:val="111111"/>
          <w:sz w:val="28"/>
          <w:sz w:val="28"/>
          <w:szCs w:val="28"/>
          <w:rtl w:val="true"/>
          <w:lang w:bidi="ar-SA"/>
        </w:rPr>
        <w:t>فعلّمه رسول الله 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المتقي الهندي عن الشهيد زيد بن الإمام علي بن الحسين ، عن آبائه ،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وسلم عُلّم الأذان ليلة أسري به وفرضت عليه الصلاة</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الحلبي عن أبي العلاء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لمحمد 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لنتحدّث أنّ بدء هذا الأذان كان من رؤيا رآها رجل من الأنصار في منامه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ففزع لذلك محمد ابن الحنفية فزعا شديدا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عمدتم إلى ما هو الأصل في شرائع الإسلام ، ومعالم دينكم ، فزعمتم أنّه إنّما كان من رؤيا رآها رجل من الأنصار في منامه ، تحتمل الصدق والكذب وقد تكون أضغاث أحلام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قد استفاض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الباطل</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المتقي الهندي عن مسند رافع بن خديج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برسول </w:t>
      </w:r>
    </w:p>
    <w:p>
      <w:pPr>
        <w:pStyle w:val="BookText"/>
        <w:rPr/>
      </w:pPr>
      <w:r>
        <w:rPr>
          <w:rFonts w:ascii="Amiri" w:hAnsi="Amiri" w:eastAsia="Amiri" w:cs="Amiri"/>
          <w:color w:val="111111"/>
          <w:sz w:val="28"/>
          <w:sz w:val="28"/>
          <w:szCs w:val="28"/>
          <w:rtl w:val="true"/>
          <w:lang w:bidi="ar-SA"/>
        </w:rPr>
        <w:t>الله صلى الله عليه وآله وسلم إلى السماء أوحى إليه بالأذان فنزل به فعلّمه جبرئيل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الطبراني في الأوسط عن ابن عمر </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ممّا رواه عبد الرزاق بن همام الصنعاني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جريج عن عطاء ، انّ الأذان كان بوحي من الله سبحانه</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ووردت أحاديث تدلّ على أنّ الأذان شرّع بمكة قبل الهجرة ، فمن تلك الأحاديث ما في الطبراني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الرواية الثامنة</w:t>
      </w:r>
      <w:r>
        <w:rPr>
          <w:rFonts w:eastAsia="Amiri" w:cs="Amiri" w:ascii="Amiri" w:hAnsi="Amiri"/>
          <w:color w:val="111111"/>
          <w:sz w:val="28"/>
          <w:szCs w:val="28"/>
          <w:rtl w:val="true"/>
          <w:lang w:bidi="ar-SA"/>
        </w:rPr>
        <w:t xml:space="preserve">. </w:t>
      </w:r>
      <w:r>
        <w:rPr>
          <w:rStyle w:val="FootnoteAnchor"/>
          <w:rtl w:val="true"/>
        </w:rPr>
        <w:footnoteReference w:id="22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تاريخ الأذان وطريق تشريعه أخذته الشيعة من عين صافية ، من أناس هم بطانة سنّة الرسول ، يروي صادق عن صادق حتى ينتهي إلى الرسول ، وأيّدته آثار أخرى كما عرفت</w:t>
      </w:r>
      <w:r>
        <w:rPr>
          <w:rFonts w:eastAsia="Amiri" w:cs="Amiri" w:ascii="Amiri" w:hAnsi="Amiri"/>
          <w:color w:val="111111"/>
          <w:sz w:val="28"/>
          <w:szCs w:val="28"/>
          <w:rtl w:val="true"/>
          <w:lang w:bidi="ar-SA"/>
        </w:rPr>
        <w:t xml:space="preserve">. </w:t>
      </w:r>
      <w:bookmarkStart w:id="203" w:name="pg10144_71322"/>
    </w:p>
    <w:p>
      <w:pPr>
        <w:pStyle w:val="Heading4"/>
        <w:numPr>
          <w:ilvl w:val="3"/>
          <w:numId w:val="1"/>
        </w:numPr>
        <w:rPr/>
      </w:pPr>
      <w:bookmarkStart w:id="204" w:name="__RefHeading___Toc1165529_1067777946"/>
      <w:bookmarkStart w:id="205" w:name="_Toc72"/>
      <w:bookmarkEnd w:id="203"/>
      <w:bookmarkEnd w:id="204"/>
      <w:r>
        <w:rPr/>
        <w:t>3</w:t>
      </w:r>
      <w:r>
        <w:rPr>
          <w:rtl w:val="true"/>
        </w:rPr>
        <w:t xml:space="preserve">. </w:t>
      </w:r>
      <w:r>
        <w:rPr>
          <w:rtl w:val="true"/>
        </w:rPr>
        <w:t>كيفيّة تشريع الأذان عند أهل السنّة</w:t>
      </w:r>
      <w:bookmarkEnd w:id="205"/>
    </w:p>
    <w:p>
      <w:pPr>
        <w:pStyle w:val="BookText"/>
        <w:rPr/>
      </w:pPr>
      <w:r>
        <w:rPr>
          <w:rFonts w:ascii="Amiri" w:hAnsi="Amiri" w:eastAsia="Amiri" w:cs="Amiri"/>
          <w:color w:val="111111"/>
          <w:sz w:val="28"/>
          <w:sz w:val="28"/>
          <w:szCs w:val="28"/>
          <w:rtl w:val="true"/>
          <w:lang w:bidi="ar-SA"/>
        </w:rPr>
        <w:t xml:space="preserve">قد ورد في روايات أهل السنّة حول كيفية تشريع الأذان أمور لا تصحّ نسبتها إلى الرسول الأعظم ، وحصيلة هذه الروايات ـ كما ستمر عليك تفاصيلها ـ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الرسول صلى الله عليه وآله وسلم مهتما بأمر الصلاة جماعة ، ولكن كان متحيّرا في أنّه كيف يجمع الناس إلى الصلاة مع بُعْد الدار وتفرّق المهاجرين والأنصار في أزقّة المدينة ، فاستشار في ذلك في حل العقدة ، فأشاروا عليه بأمور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يستعين بنصب الراية ، فإذا رأوها آذن بعضهم بعضا ، فلم يُعجبه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أشاروا إليه باستعمال القبع ، أيّ بوق اليهود ، فكرهه النبي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يستعين بالناقوس كما يستعين به النصارى ، كرهه أوّلا ثمّ أمر به فعمل من خشب ليضرب به للناس حتى يجتمعوا للصلاة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النبي الأكرم على هذه الحالة ، إذ جاء عبد الله بن زيد وأخبر رسول </w:t>
      </w:r>
    </w:p>
    <w:p>
      <w:pPr>
        <w:pStyle w:val="BookText"/>
        <w:rPr/>
      </w:pPr>
      <w:r>
        <w:rPr>
          <w:rFonts w:ascii="Amiri" w:hAnsi="Amiri" w:eastAsia="Amiri" w:cs="Amiri"/>
          <w:color w:val="111111"/>
          <w:sz w:val="28"/>
          <w:sz w:val="28"/>
          <w:szCs w:val="28"/>
          <w:rtl w:val="true"/>
          <w:lang w:bidi="ar-SA"/>
        </w:rPr>
        <w:t xml:space="preserve">الله بأنّه كان بين النوم واليقظة إذ أتاه آت فأراه الأذان ، وكان عمر بن الخطاب قد رآه قبل ذلك بعشرين يوما فكتمه ثمّ أخبر به النبي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أن تخبرني؟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سبقني عبد الله بن زيد فاستحييت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قم فانظر ما يأمرك به عبد الله بن زيد فعلّمه ، فتعلّم بلال الأذان وأذّن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مجمل ما يرويه المحدّثون حول كيفيّة تشريع الأذان ، فتجب علينا دراسة متونه وإسناده وإليك البيان</w:t>
      </w:r>
      <w:r>
        <w:rPr>
          <w:rFonts w:eastAsia="Amiri" w:cs="Amiri" w:ascii="Amiri" w:hAnsi="Amiri"/>
          <w:color w:val="111111"/>
          <w:sz w:val="28"/>
          <w:szCs w:val="28"/>
          <w:rtl w:val="true"/>
          <w:lang w:bidi="ar-SA"/>
        </w:rPr>
        <w:t xml:space="preserve">. </w:t>
      </w:r>
      <w:bookmarkStart w:id="206" w:name="pg10144_71324"/>
    </w:p>
    <w:p>
      <w:pPr>
        <w:pStyle w:val="Heading4"/>
        <w:numPr>
          <w:ilvl w:val="3"/>
          <w:numId w:val="1"/>
        </w:numPr>
        <w:rPr/>
      </w:pPr>
      <w:bookmarkStart w:id="207" w:name="__RefHeading___Toc1165531_1067777946"/>
      <w:bookmarkStart w:id="208" w:name="_Toc73"/>
      <w:bookmarkEnd w:id="206"/>
      <w:bookmarkEnd w:id="207"/>
      <w:r>
        <w:rPr/>
        <w:t>4</w:t>
      </w:r>
      <w:r>
        <w:rPr>
          <w:rtl w:val="true"/>
        </w:rPr>
        <w:t xml:space="preserve">. </w:t>
      </w:r>
      <w:r>
        <w:rPr>
          <w:rtl w:val="true"/>
        </w:rPr>
        <w:t>استعراض ما روي في كيفية تشريع الأذان في السنن</w:t>
      </w:r>
      <w:bookmarkEnd w:id="2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أبو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موسى الختلي ، وزياد بن أيوب ، ـ وحديث عباد أتمّ ـ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هشيم ، عن أبي بشر ، قال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بشر ، عن أبي عمير بن أنس ، عن عمومة له من الأنصار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 النبيّ صلى الله عليه وآله وسلم للصلاة كيف يجمع الناس لها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انصب راية عند حضور الصلاة ، فإذا رأوها آذن بعضهم بعضا ، فلم يعجبه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له القُنْع ـ يعني الشبّور ـ قال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شبور اليهود ، فلم يعجبه ذلك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من أمر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له الناقوس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من أمر النصارى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فانصرف عبد الله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مهتم لهمّ رسول الله صلى الله عليه وآله وسلم ، فأُرى الأذان في منامه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فغدا على رسول الله صلى الله عليه وآله وسلم فأخبره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 إنّي لبين نائم ويقظان ، إذ أتاني آت فأراني الأذان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 بن الخطاب ـ رضي الله عنه ـ قد رآه قبل ذلك فكتمه عشرين </w:t>
      </w:r>
    </w:p>
    <w:p>
      <w:pPr>
        <w:pStyle w:val="BookText"/>
        <w:rPr/>
      </w:pPr>
      <w:r>
        <w:rPr>
          <w:rFonts w:ascii="Amiri" w:hAnsi="Amiri" w:eastAsia="Amiri" w:cs="Amiri"/>
          <w:color w:val="111111"/>
          <w:sz w:val="28"/>
          <w:sz w:val="28"/>
          <w:szCs w:val="28"/>
          <w:rtl w:val="true"/>
          <w:lang w:bidi="ar-SA"/>
        </w:rPr>
        <w:t xml:space="preserve">يوما </w:t>
      </w:r>
      <w:r>
        <w:rPr>
          <w:rStyle w:val="FootnoteAnchor"/>
          <w:rtl w:val="true"/>
        </w:rPr>
        <w:footnoteReference w:id="23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أخبر النبي صلى الله عليه وآله وسلم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منعك أن تخبرني؟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سبقني عبد الله بن زيد فاستحييت ، فقال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بلال ، قم فانظر ما يأمرك به عبد الله بن زيد فافعله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بلال ، قال أبو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أبو عمير أنّ الأنصار تزعم أنّ عبد الله بن زيد لو لا أنّه كان يومئذ مريضا ، لجعله رسول الله صلى الله عليه وآله وسلم مؤذنا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محمد بن منصور الطوسي ، حدّثنا يعقوب ، حدّثنا أبي ، عن محمد بن إسحاق ، حدّثني محمد بن إبراهيم بن الحارث التيمي ، عن محمد بن عبد الله بن زيد بن عبد ربّه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رسول الله صلى الله عليه وآله وسلم بالناقوس يعمل ليضرب به للناس لجمع الصلاة طاف بي ، وأنا نائم ، رجل يحمل ناقوسا في يده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أتبيع الناقوس؟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تصنع به؟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ندعو به إلى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أدلّك على ما هو خير من ذلك؟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 الله أكبر ، الله أكبر ، الله أكبر ، أشهد أن لا إله إلاّ الله ، أشهد أن لا إله إلاّ الله ، أشهد أنّ محمدا رسول الله ، أشهد أنّ محمدا رسول الله ، حيّ على الصلاة ، حيّ على الصلاة ، حيّ على الفلاح ، حيّ على الفلاح ، الله أكبر ، الله أكبر ،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استأخر عنّي غير بعيد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إذا أقمت الصلاة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أكبر ، الله أكبر ، أشهد أن لا إله إلاّ الله ، أشهد أنّ محمدا رسول الله ، حيّ </w:t>
      </w:r>
    </w:p>
    <w:p>
      <w:pPr>
        <w:pStyle w:val="BookText"/>
        <w:rPr/>
      </w:pPr>
      <w:r>
        <w:rPr>
          <w:rFonts w:ascii="Amiri" w:hAnsi="Amiri" w:eastAsia="Amiri" w:cs="Amiri"/>
          <w:color w:val="111111"/>
          <w:sz w:val="28"/>
          <w:sz w:val="28"/>
          <w:szCs w:val="28"/>
          <w:rtl w:val="true"/>
          <w:lang w:bidi="ar-SA"/>
        </w:rPr>
        <w:t>على الصلاة ، حيّ على الفلاح ، قد قامت الصلاة ، قد قامت الصلاة ، الله أكبر ، الله أكبر ،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أصبحت أتيت رسول الله صلى الله عليه وآله وسلم فأخبرته بما رأيت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لرؤيا حق إن شاء الله ، فقم مع بلال فالق عليه ما رأيت فليؤذّن به ، فإنّه أندى صوتا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مع بلال ، فجعلت ألقيه عليه ويؤذّن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ذلك عمر بن الخطاب وهو في بيته فخرج يجرّ رداءه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بعثك بالحق يا رسول الله لقد رأيت مثل ما رأى ، فقال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فلله الحمد </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ورواه ابن ماجة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بالسندين التاليين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ميمون المدني ، حدّثنا محمد بن سلمة الحرّاني ، حدّثنا محمد بن إسحاق ، حدّثنا محمد بن إبراهيم التيمي ، عن محمد بن عبد الله بن زيد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قد همّ بالبوق ، وأمر بالناقوس فنُحِتَ ، فأُرى عبد الله بن زيد في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خالد بن عبد الله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عن عبد الرحمن بن إسحاق ، عن الزهري ، عن سالم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استشار الناس لما يهمّهم إلى الصلاة ، فذكروا البوق فكرهه من أجل اليهود ، ثمّ ذكروا الناقوس فكرهه من أجل النصارى ، فأرى النداء تلك الليلة رجل من الأنصار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زيد وعمر بن الخطاب</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بلال في نداء صلاة الغداة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خير من النوم ، فأقرّها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الترمذي بالسند التالي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سعيد بن يحيى بن سعيد الأموي ، حدّثنا أبي ، حدّثنا محمد بن إسحاق ، عن محمد بن إبراهيم بن الحارث التيمي ، عن محمد بن عبد الله بن زيد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أصبحنا أتينا رسول الله فأخبرته بالرؤيا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هذا الحديث إبراهيم بن سعد عن محمد بن إسحاق أتمّ من هذا الحديث وأطول ، ثم أضاف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زيد هو ابن عبد ربّه ، ولا نعرف له عن النبي صلى الله عليه وآله وسلم شيئا يصحّ إلاّ هذا الحديث الواحد في الأذان</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هذا ما رواه أصحاب السنن المعدودة من الصحاح أو الكتب الستة ، ولها من الأهمية ما ليس لغيرها من السنن كسنن الدارمي أو الدارقطني أو ما يرويه ابن سعد في طبقاته ، والبيهقي في سننه ، ولأجل تلك المكانة الخاصّة فصلنا ما روي في السنن المعروفة ، عمّا روي في غيرها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فلندرس هذه الروايات متنا وسندا حتّى تتّضح الحقيقة ثمّ نذكر بقية النصوص الواردة في غيرها فنقول </w:t>
      </w:r>
      <w:r>
        <w:rPr>
          <w:rFonts w:eastAsia="Amiri" w:cs="Amiri" w:ascii="Amiri" w:hAnsi="Amiri"/>
          <w:color w:val="111111"/>
          <w:sz w:val="28"/>
          <w:szCs w:val="28"/>
          <w:rtl w:val="true"/>
          <w:lang w:bidi="ar-SA"/>
        </w:rPr>
        <w:t xml:space="preserve">: </w:t>
      </w:r>
      <w:bookmarkStart w:id="209" w:name="pg10144_71328"/>
    </w:p>
    <w:p>
      <w:pPr>
        <w:pStyle w:val="Heading4"/>
        <w:numPr>
          <w:ilvl w:val="3"/>
          <w:numId w:val="1"/>
        </w:numPr>
        <w:rPr/>
      </w:pPr>
      <w:bookmarkStart w:id="210" w:name="__RefHeading___Toc1165533_1067777946"/>
      <w:bookmarkStart w:id="211" w:name="_Toc74"/>
      <w:bookmarkEnd w:id="209"/>
      <w:bookmarkEnd w:id="210"/>
      <w:r>
        <w:rPr/>
        <w:t>5</w:t>
      </w:r>
      <w:r>
        <w:rPr>
          <w:rtl w:val="true"/>
        </w:rPr>
        <w:t xml:space="preserve">. </w:t>
      </w:r>
      <w:r>
        <w:rPr>
          <w:rtl w:val="true"/>
        </w:rPr>
        <w:t>تحليل مضمون الروايات</w:t>
      </w:r>
      <w:bookmarkEnd w:id="211"/>
    </w:p>
    <w:p>
      <w:pPr>
        <w:pStyle w:val="Heading5"/>
        <w:numPr>
          <w:ilvl w:val="4"/>
          <w:numId w:val="1"/>
        </w:numPr>
        <w:rPr/>
      </w:pPr>
      <w:bookmarkStart w:id="212" w:name="__RefHeading___Toc1165535_1067777946"/>
      <w:bookmarkStart w:id="213" w:name="_Toc75"/>
      <w:bookmarkEnd w:id="212"/>
      <w:r>
        <w:rPr>
          <w:rtl w:val="true"/>
        </w:rPr>
        <w:t>اشارة</w:t>
      </w:r>
      <w:bookmarkEnd w:id="213"/>
    </w:p>
    <w:p>
      <w:pPr>
        <w:pStyle w:val="BookText"/>
        <w:rPr/>
      </w:pPr>
      <w:r>
        <w:rPr>
          <w:rFonts w:ascii="Amiri" w:hAnsi="Amiri" w:eastAsia="Amiri" w:cs="Amiri"/>
          <w:color w:val="111111"/>
          <w:sz w:val="28"/>
          <w:sz w:val="28"/>
          <w:szCs w:val="28"/>
          <w:rtl w:val="true"/>
          <w:lang w:bidi="ar-SA"/>
        </w:rPr>
        <w:t xml:space="preserve">إنّ هذه الروايات غير صالحة للاحتجاج لجهات شتى </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1165537_1067777946"/>
      <w:bookmarkStart w:id="215" w:name="_Toc76"/>
      <w:bookmarkEnd w:id="214"/>
      <w:r>
        <w:rPr>
          <w:rtl w:val="true"/>
        </w:rPr>
        <w:t xml:space="preserve">الأولى </w:t>
      </w:r>
      <w:r>
        <w:rPr>
          <w:rtl w:val="true"/>
        </w:rPr>
        <w:t xml:space="preserve">: </w:t>
      </w:r>
      <w:r>
        <w:rPr>
          <w:rtl w:val="true"/>
        </w:rPr>
        <w:t>لا تتّفق مع مقام النبوّة</w:t>
      </w:r>
      <w:bookmarkEnd w:id="215"/>
    </w:p>
    <w:p>
      <w:pPr>
        <w:pStyle w:val="BookText"/>
        <w:rPr/>
      </w:pPr>
      <w:r>
        <w:rPr>
          <w:rFonts w:ascii="Amiri" w:hAnsi="Amiri" w:eastAsia="Amiri" w:cs="Amiri"/>
          <w:color w:val="111111"/>
          <w:sz w:val="28"/>
          <w:sz w:val="28"/>
          <w:szCs w:val="28"/>
          <w:rtl w:val="true"/>
          <w:lang w:bidi="ar-SA"/>
        </w:rPr>
        <w:t>إنّه سبحانه بعث رسوله لإقامة الصلاة مع المؤمنين في أوقات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 القضية يقتضي أن يعلّمه سبحانه كيفية تحقيق هذه الأمنية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لتحيّر النبيّ أياما طويلة أو عشرين يوما على ما في الرواية الأولى التي رواها أبو داود ، وهو لا يدري كيف يحقّق المسئولية الملقاة على عاتقة ، فتارة يتوسّل بهذا ، وأخرى بذاك حتى يرشد إلى الأسباب والوسائل التي تؤمّن مقصوده ، مع أنّه سبحانه يقول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فَضْلُ اللهِ عَلَيْكَ عَظِيماً </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xml:space="preserve">والمقصود من الفضل هو العلم بقرينة 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وَعَلَّمَكَ ما لَمْ تَكُنْ تَعْلَمُ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الصلاة والصيام من الأمور العبادية وليسا كالحرب والقتال الذي ربّما كان النبي يتشاور فيه مع أصحابه ولم يكن تشاوره في كيفية القتال عن جهله بالأصلح ، وإنّما كان لأجل جلب قلوبهم كما يقول سبحانه </w:t>
      </w:r>
      <w:r>
        <w:rPr>
          <w:rFonts w:eastAsia="Amiri" w:cs="Amiri" w:ascii="Amiri" w:hAnsi="Amiri"/>
          <w:color w:val="111111"/>
          <w:sz w:val="28"/>
          <w:szCs w:val="28"/>
          <w:rtl w:val="true"/>
          <w:lang w:bidi="ar-SA"/>
        </w:rPr>
        <w:t xml:space="preserve">: </w:t>
      </w:r>
      <w:bookmarkStart w:id="216" w:name="pg10144_71329"/>
    </w:p>
    <w:p>
      <w:pPr>
        <w:pStyle w:val="BookText"/>
        <w:rPr/>
      </w:pPr>
      <w:bookmarkEnd w:id="21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كُنْتَ فَظًّا غَلِيظَ الْقَلْبِ لَانْفَضُّوا مِنْ حَوْلِكَ فَاعْفُ عَنْهُمْ وَاسْتَغْفِرْ لَهُمْ وَشاوِرْهُمْ فِي الْأَمْرِ فَإِذا عَزَمْتَ فَتَوَكَّلْ عَلَى اللهِ </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أليس من الوهن في أمر الدين أن تكون الرؤيا والأحلام والمنامات من أفراد عاديّين ، مصدرا لأمر عبادي في غاية الأهمية كالأذان والإقامة؟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يدفعنا إلى القول بأنّ كون الرؤيا مصدرا للأذان أمر مكذوب على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القريب جدا أنّ عمومه عبد الله بن زيد هم الذين أشاعوا تلك الرؤيا وروّجوها ، لتكون فضيلة لبيوتاتهم وقبائلهم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نرى في بعض المسانيد أنّ بني عمومته هم رواة هذا الحديث ، وأنّ من اعتمد عليهم انّما كان لحسن ظنّه بهم</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1165539_1067777946"/>
      <w:bookmarkStart w:id="218" w:name="_Toc77"/>
      <w:bookmarkEnd w:id="217"/>
      <w:r>
        <w:rPr>
          <w:rtl w:val="true"/>
        </w:rPr>
        <w:t xml:space="preserve">الثانية </w:t>
      </w:r>
      <w:r>
        <w:rPr>
          <w:rtl w:val="true"/>
        </w:rPr>
        <w:t xml:space="preserve">: </w:t>
      </w:r>
      <w:r>
        <w:rPr>
          <w:rtl w:val="true"/>
        </w:rPr>
        <w:t>أنّها متعارضة جوهرا</w:t>
      </w:r>
      <w:bookmarkEnd w:id="218"/>
    </w:p>
    <w:p>
      <w:pPr>
        <w:pStyle w:val="BookText"/>
        <w:rPr/>
      </w:pPr>
      <w:r>
        <w:rPr>
          <w:rFonts w:ascii="Amiri" w:hAnsi="Amiri" w:eastAsia="Amiri" w:cs="Amiri"/>
          <w:color w:val="111111"/>
          <w:sz w:val="28"/>
          <w:sz w:val="28"/>
          <w:szCs w:val="28"/>
          <w:rtl w:val="true"/>
          <w:lang w:bidi="ar-SA"/>
        </w:rPr>
        <w:t xml:space="preserve">إنّ ما مضى من الروايات حول بدء الأذان وتشريعه متعارضة جوهرا من جهات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مقتضى 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رأى الأذان قبل عبد الله بن زيد بعشرين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مقتضى الرواية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في نفس الليلة التي رأى فيها عبد الله بن 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رؤيا عبد الله بن زيد هو المبدأ للتشريع ، وأنّ عمر بن الخطاب لمّا سمع الأذان جاء إلى رسول الله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أيضا رأى نفس تلك الرؤيا ولم ينقلها إليه استحياء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المبدأ لتشريع الأذان ، هو نفس عمر بن الخطاب ، لا رؤياه ، لأنّه هو </w:t>
      </w:r>
    </w:p>
    <w:p>
      <w:pPr>
        <w:pStyle w:val="BookText"/>
        <w:rPr/>
      </w:pPr>
      <w:r>
        <w:rPr>
          <w:rFonts w:ascii="Amiri" w:hAnsi="Amiri" w:eastAsia="Amiri" w:cs="Amiri"/>
          <w:color w:val="111111"/>
          <w:sz w:val="28"/>
          <w:sz w:val="28"/>
          <w:szCs w:val="28"/>
          <w:rtl w:val="true"/>
          <w:lang w:bidi="ar-SA"/>
        </w:rPr>
        <w:t>الذي اقترح النداء بالصلاة الذي هو عبارة أخرى عن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الترمذي في سننه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المسلمون حين قدموا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قرنا مثل قرن اليهود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تبعثون رجلا ينادي بالصلاة؟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قم فناد بالصلاة ، ـ أي الأذان</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ورواه النسائي </w:t>
      </w:r>
      <w:r>
        <w:rPr>
          <w:rStyle w:val="FootnoteAnchor"/>
          <w:rtl w:val="true"/>
        </w:rPr>
        <w:footnoteReference w:id="237"/>
      </w:r>
      <w:r>
        <w:rPr>
          <w:rFonts w:ascii="Amiri" w:hAnsi="Amiri" w:eastAsia="Amiri" w:cs="Amiri"/>
          <w:color w:val="111111"/>
          <w:sz w:val="28"/>
          <w:sz w:val="28"/>
          <w:szCs w:val="28"/>
          <w:rtl w:val="true"/>
          <w:lang w:bidi="ar-SA"/>
        </w:rPr>
        <w:t xml:space="preserve">والبيهقي </w:t>
      </w:r>
      <w:r>
        <w:rPr>
          <w:rStyle w:val="FootnoteAnchor"/>
          <w:rtl w:val="true"/>
        </w:rPr>
        <w:footnoteReference w:id="238"/>
      </w:r>
      <w:r>
        <w:rPr>
          <w:rFonts w:ascii="Amiri" w:hAnsi="Amiri" w:eastAsia="Amiri" w:cs="Amiri"/>
          <w:color w:val="111111"/>
          <w:sz w:val="28"/>
          <w:sz w:val="28"/>
          <w:szCs w:val="28"/>
          <w:rtl w:val="true"/>
          <w:lang w:bidi="ar-SA"/>
        </w:rPr>
        <w:t>في سننهما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فسّر ابن حجر النداء بالصلاة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ولا دليل على هذا التفسير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مبدأ التشريع هو نفس النبي الأكرم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فذكروا أن يضربوا ناقوسا أو ينوّروا نارا فأمر بلال أن يشفع الأذان ويوتر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البخاري عن محمد عن عبد الوهاب الثقفي ، ورواه مسلم عن إسحاق بن إبراهيم</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ومع هذا التناقض في النقل كيف يمكن الاعتماد على هذه النقول؟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عمر كان حاضرا عند نقل عبد الله بن زيد رؤياه للنبي ـ حسب الحديث الأوّل ـ ولكنّه كان غائبا حسب الحديث الثاني ، حيث خرج من بيته لمّا سمع أذان بلال بعد نقل عبد الله رؤياه</w:t>
      </w:r>
      <w:r>
        <w:rPr>
          <w:rFonts w:eastAsia="Amiri" w:cs="Amiri" w:ascii="Amiri" w:hAnsi="Amiri"/>
          <w:color w:val="111111"/>
          <w:sz w:val="28"/>
          <w:szCs w:val="28"/>
          <w:rtl w:val="true"/>
          <w:lang w:bidi="ar-SA"/>
        </w:rPr>
        <w:t>.</w:t>
      </w:r>
      <w:bookmarkStart w:id="219" w:name="pg10144_71331"/>
    </w:p>
    <w:p>
      <w:pPr>
        <w:pStyle w:val="Heading5"/>
        <w:numPr>
          <w:ilvl w:val="4"/>
          <w:numId w:val="1"/>
        </w:numPr>
        <w:rPr/>
      </w:pPr>
      <w:bookmarkStart w:id="220" w:name="__RefHeading___Toc1165541_1067777946"/>
      <w:bookmarkStart w:id="221" w:name="_Toc78"/>
      <w:bookmarkEnd w:id="219"/>
      <w:bookmarkEnd w:id="220"/>
      <w:r>
        <w:rPr>
          <w:rtl w:val="true"/>
        </w:rPr>
        <w:t xml:space="preserve">الثالثة </w:t>
      </w:r>
      <w:r>
        <w:rPr>
          <w:rtl w:val="true"/>
        </w:rPr>
        <w:t xml:space="preserve">: </w:t>
      </w:r>
      <w:r>
        <w:rPr>
          <w:rtl w:val="true"/>
        </w:rPr>
        <w:t>انّ الرائي كان أربعة عشر شخصا لا واحدا</w:t>
      </w:r>
      <w:bookmarkEnd w:id="221"/>
    </w:p>
    <w:p>
      <w:pPr>
        <w:pStyle w:val="BookText"/>
        <w:rPr/>
      </w:pPr>
      <w:r>
        <w:rPr>
          <w:rFonts w:ascii="Amiri" w:hAnsi="Amiri" w:eastAsia="Amiri" w:cs="Amiri"/>
          <w:color w:val="111111"/>
          <w:sz w:val="28"/>
          <w:sz w:val="28"/>
          <w:szCs w:val="28"/>
          <w:rtl w:val="true"/>
          <w:lang w:bidi="ar-SA"/>
        </w:rPr>
        <w:t xml:space="preserve">يظهر ممّا رواه الحلبي أنّ الرائي للأذان لم يكن منحصرا بابني زيد والخطاب ، بل ادّعى أبو بكر أنّه أيضا رأى نفس ما رأياه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من الأنصار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عشر </w:t>
      </w:r>
      <w:r>
        <w:rPr>
          <w:rStyle w:val="FootnoteAnchor"/>
          <w:rtl w:val="true"/>
        </w:rPr>
        <w:footnoteReference w:id="241"/>
      </w:r>
      <w:r>
        <w:rPr>
          <w:rFonts w:ascii="Amiri" w:hAnsi="Amiri" w:eastAsia="Amiri" w:cs="Amiri"/>
          <w:color w:val="111111"/>
          <w:sz w:val="28"/>
          <w:sz w:val="28"/>
          <w:szCs w:val="28"/>
          <w:rtl w:val="true"/>
          <w:lang w:bidi="ar-SA"/>
        </w:rPr>
        <w:t>كلّهم ادّعوا أنّهم رأوا في الرؤيا الأذان ، وليست الشريعة شرعة لكل وارد ، فإذا كانت الشريعة والأحكام خاضعة لرؤيا كلّ وارد فعلى الإسلام السّلام</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1165543_1067777946"/>
      <w:bookmarkStart w:id="223" w:name="_Toc79"/>
      <w:bookmarkEnd w:id="222"/>
      <w:r>
        <w:rPr>
          <w:rtl w:val="true"/>
        </w:rPr>
        <w:t xml:space="preserve">الرابعة </w:t>
      </w:r>
      <w:r>
        <w:rPr>
          <w:rtl w:val="true"/>
        </w:rPr>
        <w:t xml:space="preserve">: </w:t>
      </w:r>
      <w:r>
        <w:rPr>
          <w:rtl w:val="true"/>
        </w:rPr>
        <w:t>التعارض بين نقل البخاري وغيره</w:t>
      </w:r>
      <w:bookmarkEnd w:id="223"/>
    </w:p>
    <w:p>
      <w:pPr>
        <w:pStyle w:val="BookText"/>
        <w:rPr/>
      </w:pPr>
      <w:r>
        <w:rPr>
          <w:rFonts w:ascii="Amiri" w:hAnsi="Amiri" w:eastAsia="Amiri" w:cs="Amiri"/>
          <w:color w:val="111111"/>
          <w:sz w:val="28"/>
          <w:sz w:val="28"/>
          <w:szCs w:val="28"/>
          <w:rtl w:val="true"/>
          <w:lang w:bidi="ar-SA"/>
        </w:rPr>
        <w:t xml:space="preserve">إنّ صريح صحيح البخاري أنّ النبي أمر بلالا في مجلس التشاور بالنداء للصلاة وعمر حاضر حين صدور الأمر ، فقد روى 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المسلمون حين قدموا المدينة يجتمعون فيتحيّنون الصلاة ، ليس ينادى لها ، فتكلّموا يوما في ذلك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ناقوسا مثل ناقوس النصارى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بوقا مثل قرن اليهود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تبعثون رجلا ينادي بالصلاة؟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قم فناد بالصلاة</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وصريح أحاديث الرؤيا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إنّما أمر بلالا بالنداء إذ قصّ عليه ابن زيد رؤياه ولم يكن عمر حاضرا وإنّما سمع الأذان وهو في بيته ، خرج وهو يجرّ ثوبه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يا رسول الله لقد رأيت مثل ما رأى</w:t>
      </w:r>
      <w:r>
        <w:rPr>
          <w:rFonts w:eastAsia="Amiri" w:cs="Amiri" w:ascii="Amiri" w:hAnsi="Amiri"/>
          <w:color w:val="111111"/>
          <w:sz w:val="28"/>
          <w:szCs w:val="28"/>
          <w:rtl w:val="true"/>
          <w:lang w:bidi="ar-SA"/>
        </w:rPr>
        <w:t xml:space="preserve">. </w:t>
      </w:r>
      <w:r>
        <w:rPr>
          <w:rStyle w:val="FootnoteAnchor"/>
          <w:rtl w:val="true"/>
        </w:rPr>
        <w:footnoteReference w:id="243"/>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لنا حمل ما رواه البخاري على النداء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أحاديث الرؤيا على التأذين بالأذان ، فإنّه جمع بلا شاهد أوّلا ، ولو أمر النبي بلالا برفع صوته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لحلّت العقدة ثانيا ، ورفعت الحيرة خصوصا إذا كررت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موضوع للحيرة ، وهذا دليل على أنّ أمره بالنداء ، كان بالتأذين بالأذان المشروع</w:t>
      </w:r>
      <w:r>
        <w:rPr>
          <w:rFonts w:eastAsia="Amiri" w:cs="Amiri" w:ascii="Amiri" w:hAnsi="Amiri"/>
          <w:color w:val="111111"/>
          <w:sz w:val="28"/>
          <w:szCs w:val="28"/>
          <w:rtl w:val="true"/>
          <w:lang w:bidi="ar-SA"/>
        </w:rPr>
        <w:t xml:space="preserve">. </w:t>
      </w:r>
      <w:r>
        <w:rPr>
          <w:rStyle w:val="FootnoteAnchor"/>
          <w:rtl w:val="true"/>
        </w:rPr>
        <w:footnoteReference w:id="244"/>
      </w:r>
      <w:bookmarkStart w:id="224" w:name="pg10144_71333"/>
    </w:p>
    <w:p>
      <w:pPr>
        <w:pStyle w:val="Heading4"/>
        <w:numPr>
          <w:ilvl w:val="3"/>
          <w:numId w:val="1"/>
        </w:numPr>
        <w:rPr/>
      </w:pPr>
      <w:bookmarkStart w:id="225" w:name="__RefHeading___Toc1165545_1067777946"/>
      <w:bookmarkStart w:id="226" w:name="_Toc80"/>
      <w:bookmarkEnd w:id="224"/>
      <w:bookmarkEnd w:id="225"/>
      <w:r>
        <w:rPr/>
        <w:t>6</w:t>
      </w:r>
      <w:r>
        <w:rPr>
          <w:rtl w:val="true"/>
        </w:rPr>
        <w:t xml:space="preserve">. </w:t>
      </w:r>
      <w:r>
        <w:rPr>
          <w:rtl w:val="true"/>
        </w:rPr>
        <w:t>مناقشة الأسانيد</w:t>
      </w:r>
      <w:bookmarkEnd w:id="226"/>
    </w:p>
    <w:p>
      <w:pPr>
        <w:pStyle w:val="BookText"/>
        <w:rPr/>
      </w:pPr>
      <w:r>
        <w:rPr>
          <w:rFonts w:ascii="Amiri" w:hAnsi="Amiri" w:eastAsia="Amiri" w:cs="Amiri"/>
          <w:color w:val="111111"/>
          <w:sz w:val="28"/>
          <w:sz w:val="28"/>
          <w:szCs w:val="28"/>
          <w:rtl w:val="true"/>
          <w:lang w:bidi="ar-SA"/>
        </w:rPr>
        <w:t>ما ذكرنا من الوجوه الخمسة ترجع إلى دراسة مضمون الأحاديث وهي كافية في سلب الركون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دراسة أسنادها واحدا بعد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بين موقوف لا يتّصل سندها بالنبي الأكرم صلى الله عليه وآله وسلم ، ومسند مشتمل على مجهول أو مجروح أو ضعيف متروك ، وإليك البيان حسب الترتيب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الرواية الأولى التي رواها أبو داود فهي ضعيفة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تنتهي الرواية إلى مجهول أو مجاهيل ،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عمومة له من الأنصار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يروي عن العمومة ، أبو عمير بن أنس ، فيذكره ابن حجر ويقول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عمومة له من الأنصار من أصحاب النبي صلى الله عليه وآله وسلم في رؤية الهلال وفي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قليل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لا يحتج به</w:t>
      </w:r>
      <w:r>
        <w:rPr>
          <w:rFonts w:eastAsia="Amiri" w:cs="Amiri" w:ascii="Amiri" w:hAnsi="Amiri"/>
          <w:color w:val="111111"/>
          <w:sz w:val="28"/>
          <w:szCs w:val="28"/>
          <w:rtl w:val="true"/>
          <w:lang w:bidi="ar-SA"/>
        </w:rPr>
        <w:t xml:space="preserve">. </w:t>
      </w:r>
      <w:r>
        <w:rPr>
          <w:rStyle w:val="FootnoteAnchor"/>
          <w:rtl w:val="true"/>
        </w:rPr>
        <w:footnoteReference w:id="24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جمال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ـ ما حدّث به في الموضوعين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الهلال والأذان ـ جميع ما له عندهم</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أمّا الرواية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في سندها من لا يصح الاحتجاج به ، نظراء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إبراهيم بن الحارث بن خالد التيمي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المتوفّى حدود عام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العقيلي عن عبد الله بن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وذكر محمد بن إبراهيم التيمي المدني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شيء ، يروي أحاديث مناكير ، أو منكرة</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إسحاق بن يسار بن خيار ، فإنّ أهل السنّة لا يحتجون برواياته ، وإن كان هو الأساس 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ابن هشام ـ المطبوعة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بن أبي 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يحيى بن معين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بذاك ،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يحيى بن معين مرة أخرى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عندي سقيم ليس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الحسن الميموني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معين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زيد ، راوية الحديث وكفى في حقّه أنّه قليل الحديث ، 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نعرف له عن النبي صلى الله عليه وآله وسلم شيئا يصح إلاّ هذا الحديث الواحد في الأذان ، 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قتل بأحد ، والروايات عنه كلّها منقطعة ، قال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له شيئا يصح عن النبيّ إلاّ حديث الأذان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الترمذي عن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له إلاّ حديث الأذان</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وقال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زيد هو الذي أُرِيَ الأذان ، الذي تداوله فقهاء الإسلام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يخرج في الصحيحين لاختلاف الناقلين في أسانيده</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وأمّا الرواية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اشتمل السند على محمد بن إسحاق بن يسار ، ومحمد بن إبراهيم التيمي ، وقد تعرّفت على حالهما كما تعرفت على أنّ عبد الله بن زيد كان قليل الرواية ، والروايات كلّها عنه منقطعة ، لأنّه قتل بأحد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في سندها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إسحاق بن عبد الله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يحيى بن سعيد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عنه بالمدينة ، فلم أرهم يحمدونه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قال علي بن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سفيان وسئل عن عبد الرحمن بن إسحاق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قدريا فنفاه أهل المدينة ، فجاءنا هاهنا مقتل الوليد ، فلم نجالسه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أحمد بن حنبل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الزناد أحاديث منكرة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بن عبد الله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 ، وليس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 ، ولا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ممّن يعتمد على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له بالمدينة تلميذ إلاّ موسى الزمعيّ ، روى عنه أشياء في عدّة منها 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يرمى بالقدر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أحمد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بعض ما ينكر ولا يتابع</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خالد بن عبد الله الواسطي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فيعرّفه جمال الدين المزّي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 وأنكر روايته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يحيى بن معين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رجل سوء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وأخرج أشياء منكرة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عثمان سعيد بن عمرو البردعي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يعني ـ أبا زرعة ـ عن محمد بن خالد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ابن حبان في كتاب الثقات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يخطئ ويخالف</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وقال الشوكاني بعد نقل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إسناده ضعف جدّا</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وأمّا الرواية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في سندها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إسحاق بن يسار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الحارث التيمي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تعرّفت على جرح الأوّلين ، وانقطاع السند في كل ما يرويان عن الثالث ، وبذلك يتّضح حال السند السادس فلاحظ</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ورد في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ورد في غيرها فنذكر منه ما رواه الإمام أحمد ، والدارمي ، والدارقطني في مسانيدهم ، والإمام مالك في موطّئه ، وابن سعد في طبقاته ، والبيهقي في سننه ، وإليك البيان </w:t>
      </w:r>
      <w:r>
        <w:rPr>
          <w:rFonts w:eastAsia="Amiri" w:cs="Amiri" w:ascii="Amiri" w:hAnsi="Amiri"/>
          <w:color w:val="111111"/>
          <w:sz w:val="28"/>
          <w:szCs w:val="28"/>
          <w:rtl w:val="true"/>
          <w:lang w:bidi="ar-SA"/>
        </w:rPr>
        <w:t xml:space="preserve">: </w:t>
      </w:r>
      <w:bookmarkStart w:id="227" w:name="pg10144_71337"/>
    </w:p>
    <w:p>
      <w:pPr>
        <w:pStyle w:val="Heading4"/>
        <w:numPr>
          <w:ilvl w:val="3"/>
          <w:numId w:val="1"/>
        </w:numPr>
        <w:rPr/>
      </w:pPr>
      <w:bookmarkStart w:id="228" w:name="__RefHeading___Toc1165547_1067777946"/>
      <w:bookmarkStart w:id="229" w:name="_Toc81"/>
      <w:bookmarkEnd w:id="227"/>
      <w:bookmarkEnd w:id="228"/>
      <w:r>
        <w:rPr/>
        <w:t>7</w:t>
      </w:r>
      <w:r>
        <w:rPr>
          <w:rtl w:val="true"/>
        </w:rPr>
        <w:t xml:space="preserve">. </w:t>
      </w:r>
      <w:r>
        <w:rPr>
          <w:rtl w:val="true"/>
        </w:rPr>
        <w:t>روايات الأذان في غير الكتب الستّة</w:t>
      </w:r>
      <w:bookmarkEnd w:id="229"/>
    </w:p>
    <w:p>
      <w:pPr>
        <w:pStyle w:val="Heading5"/>
        <w:numPr>
          <w:ilvl w:val="4"/>
          <w:numId w:val="1"/>
        </w:numPr>
        <w:rPr/>
      </w:pPr>
      <w:bookmarkStart w:id="230" w:name="__RefHeading___Toc1165549_1067777946"/>
      <w:bookmarkStart w:id="231" w:name="_Toc82"/>
      <w:bookmarkEnd w:id="230"/>
      <w:r>
        <w:rPr>
          <w:rtl w:val="true"/>
        </w:rPr>
        <w:t>اشارة</w:t>
      </w:r>
      <w:bookmarkEnd w:id="231"/>
    </w:p>
    <w:p>
      <w:pPr>
        <w:pStyle w:val="BookText"/>
        <w:rPr/>
      </w:pPr>
      <w:r>
        <w:rPr>
          <w:rFonts w:ascii="Amiri" w:hAnsi="Amiri" w:eastAsia="Amiri" w:cs="Amiri"/>
          <w:color w:val="111111"/>
          <w:sz w:val="28"/>
          <w:sz w:val="28"/>
          <w:szCs w:val="28"/>
          <w:rtl w:val="true"/>
          <w:lang w:bidi="ar-SA"/>
        </w:rPr>
        <w:t xml:space="preserve">قد عرفت من الحاكم انّ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ومسلما لم يخرّجا حديث عبد الله بن زيد لاختلاف الناقلين في أسانيدهما وإنّما أخرجه من أصحاب الكتب الستة ، أبو داود والترمذي وابن ماجة أصحاب السنن ، وقد عرفت وجود التناقض في مضامينها والضعف في أسانيدها ، فهلم معي ندرس ما رواه أصحاب المسانيد وغيرهم ممّن تعدّ كتبهم دون الكتب الستة في الإتقان والصحّة</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1165551_1067777946"/>
      <w:bookmarkStart w:id="233" w:name="_Toc83"/>
      <w:bookmarkEnd w:id="232"/>
      <w:r>
        <w:rPr>
          <w:rtl w:val="true"/>
        </w:rPr>
        <w:t xml:space="preserve">ألف </w:t>
      </w:r>
      <w:r>
        <w:rPr>
          <w:rtl w:val="true"/>
        </w:rPr>
        <w:t xml:space="preserve">: </w:t>
      </w:r>
      <w:r>
        <w:rPr>
          <w:rtl w:val="true"/>
        </w:rPr>
        <w:t>ما رواه الإمام أحمد في مسنده</w:t>
      </w:r>
      <w:bookmarkEnd w:id="233"/>
    </w:p>
    <w:p>
      <w:pPr>
        <w:pStyle w:val="BookText"/>
        <w:rPr/>
      </w:pPr>
      <w:r>
        <w:rPr>
          <w:rFonts w:ascii="Amiri" w:hAnsi="Amiri" w:eastAsia="Amiri" w:cs="Amiri"/>
          <w:color w:val="111111"/>
          <w:sz w:val="28"/>
          <w:sz w:val="28"/>
          <w:szCs w:val="28"/>
          <w:rtl w:val="true"/>
          <w:lang w:bidi="ar-SA"/>
        </w:rPr>
        <w:t xml:space="preserve">روى الإمام أحمد رؤيا الأذان في مسنده عن عبد الله بن زيد بأسانيد ثلاثة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ورد في السند الأوّل زيد بن الحباب بن الريان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وصفوه بكثرة الخطأ وله أحاديث تستغرب عن سفيان الثوري من جهة إسنادها ، 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أحاديثه عن الثوري مقلوبة</w:t>
      </w:r>
      <w:r>
        <w:rPr>
          <w:rFonts w:eastAsia="Amiri" w:cs="Amiri" w:ascii="Amiri" w:hAnsi="Amiri"/>
          <w:color w:val="111111"/>
          <w:sz w:val="28"/>
          <w:szCs w:val="28"/>
          <w:rtl w:val="true"/>
          <w:lang w:bidi="ar-SA"/>
        </w:rPr>
        <w:t xml:space="preserve">. </w:t>
      </w:r>
      <w:r>
        <w:rPr>
          <w:rStyle w:val="FootnoteAnchor"/>
          <w:rtl w:val="true"/>
        </w:rPr>
        <w:footnoteReference w:id="255"/>
      </w:r>
      <w:bookmarkStart w:id="234" w:name="pg10144_71338"/>
    </w:p>
    <w:p>
      <w:pPr>
        <w:pStyle w:val="BookText"/>
        <w:rPr/>
      </w:pPr>
      <w:bookmarkEnd w:id="234"/>
      <w:r>
        <w:rPr>
          <w:rFonts w:ascii="Amiri" w:hAnsi="Amiri" w:eastAsia="Amiri" w:cs="Amiri"/>
          <w:color w:val="111111"/>
          <w:sz w:val="28"/>
          <w:sz w:val="28"/>
          <w:szCs w:val="28"/>
          <w:rtl w:val="true"/>
          <w:lang w:bidi="ar-SA"/>
        </w:rPr>
        <w:t>كما اشتمل على عبد الله بن محمد بن عبد الله بن زيد بن عبد ربّه ، وليس له في الصحاح والمسانيد إلاّ رواية واحدة وهي هذه ، وفيها فضيلة لعائلته ، ولأجل ذلك يقلّ الاعتماد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اشتمل الثاني على محمد بن إسحاق بن يسار الذي تعرّفت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واشتمل الثالث على محمد بن إبراهيم الحارث التيمي ، مضافا إلى محمد بن إسحاق ، وينتهي إلى عبد الله بن زيد ، وهو قليل الحديث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الرواية الثانية بعد ذكر الرؤيا وتعليم الأذان لبلال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بلالا أتى رسول الله فوجده نائما ، فصرخ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 ، فأدخلت هذه الكلمة في التأذين إلى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في ضعف الرواية ما في ذيلها</w:t>
      </w:r>
      <w:r>
        <w:rPr>
          <w:rFonts w:eastAsia="Amiri" w:cs="Amiri" w:ascii="Amiri" w:hAnsi="Amiri"/>
          <w:color w:val="111111"/>
          <w:sz w:val="28"/>
          <w:szCs w:val="28"/>
          <w:rtl w:val="true"/>
          <w:lang w:bidi="ar-SA"/>
        </w:rPr>
        <w:t>.</w:t>
      </w:r>
    </w:p>
    <w:p>
      <w:pPr>
        <w:pStyle w:val="Heading5"/>
        <w:numPr>
          <w:ilvl w:val="4"/>
          <w:numId w:val="1"/>
        </w:numPr>
        <w:rPr/>
      </w:pPr>
      <w:bookmarkStart w:id="235" w:name="__RefHeading___Toc1165553_1067777946"/>
      <w:bookmarkStart w:id="236" w:name="_Toc84"/>
      <w:bookmarkEnd w:id="235"/>
      <w:r>
        <w:rPr>
          <w:rtl w:val="true"/>
        </w:rPr>
        <w:t xml:space="preserve">ب </w:t>
      </w:r>
      <w:r>
        <w:rPr>
          <w:rtl w:val="true"/>
        </w:rPr>
        <w:t xml:space="preserve">: </w:t>
      </w:r>
      <w:r>
        <w:rPr>
          <w:rtl w:val="true"/>
        </w:rPr>
        <w:t>ما رواه الدارمي في مسنده</w:t>
      </w:r>
      <w:bookmarkEnd w:id="236"/>
    </w:p>
    <w:p>
      <w:pPr>
        <w:pStyle w:val="BookText"/>
        <w:rPr/>
      </w:pPr>
      <w:r>
        <w:rPr>
          <w:rFonts w:ascii="Amiri" w:hAnsi="Amiri" w:eastAsia="Amiri" w:cs="Amiri"/>
          <w:color w:val="111111"/>
          <w:sz w:val="28"/>
          <w:sz w:val="28"/>
          <w:szCs w:val="28"/>
          <w:rtl w:val="true"/>
          <w:lang w:bidi="ar-SA"/>
        </w:rPr>
        <w:t xml:space="preserve">روى رؤيا الأذان الدارمي في مسنده بأسانيد ، وكلها ضعاف ، وإليك الأسانيد وحدها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محمد بن حميد ، حدّثنا سلمة ، حدّثني محمد بن إسحاق وقد كان رسول الله حين قدمها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نفس هذا السند وجاء بعد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هذا الحديث ، محمد بن إبراهيم بن الحارث التيمي ، عن محمد بن عبد الله بن زيد بن عبد ربّه ، عن أبيه بهذا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محمد بن يحيى ، حدّثنا يعقوب بن إبراهيم بن سعد ، حدّثنا أبي عن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والباقي نفس ما جاء في السند الثاني</w:t>
      </w:r>
      <w:r>
        <w:rPr>
          <w:rFonts w:eastAsia="Amiri" w:cs="Amiri" w:ascii="Amiri" w:hAnsi="Amiri"/>
          <w:color w:val="111111"/>
          <w:sz w:val="28"/>
          <w:szCs w:val="28"/>
          <w:rtl w:val="true"/>
          <w:lang w:bidi="ar-SA"/>
        </w:rPr>
        <w:t xml:space="preserve">. </w:t>
      </w:r>
      <w:r>
        <w:rPr>
          <w:rStyle w:val="FootnoteAnchor"/>
          <w:rtl w:val="true"/>
        </w:rPr>
        <w:footnoteReference w:id="256"/>
      </w:r>
      <w:bookmarkStart w:id="237" w:name="pg10144_71339"/>
    </w:p>
    <w:p>
      <w:pPr>
        <w:pStyle w:val="BookText"/>
        <w:rPr/>
      </w:pPr>
      <w:bookmarkEnd w:id="237"/>
      <w:r>
        <w:rPr>
          <w:rFonts w:ascii="Amiri" w:hAnsi="Amiri" w:eastAsia="Amiri" w:cs="Amiri"/>
          <w:color w:val="111111"/>
          <w:sz w:val="28"/>
          <w:sz w:val="28"/>
          <w:szCs w:val="28"/>
          <w:rtl w:val="true"/>
          <w:lang w:bidi="ar-SA"/>
        </w:rPr>
        <w:t>والأوّل منقطع ، والثاني مشتمل على محمد بن إبراهيم بن الحارث التيمي وقد عرفت حاله ، والثالث مشتمل على ابن إسحاق وقد عرفت حاله</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1165555_1067777946"/>
      <w:bookmarkStart w:id="239" w:name="_Toc85"/>
      <w:bookmarkEnd w:id="238"/>
      <w:r>
        <w:rPr>
          <w:rtl w:val="true"/>
        </w:rPr>
        <w:t xml:space="preserve">ج </w:t>
      </w:r>
      <w:r>
        <w:rPr>
          <w:rtl w:val="true"/>
        </w:rPr>
        <w:t xml:space="preserve">: </w:t>
      </w:r>
      <w:r>
        <w:rPr>
          <w:rtl w:val="true"/>
        </w:rPr>
        <w:t>ما رواه الإمام مالك في الموطأ</w:t>
      </w:r>
      <w:bookmarkEnd w:id="239"/>
    </w:p>
    <w:p>
      <w:pPr>
        <w:pStyle w:val="BookText"/>
        <w:rPr/>
      </w:pPr>
      <w:r>
        <w:rPr>
          <w:rFonts w:ascii="Amiri" w:hAnsi="Amiri" w:eastAsia="Amiri" w:cs="Amiri"/>
          <w:color w:val="111111"/>
          <w:sz w:val="28"/>
          <w:sz w:val="28"/>
          <w:szCs w:val="28"/>
          <w:rtl w:val="true"/>
          <w:lang w:bidi="ar-SA"/>
        </w:rPr>
        <w:t xml:space="preserve">روى الإمام مالك رؤيا الأذان في موطّئه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يحيى ، عن مالك ، عن يحيى بن سعيد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قد أراد أن يتّخذ خشبتين يضرب بهما</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والسند منقطع ، والمراد يحيى بن سعيد بن قيس المولود قبل عام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وتوفّى بالهاشمية سنة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58"/>
      </w:r>
    </w:p>
    <w:p>
      <w:pPr>
        <w:pStyle w:val="Heading5"/>
        <w:numPr>
          <w:ilvl w:val="4"/>
          <w:numId w:val="1"/>
        </w:numPr>
        <w:rPr/>
      </w:pPr>
      <w:bookmarkStart w:id="240" w:name="__RefHeading___Toc1165557_1067777946"/>
      <w:bookmarkStart w:id="241" w:name="_Toc86"/>
      <w:bookmarkEnd w:id="240"/>
      <w:r>
        <w:rPr>
          <w:rtl w:val="true"/>
        </w:rPr>
        <w:t xml:space="preserve">د </w:t>
      </w:r>
      <w:r>
        <w:rPr>
          <w:rtl w:val="true"/>
        </w:rPr>
        <w:t xml:space="preserve">: </w:t>
      </w:r>
      <w:r>
        <w:rPr>
          <w:rtl w:val="true"/>
        </w:rPr>
        <w:t>ما رواه ابن سعد في طبقاته</w:t>
      </w:r>
      <w:bookmarkEnd w:id="241"/>
    </w:p>
    <w:p>
      <w:pPr>
        <w:pStyle w:val="BookText"/>
        <w:rPr/>
      </w:pPr>
      <w:r>
        <w:rPr>
          <w:rFonts w:ascii="Amiri" w:hAnsi="Amiri" w:eastAsia="Amiri" w:cs="Amiri"/>
          <w:color w:val="111111"/>
          <w:sz w:val="28"/>
          <w:sz w:val="28"/>
          <w:szCs w:val="28"/>
          <w:rtl w:val="true"/>
          <w:lang w:bidi="ar-SA"/>
        </w:rPr>
        <w:t xml:space="preserve">رواه محمد بن سعد في طبقاته بأسانيد </w:t>
      </w:r>
      <w:r>
        <w:rPr>
          <w:rStyle w:val="FootnoteAnchor"/>
          <w:rtl w:val="true"/>
        </w:rPr>
        <w:footnoteReference w:id="259"/>
      </w:r>
      <w:r>
        <w:rPr>
          <w:rFonts w:ascii="Amiri" w:hAnsi="Amiri" w:eastAsia="Amiri" w:cs="Amiri"/>
          <w:color w:val="111111"/>
          <w:sz w:val="28"/>
          <w:sz w:val="28"/>
          <w:szCs w:val="28"/>
          <w:rtl w:val="true"/>
          <w:lang w:bidi="ar-SA"/>
        </w:rPr>
        <w:t xml:space="preserve">موقوفة لا يحتجّ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ينتهي إلى نافع بن جبير الذي توفّى في عشر التسعين وقيل سنة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ينتهي إلى عروة بن الزبير الذي تولّد عام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وتوفّى عام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ينتهي إلى زيد بن أسلم الذي توفّى عام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ينتهي إلى سعيد بن المسيب الذي توفّى عام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وإلى عبد الرحمن بن أبي ليلى الذي توفّى عام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الذهبي في ترجمة عبد الله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عنه سعيد بن المسيب وعبد </w:t>
      </w:r>
    </w:p>
    <w:p>
      <w:pPr>
        <w:pStyle w:val="BookText"/>
        <w:rPr/>
      </w:pPr>
      <w:r>
        <w:rPr>
          <w:rFonts w:ascii="Amiri" w:hAnsi="Amiri" w:eastAsia="Amiri" w:cs="Amiri"/>
          <w:color w:val="111111"/>
          <w:sz w:val="28"/>
          <w:sz w:val="28"/>
          <w:szCs w:val="28"/>
          <w:rtl w:val="true"/>
          <w:lang w:bidi="ar-SA"/>
        </w:rPr>
        <w:t>الرحمن بن أبي ليلى ولم يلقه</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وروى أيضا بالسند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أحمد بن محمد بن الوليد الأزرقي ، أخبرنا مسلم بن خالد ، حدّثني عبد الرحيم بن عمر ، عن ابن شهاب ، عن سالم بن عبد الله بن عمر ، عن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وسلم أراد أن يجعل شيئا يجمع به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أري رجل من الأنصار يقال له عبد الله بن زيد ، وأُريه عمر بن الخطاب تلك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فزاد بلال في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خير من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فأقرّها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اشتمل السند على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بن خالد بن قرقرة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ضعّفه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 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بذاك القوي ، منكر الحديث يكتب حديثه ولا يحتج به ، تعرف وتنكر</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مسلم بن عبيد الله بن عبد الله بن شهاب الزهري المدني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أنس بن عياض ، عن عبيد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أرى الزهري يعطي </w:t>
      </w:r>
      <w:bookmarkStart w:id="242" w:name="pg10144_71341"/>
    </w:p>
    <w:p>
      <w:pPr>
        <w:pStyle w:val="BookText"/>
        <w:rPr/>
      </w:pPr>
      <w:bookmarkEnd w:id="242"/>
      <w:r>
        <w:rPr>
          <w:rFonts w:ascii="Amiri" w:hAnsi="Amiri" w:eastAsia="Amiri" w:cs="Amiri"/>
          <w:color w:val="111111"/>
          <w:sz w:val="28"/>
          <w:sz w:val="28"/>
          <w:szCs w:val="28"/>
          <w:rtl w:val="true"/>
          <w:lang w:bidi="ar-SA"/>
        </w:rPr>
        <w:t xml:space="preserve">الكتاب فلا يقرأه ولا يقرأ عليه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 هذا عنك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إبراهيم بن أبي سفيان القيسراني عن الفريابي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سفيان الثوري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الزهري فتثاقل عليّ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أنّك أتيت أشياخنا ، فصنعوا بك مثل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أنت ، ودخل فأخرج إليّ كتابا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فاروه عنّي ، فما رويت عنه حرفا</w:t>
      </w:r>
      <w:r>
        <w:rPr>
          <w:rFonts w:eastAsia="Amiri" w:cs="Amiri" w:ascii="Amiri" w:hAnsi="Amiri"/>
          <w:color w:val="111111"/>
          <w:sz w:val="28"/>
          <w:szCs w:val="28"/>
          <w:rtl w:val="true"/>
          <w:lang w:bidi="ar-SA"/>
        </w:rPr>
        <w:t xml:space="preserve">. </w:t>
      </w:r>
      <w:r>
        <w:rPr>
          <w:rStyle w:val="FootnoteAnchor"/>
          <w:rtl w:val="true"/>
        </w:rPr>
        <w:footnoteReference w:id="262"/>
      </w:r>
    </w:p>
    <w:p>
      <w:pPr>
        <w:pStyle w:val="Heading5"/>
        <w:numPr>
          <w:ilvl w:val="4"/>
          <w:numId w:val="1"/>
        </w:numPr>
        <w:rPr/>
      </w:pPr>
      <w:bookmarkStart w:id="243" w:name="__RefHeading___Toc1165559_1067777946"/>
      <w:bookmarkStart w:id="244" w:name="_Toc87"/>
      <w:bookmarkEnd w:id="243"/>
      <w:r>
        <w:rPr>
          <w:rtl w:val="true"/>
        </w:rPr>
        <w:t xml:space="preserve">هـ </w:t>
      </w:r>
      <w:r>
        <w:rPr>
          <w:rtl w:val="true"/>
        </w:rPr>
        <w:t xml:space="preserve">: </w:t>
      </w:r>
      <w:r>
        <w:rPr>
          <w:rtl w:val="true"/>
        </w:rPr>
        <w:t>ما رواه البيهقي في سننه</w:t>
      </w:r>
      <w:bookmarkEnd w:id="244"/>
    </w:p>
    <w:p>
      <w:pPr>
        <w:pStyle w:val="BookText"/>
        <w:rPr/>
      </w:pPr>
      <w:r>
        <w:rPr>
          <w:rFonts w:ascii="Amiri" w:hAnsi="Amiri" w:eastAsia="Amiri" w:cs="Amiri"/>
          <w:color w:val="111111"/>
          <w:sz w:val="28"/>
          <w:sz w:val="28"/>
          <w:szCs w:val="28"/>
          <w:rtl w:val="true"/>
          <w:lang w:bidi="ar-SA"/>
        </w:rPr>
        <w:t xml:space="preserve">روى البيهقي رؤيا الأذان بأسانيد لا يخلو الكل عن علّة أو علاّت ، وإليك الإشارة إلى الضعاف الواردين في أسانيدها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على أبي عمير بن أنس عن عمومة له من الأنصار ، وقد تعرفت على أبي عمير بن أنس ، وأنّه قال فيه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مجهول لا يحتجّ به </w:t>
      </w:r>
      <w:r>
        <w:rPr>
          <w:rStyle w:val="FootnoteAnchor"/>
          <w:rtl w:val="true"/>
        </w:rPr>
        <w:footnoteReference w:id="263"/>
      </w:r>
      <w:r>
        <w:rPr>
          <w:rFonts w:ascii="Amiri" w:hAnsi="Amiri" w:eastAsia="Amiri" w:cs="Amiri"/>
          <w:color w:val="111111"/>
          <w:sz w:val="28"/>
          <w:sz w:val="28"/>
          <w:szCs w:val="28"/>
          <w:rtl w:val="true"/>
          <w:lang w:bidi="ar-SA"/>
        </w:rPr>
        <w:t xml:space="preserve">يروي عن مجاهيل </w:t>
      </w:r>
      <w:r>
        <w:rPr>
          <w:rStyle w:val="FootnoteAnchor"/>
          <w:rtl w:val="true"/>
        </w:rPr>
        <w:footnoteReference w:id="264"/>
      </w:r>
      <w:r>
        <w:rPr>
          <w:rFonts w:ascii="Amiri" w:hAnsi="Amiri" w:eastAsia="Amiri" w:cs="Amiri"/>
          <w:color w:val="111111"/>
          <w:sz w:val="28"/>
          <w:sz w:val="28"/>
          <w:szCs w:val="28"/>
          <w:rtl w:val="true"/>
          <w:lang w:bidi="ar-SA"/>
        </w:rPr>
        <w:t>باسم العمومة ، ولا دليل على كون هؤلاء من الصحابة ، وإن افترضنا عدالة كل صحابي ، وعلى فرض التسليم أنّ العمومة كانوا منهم ، لكن موقوفات الصحابي ليست بحجّة ، إذ لا علم بأنّه روى عن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على أناس لا يحتج بهم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إسحاق بن يسار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إبراهيم بن الحارث التيمي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زيد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تعرّفت على الجميع</w:t>
      </w:r>
      <w:r>
        <w:rPr>
          <w:rFonts w:eastAsia="Amiri" w:cs="Amiri" w:ascii="Amiri" w:hAnsi="Amiri"/>
          <w:color w:val="111111"/>
          <w:sz w:val="28"/>
          <w:szCs w:val="28"/>
          <w:rtl w:val="true"/>
          <w:lang w:bidi="ar-SA"/>
        </w:rPr>
        <w:t xml:space="preserve">. </w:t>
      </w:r>
      <w:bookmarkStart w:id="245" w:name="pg10144_71342"/>
    </w:p>
    <w:p>
      <w:pPr>
        <w:pStyle w:val="BookText"/>
        <w:rPr/>
      </w:pPr>
      <w:bookmarkEnd w:id="245"/>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 على ابن شهاب الزهري ، يروي عن سعيد بن المسيب المتوفّى عام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عن عبد الله بن زيد</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وقد عرفت أنّهما لم يدركا عبد الله بن زيد</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1165561_1067777946"/>
      <w:bookmarkStart w:id="247" w:name="_Toc88"/>
      <w:bookmarkEnd w:id="246"/>
      <w:r>
        <w:rPr>
          <w:rtl w:val="true"/>
        </w:rPr>
        <w:t xml:space="preserve">و </w:t>
      </w:r>
      <w:r>
        <w:rPr>
          <w:rtl w:val="true"/>
        </w:rPr>
        <w:t xml:space="preserve">: </w:t>
      </w:r>
      <w:r>
        <w:rPr>
          <w:rtl w:val="true"/>
        </w:rPr>
        <w:t>ما رواه الدارقطني في سننه</w:t>
      </w:r>
      <w:bookmarkEnd w:id="247"/>
    </w:p>
    <w:p>
      <w:pPr>
        <w:pStyle w:val="BookText"/>
        <w:rPr/>
      </w:pPr>
      <w:r>
        <w:rPr>
          <w:rFonts w:ascii="Amiri" w:hAnsi="Amiri" w:eastAsia="Amiri" w:cs="Amiri"/>
          <w:color w:val="111111"/>
          <w:sz w:val="28"/>
          <w:sz w:val="28"/>
          <w:szCs w:val="28"/>
          <w:rtl w:val="true"/>
          <w:lang w:bidi="ar-SA"/>
        </w:rPr>
        <w:t xml:space="preserve">روى الدارقطني رؤيا الأذان بأسانيد ، إليك بيانها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يحيى بن مرداس ، حدّثنا أبو داود ، حدّثنا عثمان بن أبي شيبة ، حدّثنا حماد بن خالد ، حدّثنا محمد بن عمرو ، عن محمد بن عبد الله ، عن عمّه عبد الله ابن 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داود ، حدّثنا عبيد الله بن عمر ، حدّثنا عبد الرحمن بن مهدي ، حدّثنا محمد بن عمرو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جدي عبد الله بن زيد بهذا الخبر</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وقد اشتمل السندان على محمد بن عمرو ، وهو مردّد بين الأنصاري ، الذي ليس له في الصحاح والمسانيد إلاّ هذه الرواية ، 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يعرف ، وبين محمد بن عمرو أبو سهل الأنصاري الذي ضعّفه يحيى القطان ، وابن معين وابن عدي</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محمد بن صاعد ، حدّثنا الحسن بن يونس ، حدّثنا الأسود بن عامر ، حدّثنا أبو بكر بن عياش ، عن الأعمش ، عن عمرو بن مرة ، عن عبد الرحمن بن أبي</w:t>
      </w:r>
    </w:p>
    <w:p>
      <w:pPr>
        <w:pStyle w:val="BookText"/>
        <w:rPr/>
      </w:pPr>
      <w:r>
        <w:rPr>
          <w:rFonts w:ascii="Amiri" w:hAnsi="Amiri" w:eastAsia="Amiri" w:cs="Amiri"/>
          <w:color w:val="111111"/>
          <w:sz w:val="28"/>
          <w:sz w:val="28"/>
          <w:szCs w:val="28"/>
          <w:rtl w:val="true"/>
          <w:lang w:bidi="ar-SA"/>
        </w:rPr>
        <w:t xml:space="preserve">ليلى ، عن معاذ بن جبل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رجل من الأنصار ، عبد الله بن زيد ، ـ يعني إلى النبي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رأيت في النوم</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وهذا السند منقطع ، لأنّ معاذ بن جبل توفّى عام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وتولّد عبد الرحمن بن أبي ليلى ، سنة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مضافا إلى أنّ الدارقطني ضعّف عبد الرحمن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 سيّئ الحفظ ، وابن أبي ليلى لا يثبت سماعه من عبد الله بن زيد</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إلى هنا تم الكلام في المقام الأوّل ، واتّضح أنّ الأذان إنّما شرع بوحي إلهي ، لا برؤيا عبد الله بن زيد ولا برؤيا عمر بن الخطاب ولا بأيّ ابن أنثى كائنا من كان ، وانّ هذه الأحاديث ، متعارضة جوهرا ، غير تامّة سندا ، لا يثبت بها شيء ، مضافا إلى ما ذكرنا في صدر البحث من الاستنكار العقلي ، فلاحظ</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وحان البحث عن كيفية دخول التثويب في أذان الفجر ، وهذا هو المقام الثاني الذي نتلوه عليك فنقول </w:t>
      </w:r>
      <w:r>
        <w:rPr>
          <w:rFonts w:eastAsia="Amiri" w:cs="Amiri" w:ascii="Amiri" w:hAnsi="Amiri"/>
          <w:color w:val="111111"/>
          <w:sz w:val="28"/>
          <w:szCs w:val="28"/>
          <w:rtl w:val="true"/>
          <w:lang w:bidi="ar-SA"/>
        </w:rPr>
        <w:t xml:space="preserve">: </w:t>
      </w:r>
      <w:bookmarkStart w:id="248" w:name="pg10144_71344"/>
    </w:p>
    <w:p>
      <w:pPr>
        <w:pStyle w:val="Heading3"/>
        <w:numPr>
          <w:ilvl w:val="2"/>
          <w:numId w:val="1"/>
        </w:numPr>
        <w:rPr/>
      </w:pPr>
      <w:bookmarkStart w:id="249" w:name="__RefHeading___Toc1165563_1067777946"/>
      <w:bookmarkStart w:id="250" w:name="_Toc89"/>
      <w:bookmarkEnd w:id="248"/>
      <w:bookmarkEnd w:id="249"/>
      <w:r>
        <w:rPr>
          <w:rtl w:val="true"/>
        </w:rPr>
        <w:t xml:space="preserve">المقام الثاني </w:t>
      </w:r>
      <w:r>
        <w:rPr>
          <w:rtl w:val="true"/>
        </w:rPr>
        <w:t>:</w:t>
      </w:r>
      <w:bookmarkEnd w:id="250"/>
    </w:p>
    <w:p>
      <w:pPr>
        <w:pStyle w:val="Heading4"/>
        <w:numPr>
          <w:ilvl w:val="3"/>
          <w:numId w:val="1"/>
        </w:numPr>
        <w:rPr/>
      </w:pPr>
      <w:bookmarkStart w:id="251" w:name="__RefHeading___Toc1165565_1067777946"/>
      <w:bookmarkStart w:id="252" w:name="_Toc90"/>
      <w:bookmarkEnd w:id="251"/>
      <w:r>
        <w:rPr/>
        <w:t>1</w:t>
      </w:r>
      <w:r>
        <w:rPr>
          <w:rtl w:val="true"/>
        </w:rPr>
        <w:t xml:space="preserve">. </w:t>
      </w:r>
      <w:r>
        <w:rPr>
          <w:rtl w:val="true"/>
        </w:rPr>
        <w:t>دراسة تاريخ دخول التثويب</w:t>
      </w:r>
      <w:bookmarkEnd w:id="252"/>
    </w:p>
    <w:p>
      <w:pPr>
        <w:pStyle w:val="Heading5"/>
        <w:numPr>
          <w:ilvl w:val="4"/>
          <w:numId w:val="1"/>
        </w:numPr>
        <w:rPr/>
      </w:pPr>
      <w:bookmarkStart w:id="253" w:name="__RefHeading___Toc1165567_1067777946"/>
      <w:bookmarkStart w:id="254" w:name="_Toc91"/>
      <w:bookmarkEnd w:id="253"/>
      <w:r>
        <w:rPr>
          <w:rtl w:val="true"/>
        </w:rPr>
        <w:t>في أذان صلاة الفجر</w:t>
      </w:r>
      <w:bookmarkEnd w:id="254"/>
    </w:p>
    <w:p>
      <w:pPr>
        <w:pStyle w:val="BookText"/>
        <w:rPr/>
      </w:pPr>
      <w:r>
        <w:rPr>
          <w:rFonts w:ascii="Amiri" w:hAnsi="Amiri" w:eastAsia="Amiri" w:cs="Amiri"/>
          <w:color w:val="111111"/>
          <w:sz w:val="28"/>
          <w:sz w:val="28"/>
          <w:szCs w:val="28"/>
          <w:rtl w:val="true"/>
          <w:lang w:bidi="ar-SA"/>
        </w:rPr>
        <w:t xml:space="preserve">التثويب من ثاب يثوب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 فهو بمعنى الرجوع إلى الأمر بالمبادرة إلى الصلاة ، فإنّ المؤذّن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 على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دعاهم إليها ، فإذا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خير من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رجع إلى كلام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وفسّره صاحب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بمعان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إلى الصلاة ، وتثنية الدعاء ، وأن يقول في أذان الفجر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خير من النوم ـ مرتين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التثويب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القديم ، هو قول المؤذن في أذان الصبح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خير من النوم ـ مرتين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قامت </w:t>
      </w:r>
      <w:r>
        <w:rPr>
          <w:rFonts w:eastAsia="Amiri" w:cs="Amiri" w:ascii="Amiri" w:hAnsi="Amiri"/>
          <w:color w:val="111111"/>
          <w:sz w:val="28"/>
          <w:szCs w:val="28"/>
          <w:rtl w:val="true"/>
          <w:lang w:bidi="ar-SA"/>
        </w:rPr>
        <w:t xml:space="preserve">». </w:t>
      </w:r>
      <w:r>
        <w:rPr>
          <w:rStyle w:val="FootnoteAnchor"/>
          <w:rtl w:val="true"/>
        </w:rPr>
        <w:footnoteReference w:id="270"/>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أنّه غلب استعماله بين أئمّة الحديث في القول المذكور أثناء الأذان ، ربّما يطلق على مطلق الدعوة بعد الدعوة ، فيعمّ ما إذا نادى المؤذّن بعد تمام الأذان بالقول المذكور أيضا أو بغيره ممّا يفيد الدعوة إليها بأيّ لفظ 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السندي في حاشيته على سنن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التثويب هو العود إلى الإعلام بعد الإعلام ، وقول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خير من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 تثويبا</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فالمقصود في المقام تبيين حكم قول المؤذّن أثناء الأذان لصلاة الفجر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خير من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فهل هو مشروع ، أو بدعة حدثت بعد النبي لما استحسنه بعض الناس من إقراره في الأذان ، سواء أكان هو التثويب فقط أو عمّ مطلق الدعوة إلى الصلاة ولو بعد تمام الأذان ، بهذا اللفظ أو بغيره؟</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التثويب بهذا المعنى ورد تارة في خلال أحاديث رؤية الأذان ، وأخرى في غيرها ، أمّا الأوّل فقد ورد في 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نصّ الشوكاني على ضعفها</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الإمام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ما في سنده من الضعف حيث جاء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إسحاق ، وعبد الله بن زيد بن عبد ربّه</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ابن سعد في طبقاته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خالد بن قرقرة وقد عرفت ضعفه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ـ أي نقل التثويب في غير رؤية الأذان ـ فقد نقله أصحاب السنن ، وإليك النصوص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بالسند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أبي شيبة ، حدّثنا محمد بن عبد الله الأسدي ، عن أبي إسرائيل ، عن الحكم ، عن عبد الرحمن بن أبي ليلى ، عن بلال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رسول الله أن أثوب في الفجر ونهاني أن أثوب في العشاء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الرواية دلالة على أنّ التثويب يستعمل في مطلق الدعوة إلى الصلاة ، وإن لم يكن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خير من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النهي عن التثويب في العشاء ، لأنّ التثويب فيه لا يتحقّق إلاّ بلفظ آخر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عمر بن رافع ، حدّثنا عبد الله بن المبارك ، عن معمر ، عن الزهري ، عن سعيد بن المسيب عن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أتى النبيّ يؤذِنه بصلاة الفجر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نائم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 الصلاة خير من النوم ، فأقرّت في تأذين الفجر ، فثبت الأمر على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والسندان منقطعان 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أبي ليلى ولد عام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بلال عام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بالشام وكان مرابطا بها قبل ذلك من أوائل فتوحها ، فهو شامي وابن أبي ليلى كوفي ، فكيف يسمع منه مع حداثة السن وتباعد الديار؟</w:t>
      </w:r>
      <w:r>
        <w:rPr>
          <w:rFonts w:eastAsia="Amiri" w:cs="Amiri" w:ascii="Amiri" w:hAnsi="Amiri"/>
          <w:color w:val="111111"/>
          <w:sz w:val="28"/>
          <w:szCs w:val="28"/>
          <w:rtl w:val="true"/>
          <w:lang w:bidi="ar-SA"/>
        </w:rPr>
        <w:t xml:space="preserve">! </w:t>
      </w:r>
      <w:r>
        <w:rPr>
          <w:rStyle w:val="FootnoteAnchor"/>
          <w:rtl w:val="true"/>
        </w:rPr>
        <w:footnoteReference w:id="27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الترمذي مع اختلاف في أوّل السند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بلال لا نعرفه إلاّ من حديث أبي إسرائيل الملاّئي ، وأبو إسرائيل لم يسمع هذا الحديث من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رواه عن الحسن بن عمارة عن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وأبو إسرائيل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أبي إسحاق ، وليس هو بذاك القوي عند أهل الحديث</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أمّا الثاني فقد قال فيه ابن ماجة نقلا عن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إسناده ثقات إلاّ أنّ فيه انقطاعا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لم يسمع من بلال</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سويد بن نصر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الله ، عن سفيان ، عن أبي جعفر ، عن أبي سلمان ، عن أبي محذورة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أؤذّن لرسول الله صلى الله عليه وآله وسلم وكنت أقول في أذان الفجر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الفلاح ، الصلاة خير من النوم ، الصلاة خير من النوم ، الله أكبر ، الله أكبر ، لا إله إلاّ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وفي سنن البيهقي </w:t>
      </w:r>
      <w:r>
        <w:rPr>
          <w:rStyle w:val="FootnoteAnchor"/>
          <w:rtl w:val="true"/>
        </w:rPr>
        <w:footnoteReference w:id="277"/>
      </w:r>
      <w:r>
        <w:rPr>
          <w:rFonts w:ascii="IRNazanin" w:hAnsi="IRNazanin" w:eastAsia="IRNazanin"/>
          <w:color w:val="111111"/>
          <w:sz w:val="28"/>
          <w:sz w:val="28"/>
          <w:szCs w:val="28"/>
          <w:rtl w:val="true"/>
          <w:lang w:bidi="fa-IR"/>
        </w:rPr>
        <w:t xml:space="preserve">وسبل السّلام </w:t>
      </w:r>
      <w:r>
        <w:rPr>
          <w:rStyle w:val="FootnoteAnchor"/>
          <w:rtl w:val="true"/>
        </w:rPr>
        <w:footnoteReference w:id="278"/>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سلمان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أبي سليمان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سليمان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همام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نجد ترجمة لهمام المؤذّن فيما بأيدينا من كتب الرجال فلم يذكره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المزّي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والرجل غير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أبو محذورة فهو من الصحابة لكنّه قليل الرواية ، لا يتجاوز ما رواه عن عشر روايات وقد أذّن لرسول الله في العام الثامن ، في غزوة حنين</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البيهقي في سننه بسند ينتهي إلى أبي قدامة ، عن محمد بن عبد الملك بن أبي محذورة ، عن أبيه ،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علّمني سنّة الأذان ، وذكر الحديث 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الفلاح ، حيّ على الفلاح ، فإن كان</w:t>
      </w:r>
    </w:p>
    <w:p>
      <w:pPr>
        <w:pStyle w:val="BookText"/>
        <w:rPr/>
      </w:pPr>
      <w:r>
        <w:rPr>
          <w:rFonts w:ascii="Amiri" w:hAnsi="Amiri" w:eastAsia="Amiri" w:cs="Amiri"/>
          <w:color w:val="111111"/>
          <w:sz w:val="28"/>
          <w:sz w:val="28"/>
          <w:szCs w:val="28"/>
          <w:rtl w:val="true"/>
          <w:lang w:bidi="ar-SA"/>
        </w:rPr>
        <w:t xml:space="preserve">صلاة الصبح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 ، الصلاة خير من النوم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أيضا بسند ينتهي إلى عثمان بن السائب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وأم عبد الملك بن أبي محذورة ، عن أبي محذورة عن النبي صلى الله عليه وآله وسلم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ومحمد بن عبد الملك قد تعرّفت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وعثمان بن السائب ولدا ووالدا ، غير معروفين ليس لهما إلاّ رواية واحدة</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أبو داود بسند ينتهي إلى الحرث بن عبيد ، عن محمد بن عبد الملك بن أبي محذورة ، عن أبيه ، عن جده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علّمني سنّة الأذان ـ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فإن كان صلاة الصبح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 ، الصلاة خير من النوم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والسند مشتمل على محمد بن عبد الملك ، 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يحتج بهذا الاسناد ، وقال ابن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الحال ، لا نعلم روى عنه إلاّ الحارث</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وقال الشوكاني في حقّ محمد بن عبد الملك بن أبي محذورة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معروف الحال ، والحرث بن عبيد وفيه مقال</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أيضا بسند ينتهي إلى عثمان بن سائب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وأمّ عبد الملك بن أبي محذورة ، عن أبي محذورة ، عن النبي نحو هذا الخبر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255" w:name="pg10144_71349"/>
    </w:p>
    <w:p>
      <w:pPr>
        <w:pStyle w:val="BookText"/>
        <w:rPr/>
      </w:pPr>
      <w:bookmarkEnd w:id="255"/>
      <w:r>
        <w:rPr>
          <w:rFonts w:ascii="IRNazanin" w:hAnsi="IRNazanin" w:eastAsia="IRNazanin"/>
          <w:color w:val="111111"/>
          <w:sz w:val="28"/>
          <w:sz w:val="28"/>
          <w:szCs w:val="28"/>
          <w:rtl w:val="true"/>
          <w:lang w:bidi="fa-IR"/>
        </w:rPr>
        <w:t>وقد عرفت ضعف السند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أيضا بسند ينتهي إلى إبراهيم بن إسماعيل بن عبد الملك بن أبي محذورة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جدي عبد الملك بن أبي محذورة يذكر أنّه سمع أبا محذورة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عليّ رسول الله الأذان حرفا حرفا ـ إلى أن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في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وإبراهيم بن إسماعيل له رواية واحدة ، وهو بعد لم يوثّق </w:t>
      </w:r>
      <w:r>
        <w:rPr>
          <w:rStyle w:val="FootnoteAnchor"/>
          <w:rtl w:val="true"/>
        </w:rPr>
        <w:footnoteReference w:id="283"/>
      </w:r>
      <w:r>
        <w:rPr>
          <w:rFonts w:ascii="Amiri" w:hAnsi="Amiri" w:eastAsia="Amiri" w:cs="Amiri"/>
          <w:color w:val="111111"/>
          <w:sz w:val="28"/>
          <w:sz w:val="28"/>
          <w:szCs w:val="28"/>
          <w:rtl w:val="true"/>
          <w:lang w:bidi="ar-SA"/>
        </w:rPr>
        <w:t>مضافا إلى احتمال الانقطاع في السند</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1165569_1067777946"/>
      <w:bookmarkStart w:id="257" w:name="_Toc92"/>
      <w:bookmarkEnd w:id="256"/>
      <w:r>
        <w:rPr>
          <w:rtl w:val="true"/>
        </w:rPr>
        <w:t xml:space="preserve">وما رواه الدارقطني فعلى أقسام </w:t>
      </w:r>
      <w:r>
        <w:rPr>
          <w:rtl w:val="true"/>
        </w:rPr>
        <w:t>:</w:t>
      </w:r>
      <w:bookmarkEnd w:id="257"/>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يدلّ على أنّه سنّة في الأذان ، رواه عن أنس وعمر من دون أن ينسباه إلى النبي وهي ثلاثة أحاديث</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يدلّ على أنّ النبي أمر بلالا بذلك لكن السند 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عبد الرحمن بن أبي ليلى عن بلال </w:t>
      </w:r>
      <w:r>
        <w:rPr>
          <w:rStyle w:val="FootnoteAnchor"/>
          <w:rtl w:val="true"/>
        </w:rPr>
        <w:footnoteReference w:id="285"/>
      </w:r>
      <w:r>
        <w:rPr>
          <w:rFonts w:ascii="Amiri" w:hAnsi="Amiri" w:eastAsia="Amiri" w:cs="Amiri"/>
          <w:color w:val="111111"/>
          <w:sz w:val="28"/>
          <w:sz w:val="28"/>
          <w:szCs w:val="28"/>
          <w:rtl w:val="true"/>
          <w:lang w:bidi="ar-SA"/>
        </w:rPr>
        <w:t xml:space="preserve">مع ضعف في سنده لمكان عبد الرحمن بن الحسن فيه المكنّى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مسعود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عرّفه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يحتج به ، وإن ليّنه الآخرون</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يدلّ على الإعلام قبل الأذان ، بأي شكل اتّفق ، وهو خارج عن المقصود ، وقد ضعّف بعض من جاء في سنده</w:t>
      </w:r>
      <w:r>
        <w:rPr>
          <w:rFonts w:eastAsia="Amiri" w:cs="Amiri" w:ascii="Amiri" w:hAnsi="Amiri"/>
          <w:color w:val="111111"/>
          <w:sz w:val="28"/>
          <w:szCs w:val="28"/>
          <w:rtl w:val="true"/>
          <w:lang w:bidi="ar-SA"/>
        </w:rPr>
        <w:t xml:space="preserve">. </w:t>
      </w:r>
      <w:r>
        <w:rPr>
          <w:rStyle w:val="FootnoteAnchor"/>
          <w:rtl w:val="true"/>
        </w:rPr>
        <w:footnoteReference w:id="287"/>
      </w:r>
      <w:bookmarkStart w:id="258" w:name="pg10144_71350"/>
    </w:p>
    <w:p>
      <w:pPr>
        <w:pStyle w:val="Heading5"/>
        <w:numPr>
          <w:ilvl w:val="4"/>
          <w:numId w:val="1"/>
        </w:numPr>
        <w:rPr/>
      </w:pPr>
      <w:bookmarkStart w:id="259" w:name="__RefHeading___Toc1165571_1067777946"/>
      <w:bookmarkStart w:id="260" w:name="_Toc93"/>
      <w:bookmarkEnd w:id="258"/>
      <w:bookmarkEnd w:id="259"/>
      <w:r>
        <w:rPr>
          <w:rtl w:val="true"/>
        </w:rPr>
        <w:t xml:space="preserve">ما رواه الدارمي </w:t>
      </w:r>
      <w:r>
        <w:rPr>
          <w:rtl w:val="true"/>
        </w:rPr>
        <w:t>:</w:t>
      </w:r>
      <w:bookmarkEnd w:id="260"/>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الدارمي بسند ينتهي إلى الزهري ، عن حفص بن عمر بن سعد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أهلي ، أنّ بلالا أتى رسول الله يؤذنه لصلاة الفجر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نائم ، فنادى بلال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فأقرّت في أذان صلاة الفجر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والرواية لا يحتج بها لمكان الزهري أوّلا ، وحفص بن عمر الذي ليس له إلاّ رواية واحدة وهي هذه </w:t>
      </w:r>
      <w:r>
        <w:rPr>
          <w:rStyle w:val="FootnoteAnchor"/>
          <w:rtl w:val="true"/>
        </w:rPr>
        <w:footnoteReference w:id="288"/>
      </w:r>
      <w:r>
        <w:rPr>
          <w:rFonts w:ascii="Amiri" w:hAnsi="Amiri" w:eastAsia="Amiri" w:cs="Amiri"/>
          <w:color w:val="111111"/>
          <w:sz w:val="28"/>
          <w:sz w:val="28"/>
          <w:szCs w:val="28"/>
          <w:rtl w:val="true"/>
          <w:lang w:bidi="ar-SA"/>
        </w:rPr>
        <w:t>مضافا إلى كون الأصل الناقل مجهولا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الإمام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المؤذّن جاء إلى عمر بن الخطاب يؤذنه لصلاة الصبح فوجده نائما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عمر أن يجعلها في نداء الصبح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61" w:name="__RefHeading___Toc1165573_1067777946"/>
      <w:bookmarkStart w:id="262" w:name="_Toc94"/>
      <w:bookmarkEnd w:id="261"/>
      <w:r>
        <w:rPr>
          <w:rtl w:val="true"/>
        </w:rPr>
        <w:t xml:space="preserve">حصيلة الروايات </w:t>
      </w:r>
      <w:r>
        <w:rPr>
          <w:rtl w:val="true"/>
        </w:rPr>
        <w:t>:</w:t>
      </w:r>
      <w:bookmarkEnd w:id="262"/>
    </w:p>
    <w:p>
      <w:pPr>
        <w:pStyle w:val="BookText"/>
        <w:rPr/>
      </w:pPr>
      <w:r>
        <w:rPr>
          <w:rFonts w:ascii="Amiri" w:hAnsi="Amiri" w:eastAsia="Amiri" w:cs="Amiri"/>
          <w:color w:val="111111"/>
          <w:sz w:val="28"/>
          <w:sz w:val="28"/>
          <w:szCs w:val="28"/>
          <w:rtl w:val="true"/>
          <w:lang w:bidi="ar-SA"/>
        </w:rPr>
        <w:t xml:space="preserve">إنّ روايات التثويب متعارضة جدا لا يمكن إرجاعها إلى معنى واحد ، وإليك أقسامها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يدلّ على أنّ عبد الله بن زيد رآه في رؤياه وأنّه كان جزءا من الأذان من أوّل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يدلّ على أنّ بلالا زاده فيه وقرّره النبي صلى الله عليه وآله وسلم على أن يجعله بلال جزءا من الأذان كما في رواية الدارمي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يدلّ على أنّ عمر بن الخطاب أمر المؤذّن أن يجعلها في نداء الصبح كما رواه الإمام 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يدلّ على أنّ رسول الله صلى الله عليه وآله وسلم علّمها أبا محذورة ، كما رواه البيهقي في سننه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يظهر أنّ بلالا ينادي بالصبح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 على خير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النبي صلى الله عليه وآله وسلم أن يجعل مكانها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خير من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المتقي الهندي في كنزه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23188</w:t>
      </w:r>
      <w:r>
        <w:rPr>
          <w:rFonts w:eastAsia="Amiri" w:cs="Amiri" w:ascii="Amiri" w:hAnsi="Amiri"/>
          <w:color w:val="111111"/>
          <w:sz w:val="28"/>
          <w:szCs w:val="28"/>
          <w:rtl w:val="true"/>
          <w:lang w:bidi="ar-SA"/>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هذا التعارض الواضح ، لا يمكن الركون إليها ، وبما أنّ أمرها دائر بين السنّة والبدعة ، فتركها متعيّن لعدم العقاب على تركها ، بخلاف ما لو كانت بدعة</w:t>
      </w:r>
      <w:r>
        <w:rPr>
          <w:rFonts w:eastAsia="Amiri" w:cs="Amiri" w:ascii="Amiri" w:hAnsi="Amiri"/>
          <w:color w:val="111111"/>
          <w:sz w:val="28"/>
          <w:szCs w:val="28"/>
          <w:rtl w:val="true"/>
          <w:lang w:bidi="ar-SA"/>
        </w:rPr>
        <w:t xml:space="preserve">. </w:t>
      </w:r>
      <w:bookmarkStart w:id="263" w:name="pg10144_71352"/>
    </w:p>
    <w:p>
      <w:pPr>
        <w:pStyle w:val="Heading4"/>
        <w:numPr>
          <w:ilvl w:val="3"/>
          <w:numId w:val="1"/>
        </w:numPr>
        <w:rPr/>
      </w:pPr>
      <w:bookmarkStart w:id="264" w:name="__RefHeading___Toc1165575_1067777946"/>
      <w:bookmarkStart w:id="265" w:name="_Toc95"/>
      <w:bookmarkEnd w:id="263"/>
      <w:bookmarkEnd w:id="264"/>
      <w:r>
        <w:rPr/>
        <w:t>2</w:t>
      </w:r>
      <w:r>
        <w:rPr>
          <w:rtl w:val="true"/>
        </w:rPr>
        <w:t xml:space="preserve">. </w:t>
      </w:r>
      <w:r>
        <w:rPr>
          <w:rtl w:val="true"/>
        </w:rPr>
        <w:t>كلمات الأعلام في التثويب</w:t>
      </w:r>
      <w:bookmarkEnd w:id="265"/>
    </w:p>
    <w:p>
      <w:pPr>
        <w:pStyle w:val="BookText"/>
        <w:rPr/>
      </w:pPr>
      <w:r>
        <w:rPr>
          <w:rFonts w:ascii="Amiri" w:hAnsi="Amiri" w:eastAsia="Amiri" w:cs="Amiri"/>
          <w:color w:val="111111"/>
          <w:sz w:val="28"/>
          <w:sz w:val="28"/>
          <w:szCs w:val="28"/>
          <w:rtl w:val="true"/>
          <w:lang w:bidi="ar-SA"/>
        </w:rPr>
        <w:t xml:space="preserve">إنّ بين الصحابة والتابعين من يراه بدعة وأنّه لم يأمر به النبي الأكرم صلى الله عليه وآله وسلم وإنّما حدث بعده صلى الله عليه وآله وسلم ، وإليك نصوصهم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عمرو بن حفص أنّ سعدا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خير من النوم ، في خلافة عمر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 ثمّ تركه ، وانّ بلالا لم يؤذّن لعمر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حسن بن مسلم أنّ رجلا سأل طاوسا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قيل الصلاة خير من النوم؟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لم تقل على عهد رسول الله صلى الله عليه وآله وسلم ، ولكنّ بلالا سمعها في زمان أبي بكر بعد وفاة رسول الله صلى الله عليه وآله وسلم يقولها رجل غير مؤذن ، فأخذها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بها فلم يمكث أبو بكر إلاّ قليلا حتى إذا كان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نهينا بلالا عن هذا الذي أحدث ، وكأنّه نسيه وأذّن بها الناس حتى اليوم</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عبد الرزاق الصنعاني عن ابن عيينة عن ليث عن مجاهد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ابن عمر فسمع رجلا يثوب في المسجد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بنا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هذا المبتدع</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نعم يظهر ممّا رواه أبو داود في سننه أنّ الرجل ثوب في الظهر والعصر لا في صلاة الفجر</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روي عن أبي حنيفة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 عن حماد ، عن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التثويب؟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ممّا أحدثه الناس ، وهو حسن ، ممّا أحدثوه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 تثويبهم كان حين يفرغ المؤذّن من أذانه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خير من النوم ـ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الإمام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الآثار فرواه عن أبي حنيفة ثمّ 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أبي حنيفة وبه نأخذ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وهذه الرواية تدلّ على أنّ التثويب في عصر الرسول صلى الله عليه وآله وسلم أو في عصر الخلفاء كان بعد الفراغ عن الأذان ولم يكن جزءا منه وانّما كان يذكره المؤذّن من عند نفسه إيقاظا للناس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أدرج في نفس الأذان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الشوكاني نقلا عن البحر الزخار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أحدثه عمر فقال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عليه السلام حين 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تزيدوا في الأذان ما ليس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أن ذكر حديث أبي محذورة وبلال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لو كان لما أنكره علي وابن عمر وطاوس سلمنا فأمرنا به إشعارا في حال ، لا شرعا جمعا بين الآثار</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الأمير اليمني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خير من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ألفاظ الأذان المشروع للدعاء إلى الصلاة </w:t>
      </w:r>
    </w:p>
    <w:p>
      <w:pPr>
        <w:pStyle w:val="BookText"/>
        <w:rPr/>
      </w:pPr>
      <w:r>
        <w:rPr>
          <w:rFonts w:ascii="Amiri" w:hAnsi="Amiri" w:eastAsia="Amiri" w:cs="Amiri"/>
          <w:color w:val="111111"/>
          <w:sz w:val="28"/>
          <w:sz w:val="28"/>
          <w:szCs w:val="28"/>
          <w:rtl w:val="true"/>
          <w:lang w:bidi="ar-SA"/>
        </w:rPr>
        <w:t>والإخبار بدخول وقتها ، بل هو من الألفاظ التي شرعت لإيقاظ النائم ، فهو كألفاظ التسبيح الأخير الذي اعتاده الناس في هذه الأعصار المتأخرة عوضا عن الأذان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عرفت هذا ، هان عليك ما اعتاده الفقهاء من الجدال في التثويب هل هو من ألفاظ الأذان أو لا ، وهل هو بدعة أو لا؟ </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ابن قدامة عن إسحاق أنّه بعد ما نقل رواية أبي محذورة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شيء أحدثه الناس ، وقال أبو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التثويب الذي كرهه أهل العلم وهو الذي خرج منه ابن عمر من المسجد لما سمعه</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استفاض من أئمّة أهل البيت من كونها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الطوسي بسند صحيح عن معاوية 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عن التثويب الذي يكون بين الأذان والإقامة؟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نعرفه </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تبيّن لي من دراسة ما ورد حول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عائلتين استغلّتا ما روي عن جدّهم عبد الله بن زيد وأبي محذورة فعَمِدتا بنشر ما نُسِبَ إلى جدهما لما فيه من فضيلة للعائلة ، ولو لا ذلك لم يكن لهذين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تشريع الأذان بالرؤيا والتثويب في أذان صلاة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 بهذا النحو الواسع ، ولأجل ذلك ربّما يرتاب الإنسان فيما نقل عن جدهما ، وقد عرفت وجود رواة في أسانيد الروايات يُنسَبون إلى هاتين العائلتين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الفصل الأوّل والفصل الثاني يشهد على أنّه سبحانه هو الإله في صفحة الوجود وأنّ ما سواه سراب ما أنزل الله به من سلطان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 الفصول ، يشهد على أنّ محمّدا صلى الله عليه وآله وسلم رسوله ، الذي بعثه لإبلاغ </w:t>
      </w:r>
    </w:p>
    <w:p>
      <w:pPr>
        <w:pStyle w:val="BookText"/>
        <w:rPr/>
      </w:pPr>
      <w:r>
        <w:rPr>
          <w:rFonts w:ascii="IRNazanin" w:hAnsi="IRNazanin" w:eastAsia="IRNazanin"/>
          <w:color w:val="111111"/>
          <w:sz w:val="28"/>
          <w:sz w:val="28"/>
          <w:szCs w:val="28"/>
          <w:rtl w:val="true"/>
          <w:lang w:bidi="fa-IR"/>
        </w:rPr>
        <w:t>رسالاته وإنجاز دعوته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نهاية ذلك الفصل يتبدّل نداوة وإعلانه من الشهادة ، إلى الدعوة إلى الصلاة التي فرضها والتي بها يتّصل الإنسان بعالم الغيب ، وفيها يمتزج خشوعه ، بعظمة الخالق ، ثمّ الدعوة إلى الفلاح والنجاح ، وخير العمل التي تنطوي عليها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نهاية الدعوة إلى الفلاح وخير العمل ، يعود ويذكر الحقيقة الأبدية التي صرّح بها في أوّليات فصوله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 الله أكبر ، لا إله إلاّ الله ،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حقيقة الأذان وصورته والجميع سبيكة واحدة أفرغتها يد التشريع السماوي في قالب جمل ، تحكي عن حقائق أبدية ، تصدّ الإنسان عن الانكباب في شواغل الدنيا وملاذّها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يحسّه كل إنسان واع منصت للأذان ، ومتدبّر في فصوله ومعانيه ، ولكن هنا حقيقة مرّة لا يمكن لي ولا لغيري إخفاؤها ـ بشرط التجرّد عن كل رأي مسبق ، أو تعصّب لمذهب ـ وهو أنّ المؤذّن إذا انحدر من الدعوة إلى الصلاة ، والفلاح وخير العمل ـ في أذان صلاة الفجر ـ إلى الإعلان بأنّ الصلاة خير من النوم ، فكأنّما ينحدر من قمة البلاغة إلى كلام عار عن الرفعة والبداعة ، يُعلِن شيئا يعرفه الصبيان ومن دونهم ، يصيح ـ بجد وحماس ـ على شيء لا يجهله إلاّ من يجهل البديهيات ، لأنّ إعلانه بأنّها خير من النوم ، أشبه بمن يُعلن في محتشد كبير بأنّ الاثنين نصف الأربعة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الذي أحسسته عند ما تشرفت بزيارة بيت الله الحرام عام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وأنا أستمع للأذان في الحرمين الشريفين ، ولم تزل تجول في ذهني ومخيّلتي أنّ هذا الفصل ليس من كلام الوحي وانّما أُقحم لسبب من الأسباب ، بين فصول الأذان ، فهذا ما دعاني إلى البحث والتنقيب في هذا الموضوع</w:t>
      </w:r>
      <w:r>
        <w:rPr>
          <w:rFonts w:eastAsia="Amiri" w:cs="Amiri" w:ascii="Amiri" w:hAnsi="Amiri"/>
          <w:color w:val="111111"/>
          <w:sz w:val="28"/>
          <w:szCs w:val="28"/>
          <w:rtl w:val="true"/>
          <w:lang w:bidi="ar-SA"/>
        </w:rPr>
        <w:t xml:space="preserve">. </w:t>
      </w:r>
      <w:bookmarkStart w:id="266" w:name="pg10144_71356"/>
    </w:p>
    <w:p>
      <w:pPr>
        <w:pStyle w:val="Heading4"/>
        <w:numPr>
          <w:ilvl w:val="3"/>
          <w:numId w:val="1"/>
        </w:numPr>
        <w:rPr/>
      </w:pPr>
      <w:bookmarkStart w:id="267" w:name="__RefHeading___Toc1165577_1067777946"/>
      <w:bookmarkStart w:id="268" w:name="_Toc96"/>
      <w:bookmarkEnd w:id="266"/>
      <w:bookmarkEnd w:id="267"/>
      <w:r>
        <w:rPr>
          <w:rtl w:val="true"/>
        </w:rPr>
        <w:t>خاتمة المطاف بدعة تلو بدعة</w:t>
      </w:r>
      <w:bookmarkEnd w:id="268"/>
    </w:p>
    <w:p>
      <w:pPr>
        <w:pStyle w:val="Heading5"/>
        <w:numPr>
          <w:ilvl w:val="4"/>
          <w:numId w:val="1"/>
        </w:numPr>
        <w:rPr/>
      </w:pPr>
      <w:bookmarkStart w:id="269" w:name="__RefHeading___Toc1165579_1067777946"/>
      <w:bookmarkStart w:id="270" w:name="_Toc97"/>
      <w:bookmarkEnd w:id="269"/>
      <w:r>
        <w:rPr>
          <w:rtl w:val="true"/>
        </w:rPr>
        <w:t>اشارة</w:t>
      </w:r>
      <w:bookmarkEnd w:id="270"/>
    </w:p>
    <w:p>
      <w:pPr>
        <w:pStyle w:val="BookText"/>
        <w:rPr/>
      </w:pPr>
      <w:r>
        <w:rPr>
          <w:rFonts w:ascii="Amiri" w:hAnsi="Amiri" w:eastAsia="Amiri" w:cs="Amiri"/>
          <w:color w:val="111111"/>
          <w:sz w:val="28"/>
          <w:sz w:val="28"/>
          <w:szCs w:val="28"/>
          <w:rtl w:val="true"/>
          <w:lang w:bidi="ar-SA"/>
        </w:rPr>
        <w:t>إنّ تاريخ الأذان والإقامة حافل بالبدع ، وقد تصرفت فيه يد المبدعين لغايات استحسانية لا يعرّج إليها في التشريع ، وإليك بعض ما أحدث فيه بعد النبي صلى الله عليه وآله وسلم</w:t>
      </w:r>
      <w:r>
        <w:rPr>
          <w:rFonts w:eastAsia="Amiri" w:cs="Amiri" w:ascii="Amiri" w:hAnsi="Amiri"/>
          <w:color w:val="111111"/>
          <w:sz w:val="28"/>
          <w:szCs w:val="28"/>
          <w:rtl w:val="true"/>
          <w:lang w:bidi="ar-SA"/>
        </w:rPr>
        <w:t>.</w:t>
      </w:r>
    </w:p>
    <w:p>
      <w:pPr>
        <w:pStyle w:val="Heading5"/>
        <w:numPr>
          <w:ilvl w:val="4"/>
          <w:numId w:val="1"/>
        </w:numPr>
        <w:rPr/>
      </w:pPr>
      <w:bookmarkStart w:id="271" w:name="__RefHeading___Toc1165581_1067777946"/>
      <w:bookmarkStart w:id="272" w:name="_Toc98"/>
      <w:bookmarkEnd w:id="271"/>
      <w:r>
        <w:rPr/>
        <w:t>1</w:t>
      </w:r>
      <w:r>
        <w:rPr>
          <w:rtl w:val="true"/>
        </w:rPr>
        <w:t xml:space="preserve">. </w:t>
      </w:r>
      <w:r>
        <w:rPr>
          <w:rtl w:val="true"/>
        </w:rPr>
        <w:t>الأذان الثاني يوم الجمعة</w:t>
      </w:r>
      <w:bookmarkEnd w:id="272"/>
    </w:p>
    <w:p>
      <w:pPr>
        <w:pStyle w:val="BookText"/>
        <w:rPr/>
      </w:pPr>
      <w:r>
        <w:rPr>
          <w:rFonts w:ascii="Amiri" w:hAnsi="Amiri" w:eastAsia="Amiri" w:cs="Amiri"/>
          <w:color w:val="111111"/>
          <w:sz w:val="28"/>
          <w:sz w:val="28"/>
          <w:szCs w:val="28"/>
          <w:rtl w:val="true"/>
          <w:lang w:bidi="ar-SA"/>
        </w:rPr>
        <w:t>جرت السيرة في عهد النبي صلى الله عليه وآله وسلم والشيخين على إقامة الأذان حينما يصعد الإمام على المنبر لإلقاء الخطابة ، ولما كثر الناس في عهد الخليفة الثالث أمر بأذان ثان وهو الأذان عند دخول الوقت على المأذنة ، وهذا هو المعروف بالأذان الثاني للخليفة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عن الشافعي من أنّه استحب أن يكون للجمعة أذان واحد عند المنبر</w:t>
      </w:r>
      <w:r>
        <w:rPr>
          <w:rFonts w:eastAsia="Amiri" w:cs="Amiri" w:ascii="Amiri" w:hAnsi="Amiri"/>
          <w:color w:val="111111"/>
          <w:sz w:val="28"/>
          <w:szCs w:val="28"/>
          <w:rtl w:val="true"/>
          <w:lang w:bidi="ar-SA"/>
        </w:rPr>
        <w:t xml:space="preserve">. </w:t>
      </w:r>
      <w:r>
        <w:rPr>
          <w:rStyle w:val="FootnoteAnchor"/>
          <w:rtl w:val="true"/>
        </w:rPr>
        <w:footnoteReference w:id="296"/>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الأذان من الأمور التوقيفية فليس ليد التشريع البشري التصرف فيه بزيادة أو نقيصة وكان في وسع الخليفة أن يقوم بعلاج الموقف من وجه آخر ، وهو إعلام الناس بالوسائل التي لا تمت إلى التشريع الإسلامي بصلة مكان أن يأمر المؤذن بأذان آخر لم يكن من ذي قبل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والعجب انّ الفقهاء أنفسهم اختلفوا فيما يتعلّق بأذاني الجمعة من أحكام وأيّهما المعتبر في تحريم البيع الوارد في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نُودِيَ لِلصَّلاةِ مِنْ يَوْمِ الْجُمُعَةِ فَاسْعَوْا إِلى ذِكْرِ اللهِ وَذَرُوا الْبَيْعَ </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استحدث علماء الكوفة من الحنفية بعد عهد الصحابة تثويبا آخر ، وهو زيادة الحيعلتين ـ أي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الصلاة ، حي على الفلاح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مرّتين بين الأذان والإقامة في الفجر ، واستحسنه متقدّمو الحنفية في الفجر فقط ، وكره عندهم في غيره ، والمتأخّرون منهم استحسنوه في الصلوات كلّها ـ إلاّ في المغرب لضيق الوقت ـ وذلك لظهور التواني في الأمور الدينية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التثويب بين الأذان والإقامة في الصلوات يكون بحسب ما يتعارفه أهل كلّ بلد بالتنحنح ، أو الصلاة الصلاة ، أو 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استحدث أبو يوسف جواز التثويب لتنبيه كل من يشتغل بأمور المسلمين ومصالحهم كالإمام والقاضي ونحوهما ، فيقول المؤذن بعد الأذان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أيّها الأمير ، حي على الصلاة ، حي على الفلاح ، الصلاة 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وشارك أبا يوسف في هذا الشافعية وبعض المالكية ، وكذلك الحنابلة إن لم يكن الإمام ونحوه قد سمع الأذان ، واستبعده محمد بن الحسن ، لأنّ الناس سواسية في أمر الجماعة وشاركه في ذلك بعض المالكية</w:t>
      </w:r>
      <w:r>
        <w:rPr>
          <w:rFonts w:eastAsia="Amiri" w:cs="Amiri" w:ascii="Amiri" w:hAnsi="Amiri"/>
          <w:color w:val="111111"/>
          <w:sz w:val="28"/>
          <w:szCs w:val="28"/>
          <w:rtl w:val="true"/>
          <w:lang w:bidi="ar-SA"/>
        </w:rPr>
        <w:t xml:space="preserve">. </w:t>
      </w:r>
      <w:r>
        <w:rPr>
          <w:rStyle w:val="FootnoteAnchor"/>
          <w:rtl w:val="true"/>
        </w:rPr>
        <w:footnoteReference w:id="298"/>
      </w:r>
      <w:bookmarkStart w:id="273" w:name="pg10144_71358"/>
    </w:p>
    <w:p>
      <w:pPr>
        <w:pStyle w:val="Heading5"/>
        <w:numPr>
          <w:ilvl w:val="4"/>
          <w:numId w:val="1"/>
        </w:numPr>
        <w:rPr/>
      </w:pPr>
      <w:bookmarkStart w:id="274" w:name="__RefHeading___Toc1165583_1067777946"/>
      <w:bookmarkStart w:id="275" w:name="_Toc99"/>
      <w:bookmarkEnd w:id="273"/>
      <w:bookmarkEnd w:id="274"/>
      <w:r>
        <w:rPr/>
        <w:t>5</w:t>
      </w:r>
      <w:r>
        <w:rPr>
          <w:rtl w:val="true"/>
        </w:rPr>
        <w:t xml:space="preserve">. </w:t>
      </w:r>
      <w:r>
        <w:rPr>
          <w:rtl w:val="true"/>
        </w:rPr>
        <w:t>حذف الحيعلة من الأذان</w:t>
      </w:r>
      <w:bookmarkEnd w:id="275"/>
    </w:p>
    <w:p>
      <w:pPr>
        <w:pStyle w:val="BookText"/>
        <w:rPr/>
      </w:pPr>
      <w:r>
        <w:rPr>
          <w:rFonts w:ascii="Amiri" w:hAnsi="Amiri" w:eastAsia="Amiri" w:cs="Amiri"/>
          <w:color w:val="111111"/>
          <w:sz w:val="28"/>
          <w:sz w:val="28"/>
          <w:szCs w:val="28"/>
          <w:rtl w:val="true"/>
          <w:lang w:bidi="ar-SA"/>
        </w:rPr>
        <w:t xml:space="preserve">قد تقدّم منّا أنّ البدعة في الأذان بإدخال التثويب ليس فريدا في بابه ، بل له نظير آخر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فصول الأذان والإقامة ، وذلك لغاية أن لا يكون الإعلان به في الأذان سببا في تثبيط العامة عن الجهاد ، لأنّ الناس إذا عرفوا أنّ الصلاة خير العمل ، لاقتصروا عليها وأعرضوا عن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بعين الله إطاحة بالتشريع وتصرّف فيه ، بتفلسف تافه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المشرّع كان واقفا على هذا المحذور ، ومع ذلك أدخله في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القوشجي ـ وهو من متكلّمي الأشاعرة ـ ناقلا عن الخليفة الثاني أنّه قال على المنبر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كنّ على عهد رسول الله صلى الله عليه وآله وسلم وأنا أنهى عنهنّ وأحرّمهنّ وأعاقب عليهنّ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متعة النساء ، ومتعة الحج ، وحيّ على خير العمل</w:t>
      </w:r>
      <w:r>
        <w:rPr>
          <w:rFonts w:eastAsia="Amiri" w:cs="Amiri" w:ascii="Amiri" w:hAnsi="Amiri"/>
          <w:color w:val="111111"/>
          <w:sz w:val="28"/>
          <w:szCs w:val="28"/>
          <w:rtl w:val="true"/>
          <w:lang w:bidi="ar-SA"/>
        </w:rPr>
        <w:t xml:space="preserve">. </w:t>
      </w:r>
      <w:r>
        <w:rPr>
          <w:rStyle w:val="FootnoteAnchor"/>
          <w:rtl w:val="true"/>
        </w:rPr>
        <w:footnoteReference w:id="299"/>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أطبقت الشيعة على كونه جزءا من الأذان ، وعلى ذلك جروا ، من العهد النبوي إلى يومنا هذا ، وصار ذلك شعارا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كثيرا من المؤرّخين يكنّون عن </w:t>
      </w:r>
    </w:p>
    <w:p>
      <w:pPr>
        <w:pStyle w:val="BookText"/>
        <w:rPr/>
      </w:pPr>
      <w:r>
        <w:rPr>
          <w:rFonts w:ascii="Amiri" w:hAnsi="Amiri" w:eastAsia="Amiri" w:cs="Amiri"/>
          <w:color w:val="111111"/>
          <w:sz w:val="28"/>
          <w:sz w:val="28"/>
          <w:szCs w:val="28"/>
          <w:rtl w:val="true"/>
          <w:lang w:bidi="ar-SA"/>
        </w:rPr>
        <w:t xml:space="preserve">الشيعة بمن يحيعلون أي الذين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 على خير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الفرج الأصفهاني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مقتل الحسين بن علي بن الحسن بن الحسن بن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استولى على المدينة ، وصعد عبد الله بن الحسن الأفطس المنارة التي عند رأس النبيّ صلى الله عليه وآله وسلم عند موضع الجنائز ، فقال للمؤذّن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ابن عمر وعن الإمام زين العابدين عليّ بن الحسين عليه السلام أنّهما كانا يقولان في أذانيهما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الفلاح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حيّ على خير العمل </w:t>
      </w:r>
      <w:r>
        <w:rPr>
          <w:rFonts w:eastAsia="Amiri" w:cs="Amiri" w:ascii="Amiri" w:hAnsi="Amiri"/>
          <w:color w:val="111111"/>
          <w:sz w:val="28"/>
          <w:szCs w:val="28"/>
          <w:rtl w:val="true"/>
          <w:lang w:bidi="ar-SA"/>
        </w:rPr>
        <w:t xml:space="preserve">». </w:t>
      </w:r>
      <w:r>
        <w:rPr>
          <w:rStyle w:val="FootnoteAnchor"/>
          <w:rtl w:val="true"/>
        </w:rPr>
        <w:footnoteReference w:id="301"/>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هَدَى اللهُ فَبِهُداهُمُ اقْتَدِهْ </w:t>
      </w:r>
      <w:r>
        <w:rPr>
          <w:rFonts w:eastAsia="Amiri" w:cs="Amiri" w:ascii="Amiri" w:hAnsi="Amiri"/>
          <w:color w:val="111111"/>
          <w:sz w:val="28"/>
          <w:szCs w:val="28"/>
          <w:rtl w:val="true"/>
          <w:lang w:bidi="ar-SA"/>
        </w:rPr>
        <w:t xml:space="preserve">). </w:t>
      </w:r>
      <w:r>
        <w:rPr>
          <w:rStyle w:val="FootnoteAnchor"/>
          <w:rtl w:val="true"/>
        </w:rPr>
        <w:footnoteReference w:id="302"/>
      </w:r>
      <w:bookmarkStart w:id="276" w:name="pg10144_71360"/>
    </w:p>
    <w:p>
      <w:pPr>
        <w:pStyle w:val="Heading2"/>
        <w:numPr>
          <w:ilvl w:val="1"/>
          <w:numId w:val="1"/>
        </w:numPr>
        <w:rPr/>
      </w:pPr>
      <w:bookmarkStart w:id="277" w:name="__RefHeading___Toc1165585_1067777946"/>
      <w:bookmarkStart w:id="278" w:name="_Toc100"/>
      <w:bookmarkEnd w:id="276"/>
      <w:bookmarkEnd w:id="277"/>
      <w:r>
        <w:rPr/>
        <w:t>4</w:t>
      </w:r>
      <w:r>
        <w:rPr>
          <w:rtl w:val="true"/>
        </w:rPr>
        <w:t xml:space="preserve">. </w:t>
      </w:r>
      <w:r>
        <w:rPr>
          <w:rtl w:val="true"/>
        </w:rPr>
        <w:t>القبض بين البدعة والسنة</w:t>
      </w:r>
      <w:bookmarkEnd w:id="27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9" w:name="__RefHeading___Toc1165587_1067777946"/>
      <w:bookmarkStart w:id="280" w:name="_Toc101"/>
      <w:bookmarkEnd w:id="279"/>
      <w:r>
        <w:rPr>
          <w:rtl w:val="true"/>
        </w:rPr>
        <w:t>اشارة</w:t>
      </w:r>
      <w:bookmarkEnd w:id="28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1" w:name="pg10144_71362"/>
      <w:bookmarkStart w:id="282" w:name="pg10144_71362"/>
      <w:bookmarkEnd w:id="282"/>
    </w:p>
    <w:p>
      <w:pPr>
        <w:pStyle w:val="Heading3"/>
        <w:numPr>
          <w:ilvl w:val="2"/>
          <w:numId w:val="1"/>
        </w:numPr>
        <w:rPr/>
      </w:pPr>
      <w:bookmarkStart w:id="283" w:name="pg10144_71362"/>
      <w:bookmarkStart w:id="284" w:name="__RefHeading___Toc1165589_1067777946"/>
      <w:bookmarkStart w:id="285" w:name="_Toc102"/>
      <w:bookmarkEnd w:id="283"/>
      <w:bookmarkEnd w:id="284"/>
      <w:r>
        <w:rPr>
          <w:rtl w:val="true"/>
        </w:rPr>
        <w:t>حكم القبض في الصلاة</w:t>
      </w:r>
      <w:bookmarkEnd w:id="285"/>
    </w:p>
    <w:p>
      <w:pPr>
        <w:pStyle w:val="BookText"/>
        <w:rPr/>
      </w:pPr>
      <w:r>
        <w:rPr>
          <w:rFonts w:ascii="Amiri" w:hAnsi="Amiri" w:eastAsia="Amiri" w:cs="Amiri"/>
          <w:color w:val="111111"/>
          <w:sz w:val="28"/>
          <w:sz w:val="28"/>
          <w:szCs w:val="28"/>
          <w:rtl w:val="true"/>
          <w:lang w:bidi="ar-SA"/>
        </w:rPr>
        <w:t>إنّ قبض اليد اليسرى باليمنى ممّا اشتهر ندبه بين فقهاء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التكتف مسنون وليس بواجب ، والأفضل للرجل أن يضع باطن كفّه اليمنى على ظاهر كفّه اليسرى تحت سرّته ، وللمرأة أن تضع يديها على صدرها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يسنّ للرجل والمرأة ، والأفضل وضع باطن يمناه على ظهر يسراه تحت الصدر وفوق السرّة ممّا يلي الجانب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الحنابلة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سنّة ، والأفضل أن يضع باطن يمناه على ظاهر يسراه ، ويجعلها تحت السرة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وشذّت عنهم المالكية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يُندَب إسدال اليدين في الصلاة الفرض ، وقالت جماعة أيضا قبلهم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الزبير ، وسعيد بن المسيب ، وسعيد بن جبير ، وعطاء ، وابن جريج ، والنخعي ، والحسن البصري ، وابن سيرين ، وجماعة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مذهب الليث بن سعد إلاّ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يطيل القيام فيعيى أي يتعب فله القبض</w:t>
      </w:r>
      <w:r>
        <w:rPr>
          <w:rFonts w:eastAsia="Amiri" w:cs="Amiri" w:ascii="Amiri" w:hAnsi="Amiri"/>
          <w:color w:val="111111"/>
          <w:sz w:val="28"/>
          <w:szCs w:val="28"/>
          <w:rtl w:val="true"/>
          <w:lang w:bidi="ar-SA"/>
        </w:rPr>
        <w:t xml:space="preserve">. </w:t>
      </w:r>
      <w:bookmarkStart w:id="286" w:name="pg10144_71363"/>
    </w:p>
    <w:p>
      <w:pPr>
        <w:pStyle w:val="BookText"/>
        <w:rPr/>
      </w:pPr>
      <w:bookmarkEnd w:id="286"/>
      <w:r>
        <w:rPr>
          <w:rFonts w:ascii="Amiri" w:hAnsi="Amiri" w:eastAsia="Amiri" w:cs="Amiri"/>
          <w:color w:val="111111"/>
          <w:sz w:val="28"/>
          <w:sz w:val="28"/>
          <w:szCs w:val="28"/>
          <w:rtl w:val="true"/>
          <w:lang w:bidi="ar-SA"/>
        </w:rPr>
        <w:t>والمنقول عن الإمام الأوزاعي التخيير بين القبض والسدل</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وذهب محمد عابد مفتي المالكية بالديار الحجازية إلى أنّ السدل والقبض سنّتان من رسول الله وانّ المؤمن إذا طال عليه القيام وهو مسدل ، قبض وقال بأنّ السدل أصل والقبض فرع</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وأمّا الشيعة الإمامية ، فالمشهور أنّه حرام ومبطل ، وشذّ منهم من قال بأنّه مكروه ، كالحلبي في الكافي</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ومع أنّ غير المالكية من المذاهب الأربعة قد تصعّدوا وتصوبوا في المسألة ، لكن ليس لهم دليل مقنع على جوازه في الصلاة ، فضلا عن كونه مندوبا ، 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على خلافهم ، والروايات البيانية عن الفريقين التي تبيّن صلاة الرسول خالية عن القبض ، ولا يمكن للنبي الأكرم أن يترك المندوب طيلة حياته أو أكثرها ، وإليك نموذجين من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عن طريق أهل السنّة ، والآخر عن طريق الشيعة الإمامية ، وكلاهما يبيّنان كيفية صلاة النبي وليست فيهما أيّة إشارة إلى القبض فضلا عن كيفيته</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1165591_1067777946"/>
      <w:bookmarkStart w:id="288" w:name="_Toc103"/>
      <w:bookmarkEnd w:id="287"/>
      <w:r>
        <w:rPr>
          <w:rtl w:val="true"/>
        </w:rPr>
        <w:t>القبض بدعة محدثة</w:t>
      </w:r>
      <w:bookmarkEnd w:id="288"/>
    </w:p>
    <w:p>
      <w:pPr>
        <w:pStyle w:val="Heading4"/>
        <w:numPr>
          <w:ilvl w:val="3"/>
          <w:numId w:val="1"/>
        </w:numPr>
        <w:rPr/>
      </w:pPr>
      <w:bookmarkStart w:id="289" w:name="__RefHeading___Toc1165593_1067777946"/>
      <w:bookmarkStart w:id="290" w:name="_Toc104"/>
      <w:bookmarkEnd w:id="289"/>
      <w:r>
        <w:rPr>
          <w:rtl w:val="true"/>
        </w:rPr>
        <w:t>اشارة</w:t>
      </w:r>
      <w:bookmarkEnd w:id="290"/>
    </w:p>
    <w:p>
      <w:pPr>
        <w:pStyle w:val="BookText"/>
        <w:rPr/>
      </w:pPr>
      <w:r>
        <w:rPr>
          <w:rFonts w:ascii="Amiri" w:hAnsi="Amiri" w:eastAsia="Amiri" w:cs="Amiri"/>
          <w:color w:val="111111"/>
          <w:sz w:val="28"/>
          <w:sz w:val="28"/>
          <w:szCs w:val="28"/>
          <w:rtl w:val="true"/>
          <w:lang w:bidi="ar-SA"/>
        </w:rPr>
        <w:t xml:space="preserve">إنّ القبض بدعة محدثة ظهرت بعد رحيل الرسول الأكرم صلى الله عليه وآله وسلم ، وعمادنا في هذا السبيل حديثان صحيحان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مروي عن طرق أهل السنّة ، والآخر من طرق الإمامية ، والحديثان </w:t>
      </w:r>
      <w:bookmarkStart w:id="291" w:name="pg10144_71364"/>
    </w:p>
    <w:p>
      <w:pPr>
        <w:pStyle w:val="BookText"/>
        <w:rPr/>
      </w:pPr>
      <w:bookmarkEnd w:id="291"/>
      <w:r>
        <w:rPr>
          <w:rFonts w:ascii="Amiri" w:hAnsi="Amiri" w:eastAsia="Amiri" w:cs="Amiri"/>
          <w:color w:val="111111"/>
          <w:sz w:val="28"/>
          <w:sz w:val="28"/>
          <w:szCs w:val="28"/>
          <w:rtl w:val="true"/>
          <w:lang w:bidi="ar-SA"/>
        </w:rPr>
        <w:t>دليلان قاطعان على أنّ سيرة النبي وأهل بيته عليهم السلام جرت على السدل في الصلاة ، وانّ القبض ابتدع بعد رحيله صلى الله عليه وآله وسلم</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1165595_1067777946"/>
      <w:bookmarkStart w:id="293" w:name="_Toc105"/>
      <w:bookmarkEnd w:id="292"/>
      <w:r>
        <w:rPr>
          <w:rtl w:val="true"/>
        </w:rPr>
        <w:t xml:space="preserve">ألف </w:t>
      </w:r>
      <w:r>
        <w:rPr>
          <w:rtl w:val="true"/>
        </w:rPr>
        <w:t xml:space="preserve">: </w:t>
      </w:r>
      <w:r>
        <w:rPr>
          <w:rtl w:val="true"/>
        </w:rPr>
        <w:t>حديث أبي حميد الساعدي</w:t>
      </w:r>
      <w:bookmarkEnd w:id="29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حديث أبي حميد الساعدي غير واحد من المحدّثين ، ونحن نذكره بنص البيهقي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حميد الساعدي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أعلمكم بصلاة رسول الله صلى الله عليه وآله وسلم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 ما كنت أكثرنا له تبعا ، ولا أقدمنا له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علينا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وسلم إذا قام إلى الصلاة رفع يديه حتى يحاذي بهما مَنْكبيه ، ثم يكبّر حتّى يقرّ كل عضو منه في موضعه معتدلا ، ثم يقرأ ، ثم يكبّر ويرفع يديه حتى يحاذي بهما منكبيه ، ثم يركع ويضع راحتيه على ركبتيه ، ثم يعتدل ولا ينصب رأسه ولا يقنع ، ثم يرفع رأسه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حمده ، ثم يرفع يديه حتى يحاذي بهما منكبيه حتى يعود كل عظم منه إلى موضعه معتدلا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ثم يهوي إلى الأرض فيجافي يديه عن جنبيه ، ثم يرفع رأسه فيثني رجله اليسرى فيقعد عليها ويفتح أصابع رجليه إذا سجد ، ثم يعود ، ثم يرفع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ثم يثني برجله فيقعد عليها معتدلا حتى يرجع أو يقرّ كل عظم موضعه معتدلا ، ثم يصنع في الركعة الأخرى مثل ذلك ، ثم إذا قام من الركعتين كبّر ورفع يديه حتى يحاذي بهما منكبيه كما فعل أو كبّر عند افتتاح صلاته ، ثم يصنع مثل ذلك في بقية صلاته ، حتى إذا كان في السجدة التي فيها التسليم أخّر رجله اليسرى وقعد متورّكا على شقّه الأيسر ، فقالوا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هكذا كان يصلّي رسول الله 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والذي يوضح صحّة الاجتماع به الأمور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تصديق أكابر الصحابة </w:t>
      </w:r>
      <w:r>
        <w:rPr>
          <w:rStyle w:val="FootnoteAnchor"/>
          <w:rtl w:val="true"/>
        </w:rPr>
        <w:footnoteReference w:id="307"/>
      </w:r>
      <w:r>
        <w:rPr>
          <w:rFonts w:ascii="Amiri" w:hAnsi="Amiri" w:eastAsia="Amiri" w:cs="Amiri"/>
          <w:color w:val="111111"/>
          <w:sz w:val="28"/>
          <w:sz w:val="28"/>
          <w:szCs w:val="28"/>
          <w:rtl w:val="true"/>
          <w:lang w:bidi="ar-SA"/>
        </w:rPr>
        <w:t>لأبي حميد يدلّ على قوة الحديث ، وترجيحه على غيره من الأدلّة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وصف الفرائض والسنن والمندوبات ولم يذكر القبض ، ولم ينكروا عليه ، أو يذكروا خلافه ، وكانوا حريصين على ذلك ، لأنّهم لم يسلّموا له أوّل الأمر أنّه أعلمهم بصلاة رسول الله صلى الله عليه وآله وسلم ، بل 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هكذا كان رسول الله صلى الله عليه وآله وسلم يصلّي ، ومن البعيد جدا نسيانهم وهم عشرة ، وفي مجال المذاكرة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الأصل في وضع اليدين هو الإرسال ، لأنّه الطبيعي فدلّ الحديث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الحديث لا يقال عنه إنّه مطلق وأحاديث تقيّده ، لأنّه وصَفَ وعدّد جميع الفرائض والسنن والمندوبات وكامل هيئة الصلاة ، وهو في معرض التعليم والبيان ، والحذف فيه خيانة ، وهذا بعيد عنه وعنهم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من حضر من الصحابة ، ممّن روي عنه أحاديث القبض ، فلم يعترض ، فدلّ على أنّ القبض منسوخ ، أو على أقل أحواله بأنّه جائز للاعتماد لمن طوّل في صلاته ، وليس من سنن الصلاة ، ولا من مندوباتها ، كما هو مذهب الليث بن سعد ، والأوزاعي ، ومالك</w:t>
      </w:r>
      <w:r>
        <w:rPr>
          <w:rFonts w:eastAsia="Amiri" w:cs="Amiri" w:ascii="Amiri" w:hAnsi="Amiri"/>
          <w:color w:val="111111"/>
          <w:sz w:val="28"/>
          <w:szCs w:val="28"/>
          <w:rtl w:val="true"/>
          <w:lang w:bidi="ar-SA"/>
        </w:rPr>
        <w:t xml:space="preserve">. </w:t>
      </w:r>
      <w:r>
        <w:rPr>
          <w:rStyle w:val="FootnoteAnchor"/>
          <w:rtl w:val="true"/>
        </w:rPr>
        <w:footnoteReference w:id="308"/>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اختلافهم انّه قد جاءت آثار ثابتة ، نقلت فيها صفة صلاته ـ عليه الصلاة والسلام ـ ولم ينقل انّه كان يضع يده اليمنى على اليسرى</w:t>
      </w:r>
      <w:r>
        <w:rPr>
          <w:rFonts w:eastAsia="Amiri" w:cs="Amiri" w:ascii="Amiri" w:hAnsi="Amiri"/>
          <w:color w:val="111111"/>
          <w:sz w:val="28"/>
          <w:szCs w:val="28"/>
          <w:rtl w:val="true"/>
          <w:lang w:bidi="ar-SA"/>
        </w:rPr>
        <w:t xml:space="preserve">. </w:t>
      </w:r>
      <w:r>
        <w:rPr>
          <w:rStyle w:val="FootnoteAnchor"/>
          <w:rtl w:val="true"/>
        </w:rPr>
        <w:footnoteReference w:id="309"/>
      </w:r>
      <w:bookmarkStart w:id="294" w:name="pg10144_71366"/>
    </w:p>
    <w:p>
      <w:pPr>
        <w:pStyle w:val="BookText"/>
        <w:rPr/>
      </w:pPr>
      <w:bookmarkEnd w:id="294"/>
      <w:r>
        <w:rPr>
          <w:rFonts w:ascii="Amiri" w:hAnsi="Amiri" w:eastAsia="Amiri" w:cs="Amiri"/>
          <w:color w:val="111111"/>
          <w:sz w:val="28"/>
          <w:sz w:val="28"/>
          <w:szCs w:val="28"/>
          <w:rtl w:val="true"/>
          <w:lang w:bidi="ar-SA"/>
        </w:rPr>
        <w:t xml:space="preserve">بقي هنا سؤال وهو انّه قد اشتهر أنّ المالكية لا تقول بالقبض وانّ إمامهم مالكا كرهه ، وقال في المدونة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مالك وضع اليد اليمنى على اليسرى في الفريضة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أعرفه في الفريضة ، مع أنّه روى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القبض حيث روى عن سهل بن سعد ، كما روى مرسل عبد الكريم ابن أبي المخارق البصري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تستح فافعل ما شئت ، ووضع اليدين إحداهما على الأخرى في الصلاة يضع اليمنى على اليسرى ، وتعجيل الفطر ، والاستيفاء بالسحور</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 الموطأ ، كتاب رواية ، والإمام ربما ينقل ولا يفتي على وفقه ، فلذلك ترى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فتاوى تخالف ما رواه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ملمّا بفقهه ، يرى أنّ بين ما دوّن من فتاواه وما رواه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اختلافا في موارد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أشار الدكتور عبد الحميد في رسالة السدل إلى مواردها</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وعلى كلّ تقدير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أعرفه في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صريح في أنّ عمل أهل المدينة على خلافه ، إذ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معناه لا أعرفه من عمل الأئمة الذين هم التابعون الذين تلقّوا العلم عن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الحديث الذي قام ببيان كيفية صلاة النبي وقد روي عن طريق أهل السنّة ، وقد عرفت وجه الدلالة ، وإليك ما رواه الشيعة الإمامية</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1165597_1067777946"/>
      <w:bookmarkStart w:id="296" w:name="_Toc106"/>
      <w:bookmarkEnd w:id="295"/>
      <w:r>
        <w:rPr>
          <w:rtl w:val="true"/>
        </w:rPr>
        <w:t xml:space="preserve">ب </w:t>
      </w:r>
      <w:r>
        <w:rPr>
          <w:rtl w:val="true"/>
        </w:rPr>
        <w:t xml:space="preserve">: </w:t>
      </w:r>
      <w:r>
        <w:rPr>
          <w:rtl w:val="true"/>
        </w:rPr>
        <w:t>حديث حمّاد بن عيسى</w:t>
      </w:r>
      <w:bookmarkEnd w:id="29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حمّاد بن عيسى ، عن الإمام الصادق عليه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أقبح بالرجل أن يأتي عليه ستون سنة أو سبعون سنة فما يقيم صلاة واحدة بحدودها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فأصابني في نفسي الذل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فعلّمني الصلاة ، فقام أبو عبد الله مستقبل القبلة منتصبا فأرسل يديه جميعا على فخذيه قد ضمّ أصابعه وقرّب بين قدميه حتى كان بينهما ثلاثة أصابع مفرجات ، واستقبل بأصابع رجليه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يحرفهما عن القبلة بخشوع واستكانة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ثم قرأ الحمد بترتيل ، وقل هو الله أحد ، ثم صبر هنيئة بقدر ما تنفس وهو قائم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وهو قائم ثم ركع وملأ كفيه من ركبتيه مفرّجات ، وردّ ركبتيه إلى خلفه حتى استوى ظهره ، حتى لو صبت عليه قطرة ماء أو دهن لم تزل لاستواء ظهره وتردّد ركبتيه إلى خلفه ، ونصب عنقه ، وغمض عينيه ثم سبح ثلاثا بترتيل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العظيم وبحمده ، ثم استوى قائماً ، فلما استمكن من القيام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حمده ، ثم كبّر وهو قائم ، ورفع يديه حيال وجهه ، وسجد ، ووضع يديه إلى الأرض قبل ركبتيه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الأعلى وبحمده ، ثلاث مرات ، ولم يضع شيئا من بدنه على شيء منه ، وسجد على ثمانية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الجبهة ، والكفّين ، وعيني الركبتين ، وأنامل إبهامي الرجلين ، والأنف ، فهذه السبعة فرض ، ووضع الأنف على الأرض سنّة ، وهو الإرغام ، ثم رفع رأسه من السجود فلمّا استوى جالسا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ثم قعد على جانبه الأيسر ، ووضع ظاهر قدمه اليمنى على باطن قدمه اليسرى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ربي وأتوب إليه ، ثم كبّر وهو جالس وسجد الثانية ، وقال كما قال في الأولى ولم يستعن بشيء من بدنه على شيء منه في ركوع ولا سجود ، وكان مجنّحا ، ولم يضع ذراعيه على الأرض ، فصلّى ركعتين على هذا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حمّاد هكذا صل ، ولا تلتفت ، ولا تعبث بيديك وأصابعك ، ولا تبزق عن يمينك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يسارك ولا بين يديك </w:t>
      </w:r>
      <w:r>
        <w:rPr>
          <w:rFonts w:eastAsia="Amiri" w:cs="Amiri" w:ascii="Amiri" w:hAnsi="Amiri"/>
          <w:color w:val="111111"/>
          <w:sz w:val="28"/>
          <w:szCs w:val="28"/>
          <w:rtl w:val="true"/>
          <w:lang w:bidi="ar-SA"/>
        </w:rPr>
        <w:t xml:space="preserve">». </w:t>
      </w:r>
      <w:r>
        <w:rPr>
          <w:rStyle w:val="FootnoteAnchor"/>
          <w:rtl w:val="true"/>
        </w:rPr>
        <w:footnoteReference w:id="312"/>
      </w:r>
      <w:bookmarkStart w:id="297" w:name="pg10144_71368"/>
    </w:p>
    <w:p>
      <w:pPr>
        <w:pStyle w:val="BookText"/>
        <w:rPr/>
      </w:pPr>
      <w:bookmarkEnd w:id="297"/>
      <w:r>
        <w:rPr>
          <w:rFonts w:ascii="Amiri" w:hAnsi="Amiri" w:eastAsia="Amiri" w:cs="Amiri"/>
          <w:color w:val="111111"/>
          <w:sz w:val="28"/>
          <w:sz w:val="28"/>
          <w:szCs w:val="28"/>
          <w:rtl w:val="true"/>
          <w:lang w:bidi="ar-SA"/>
        </w:rPr>
        <w:t>ترى أنّ الروايتين بصدد بيان كيفية الصلاة المفروضة على الناس وليست فيهما أيّة إشارة إلى القبض بأقسامه المختلفة فلو كان سنّة لما تركه الإمام في بيانه ، وهو بعمله يجسّد لنا صلاة الرسول ، لأنّه أخذه عن أبيه الإمام الباقر ، وهو عن آبائه ، عن أمير المؤمنين ، عن الرسول الأعظم ـ صلوات الله عليهم أجمعين ـ فيكون القبض بدعة ، لأنّه إدخال شيء في الشريعة وهو ليس منه</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1165599_1067777946"/>
      <w:bookmarkStart w:id="299" w:name="_Toc107"/>
      <w:bookmarkEnd w:id="298"/>
      <w:r>
        <w:rPr>
          <w:rtl w:val="true"/>
        </w:rPr>
        <w:t>دليل القائلين بلزوم القبض</w:t>
      </w:r>
      <w:bookmarkEnd w:id="299"/>
    </w:p>
    <w:p>
      <w:pPr>
        <w:pStyle w:val="Heading4"/>
        <w:numPr>
          <w:ilvl w:val="3"/>
          <w:numId w:val="1"/>
        </w:numPr>
        <w:rPr/>
      </w:pPr>
      <w:bookmarkStart w:id="300" w:name="__RefHeading___Toc1165601_1067777946"/>
      <w:bookmarkStart w:id="301" w:name="_Toc108"/>
      <w:bookmarkEnd w:id="300"/>
      <w:r>
        <w:rPr>
          <w:rtl w:val="true"/>
        </w:rPr>
        <w:t>اشارة</w:t>
      </w:r>
      <w:bookmarkEnd w:id="301"/>
    </w:p>
    <w:p>
      <w:pPr>
        <w:pStyle w:val="BookText"/>
        <w:rPr/>
      </w:pPr>
      <w:r>
        <w:rPr>
          <w:rFonts w:ascii="Amiri" w:hAnsi="Amiri" w:eastAsia="Amiri" w:cs="Amiri"/>
          <w:color w:val="111111"/>
          <w:sz w:val="28"/>
          <w:sz w:val="28"/>
          <w:szCs w:val="28"/>
          <w:rtl w:val="true"/>
          <w:lang w:bidi="ar-SA"/>
        </w:rPr>
        <w:t xml:space="preserve">ثم إنّ للقائل بالقبض أدلّة نأخذ بدراستها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مجموع ما يصحّ الاستدلال به على أنّ القبض سنّة في الصلاة لا يعدو عن روايات ثلاث </w:t>
      </w:r>
      <w:r>
        <w:rPr>
          <w:rStyle w:val="FootnoteAnchor"/>
        </w:rPr>
        <w:footnoteReference w:id="313"/>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سهل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وائل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 ونقله البيهقي بأسانيد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البيهقي في سننه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دراسة كل حديث </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1165603_1067777946"/>
      <w:bookmarkStart w:id="303" w:name="_Toc109"/>
      <w:bookmarkEnd w:id="302"/>
      <w:r>
        <w:rPr/>
        <w:t>1</w:t>
      </w:r>
      <w:r>
        <w:rPr>
          <w:rtl w:val="true"/>
        </w:rPr>
        <w:t xml:space="preserve">. </w:t>
      </w:r>
      <w:r>
        <w:rPr>
          <w:rtl w:val="true"/>
        </w:rPr>
        <w:t>حديث سهل بن سعد</w:t>
      </w:r>
      <w:bookmarkEnd w:id="30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البخاري عن أبي حازم ، عن سهل بن سعد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الناس يؤمرون أن يضع الرجل اليد اليمنى على ذراعه اليسرى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أعلمه إلاّ ينمي ذلك إلى النبي 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قال إسماعيل </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ينمي ذلك ولم يقل ينمي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متكفّلة لبيان كيفية القبض إلاّ أنّ الكلام في دلالته بعد تسليم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يدل عليه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النبي الأكرم هو الآمر بالقبض فما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الناس يؤمرون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ما كان الصحيح عندئذ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يأمر؟ أو ليس هذا دليلا على أنّ الحكم نجم بعد ارتحال النبي الأكرم حيث إنّ الخلفاء وأمراءهم كانوا يأمرون الناس بالقبض بتخيّل أنّه أقرب للخشوع؟ ولأجله عقد البخاري بعده بابا باسم باب الخشوع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في هذه الهيئة أنّه صفة السائل الذليل ، وهو أمنع عن العبث وأقرب إلى الخشوع ، كان البخاري قد لاحظ ذلك وعقّبه بباب الخشوع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بالقبض دليل على أنّ الناس كانوا يصلّون على وجه السدل في عصر النبي وشيئا بعد عصره ، ثمّ حدثت الفكرة فأمروا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ذيل السند ما يؤيد أنّه كان من عمل الآمرين ، لا الرسول الأكرم نفسه حيث قال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إسماعيل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أعلمه إلاّ ينمي ذلك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قراءة الفعل </w:t>
      </w:r>
      <w:bookmarkStart w:id="304" w:name="pg10144_71370"/>
    </w:p>
    <w:p>
      <w:pPr>
        <w:pStyle w:val="BookText"/>
        <w:rPr/>
      </w:pPr>
      <w:bookmarkEnd w:id="304"/>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ومعناه أنّه لا يعلم كونه أمرا مسنونا في الصلاة غير أنّه يعزى وينسب إلى النبي ، فيكون ما يرويه سهل به سعد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اصطلاح أهل الحديث إذا 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ينميه ، فمراده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ذلك إلى النبي</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هذا كلّه إذا قرأناه بصيغة المجهول ، وأمّا إذا قرأناه بصيغة المعلوم ، فمعناه أنّ سهلا ينسب ذلك إلى النبي ، فعلى فرض صحّة القراءة وخروجه بذلك من الإرسال والرفع ، 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أعلمه إلاّ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معربا عن ضعف العزو والنسبة ، وأنّه سمعه عن رجل آخر ولم يسمّ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حديث تكلّم في رفعه ، فقال الداني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معلول لأنّه ظن من أبي حازم ، وقيل بأنّه لو كان مرفوعا لما احتاج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أعلمه </w:t>
      </w:r>
      <w:r>
        <w:rPr>
          <w:rFonts w:eastAsia="Amiri" w:cs="Amiri" w:ascii="Amiri" w:hAnsi="Amiri"/>
          <w:color w:val="111111"/>
          <w:sz w:val="28"/>
          <w:szCs w:val="28"/>
          <w:rtl w:val="true"/>
          <w:lang w:bidi="ar-SA"/>
        </w:rPr>
        <w:t xml:space="preserve">». </w:t>
      </w:r>
      <w:r>
        <w:rPr>
          <w:rStyle w:val="FootnoteAnchor"/>
          <w:rtl w:val="true"/>
        </w:rPr>
        <w:footnoteReference w:id="317"/>
      </w:r>
    </w:p>
    <w:p>
      <w:pPr>
        <w:pStyle w:val="Heading4"/>
        <w:numPr>
          <w:ilvl w:val="3"/>
          <w:numId w:val="1"/>
        </w:numPr>
        <w:rPr/>
      </w:pPr>
      <w:bookmarkStart w:id="305" w:name="__RefHeading___Toc1165605_1067777946"/>
      <w:bookmarkStart w:id="306" w:name="_Toc110"/>
      <w:bookmarkEnd w:id="305"/>
      <w:r>
        <w:rPr/>
        <w:t>2</w:t>
      </w:r>
      <w:r>
        <w:rPr>
          <w:rtl w:val="true"/>
        </w:rPr>
        <w:t xml:space="preserve">. </w:t>
      </w:r>
      <w:r>
        <w:rPr>
          <w:rtl w:val="true"/>
        </w:rPr>
        <w:t>حديث وائل بن حجر</w:t>
      </w:r>
      <w:bookmarkEnd w:id="306"/>
    </w:p>
    <w:p>
      <w:pPr>
        <w:pStyle w:val="Heading5"/>
        <w:numPr>
          <w:ilvl w:val="4"/>
          <w:numId w:val="1"/>
        </w:numPr>
        <w:rPr/>
      </w:pPr>
      <w:bookmarkStart w:id="307" w:name="__RefHeading___Toc1165607_1067777946"/>
      <w:bookmarkStart w:id="308" w:name="_Toc111"/>
      <w:bookmarkEnd w:id="307"/>
      <w:r>
        <w:rPr>
          <w:rtl w:val="true"/>
        </w:rPr>
        <w:t>اشارة</w:t>
      </w:r>
      <w:bookmarkEnd w:id="308"/>
    </w:p>
    <w:p>
      <w:pPr>
        <w:pStyle w:val="BookText"/>
        <w:rPr/>
      </w:pPr>
      <w:r>
        <w:rPr>
          <w:rFonts w:ascii="Amiri" w:hAnsi="Amiri" w:eastAsia="Amiri" w:cs="Amiri"/>
          <w:color w:val="111111"/>
          <w:sz w:val="28"/>
          <w:sz w:val="28"/>
          <w:szCs w:val="28"/>
          <w:rtl w:val="true"/>
          <w:lang w:bidi="ar-SA"/>
        </w:rPr>
        <w:t xml:space="preserve">وروي بصور </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1165609_1067777946"/>
      <w:bookmarkStart w:id="310" w:name="_Toc112"/>
      <w:bookmarkEnd w:id="309"/>
      <w:r>
        <w:rPr>
          <w:rtl w:val="true"/>
        </w:rPr>
        <w:t xml:space="preserve">الصورة الأولى للحديث </w:t>
      </w:r>
      <w:r>
        <w:rPr>
          <w:rtl w:val="true"/>
        </w:rPr>
        <w:t>:</w:t>
      </w:r>
      <w:bookmarkEnd w:id="31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مسلم ، عن وائل 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رأى النبي رفع يديه حين دخل في الصلاة كبّر ، ثم التحف بثوبه ، ثم وضع يده اليمنى على اليسرى ، فلمّا أراد أن </w:t>
      </w:r>
    </w:p>
    <w:p>
      <w:pPr>
        <w:pStyle w:val="BookText"/>
        <w:rPr/>
      </w:pPr>
      <w:r>
        <w:rPr>
          <w:rFonts w:ascii="Amiri" w:hAnsi="Amiri" w:eastAsia="Amiri" w:cs="Amiri"/>
          <w:color w:val="111111"/>
          <w:sz w:val="28"/>
          <w:sz w:val="28"/>
          <w:szCs w:val="28"/>
          <w:rtl w:val="true"/>
          <w:lang w:bidi="ar-SA"/>
        </w:rPr>
        <w:t>يركع أخرج يديه من الثوب ، ثم رفعهما ، ثم كبّر فركع</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جحادة ، وقد أشار النووي في شرحه على صحيح مسلم وقال فيه محمد بن جحادة وسكت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والاحتجاج بالحديث احتجاج بالفعل ، ولا يحتج به إلاّ أن يعلم وجهه ، وهو بعد غير معلوم ، لأنّ ظاهر الحديث أنّ النبي جمع أطراف ثوبه فغطّى صدره به ، ووضع يده اليمنى على اليسرى ، وهل فعل ذلك لأجل كونه أمرا مسنونا في الصلاة ، أو فعله لئلاّ يسترخي الثوب بل يلصق الثوب بالبدن ويتّقي به ـ نفسه ـ عن البرد؟ والفعل أمر مجهول العنوان ، فلا يكون حجّة إلاّ إذا علم أنّه فعله بما انّه فعل مسنون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احتمال آخر وهو انّ عمل الرسول صلى الله عليه وآله وسلم كان للتحرز عن سدل الثوب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اخرج الترمذي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عن السدل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السدل هو إسبال الرجل ثوبه من غير أن يضم جانبيه بين يديه فإن ضمه فليس بسدل ، وقد رويت الكراهة فيه عن النبي 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319"/>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النبيّ الأكرم صلّى مع المهاجرين والأنصار أزيد من عشر سنوات ، فلو كان ذلك ثابتا من النبي لكثر النقل وذاع ، ولما انحصر نقله بوائل بن حجر ، مع ما في نقله من الاحتمالين</w:t>
      </w:r>
      <w:r>
        <w:rPr>
          <w:rFonts w:eastAsia="Amiri" w:cs="Amiri" w:ascii="Amiri" w:hAnsi="Amiri"/>
          <w:color w:val="111111"/>
          <w:sz w:val="28"/>
          <w:szCs w:val="28"/>
          <w:rtl w:val="true"/>
          <w:lang w:bidi="ar-SA"/>
        </w:rPr>
        <w:t xml:space="preserve">. </w:t>
      </w:r>
      <w:bookmarkStart w:id="311" w:name="pg10144_71372"/>
    </w:p>
    <w:p>
      <w:pPr>
        <w:pStyle w:val="Heading5"/>
        <w:numPr>
          <w:ilvl w:val="4"/>
          <w:numId w:val="1"/>
        </w:numPr>
        <w:rPr/>
      </w:pPr>
      <w:bookmarkStart w:id="312" w:name="__RefHeading___Toc1165611_1067777946"/>
      <w:bookmarkStart w:id="313" w:name="_Toc113"/>
      <w:bookmarkEnd w:id="311"/>
      <w:bookmarkEnd w:id="312"/>
      <w:r>
        <w:rPr>
          <w:rtl w:val="true"/>
        </w:rPr>
        <w:t xml:space="preserve">الصورة الثانية للحديث </w:t>
      </w:r>
      <w:r>
        <w:rPr>
          <w:rtl w:val="true"/>
        </w:rPr>
        <w:t>:</w:t>
      </w:r>
      <w:bookmarkEnd w:id="313"/>
    </w:p>
    <w:p>
      <w:pPr>
        <w:pStyle w:val="BookText"/>
        <w:rPr/>
      </w:pPr>
      <w:r>
        <w:rPr>
          <w:rFonts w:ascii="Amiri" w:hAnsi="Amiri" w:eastAsia="Amiri" w:cs="Amiri"/>
          <w:color w:val="111111"/>
          <w:sz w:val="28"/>
          <w:sz w:val="28"/>
          <w:szCs w:val="28"/>
          <w:rtl w:val="true"/>
          <w:lang w:bidi="ar-SA"/>
        </w:rPr>
        <w:t xml:space="preserve">أخرج النسائي والبيهقي في سننهما بسندين مختلفين عن وائل بن حجر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إذا كان قائماً في الصلاة قبض بيمينه على شماله</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وفي لفظ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إلى الصلاة قبض على شماله بيمينه ، ورأيت علقمة يفعله</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والاستدلال بالحديث رهن صحّة السند وتمامية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السند فالشيخان وإن نقلاه بسندين مختلفين لكنّهما يشتركان في وجود عبد الله في كلا السندين ، وفي سنن النسائي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أنبأنا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سنن البيهقي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أنبأنا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والمراد هو عبد الله بن جعفر بن نجيح السعدي ، وكفى في ضعفه ما نقله عبد الله ابن الإمام أحمد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وكيع إذا أتى على حديثه جزّ عليه ، وقال في موضع آخر ينقل عن أبيه عن مشايخه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أكتب من حديثه شيئا بعد أن تبيّن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الدوري عن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يزيد بن هارون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تسألوا عن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عمرو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 جدا ، يحدث عن الثقات بالمناكير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 xml:space="preserve">. </w:t>
      </w:r>
      <w:bookmarkStart w:id="314" w:name="pg10144_71373"/>
    </w:p>
    <w:p>
      <w:pPr>
        <w:pStyle w:val="BookText"/>
        <w:rPr/>
      </w:pPr>
      <w:bookmarkEnd w:id="314"/>
      <w:r>
        <w:rPr>
          <w:rFonts w:ascii="Amiri" w:hAnsi="Amiri" w:eastAsia="Amiri" w:cs="Amiri"/>
          <w:color w:val="111111"/>
          <w:sz w:val="28"/>
          <w:sz w:val="28"/>
          <w:szCs w:val="28"/>
          <w:rtl w:val="true"/>
          <w:lang w:bidi="ar-SA"/>
        </w:rPr>
        <w:t xml:space="preserve">وقال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وأمّا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من المحتمل انّ الحديث هو صورة أخرى من الحديث الأوّل ، والفرق هو انّ الحديث الأوّل اشتمل على زيادة دونه ، حيث جاء في الصورة الأولى التحف بثوبه ثمّ وضع يده اليمنى على اليسرى وقد مرّ انّ ظاهر الحديث انّ النبيّ صلى الله عليه وآله وسلم جمع أطراف ثوبه فغطى به صدره ووضع يده اليمنى على اليسرى لئلا يسترخي الثوب بل يلصق الثوب بالبدن ويقي به نفسه عن البرد أو يتحرّز عن إسبال الثوب ، وبما انّ الفعل مجهول العنوان لا يحتج به ما لم يعرف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في نفس الحديث شهادة على أنّ القبض لم يكن رائجا في الصدر الأوّل ، وذلك لأنّه جاء 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علقمة يفعله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القبض أمرا رائجا بين الصحابة والتابعين لما كان وجه لنسبة هذا الفعل الرائج إلى علقمة راوي الحديث عن وائل ، وهذا يدلّ على أنّه كان أمرا غير رائج ولذلك نقله علقمة</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1165613_1067777946"/>
      <w:bookmarkStart w:id="316" w:name="_Toc114"/>
      <w:bookmarkEnd w:id="315"/>
      <w:r>
        <w:rPr>
          <w:rtl w:val="true"/>
        </w:rPr>
        <w:t xml:space="preserve">الصورة الثالثة للحديث </w:t>
      </w:r>
      <w:r>
        <w:rPr>
          <w:rtl w:val="true"/>
        </w:rPr>
        <w:t>:</w:t>
      </w:r>
      <w:bookmarkEnd w:id="316"/>
    </w:p>
    <w:p>
      <w:pPr>
        <w:pStyle w:val="BookText"/>
        <w:rPr/>
      </w:pPr>
      <w:r>
        <w:rPr>
          <w:rFonts w:ascii="Amiri" w:hAnsi="Amiri" w:eastAsia="Amiri" w:cs="Amiri"/>
          <w:color w:val="111111"/>
          <w:sz w:val="28"/>
          <w:sz w:val="28"/>
          <w:szCs w:val="28"/>
          <w:rtl w:val="true"/>
          <w:lang w:bidi="ar-SA"/>
        </w:rPr>
        <w:t xml:space="preserve">أخرج النسائي بسنده عن وائل بن حجر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صلاة رسول الله كيف يصلّي ونظرت إليه ، فقام فكبر ورفع يديه حتّى حاذتا أذنيه ، ثمّ وضع يده اليمنى على كفه اليسرى والرسغ والساعد</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وأخرجه أيضا البيهقي في سننه بنفس اللفظ</w:t>
      </w:r>
      <w:r>
        <w:rPr>
          <w:rFonts w:eastAsia="Amiri" w:cs="Amiri" w:ascii="Amiri" w:hAnsi="Amiri"/>
          <w:color w:val="111111"/>
          <w:sz w:val="28"/>
          <w:szCs w:val="28"/>
          <w:rtl w:val="true"/>
          <w:lang w:bidi="ar-SA"/>
        </w:rPr>
        <w:t xml:space="preserve">. </w:t>
      </w:r>
      <w:r>
        <w:rPr>
          <w:rStyle w:val="FootnoteAnchor"/>
          <w:rtl w:val="true"/>
        </w:rPr>
        <w:footnoteReference w:id="324"/>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والاحتجاج بالرواية رهن صحّة السند والدلالة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سند النسائي فهو مشتمل على عاصم بن كليب الكوفي ، وقد ذكر ابن حجر انّه سئل ابن شهاب عن مذهب كليب وانّه كان مرجئا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 ولكن قال شريك بن عبد الله النخعي انّه كان مرجئا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به إذا انفرد</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وأمّا سند البيهقي فهو مشتمل على عبد الله بن رجاء ، فنقل ابن حجر عن ابن معين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 التصحيف ، وليس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عمرو بن عدي ، صدوق كثير الغلط والتصحيف ليس بحجة ، وتوفّى عام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وليس المراد منه عبد الله بن رجاء المكي الذي يروي عن الإمام جعفر الصادق عليه السلام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افترض انّ المراد هو عبد الله بن رجاء المكي فهو ليس أيضا سالما عن النقد ، نقل ابن حجر عن الساجي انّه قال عنده 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أحمد ويحيى فيه ، 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انّ كتبه ذهبت فكان يكتب من حفظه فعنده مناكير وما سمعت منه إلا حديثين ، وحكى نحوه العقيلي عن أحمد</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وأمّا الدلالة فلا شكّ انّه أوضح دلالة من الصورتين الأوليين ، ويحتمل فيه أيضا أن يكون نفس الرواية الأولى غير انّه نقل على</w:t>
      </w:r>
    </w:p>
    <w:p>
      <w:pPr>
        <w:pStyle w:val="BookText"/>
        <w:rPr/>
      </w:pPr>
      <w:r>
        <w:rPr>
          <w:rFonts w:ascii="Amiri" w:hAnsi="Amiri" w:eastAsia="Amiri" w:cs="Amiri"/>
          <w:color w:val="111111"/>
          <w:sz w:val="28"/>
          <w:sz w:val="28"/>
          <w:szCs w:val="28"/>
          <w:rtl w:val="true"/>
          <w:lang w:bidi="ar-SA"/>
        </w:rPr>
        <w:t xml:space="preserve">وجوه مختلفة وجاء الاختلاف من الرواة وحيث إنّه يحتمل أن يكون نفس الصورة الأولى ، فقد عرفت أنّ فعل النبي صلى الله عليه وآله وسلم يحتمل وجهين </w:t>
      </w:r>
      <w:r>
        <w:rPr>
          <w:rStyle w:val="FootnoteAnchor"/>
          <w:rtl w:val="true"/>
        </w:rPr>
        <w:footnoteReference w:id="327"/>
      </w:r>
      <w:r>
        <w:rPr>
          <w:rFonts w:ascii="Amiri" w:hAnsi="Amiri" w:eastAsia="Amiri" w:cs="Amiri"/>
          <w:color w:val="111111"/>
          <w:sz w:val="28"/>
          <w:sz w:val="28"/>
          <w:szCs w:val="28"/>
          <w:rtl w:val="true"/>
          <w:lang w:bidi="ar-SA"/>
        </w:rPr>
        <w:t>ومعه لا يحتج به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تمّت دراسة الحديثين </w:t>
      </w:r>
      <w:r>
        <w:rPr>
          <w:rFonts w:eastAsia="Amiri" w:cs="Amiri" w:ascii="Amiri" w:hAnsi="Amiri"/>
          <w:color w:val="111111"/>
          <w:sz w:val="28"/>
          <w:szCs w:val="28"/>
          <w:rtl w:val="true"/>
          <w:lang w:bidi="ar-SA"/>
        </w:rPr>
        <w:t xml:space="preserve">: </w:t>
      </w:r>
      <w:bookmarkStart w:id="317" w:name="pg10144_71375"/>
    </w:p>
    <w:p>
      <w:pPr>
        <w:pStyle w:val="BookText"/>
        <w:rPr/>
      </w:pPr>
      <w:bookmarkEnd w:id="317"/>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سهل الساعدي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وائل بن حجر بصورة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قصور دلالتهما مع وجود الضعف في أسناد حديث وائل بن حجر ، بقي حديث ثالث يستدلّ به على القبض</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1165615_1067777946"/>
      <w:bookmarkStart w:id="319" w:name="_Toc115"/>
      <w:bookmarkEnd w:id="318"/>
      <w:r>
        <w:rPr/>
        <w:t>3</w:t>
      </w:r>
      <w:r>
        <w:rPr>
          <w:rtl w:val="true"/>
        </w:rPr>
        <w:t xml:space="preserve">. </w:t>
      </w:r>
      <w:r>
        <w:rPr>
          <w:rtl w:val="true"/>
        </w:rPr>
        <w:t>حديث عبد الله بن مسعود</w:t>
      </w:r>
      <w:bookmarkEnd w:id="319"/>
    </w:p>
    <w:p>
      <w:pPr>
        <w:pStyle w:val="BookText"/>
        <w:rPr/>
      </w:pPr>
      <w:r>
        <w:rPr>
          <w:rFonts w:ascii="Amiri" w:hAnsi="Amiri" w:eastAsia="Amiri" w:cs="Amiri"/>
          <w:color w:val="111111"/>
          <w:sz w:val="28"/>
          <w:sz w:val="28"/>
          <w:szCs w:val="28"/>
          <w:rtl w:val="true"/>
          <w:lang w:bidi="ar-SA"/>
        </w:rPr>
        <w:t xml:space="preserve">أخرج النسائي عن الحجاج بن أبي زينب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عثمان يحدّث 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رآني النبي صلى الله عليه وآله وسلم وقد وضعت شمالي على يميني في الصلاة ، فأخذ بيميني فوضعها على شمالي</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وأخرجه البيهقي بنفس اللفظ لكن بسند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بالحديث رهن صحّة السند والدلالة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فكلا السندين يشتملان على الحجاج بن أبي زينب السلمي الذي قال في حقّه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أن يكون 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الحسن بن شجاع البلخي عن علي 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أهل واسط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انّه لا بأس به فيما يرويه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 ولا الحافظ</w:t>
      </w:r>
      <w:r>
        <w:rPr>
          <w:rFonts w:eastAsia="Amiri" w:cs="Amiri" w:ascii="Amiri" w:hAnsi="Amiri"/>
          <w:color w:val="111111"/>
          <w:sz w:val="28"/>
          <w:szCs w:val="28"/>
          <w:rtl w:val="true"/>
          <w:lang w:bidi="ar-SA"/>
        </w:rPr>
        <w:t xml:space="preserve">. </w:t>
      </w:r>
      <w:r>
        <w:rPr>
          <w:rStyle w:val="FootnoteAnchor"/>
          <w:rtl w:val="true"/>
        </w:rPr>
        <w:footnoteReference w:id="329"/>
      </w:r>
      <w:bookmarkStart w:id="320" w:name="pg10144_71376"/>
    </w:p>
    <w:p>
      <w:pPr>
        <w:pStyle w:val="BookText"/>
        <w:rPr/>
      </w:pPr>
      <w:bookmarkEnd w:id="320"/>
      <w:r>
        <w:rPr>
          <w:rFonts w:ascii="Amiri" w:hAnsi="Amiri" w:eastAsia="Amiri" w:cs="Amiri"/>
          <w:color w:val="111111"/>
          <w:sz w:val="28"/>
          <w:sz w:val="28"/>
          <w:szCs w:val="28"/>
          <w:rtl w:val="true"/>
          <w:lang w:bidi="ar-SA"/>
        </w:rPr>
        <w:t>إلى غير ذلك من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الدلالة فيلاحظ انّ عبد الله بن مسعود كان من السابقين إلى الإسلام وقد أسلم في أوائل البعثة ، وقد لاقى ما لاقى من قريش لأجل إيمانه بالنبي والإسلام ، فمثل هذا لا يمكن أن يجهل بكيفية القبض ـ على فرض كونه سنّة ـ فيضع شماله على يمينه</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1165617_1067777946"/>
      <w:bookmarkStart w:id="322" w:name="_Toc116"/>
      <w:bookmarkEnd w:id="321"/>
      <w:r>
        <w:rPr/>
        <w:t>4</w:t>
      </w:r>
      <w:r>
        <w:rPr>
          <w:rtl w:val="true"/>
        </w:rPr>
        <w:t xml:space="preserve">. </w:t>
      </w:r>
      <w:r>
        <w:rPr>
          <w:rtl w:val="true"/>
        </w:rPr>
        <w:t>أحاديث ضعاف لا يحتجّ بها</w:t>
      </w:r>
      <w:bookmarkEnd w:id="322"/>
    </w:p>
    <w:p>
      <w:pPr>
        <w:pStyle w:val="Heading5"/>
        <w:numPr>
          <w:ilvl w:val="4"/>
          <w:numId w:val="1"/>
        </w:numPr>
        <w:rPr/>
      </w:pPr>
      <w:bookmarkStart w:id="323" w:name="__RefHeading___Toc1165619_1067777946"/>
      <w:bookmarkStart w:id="324" w:name="_Toc117"/>
      <w:bookmarkEnd w:id="323"/>
      <w:r>
        <w:rPr>
          <w:rtl w:val="true"/>
        </w:rPr>
        <w:t>اشارة</w:t>
      </w:r>
      <w:bookmarkEnd w:id="324"/>
    </w:p>
    <w:p>
      <w:pPr>
        <w:pStyle w:val="BookText"/>
        <w:rPr/>
      </w:pPr>
      <w:r>
        <w:rPr>
          <w:rFonts w:ascii="Amiri" w:hAnsi="Amiri" w:eastAsia="Amiri" w:cs="Amiri"/>
          <w:color w:val="111111"/>
          <w:sz w:val="28"/>
          <w:sz w:val="28"/>
          <w:szCs w:val="28"/>
          <w:rtl w:val="true"/>
          <w:lang w:bidi="ar-SA"/>
        </w:rPr>
        <w:t>ما ذكرناه من الأحاديث هو العمدة في الاستدلال على قبض اليمنى باليسرى ، وقد عرفت حالها وعدم قيامها بإثبات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أحاديث وآثار رويت في غضون الكتب جمعها البيهقي في سننه ، ولا يصحّ واحد منها لضعفها سندا ودلالة ، ونحن لأجل إكمال حلقة البحث نسرد تلك الأحاديث ونناقشها سندا ودلالة حتى يقف القارئ على مواطن الخلل</w:t>
      </w:r>
      <w:r>
        <w:rPr>
          <w:rFonts w:eastAsia="Amiri" w:cs="Amiri" w:ascii="Amiri" w:hAnsi="Amiri"/>
          <w:color w:val="111111"/>
          <w:sz w:val="28"/>
          <w:szCs w:val="28"/>
          <w:rtl w:val="true"/>
          <w:lang w:bidi="ar-SA"/>
        </w:rPr>
        <w:t>.</w:t>
      </w:r>
    </w:p>
    <w:p>
      <w:pPr>
        <w:pStyle w:val="Heading5"/>
        <w:numPr>
          <w:ilvl w:val="4"/>
          <w:numId w:val="1"/>
        </w:numPr>
        <w:rPr/>
      </w:pPr>
      <w:bookmarkStart w:id="325" w:name="__RefHeading___Toc1165621_1067777946"/>
      <w:bookmarkStart w:id="326" w:name="_Toc118"/>
      <w:bookmarkEnd w:id="325"/>
      <w:r>
        <w:rPr/>
        <w:t>1</w:t>
      </w:r>
      <w:r>
        <w:rPr>
          <w:rtl w:val="true"/>
        </w:rPr>
        <w:t xml:space="preserve">. </w:t>
      </w:r>
      <w:r>
        <w:rPr>
          <w:rtl w:val="true"/>
        </w:rPr>
        <w:t>حديث هُلْب</w:t>
      </w:r>
      <w:bookmarkEnd w:id="326"/>
    </w:p>
    <w:p>
      <w:pPr>
        <w:pStyle w:val="Heading6"/>
        <w:numPr>
          <w:ilvl w:val="5"/>
          <w:numId w:val="1"/>
        </w:numPr>
        <w:rPr/>
      </w:pPr>
      <w:bookmarkStart w:id="327" w:name="__RefHeading___Toc1165623_1067777946"/>
      <w:bookmarkStart w:id="328" w:name="_Toc119"/>
      <w:bookmarkEnd w:id="327"/>
      <w:r>
        <w:rPr>
          <w:rtl w:val="true"/>
        </w:rPr>
        <w:t>اشارة</w:t>
      </w:r>
      <w:bookmarkEnd w:id="328"/>
    </w:p>
    <w:p>
      <w:pPr>
        <w:pStyle w:val="BookText"/>
        <w:rPr/>
      </w:pPr>
      <w:r>
        <w:rPr>
          <w:rFonts w:ascii="Amiri" w:hAnsi="Amiri" w:eastAsia="Amiri" w:cs="Amiri"/>
          <w:color w:val="111111"/>
          <w:sz w:val="28"/>
          <w:sz w:val="28"/>
          <w:szCs w:val="28"/>
          <w:rtl w:val="true"/>
          <w:lang w:bidi="ar-SA"/>
        </w:rPr>
        <w:t xml:space="preserve">أخرج الترمذي عن قتيبة عن أبي الأحوص ، عن سماك بن حرب ، عن قبيصة بن هُلْب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وآله وسلم يؤمّنا فيأخذ شماله بيمينه</w:t>
      </w:r>
      <w:r>
        <w:rPr>
          <w:rFonts w:eastAsia="Amiri" w:cs="Amiri" w:ascii="Amiri" w:hAnsi="Amiri"/>
          <w:color w:val="111111"/>
          <w:sz w:val="28"/>
          <w:szCs w:val="28"/>
          <w:rtl w:val="true"/>
          <w:lang w:bidi="ar-SA"/>
        </w:rPr>
        <w:t xml:space="preserve">. </w:t>
      </w:r>
      <w:r>
        <w:rPr>
          <w:rStyle w:val="FootnoteAnchor"/>
          <w:rtl w:val="true"/>
        </w:rPr>
        <w:footnoteReference w:id="330"/>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البيهقي بلفظ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وآله وسلم واضعا يمينه على شماله في الصلاة</w:t>
      </w:r>
      <w:r>
        <w:rPr>
          <w:rFonts w:eastAsia="Amiri" w:cs="Amiri" w:ascii="Amiri" w:hAnsi="Amiri"/>
          <w:color w:val="111111"/>
          <w:sz w:val="28"/>
          <w:szCs w:val="28"/>
          <w:rtl w:val="true"/>
          <w:lang w:bidi="ar-SA"/>
        </w:rPr>
        <w:t xml:space="preserve">. </w:t>
      </w:r>
      <w:r>
        <w:rPr>
          <w:rStyle w:val="FootnoteAnchor"/>
          <w:rtl w:val="true"/>
        </w:rPr>
        <w:footnoteReference w:id="331"/>
      </w:r>
      <w:bookmarkStart w:id="329" w:name="pg10144_71377"/>
    </w:p>
    <w:p>
      <w:pPr>
        <w:pStyle w:val="BookText"/>
        <w:rPr/>
      </w:pPr>
      <w:bookmarkEnd w:id="329"/>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السند ضعيف كالدلالة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السند ، فإليك ترجمة راويين منه</w:t>
      </w:r>
      <w:r>
        <w:rPr>
          <w:rFonts w:eastAsia="Amiri" w:cs="Amiri" w:ascii="Amiri" w:hAnsi="Amiri"/>
          <w:color w:val="111111"/>
          <w:sz w:val="28"/>
          <w:szCs w:val="28"/>
          <w:rtl w:val="true"/>
          <w:lang w:bidi="ar-SA"/>
        </w:rPr>
        <w:t>.</w:t>
      </w:r>
    </w:p>
    <w:p>
      <w:pPr>
        <w:pStyle w:val="Heading6"/>
        <w:numPr>
          <w:ilvl w:val="5"/>
          <w:numId w:val="1"/>
        </w:numPr>
        <w:rPr/>
      </w:pPr>
      <w:bookmarkStart w:id="330" w:name="__RefHeading___Toc1165625_1067777946"/>
      <w:bookmarkStart w:id="331" w:name="_Toc120"/>
      <w:bookmarkEnd w:id="330"/>
      <w:r>
        <w:rPr>
          <w:rtl w:val="true"/>
        </w:rPr>
        <w:t>قبيصة بن هُلب</w:t>
      </w:r>
      <w:bookmarkEnd w:id="331"/>
    </w:p>
    <w:p>
      <w:pPr>
        <w:pStyle w:val="BookText"/>
        <w:rPr/>
      </w:pP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 وذكره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لم يرو عنه غير سماك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Style w:val="FootnoteAnchor"/>
          <w:rtl w:val="true"/>
        </w:rPr>
        <w:footnoteReference w:id="333"/>
      </w:r>
    </w:p>
    <w:p>
      <w:pPr>
        <w:pStyle w:val="Heading6"/>
        <w:numPr>
          <w:ilvl w:val="5"/>
          <w:numId w:val="1"/>
        </w:numPr>
        <w:rPr/>
      </w:pPr>
      <w:bookmarkStart w:id="332" w:name="__RefHeading___Toc1165627_1067777946"/>
      <w:bookmarkStart w:id="333" w:name="_Toc121"/>
      <w:bookmarkEnd w:id="332"/>
      <w:r>
        <w:rPr>
          <w:rtl w:val="true"/>
        </w:rPr>
        <w:t>سماك بن حرب</w:t>
      </w:r>
      <w:bookmarkEnd w:id="333"/>
    </w:p>
    <w:p>
      <w:pPr>
        <w:pStyle w:val="BookText"/>
        <w:rPr/>
      </w:pP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المبارك عن سفيان انّه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جرير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سماكا فرأيته يبول قائماً فرجعت ولم أسأله ، فقلت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أحمد بن أبي مريم عن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سماك ثقة ، كان شعبة يضعّفه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سماك مضطرب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يضعف</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انفرد بأصل لم يكن بحجة ، لأنّه كان يلقّن فيتلقن إلى غير ذلك من كلمات التضعيف</w:t>
      </w:r>
      <w:r>
        <w:rPr>
          <w:rFonts w:eastAsia="Amiri" w:cs="Amiri" w:ascii="Amiri" w:hAnsi="Amiri"/>
          <w:color w:val="111111"/>
          <w:sz w:val="28"/>
          <w:szCs w:val="28"/>
          <w:rtl w:val="true"/>
          <w:lang w:bidi="ar-SA"/>
        </w:rPr>
        <w:t xml:space="preserve">. </w:t>
      </w:r>
      <w:r>
        <w:rPr>
          <w:rStyle w:val="FootnoteAnchor"/>
          <w:rtl w:val="true"/>
        </w:rPr>
        <w:footnoteReference w:id="334"/>
      </w:r>
      <w:bookmarkStart w:id="334" w:name="pg10144_71378"/>
    </w:p>
    <w:p>
      <w:pPr>
        <w:pStyle w:val="BookText"/>
        <w:rPr/>
      </w:pPr>
      <w:bookmarkEnd w:id="334"/>
      <w:r>
        <w:rPr>
          <w:rFonts w:ascii="IRNazanin" w:hAnsi="IRNazanin" w:eastAsia="IRNazanin"/>
          <w:color w:val="111111"/>
          <w:sz w:val="28"/>
          <w:sz w:val="28"/>
          <w:szCs w:val="28"/>
          <w:rtl w:val="true"/>
          <w:lang w:bidi="fa-IR"/>
        </w:rPr>
        <w:t xml:space="preserve">وقال ابن حجر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عنه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 ابن معين سئل عنه ما الذي عابه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أحاديث لم يسندها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إنّه كان يخلّط ويختلفون في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الثوري يضعّفه بعض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يعقوب بن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سماك عن عكرمة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زكريا بن علي ، عن 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سماك ضعيف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وروايته عن عكرمة خاصة مضطربة</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وأمّا الدلالة فليست في الرواية تصريح في أنّه يضع يمينه على شماله في خصوص حال القراءة ، بل ظاهره انّه يضع يمينه على شماله في عامة حالات الصلاة وهو ممّا لم يلتزم به أحد</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1165629_1067777946"/>
      <w:bookmarkStart w:id="336" w:name="_Toc122"/>
      <w:bookmarkEnd w:id="335"/>
      <w:r>
        <w:rPr/>
        <w:t>2</w:t>
      </w:r>
      <w:r>
        <w:rPr>
          <w:rtl w:val="true"/>
        </w:rPr>
        <w:t xml:space="preserve">. </w:t>
      </w:r>
      <w:r>
        <w:rPr>
          <w:rtl w:val="true"/>
        </w:rPr>
        <w:t>حديث محمد بن أبان الأنصاري</w:t>
      </w:r>
      <w:bookmarkEnd w:id="33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البيهقي بسنده عن محمد بن أبان الأنصاري ،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تعجيل الإفطار ، وتأخير السحور ، ووضع اليد اليمنى على اليسرى في الصلاة</w:t>
      </w:r>
      <w:r>
        <w:rPr>
          <w:rFonts w:eastAsia="Amiri" w:cs="Amiri" w:ascii="Amiri" w:hAnsi="Amiri"/>
          <w:color w:val="111111"/>
          <w:sz w:val="28"/>
          <w:szCs w:val="28"/>
          <w:rtl w:val="true"/>
          <w:lang w:bidi="ar-SA"/>
        </w:rPr>
        <w:t xml:space="preserve">. </w:t>
      </w:r>
      <w:r>
        <w:rPr>
          <w:rStyle w:val="FootnoteAnchor"/>
          <w:rtl w:val="true"/>
        </w:rPr>
        <w:footnoteReference w:id="336"/>
      </w:r>
      <w:bookmarkStart w:id="337" w:name="pg10144_71379"/>
    </w:p>
    <w:p>
      <w:pPr>
        <w:pStyle w:val="BookText"/>
        <w:rPr/>
      </w:pPr>
      <w:bookmarkEnd w:id="337"/>
      <w:r>
        <w:rPr>
          <w:rFonts w:ascii="Amiri" w:hAnsi="Amiri" w:eastAsia="Amiri" w:cs="Amiri"/>
          <w:color w:val="111111"/>
          <w:sz w:val="28"/>
          <w:sz w:val="28"/>
          <w:szCs w:val="28"/>
          <w:rtl w:val="true"/>
          <w:lang w:bidi="ar-SA"/>
        </w:rPr>
        <w:t xml:space="preserve">ويكفي في ضعف الحديث ما ذكره البخاري في تاريخه الكبير ، بعد نقل هذا الحديث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نعرف لمحمد سماعا من عائشة ، وفي نسخة ولا يعرف لمحمد سماع</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وقد نقل محقّق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للبخاري في الهامش أقوال الرجاليين في حقّه ، فخرج بالنتيجة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أنصاري مدني ، ثمّ صار إلى اليمامة ، وانّه أرسل عن عائشة</w:t>
      </w:r>
      <w:r>
        <w:rPr>
          <w:rFonts w:eastAsia="Amiri" w:cs="Amiri" w:ascii="Amiri" w:hAnsi="Amiri"/>
          <w:color w:val="111111"/>
          <w:sz w:val="28"/>
          <w:szCs w:val="28"/>
          <w:rtl w:val="true"/>
          <w:lang w:bidi="ar-SA"/>
        </w:rPr>
        <w:t xml:space="preserve">. </w:t>
      </w:r>
      <w:r>
        <w:rPr>
          <w:rStyle w:val="FootnoteAnchor"/>
          <w:rtl w:val="true"/>
        </w:rPr>
        <w:footnoteReference w:id="338"/>
      </w:r>
    </w:p>
    <w:p>
      <w:pPr>
        <w:pStyle w:val="Heading5"/>
        <w:numPr>
          <w:ilvl w:val="4"/>
          <w:numId w:val="1"/>
        </w:numPr>
        <w:rPr/>
      </w:pPr>
      <w:bookmarkStart w:id="338" w:name="__RefHeading___Toc1165631_1067777946"/>
      <w:bookmarkStart w:id="339" w:name="_Toc123"/>
      <w:bookmarkEnd w:id="338"/>
      <w:r>
        <w:rPr/>
        <w:t>3</w:t>
      </w:r>
      <w:r>
        <w:rPr>
          <w:rtl w:val="true"/>
        </w:rPr>
        <w:t xml:space="preserve">. </w:t>
      </w:r>
      <w:r>
        <w:rPr>
          <w:rtl w:val="true"/>
        </w:rPr>
        <w:t>حديث عقبة بن صهبان</w:t>
      </w:r>
      <w:bookmarkEnd w:id="339"/>
    </w:p>
    <w:p>
      <w:pPr>
        <w:pStyle w:val="BookText"/>
        <w:rPr/>
      </w:pPr>
      <w:r>
        <w:rPr>
          <w:rFonts w:ascii="Amiri" w:hAnsi="Amiri" w:eastAsia="Amiri" w:cs="Amiri"/>
          <w:color w:val="111111"/>
          <w:sz w:val="28"/>
          <w:sz w:val="28"/>
          <w:szCs w:val="28"/>
          <w:rtl w:val="true"/>
          <w:lang w:bidi="ar-SA"/>
        </w:rPr>
        <w:t xml:space="preserve">روى البيهقي بسنده عن حماد بن سلمة ، عن عاصم الجحدري ، عن عقبة بن صهبان ، عن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وضع يمينك على شمالك في الصلاة</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يلاحظ على الاستدلال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عاصم الجحدري لم يوثّق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العجّاج الجحدري البصري ، قرأ على يحيى بن يعمر ونصر بن عاصم ، أخذ عنه سلام بن أبو المنذر وجماعة قراءة شاذة فيها ما ينكر</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وذكره البخاري في تاريخه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الجحدري يعدّ في البصريين ، عن عقبة بن ظبيان ولم يوثقه</w:t>
      </w:r>
      <w:r>
        <w:rPr>
          <w:rFonts w:eastAsia="Amiri" w:cs="Amiri" w:ascii="Amiri" w:hAnsi="Amiri"/>
          <w:color w:val="111111"/>
          <w:sz w:val="28"/>
          <w:szCs w:val="28"/>
          <w:rtl w:val="true"/>
          <w:lang w:bidi="ar-SA"/>
        </w:rPr>
        <w:t xml:space="preserve">. </w:t>
      </w:r>
      <w:r>
        <w:rPr>
          <w:rStyle w:val="FootnoteAnchor"/>
          <w:rtl w:val="true"/>
        </w:rPr>
        <w:footnoteReference w:id="341"/>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الحديث حسب نقل البيهقي ينتهي إلى عقبة بن صهبان</w:t>
      </w:r>
      <w:r>
        <w:rPr>
          <w:rFonts w:eastAsia="Amiri" w:cs="Amiri" w:ascii="Amiri" w:hAnsi="Amiri"/>
          <w:color w:val="111111"/>
          <w:sz w:val="28"/>
          <w:szCs w:val="28"/>
          <w:rtl w:val="true"/>
          <w:lang w:bidi="ar-SA"/>
        </w:rPr>
        <w:t xml:space="preserve">. </w:t>
      </w:r>
      <w:bookmarkStart w:id="340" w:name="pg10144_71380"/>
    </w:p>
    <w:p>
      <w:pPr>
        <w:pStyle w:val="BookText"/>
        <w:rPr/>
      </w:pPr>
      <w:bookmarkEnd w:id="340"/>
      <w:r>
        <w:rPr>
          <w:rFonts w:ascii="Amiri" w:hAnsi="Amiri" w:eastAsia="Amiri" w:cs="Amiri"/>
          <w:color w:val="111111"/>
          <w:sz w:val="28"/>
          <w:sz w:val="28"/>
          <w:szCs w:val="28"/>
          <w:rtl w:val="true"/>
          <w:lang w:bidi="ar-SA"/>
        </w:rPr>
        <w:t xml:space="preserve">وقال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البخاري في التأريخ في ترجمة عقبة بن ظبيان عن موسى بن إسماعيل عن حماد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عاصم الجحدري ، عن أبيه ، عن عقبة بن ظبيان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يده اليمنى على وسط ساعده على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يرويه البخاري في تاريخه حسب ما نقله البيهقي يختلف عمّا نقله البيهقي بالمباشرة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السند ينتهي عند البيهقي إلى عقبة بن صهبان ، وحسب نقل البخاري إلى عقبة بن ظبيان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عاصم الجحدري حسب نقل البيهقي يروي عن عقبة بن صهبان ، وحسب ما نقله عن تاريخ البخاري ينقل عاصم عن أبيه عن عقبة بن ظبيان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الأسف الشديد انّ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يعنون في الرجال فمثل هذا الحديث لا يحتج به أبدا</w:t>
      </w:r>
      <w:r>
        <w:rPr>
          <w:rFonts w:eastAsia="Amiri" w:cs="Amiri" w:ascii="Amiri" w:hAnsi="Amiri"/>
          <w:color w:val="111111"/>
          <w:sz w:val="28"/>
          <w:szCs w:val="28"/>
          <w:rtl w:val="true"/>
          <w:lang w:bidi="ar-SA"/>
        </w:rPr>
        <w:t>.</w:t>
      </w:r>
    </w:p>
    <w:p>
      <w:pPr>
        <w:pStyle w:val="Heading5"/>
        <w:numPr>
          <w:ilvl w:val="4"/>
          <w:numId w:val="1"/>
        </w:numPr>
        <w:rPr/>
      </w:pPr>
      <w:bookmarkStart w:id="341" w:name="__RefHeading___Toc1165633_1067777946"/>
      <w:bookmarkStart w:id="342" w:name="_Toc124"/>
      <w:bookmarkEnd w:id="341"/>
      <w:r>
        <w:rPr/>
        <w:t>4</w:t>
      </w:r>
      <w:r>
        <w:rPr>
          <w:rtl w:val="true"/>
        </w:rPr>
        <w:t xml:space="preserve">. </w:t>
      </w:r>
      <w:r>
        <w:rPr>
          <w:rtl w:val="true"/>
        </w:rPr>
        <w:t>حديث غزوان بن جرير</w:t>
      </w:r>
      <w:bookmarkEnd w:id="342"/>
    </w:p>
    <w:p>
      <w:pPr>
        <w:pStyle w:val="BookText"/>
        <w:rPr/>
      </w:pPr>
      <w:r>
        <w:rPr>
          <w:rFonts w:ascii="Amiri" w:hAnsi="Amiri" w:eastAsia="Amiri" w:cs="Amiri"/>
          <w:color w:val="111111"/>
          <w:sz w:val="28"/>
          <w:sz w:val="28"/>
          <w:szCs w:val="28"/>
          <w:rtl w:val="true"/>
          <w:lang w:bidi="ar-SA"/>
        </w:rPr>
        <w:t xml:space="preserve">روى البيهقي عن غزوان بن جرير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رضي الله عنه إذا قام إلى الصلاة فكبّر ، ضرب بيده اليمنى على رسغه الأيسر ، فلا يزال كذلك حتّى يركع ، إلاّ أن يحكّ جلدا أو يصلح ثوبه</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وكفى في ضعف الرواية انّ جريرا والد غزوان مجهول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الضبي عن علي وعنه ابنه غزوان لا يعرف</w:t>
      </w:r>
      <w:r>
        <w:rPr>
          <w:rFonts w:eastAsia="Amiri" w:cs="Amiri" w:ascii="Amiri" w:hAnsi="Amiri"/>
          <w:color w:val="111111"/>
          <w:sz w:val="28"/>
          <w:szCs w:val="28"/>
          <w:rtl w:val="true"/>
          <w:lang w:bidi="ar-SA"/>
        </w:rPr>
        <w:t xml:space="preserve">. </w:t>
      </w:r>
      <w:r>
        <w:rPr>
          <w:rStyle w:val="FootnoteAnchor"/>
          <w:rtl w:val="true"/>
        </w:rPr>
        <w:footnoteReference w:id="343"/>
      </w:r>
      <w:bookmarkStart w:id="343" w:name="pg10144_71381"/>
    </w:p>
    <w:p>
      <w:pPr>
        <w:pStyle w:val="Heading5"/>
        <w:numPr>
          <w:ilvl w:val="4"/>
          <w:numId w:val="1"/>
        </w:numPr>
        <w:rPr/>
      </w:pPr>
      <w:bookmarkStart w:id="344" w:name="__RefHeading___Toc1165635_1067777946"/>
      <w:bookmarkStart w:id="345" w:name="_Toc125"/>
      <w:bookmarkEnd w:id="343"/>
      <w:bookmarkEnd w:id="344"/>
      <w:r>
        <w:rPr/>
        <w:t>5</w:t>
      </w:r>
      <w:r>
        <w:rPr>
          <w:rtl w:val="true"/>
        </w:rPr>
        <w:t xml:space="preserve">. </w:t>
      </w:r>
      <w:r>
        <w:rPr>
          <w:rtl w:val="true"/>
        </w:rPr>
        <w:t>مرسلتا غضيف وشدّاد</w:t>
      </w:r>
      <w:bookmarkEnd w:id="345"/>
    </w:p>
    <w:p>
      <w:pPr>
        <w:pStyle w:val="BookText"/>
        <w:rPr/>
      </w:pPr>
      <w:r>
        <w:rPr>
          <w:rFonts w:ascii="Amiri" w:hAnsi="Amiri" w:eastAsia="Amiri" w:cs="Amiri"/>
          <w:color w:val="111111"/>
          <w:sz w:val="28"/>
          <w:sz w:val="28"/>
          <w:szCs w:val="28"/>
          <w:rtl w:val="true"/>
          <w:lang w:bidi="ar-SA"/>
        </w:rPr>
        <w:t xml:space="preserve">روى البيهقي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وروينا عن الحارث بن غضيف الكندي وشداد بن شرحبيل الأنصاري انّ كلّ واحد منهما رأى النبي صلى الله عليه وآله وسلم 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واضعا يمينه على شماله </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هذا ما نقله البيهقي وضبطه الترمذي بالنحو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غطيف بن الحارث</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فعلى نقل البيهقي الراوي هو الحارث بن غضيف الكندي بينما على نقل الترمذي الراوي هو غطيف بن الحارث ، فاشتبه الوالد بالولد ولم يعرفا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ممّا نقله ابن حجر أنّه أدرك النبي صلى الله عليه وآله وسلم وهو صبي ، قال ناقلا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صبيا أرمي نخل الأنصار فأتوا بي النبيّ ، فمسح رأسي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ممّا سقط ولا ترمي نخلهم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يظهر من بعضهم انّه من التابعين لم يدرك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جماعة في التابعين</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فتلخص ممّا ذكرنا انّ الحديث لا يحتجّ به ، وذلك للأسباب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حديث مرسل ، وليس لأصحاب الحديث سند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أدرك النبي وهو صبي ، ولأجل ذلك ترى انّهم يعرّفونه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صحبة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أنّه صحابي ، وقد عدّه جماعة من التابعين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فحديث هذا حاله ـ اشتبه اسمه ضبطا أوّلا ، واشتبه الوالد </w:t>
      </w:r>
      <w:bookmarkStart w:id="346" w:name="pg10144_71382"/>
    </w:p>
    <w:p>
      <w:pPr>
        <w:pStyle w:val="BookText"/>
        <w:rPr/>
      </w:pPr>
      <w:bookmarkEnd w:id="346"/>
      <w:r>
        <w:rPr>
          <w:rFonts w:ascii="Amiri" w:hAnsi="Amiri" w:eastAsia="Amiri" w:cs="Amiri"/>
          <w:color w:val="111111"/>
          <w:sz w:val="28"/>
          <w:sz w:val="28"/>
          <w:szCs w:val="28"/>
          <w:rtl w:val="true"/>
          <w:lang w:bidi="ar-SA"/>
        </w:rPr>
        <w:t>بالولد ثانيا ، وكانت صحبته قليلة في أيام الصبي ثالثا ، بل لم يثبت له صحبة وانّه من التابعين رابعا ـ لا يحتجّ به</w:t>
      </w:r>
      <w:r>
        <w:rPr>
          <w:rFonts w:eastAsia="Amiri" w:cs="Amiri" w:ascii="Amiri" w:hAnsi="Amiri"/>
          <w:color w:val="111111"/>
          <w:sz w:val="28"/>
          <w:szCs w:val="28"/>
          <w:rtl w:val="true"/>
          <w:lang w:bidi="ar-SA"/>
        </w:rPr>
        <w:t>.</w:t>
      </w:r>
    </w:p>
    <w:p>
      <w:pPr>
        <w:pStyle w:val="Heading5"/>
        <w:numPr>
          <w:ilvl w:val="4"/>
          <w:numId w:val="1"/>
        </w:numPr>
        <w:rPr/>
      </w:pPr>
      <w:bookmarkStart w:id="347" w:name="__RefHeading___Toc1165637_1067777946"/>
      <w:bookmarkStart w:id="348" w:name="_Toc126"/>
      <w:bookmarkEnd w:id="347"/>
      <w:r>
        <w:rPr/>
        <w:t>6</w:t>
      </w:r>
      <w:r>
        <w:rPr>
          <w:rtl w:val="true"/>
        </w:rPr>
        <w:t xml:space="preserve">. </w:t>
      </w:r>
      <w:r>
        <w:rPr>
          <w:rtl w:val="true"/>
        </w:rPr>
        <w:t>حديث نافع عن ابن عمر</w:t>
      </w:r>
      <w:bookmarkEnd w:id="348"/>
    </w:p>
    <w:p>
      <w:pPr>
        <w:pStyle w:val="BookText"/>
        <w:rPr/>
      </w:pPr>
      <w:r>
        <w:rPr>
          <w:rFonts w:ascii="Amiri" w:hAnsi="Amiri" w:eastAsia="Amiri" w:cs="Amiri"/>
          <w:color w:val="111111"/>
          <w:sz w:val="28"/>
          <w:sz w:val="28"/>
          <w:szCs w:val="28"/>
          <w:rtl w:val="true"/>
          <w:lang w:bidi="ar-SA"/>
        </w:rPr>
        <w:t xml:space="preserve">أخرج البيهقي بسنده عن عبد المجيد بن عبد العزيز بن أبي رواد ، عن أبيه ، عن نافع ، عن ابن عمر انّ النبي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معاشر الأنبياء أمرنا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تعجيل الفطر ، وتأخير السحور ، ووضع اليد اليمنى على اليسرى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نفس الحديث الذي رواه محمد بن أبان الأنصاري عن عائشة ، لاحظ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عبد المجيد ، وإنّما يعرف بطلحة بن عمرو وليس بالقويّ</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وعرفه الذهبي بأنّه صدوق مرجئ كأبيه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وثّقه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داعية إلى الإرجاء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يستحق الترك ، منكر الحديث جدا ، يقلب الأخبار ، ويروي المناكير عن المشاهير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 ،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به ويعتبر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بن أبي مريم عن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يروي عن قوم ضعفاء</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الحميدي يتكلّم فيه وقال أيضا في حديثه بعض </w:t>
      </w:r>
      <w:bookmarkStart w:id="349" w:name="pg10144_71383"/>
    </w:p>
    <w:p>
      <w:pPr>
        <w:pStyle w:val="BookText"/>
        <w:rPr/>
      </w:pPr>
      <w:bookmarkEnd w:id="349"/>
      <w:r>
        <w:rPr>
          <w:rFonts w:ascii="Amiri" w:hAnsi="Amiri" w:eastAsia="Amiri" w:cs="Amiri"/>
          <w:color w:val="111111"/>
          <w:sz w:val="28"/>
          <w:sz w:val="28"/>
          <w:szCs w:val="28"/>
          <w:rtl w:val="true"/>
          <w:lang w:bidi="ar-SA"/>
        </w:rPr>
        <w:t>الاختلاف ولا يعرف له خمسة أحاديث صحاح</w:t>
      </w:r>
      <w:r>
        <w:rPr>
          <w:rFonts w:eastAsia="Amiri" w:cs="Amiri" w:ascii="Amiri" w:hAnsi="Amiri"/>
          <w:color w:val="111111"/>
          <w:sz w:val="28"/>
          <w:szCs w:val="28"/>
          <w:rtl w:val="true"/>
          <w:lang w:bidi="ar-SA"/>
        </w:rPr>
        <w:t xml:space="preserve">. </w:t>
      </w:r>
      <w:r>
        <w:rPr>
          <w:rStyle w:val="FootnoteAnchor"/>
          <w:rtl w:val="true"/>
        </w:rPr>
        <w:footnoteReference w:id="348"/>
      </w:r>
    </w:p>
    <w:p>
      <w:pPr>
        <w:pStyle w:val="Heading5"/>
        <w:numPr>
          <w:ilvl w:val="4"/>
          <w:numId w:val="1"/>
        </w:numPr>
        <w:rPr/>
      </w:pPr>
      <w:bookmarkStart w:id="350" w:name="__RefHeading___Toc1165639_1067777946"/>
      <w:bookmarkStart w:id="351" w:name="_Toc127"/>
      <w:bookmarkEnd w:id="350"/>
      <w:r>
        <w:rPr/>
        <w:t>7</w:t>
      </w:r>
      <w:r>
        <w:rPr>
          <w:rtl w:val="true"/>
        </w:rPr>
        <w:t xml:space="preserve">. </w:t>
      </w:r>
      <w:r>
        <w:rPr>
          <w:rtl w:val="true"/>
        </w:rPr>
        <w:t>حديث ابن جرير الضبي</w:t>
      </w:r>
      <w:bookmarkEnd w:id="351"/>
    </w:p>
    <w:p>
      <w:pPr>
        <w:pStyle w:val="Heading6"/>
        <w:numPr>
          <w:ilvl w:val="5"/>
          <w:numId w:val="1"/>
        </w:numPr>
        <w:rPr/>
      </w:pPr>
      <w:bookmarkStart w:id="352" w:name="__RefHeading___Toc1165641_1067777946"/>
      <w:bookmarkStart w:id="353" w:name="_Toc128"/>
      <w:bookmarkEnd w:id="352"/>
      <w:r>
        <w:rPr>
          <w:rtl w:val="true"/>
        </w:rPr>
        <w:t>اشارة</w:t>
      </w:r>
      <w:bookmarkEnd w:id="353"/>
    </w:p>
    <w:p>
      <w:pPr>
        <w:pStyle w:val="BookText"/>
        <w:rPr/>
      </w:pPr>
      <w:r>
        <w:rPr>
          <w:rFonts w:ascii="Amiri" w:hAnsi="Amiri" w:eastAsia="Amiri" w:cs="Amiri"/>
          <w:color w:val="111111"/>
          <w:sz w:val="28"/>
          <w:sz w:val="28"/>
          <w:szCs w:val="28"/>
          <w:rtl w:val="true"/>
          <w:lang w:bidi="ar-SA"/>
        </w:rPr>
        <w:t xml:space="preserve">أخرج أبو داود عن ابن جرير الضبي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رضي الله عنه يمسك شماله بيمينه على الرسغ فوق السرة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السرة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أبو مجلز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تحت السرة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أبي هريرة وليس بالقوي</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جرير الضبّي هو نفس غزوان بن جرير وقد تقدّم الكلام في الوالد 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ولعلّه نفس الحديث السابق وليس حديثا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روى عن طاوس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يضع يده اليمنى على يده اليسرى ثمّ يشدّ بينهما على صدره وهو في الصلاة </w:t>
      </w:r>
      <w:r>
        <w:rPr>
          <w:rStyle w:val="FootnoteAnchor"/>
          <w:rtl w:val="true"/>
        </w:rPr>
        <w:footnoteReference w:id="350"/>
      </w:r>
      <w:r>
        <w:rPr>
          <w:rFonts w:ascii="Amiri" w:hAnsi="Amiri" w:eastAsia="Amiri" w:cs="Amiri"/>
          <w:color w:val="111111"/>
          <w:sz w:val="28"/>
          <w:sz w:val="28"/>
          <w:szCs w:val="28"/>
          <w:rtl w:val="true"/>
          <w:lang w:bidi="ar-SA"/>
        </w:rPr>
        <w:t>، فهو حديث مرسل لأنّ طاوس من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آثار عزيت إلى ابن الزبير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القدمين ووضع اليد على اليد من السنّة</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كما قال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الأكف على الكف في الصلاة تحت السرة</w:t>
      </w:r>
      <w:r>
        <w:rPr>
          <w:rFonts w:eastAsia="Amiri" w:cs="Amiri" w:ascii="Amiri" w:hAnsi="Amiri"/>
          <w:color w:val="111111"/>
          <w:sz w:val="28"/>
          <w:szCs w:val="28"/>
          <w:rtl w:val="true"/>
          <w:lang w:bidi="ar-SA"/>
        </w:rPr>
        <w:t xml:space="preserve">. </w:t>
      </w:r>
      <w:r>
        <w:rPr>
          <w:rStyle w:val="FootnoteAnchor"/>
          <w:rtl w:val="true"/>
        </w:rPr>
        <w:footnoteReference w:id="352"/>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أنّ قول الصحابي ليس بحجة ما لم ينسبه إلى النبي صلى الله عليه وآله وسلم</w:t>
      </w:r>
      <w:r>
        <w:rPr>
          <w:rFonts w:eastAsia="Amiri" w:cs="Amiri" w:ascii="Amiri" w:hAnsi="Amiri"/>
          <w:color w:val="111111"/>
          <w:sz w:val="28"/>
          <w:szCs w:val="28"/>
          <w:rtl w:val="true"/>
          <w:lang w:bidi="ar-SA"/>
        </w:rPr>
        <w:t xml:space="preserve">. </w:t>
      </w:r>
      <w:bookmarkStart w:id="354" w:name="pg10144_71384"/>
    </w:p>
    <w:p>
      <w:pPr>
        <w:pStyle w:val="Heading6"/>
        <w:numPr>
          <w:ilvl w:val="5"/>
          <w:numId w:val="1"/>
        </w:numPr>
        <w:rPr/>
      </w:pPr>
      <w:bookmarkStart w:id="355" w:name="__RefHeading___Toc1165643_1067777946"/>
      <w:bookmarkStart w:id="356" w:name="_Toc129"/>
      <w:bookmarkEnd w:id="354"/>
      <w:bookmarkEnd w:id="355"/>
      <w:r>
        <w:rPr>
          <w:rtl w:val="true"/>
        </w:rPr>
        <w:t>الآن حصحص الحق</w:t>
      </w:r>
      <w:bookmarkEnd w:id="356"/>
    </w:p>
    <w:p>
      <w:pPr>
        <w:pStyle w:val="BookText"/>
        <w:rPr/>
      </w:pPr>
      <w:r>
        <w:rPr>
          <w:rFonts w:ascii="Amiri" w:hAnsi="Amiri" w:eastAsia="Amiri" w:cs="Amiri"/>
          <w:color w:val="111111"/>
          <w:sz w:val="28"/>
          <w:sz w:val="28"/>
          <w:szCs w:val="28"/>
          <w:rtl w:val="true"/>
          <w:lang w:bidi="ar-SA"/>
        </w:rPr>
        <w:t xml:space="preserve">قد تبيّن من هذا البحث الضافي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حُميد الساعدي ممّن نقل صلاة النبي بتفاصيلها ولم يذكر شيئا من القبض ، وقد نقل كيفية صلاة النبي في حضور عشرة من الصحابة ، وقد نال تصديق الحاضرين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القبض أمرا طفيفا حتّى يغفل عنه الراوي أو الحضور من الصحابة ، فلو كانت صلاة النبي مرفّقة معه لاعترض أحد منهم عليه وآخذوه بترك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استدلّ على كون القبض سنّة بين ضعيف الدلالة ، أو ضعيف السند ، أو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القبض من سنن الصلاة لما خالفه أئمّة أهل البيت قاطبة حتى عدّوه من سنّة المجوس كما ستوافيك روايتهم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دائر بين البدعة والسنّة ، ومقتضى الاحتياط هو ترك القبض ، لأنّ في الأخذ احتمال الحرمة وارتكاب البدعة ، بخلاف الترك فليس فيه إلاّ ترك أمر مسنون ، وهو ليس أمرا محظورا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من فقهاء أهل السنّة انّهم طرقوا جميع الأبواب إلاّ باب أئمة أهل البيت عليه السلام</w:t>
      </w:r>
      <w:r>
        <w:rPr>
          <w:rFonts w:eastAsia="Amiri" w:cs="Amiri" w:ascii="Amiri" w:hAnsi="Amiri"/>
          <w:color w:val="111111"/>
          <w:sz w:val="28"/>
          <w:szCs w:val="28"/>
          <w:rtl w:val="true"/>
          <w:lang w:bidi="ar-SA"/>
        </w:rPr>
        <w:t xml:space="preserve">!! </w:t>
      </w:r>
      <w:bookmarkStart w:id="357" w:name="pg10144_71385"/>
    </w:p>
    <w:p>
      <w:pPr>
        <w:pStyle w:val="Heading6"/>
        <w:numPr>
          <w:ilvl w:val="5"/>
          <w:numId w:val="1"/>
        </w:numPr>
        <w:rPr/>
      </w:pPr>
      <w:bookmarkStart w:id="358" w:name="__RefHeading___Toc1165645_1067777946"/>
      <w:bookmarkStart w:id="359" w:name="_Toc130"/>
      <w:bookmarkEnd w:id="357"/>
      <w:bookmarkEnd w:id="358"/>
      <w:r>
        <w:rPr>
          <w:rtl w:val="true"/>
        </w:rPr>
        <w:t>أحاديث أئمة أهل البيت عليهم السلام</w:t>
      </w:r>
      <w:bookmarkEnd w:id="359"/>
    </w:p>
    <w:p>
      <w:pPr>
        <w:pStyle w:val="BookText"/>
        <w:rPr/>
      </w:pPr>
      <w:r>
        <w:rPr>
          <w:rFonts w:ascii="Amiri" w:hAnsi="Amiri" w:eastAsia="Amiri" w:cs="Amiri"/>
          <w:color w:val="111111"/>
          <w:sz w:val="28"/>
          <w:sz w:val="28"/>
          <w:szCs w:val="28"/>
          <w:rtl w:val="true"/>
          <w:lang w:bidi="ar-SA"/>
        </w:rPr>
        <w:t>إنّ أئمّة أهل البيت كانوا يتحرّزون عن القبض ويرونه من صُنع المجوس أمام الملك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محمد بن مسلم ، عن الصادق أو الباقر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يضع يده في الصلاة ـ وحكي ـ اليمنى على اليسرى؟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التكفير ، لا يفعل </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زرارة ، عن أبي جعفر عليه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وعليك بالإقبال على صلاتك ، ولا تكفّر ، فإنّما يصنع ذلك المجوس </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الصدوق بإسناده عن علي عليه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وعليك بالإقبال على صلاتك ، ولا تكفّر ، فإنّما يصنع ذلك المجوس </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الصدوق بإسناده عن علي عليه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يجمع المسلم يديه في صلاته وهو قائم بين يدي الله عزّ وجلّ يتشبّه بأهل الكفر ـ يعني المجوس ـ </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وفي الختام نلفت نظر القارئ إلى كلمة صدرت من الدكتور علي السالوس ، فهو بعد ما نقل آراء فقهاء الفريقين ، وصف القائلين بالتحريم والإبطال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وأولئك الذين ذهبوا إلى التحريم والإبطال ، أو التحريم فقط ، يمثّلون التعصب المذهبي وحبّ الخلاف ، تفريقا بين المسلمين </w:t>
      </w:r>
      <w:r>
        <w:rPr>
          <w:rFonts w:eastAsia="Amiri" w:cs="Amiri" w:ascii="Amiri" w:hAnsi="Amiri"/>
          <w:color w:val="111111"/>
          <w:sz w:val="28"/>
          <w:szCs w:val="28"/>
          <w:rtl w:val="true"/>
          <w:lang w:bidi="ar-SA"/>
        </w:rPr>
        <w:t xml:space="preserve">». </w:t>
      </w:r>
      <w:r>
        <w:rPr>
          <w:rStyle w:val="FootnoteAnchor"/>
          <w:rtl w:val="true"/>
        </w:rPr>
        <w:footnoteReference w:id="357"/>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ذنب الشيعة إذا هداهم الاجتهاد والفحص في الكتاب والسنّة إلى أنّ </w:t>
      </w:r>
    </w:p>
    <w:p>
      <w:pPr>
        <w:pStyle w:val="BookText"/>
        <w:rPr/>
      </w:pPr>
      <w:r>
        <w:rPr>
          <w:rFonts w:ascii="Amiri" w:hAnsi="Amiri" w:eastAsia="Amiri" w:cs="Amiri"/>
          <w:color w:val="111111"/>
          <w:sz w:val="28"/>
          <w:sz w:val="28"/>
          <w:szCs w:val="28"/>
          <w:rtl w:val="true"/>
          <w:lang w:bidi="ar-SA"/>
        </w:rPr>
        <w:t>القبض أمر حدث بعد النبي الأكرم ، وكان الناس يؤمرون بذلك أيام الخلفاء ، فمن زعم أنّه جزء من الصلاة فرضا أو استحبابا ، فقد أحدث في الدين ما ليس منه ، أفهل جزاء من اجتهد ، أن يرمى بالتعصب المذهبي وحب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صح ذلك ، فهل يمكن توصيف الإمام مالك به؟ لأنّه كان يكره القبض مطلقا ، أو في الفرض أفهل يصح رمي إمام دار الهجرة بأنّه كان يحب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لما ذا لا يكون عدم الإرسال والقبض ممثلا للتعصب المذهبي وحبّ الخلاف بين المسلمين ، يا ترى؟</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إِذاً قِسْمَةٌ ضِيزى </w:t>
      </w:r>
      <w:r>
        <w:rPr>
          <w:rFonts w:eastAsia="Amiri" w:cs="Amiri" w:ascii="Amiri" w:hAnsi="Amiri"/>
          <w:color w:val="111111"/>
          <w:sz w:val="28"/>
          <w:szCs w:val="28"/>
          <w:rtl w:val="true"/>
          <w:lang w:bidi="ar-SA"/>
        </w:rPr>
        <w:t xml:space="preserve">). </w:t>
      </w:r>
      <w:r>
        <w:rPr>
          <w:rStyle w:val="FootnoteAnchor"/>
          <w:rtl w:val="true"/>
        </w:rPr>
        <w:footnoteReference w:id="358"/>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0" w:name="pg10144_71388"/>
      <w:bookmarkStart w:id="361" w:name="pg10144_71388"/>
      <w:bookmarkEnd w:id="361"/>
    </w:p>
    <w:p>
      <w:pPr>
        <w:pStyle w:val="Heading2"/>
        <w:numPr>
          <w:ilvl w:val="1"/>
          <w:numId w:val="1"/>
        </w:numPr>
        <w:rPr/>
      </w:pPr>
      <w:bookmarkStart w:id="362" w:name="pg10144_71388"/>
      <w:bookmarkStart w:id="363" w:name="__RefHeading___Toc1165647_1067777946"/>
      <w:bookmarkStart w:id="364" w:name="_Toc131"/>
      <w:bookmarkEnd w:id="362"/>
      <w:bookmarkEnd w:id="363"/>
      <w:r>
        <w:rPr/>
        <w:t>5</w:t>
      </w:r>
      <w:r>
        <w:rPr>
          <w:rtl w:val="true"/>
        </w:rPr>
        <w:t xml:space="preserve">. </w:t>
      </w:r>
      <w:r>
        <w:rPr>
          <w:rtl w:val="true"/>
        </w:rPr>
        <w:t>البسملة جزئيّتها والجهر بها</w:t>
      </w:r>
      <w:bookmarkEnd w:id="364"/>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5" w:name="__RefHeading___Toc1165649_1067777946"/>
      <w:bookmarkStart w:id="366" w:name="_Toc132"/>
      <w:bookmarkEnd w:id="365"/>
      <w:r>
        <w:rPr>
          <w:rtl w:val="true"/>
        </w:rPr>
        <w:t>اشارة</w:t>
      </w:r>
      <w:bookmarkEnd w:id="36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7" w:name="pg10144_71390"/>
      <w:bookmarkStart w:id="368" w:name="pg10144_71390"/>
      <w:bookmarkEnd w:id="368"/>
    </w:p>
    <w:p>
      <w:pPr>
        <w:pStyle w:val="Heading3"/>
        <w:numPr>
          <w:ilvl w:val="2"/>
          <w:numId w:val="1"/>
        </w:numPr>
        <w:rPr/>
      </w:pPr>
      <w:bookmarkStart w:id="369" w:name="pg10144_71390"/>
      <w:bookmarkStart w:id="370" w:name="__RefHeading___Toc1165651_1067777946"/>
      <w:bookmarkStart w:id="371" w:name="_Toc133"/>
      <w:bookmarkEnd w:id="369"/>
      <w:bookmarkEnd w:id="370"/>
      <w:r>
        <w:rPr>
          <w:rtl w:val="true"/>
        </w:rPr>
        <w:t>تمهيد</w:t>
      </w:r>
      <w:bookmarkEnd w:id="371"/>
    </w:p>
    <w:p>
      <w:pPr>
        <w:pStyle w:val="Heading3"/>
        <w:numPr>
          <w:ilvl w:val="2"/>
          <w:numId w:val="1"/>
        </w:numPr>
        <w:rPr/>
      </w:pPr>
      <w:bookmarkStart w:id="372" w:name="__RefHeading___Toc1165653_1067777946"/>
      <w:bookmarkStart w:id="373" w:name="_Toc134"/>
      <w:bookmarkEnd w:id="372"/>
      <w:r>
        <w:rPr>
          <w:rtl w:val="true"/>
        </w:rPr>
        <w:t>البسملة في اللغة والاصطلاح</w:t>
      </w:r>
      <w:bookmarkEnd w:id="373"/>
    </w:p>
    <w:p>
      <w:pPr>
        <w:pStyle w:val="Heading4"/>
        <w:numPr>
          <w:ilvl w:val="3"/>
          <w:numId w:val="1"/>
        </w:numPr>
        <w:rPr/>
      </w:pPr>
      <w:bookmarkStart w:id="374" w:name="__RefHeading___Toc1165655_1067777946"/>
      <w:bookmarkStart w:id="375" w:name="_Toc135"/>
      <w:bookmarkEnd w:id="374"/>
      <w:r>
        <w:rPr>
          <w:rtl w:val="true"/>
        </w:rPr>
        <w:t>اشارة</w:t>
      </w:r>
      <w:bookmarkEnd w:id="375"/>
    </w:p>
    <w:p>
      <w:pPr>
        <w:pStyle w:val="BookText"/>
        <w:rPr/>
      </w:pPr>
      <w:r>
        <w:rPr>
          <w:rFonts w:ascii="Amiri" w:hAnsi="Amiri" w:eastAsia="Amiri" w:cs="Amiri"/>
          <w:color w:val="111111"/>
          <w:sz w:val="28"/>
          <w:sz w:val="28"/>
          <w:szCs w:val="28"/>
          <w:rtl w:val="true"/>
          <w:lang w:bidi="ar-SA"/>
        </w:rPr>
        <w:t xml:space="preserve">البسملة في اللغة والاصطلاح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بسم الله الرّحمن الرحيم ، يقال بَسْمَل 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أو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البسملة ، أي أكثر من قول بسم الله</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البسملة هي سمة المسلمين حيث لا يستفتحون بشيء إلاّ بعد ذكر بسم الله الرحمن الرّحيم ، وهي آية التوحيد وسبب نفر المشركين ، يقول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لَهُمُ اسْجُدُوا لِلرَّحْمنِ قالُوا وَمَا الرَّحْمنُ أَنَسْجُدُ لِما تَأْمُرُنا وَزادَهُمْ نُفُوراً </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وقد كان شعار المشركين في عصر الجاهلية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باسمك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يستفتحون بذلك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آل الأمر في صلح الحديبية إلى كتابة وثيقة صلح بين الطرفين ، أمر النبي عليّا عليه السلام أن 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فكتب علي وفق ما أمر ، فقال سهيل مندوب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هذا ولكن اكتب باسمك اللهم</w:t>
      </w:r>
      <w:r>
        <w:rPr>
          <w:rFonts w:eastAsia="Amiri" w:cs="Amiri" w:ascii="Amiri" w:hAnsi="Amiri"/>
          <w:color w:val="111111"/>
          <w:sz w:val="28"/>
          <w:szCs w:val="28"/>
          <w:rtl w:val="true"/>
          <w:lang w:bidi="ar-SA"/>
        </w:rPr>
        <w:t xml:space="preserve">. </w:t>
      </w:r>
      <w:r>
        <w:rPr>
          <w:rStyle w:val="FootnoteAnchor"/>
          <w:rtl w:val="true"/>
        </w:rPr>
        <w:footnoteReference w:id="361"/>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فالبسملة هي الحد الفاصل بين الإسلام والشرك ، وبها يميّز المؤمن عن </w:t>
      </w:r>
    </w:p>
    <w:p>
      <w:pPr>
        <w:pStyle w:val="BookText"/>
        <w:rPr/>
      </w:pPr>
      <w:r>
        <w:rPr>
          <w:rFonts w:ascii="Amiri" w:hAnsi="Amiri" w:eastAsia="Amiri" w:cs="Amiri"/>
          <w:color w:val="111111"/>
          <w:sz w:val="28"/>
          <w:sz w:val="28"/>
          <w:szCs w:val="28"/>
          <w:rtl w:val="true"/>
          <w:lang w:bidi="ar-SA"/>
        </w:rPr>
        <w:t>الكافر ، ولا ينفك المسلم منها في حلّه وترحاله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البسملة آية قرآنية تشهد عليها المصاحف عبر القرون ، وقد كتبت في مفتتح كلّ سورة خلا سورة التوبة ، كتبوها كما كتبوا غيرها من سائر الآيات بدون ميز مع اتّفاقهم على أن لا يكتبوا شيئا من غير القرآن فيه إلاّ بميزة بيّنة حرصا منهم على أن لا يختلط به شيء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تراهم ميّزوا عنه أسماء سوره ، وعدد آياته ، ورموز أجزائه ، وأرباعه ، وركوعه وسجوده ، كتبوها على نحو يعلم أنّها خارجة عن القرآن ، وفي الوقت نفسه اتّفقوا على كتابة البسملة مفتتح كلّ سورة كسائر الآيات دون فرق بين الخلف والسلف ، ولا تجد قرآنا مخطوطا من عهد الصحابة إلى يومنا هذا على غير هذا النمط ، وهذا اتّفاق عملي منهم على أنّ البسملة جزء من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انّه طرأ الاختلاف بعد رحيل الرسول صلى الله عليه وآله وسلم ، والأظهر انّ الاختلاف ظهر في خلافة معاوية بن أبي سفيان أو قبله بقليل ، وأمّا ما هي العلّة لطروء هذا الاختلاف ، فلعلّ بعض الدواعي له ، هو المخالفة لسيرة الإمام علي عليه السلام في البسملة حيث أطبق الجميع على أنّ علي بن أبي طالب كان يجهر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انّ علي بن أبي طالب فقد كان يجهر بالتسمية وقد ثبت بالتواتر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ذِكْره شَرف للذاكرين</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وقد تضافرت الروايات عن النبي صلى الله عليه وآله وسلم وأهل بيته وأصحابه ، على أنّ كون البسملة جزء من الفاتحة وانّها يجب الجهر بها في الصلوات الجهرية ، كما أنّها جزء من كلّ سورة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وتظهر حقيقة الحال في ضمن فصول</w:t>
      </w:r>
      <w:r>
        <w:rPr>
          <w:rFonts w:eastAsia="Amiri" w:cs="Amiri" w:ascii="Amiri" w:hAnsi="Amiri"/>
          <w:color w:val="111111"/>
          <w:sz w:val="28"/>
          <w:szCs w:val="28"/>
          <w:rtl w:val="true"/>
          <w:lang w:bidi="ar-SA"/>
        </w:rPr>
        <w:t xml:space="preserve">. </w:t>
      </w:r>
      <w:bookmarkStart w:id="376" w:name="pg10144_71392"/>
    </w:p>
    <w:p>
      <w:pPr>
        <w:pStyle w:val="Heading4"/>
        <w:numPr>
          <w:ilvl w:val="3"/>
          <w:numId w:val="1"/>
        </w:numPr>
        <w:rPr/>
      </w:pPr>
      <w:bookmarkStart w:id="377" w:name="__RefHeading___Toc1165657_1067777946"/>
      <w:bookmarkStart w:id="378" w:name="_Toc136"/>
      <w:bookmarkEnd w:id="376"/>
      <w:bookmarkEnd w:id="377"/>
      <w:r>
        <w:rPr/>
        <w:t>1</w:t>
      </w:r>
      <w:r>
        <w:rPr>
          <w:rtl w:val="true"/>
        </w:rPr>
        <w:t xml:space="preserve">. </w:t>
      </w:r>
      <w:r>
        <w:rPr>
          <w:rtl w:val="true"/>
        </w:rPr>
        <w:t>فضل البسملة</w:t>
      </w:r>
      <w:bookmarkEnd w:id="378"/>
    </w:p>
    <w:p>
      <w:pPr>
        <w:pStyle w:val="BookText"/>
        <w:rPr/>
      </w:pPr>
      <w:r>
        <w:rPr>
          <w:rFonts w:ascii="Amiri" w:hAnsi="Amiri" w:eastAsia="Amiri" w:cs="Amiri"/>
          <w:color w:val="111111"/>
          <w:sz w:val="28"/>
          <w:sz w:val="28"/>
          <w:szCs w:val="28"/>
          <w:rtl w:val="true"/>
          <w:lang w:bidi="ar-SA"/>
        </w:rPr>
        <w:t xml:space="preserve">قد ورد في فضل البسملة أحاديث كثيرة نقتبس منها القليل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فُضِّلتُ ببسم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تنزل على أحد غيري سوى ما حكاه الله سبحانه من كتاب سليمان </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الباقر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آية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الشيخ الطوسي عن عبد الله بن يحيى الكاهلي ، عن الصادق ، عن أبيه عليهما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أقرب إلى اسم الله الأعظم من ناظر العين إلى بياضها </w:t>
      </w:r>
      <w:r>
        <w:rPr>
          <w:rFonts w:eastAsia="Amiri" w:cs="Amiri" w:ascii="Amiri" w:hAnsi="Amiri"/>
          <w:color w:val="111111"/>
          <w:sz w:val="28"/>
          <w:szCs w:val="28"/>
          <w:rtl w:val="true"/>
          <w:lang w:bidi="ar-SA"/>
        </w:rPr>
        <w:t xml:space="preserve">». </w:t>
      </w:r>
      <w:r>
        <w:rPr>
          <w:rStyle w:val="FootnoteAnchor"/>
          <w:rtl w:val="true"/>
        </w:rPr>
        <w:footnoteReference w:id="365"/>
      </w:r>
      <w:bookmarkStart w:id="379" w:name="pg10144_71393"/>
    </w:p>
    <w:p>
      <w:pPr>
        <w:pStyle w:val="Heading4"/>
        <w:numPr>
          <w:ilvl w:val="3"/>
          <w:numId w:val="1"/>
        </w:numPr>
        <w:rPr/>
      </w:pPr>
      <w:bookmarkStart w:id="380" w:name="__RefHeading___Toc1165659_1067777946"/>
      <w:bookmarkStart w:id="381" w:name="_Toc137"/>
      <w:bookmarkEnd w:id="379"/>
      <w:bookmarkEnd w:id="380"/>
      <w:r>
        <w:rPr/>
        <w:t>2</w:t>
      </w:r>
      <w:r>
        <w:rPr>
          <w:rtl w:val="true"/>
        </w:rPr>
        <w:t xml:space="preserve">. </w:t>
      </w:r>
      <w:r>
        <w:rPr>
          <w:rtl w:val="true"/>
        </w:rPr>
        <w:t>أقوال الفقهاء في جزئيّة البسملة</w:t>
      </w:r>
      <w:bookmarkEnd w:id="381"/>
    </w:p>
    <w:p>
      <w:pPr>
        <w:pStyle w:val="BookText"/>
        <w:rPr/>
      </w:pPr>
      <w:r>
        <w:rPr>
          <w:rFonts w:ascii="Amiri" w:hAnsi="Amiri" w:eastAsia="Amiri" w:cs="Amiri"/>
          <w:color w:val="111111"/>
          <w:sz w:val="28"/>
          <w:sz w:val="28"/>
          <w:szCs w:val="28"/>
          <w:rtl w:val="true"/>
          <w:lang w:bidi="ar-SA"/>
        </w:rPr>
        <w:t xml:space="preserve">قد ذكر القرطبي أقوال أئمّة المذاهب الأربعة بوضوح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اختلفوا في قراءة بسم الله الرحمن الرحيم في افتتاح القراءة في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فمنع ذلك مالك في الصلاة المكتوبة ـ جهرا كانت أو سرا ـ لا في استفتاح أمّ القرآن ولا في غيرها من السور ، وأجاز ذلك في النافلة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حنيفة والثوري وأحمد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يقرؤها مع أمّ القرآن في كلّ ركعة سرا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يقرؤها ولا بدّ في الجهر جهرا وفي السرّ سرّا ، وهي عنده آية من فاتحة الكتاب ، 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البسملة آية من فاتحة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وأبو ثور وعبيد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قول الشافعي هل هي آية من كلّ سورة أم إنّما هي آية من سورة النمل فقط ومن فاتحة الكتاب؟ فروي عنه القولان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وسبب الاختلاف من هذا آئل إلى شيئين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الآثار في هذا الباب</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اختلافهم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من فاتحة الكتاب أم لا؟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وقال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آية من كلّ سورة من جميع القرآن ، وهي آية من أوّل سورة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آية من أوّل الحمد بلا خلاف بينهم ، وفي كونها آية من كلّ سورة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آية من أوّل كلّ سورة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بعض آية من كلّ سورة وإنّما تتمّ مع ما بعدها فتصير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وإسحاق وأبو ثور وأبو عبيدة وعطاء والزهري وعبد الله 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آية من أوّل كلّ سورة حتّى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بسم الله الرّحمن الرّحيم ترك مائة وثلاث عشرة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حنيفة ومالك والأوزاعي وداود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آية من فاتحة الكتاب ولا من سائر السور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مالك والأوزاعي وداود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يقرأها في الصلاة بل يكبّر ، ويبتدي بالحمد إلاّ في شهر رمضان ، والمستحب أن يأتي بها بين كلّ سورتين تبركا للفصل ، ولا يأتي بها في أوّل الفاتحة</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وحاصل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مالكا لا يرى البسملة جزءا من السور مطلقا ، وأمّا الحنفية والحنابلة فيرونها جزءا من فاتحة الكتاب لكن يقرءونها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الشافعية فيرونها جزءا من فاتحة الكتاب ، ويقرءونها في الجهر جهرا وفي السرّ سرّا ، وأمّا كونها جزءا من سائر السور ففيه عن الشافعي قولان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الشيعة الإمامية فليس عندهم إلاّ قول واحد ، وهو انّ البسملة جزء من </w:t>
      </w:r>
    </w:p>
    <w:p>
      <w:pPr>
        <w:pStyle w:val="BookText"/>
        <w:rPr/>
      </w:pPr>
      <w:r>
        <w:rPr>
          <w:rFonts w:ascii="Amiri" w:hAnsi="Amiri" w:eastAsia="Amiri" w:cs="Amiri"/>
          <w:color w:val="111111"/>
          <w:sz w:val="28"/>
          <w:sz w:val="28"/>
          <w:szCs w:val="28"/>
          <w:rtl w:val="true"/>
          <w:lang w:bidi="ar-SA"/>
        </w:rPr>
        <w:t>كلّ سورة ، ويجهر بها في الصلوات الجهرية وجوبا وفي الصلوات السرية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وأبعد الأقوال بالنسبة إليهم قول مالك حيث إنّ البسملة عنده ليست آية من القرآن إلاّ في سورة النمل فإنّها جزء من آية ويكره قراءتها بصلاة فرض للإمام وغيره قبل الفاتحة أو سورة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وأين هذا القول من كلام الإمام الصادق عليه السلام حيث قال مندّدا لمن يترك البسملة في الصلاة ويرى الجهر بها بدعة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عمدوا إلى أعظم آية في كتاب الله عزّ وجلّ فزعموا أنّها بدعة إذا أظهروها ، وهي بسم الله الرّحمن الرّحيم </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وتحقيق المقام يقتضي البحث في الأمور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البسملة جزء من الفاتحة أم لا؟</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افترضنا انّها جزء فهل يجهر بها في الصلوات الجهرية؟</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البسملة جزء من سائر السور أم لا؟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ونستعرض في كلّ مورد أدلّة الأقوال مع القضاء الحاسم بإذن الله سبحانه</w:t>
      </w:r>
      <w:r>
        <w:rPr>
          <w:rFonts w:eastAsia="Amiri" w:cs="Amiri" w:ascii="Amiri" w:hAnsi="Amiri"/>
          <w:color w:val="111111"/>
          <w:sz w:val="28"/>
          <w:szCs w:val="28"/>
          <w:rtl w:val="true"/>
          <w:lang w:bidi="ar-SA"/>
        </w:rPr>
        <w:t xml:space="preserve">. </w:t>
      </w:r>
      <w:bookmarkStart w:id="382" w:name="pg10144_71396"/>
    </w:p>
    <w:p>
      <w:pPr>
        <w:pStyle w:val="Heading4"/>
        <w:numPr>
          <w:ilvl w:val="3"/>
          <w:numId w:val="1"/>
        </w:numPr>
        <w:rPr/>
      </w:pPr>
      <w:bookmarkStart w:id="383" w:name="__RefHeading___Toc1165661_1067777946"/>
      <w:bookmarkStart w:id="384" w:name="_Toc138"/>
      <w:bookmarkEnd w:id="382"/>
      <w:bookmarkEnd w:id="383"/>
      <w:r>
        <w:rPr/>
        <w:t>3</w:t>
      </w:r>
      <w:r>
        <w:rPr>
          <w:rtl w:val="true"/>
        </w:rPr>
        <w:t xml:space="preserve">. </w:t>
      </w:r>
      <w:r>
        <w:rPr>
          <w:rtl w:val="true"/>
        </w:rPr>
        <w:t>البسملة جزء من الفاتحة</w:t>
      </w:r>
      <w:bookmarkEnd w:id="384"/>
    </w:p>
    <w:p>
      <w:pPr>
        <w:pStyle w:val="Heading5"/>
        <w:numPr>
          <w:ilvl w:val="4"/>
          <w:numId w:val="1"/>
        </w:numPr>
        <w:rPr/>
      </w:pPr>
      <w:bookmarkStart w:id="385" w:name="__RefHeading___Toc1165663_1067777946"/>
      <w:bookmarkStart w:id="386" w:name="_Toc139"/>
      <w:bookmarkEnd w:id="385"/>
      <w:r>
        <w:rPr>
          <w:rtl w:val="true"/>
        </w:rPr>
        <w:t>اشارة</w:t>
      </w:r>
      <w:bookmarkEnd w:id="386"/>
    </w:p>
    <w:p>
      <w:pPr>
        <w:pStyle w:val="BookText"/>
        <w:rPr/>
      </w:pPr>
      <w:r>
        <w:rPr>
          <w:rFonts w:ascii="Amiri" w:hAnsi="Amiri" w:eastAsia="Amiri" w:cs="Amiri"/>
          <w:color w:val="111111"/>
          <w:sz w:val="28"/>
          <w:sz w:val="28"/>
          <w:szCs w:val="28"/>
          <w:rtl w:val="true"/>
          <w:lang w:bidi="ar-SA"/>
        </w:rPr>
        <w:t xml:space="preserve">أنّ البسملة جزء من الفاتحة ، ويدلّ عليه أمور نذكرها تباعا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الشافعي بإسناده انّ معاوية قدم المدينة فصلّى بها ، ولم يقرأ بسم الله الرحمن الرحيم ، ولم يكبّر عند الخفض إلى الركوع والسجود ، فلما سلّم ناداه المهاجرون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 سرقت من الصلاة ، أين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التكبير عند الركوع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أعاد الصلاة مع التسمية والتكبير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كان سلطانا عظيم القوة ، شديد الشوكة ، فلو لا انّ الجهر بالتسمية كان كالأمر المتقرر عند كلّ الصحابة من المهاجرين والأنصار ، وإلاّ لما قد روا على إظهار الإنكار عليه بسبب ترك التسمية</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أنّ التسمية جزء من الفاتحة لما اعترض المهاجرون والأنصار على تركها مضافا إلى ترك الجهر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الأثر كما يدلّ على جزئيّة التسمية ، يدلّ على لزوم الجهر بها ، فيستدلّ به في كلا الموردين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الشافعي عن مسلم ، عن ابن جريج ، عن ابن أبي مليكة ، عن أمّ سلمة انّها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رسول الله صلى الله عليه وآله وسلم فاتحة الكتاب فعدّ بسم الله الرحمن الرحيم </w:t>
      </w:r>
    </w:p>
    <w:p>
      <w:pPr>
        <w:pStyle w:val="BookText"/>
        <w:rPr/>
      </w:pPr>
      <w:r>
        <w:rPr>
          <w:rFonts w:ascii="Amiri" w:hAnsi="Amiri" w:eastAsia="Amiri" w:cs="Amiri"/>
          <w:color w:val="111111"/>
          <w:sz w:val="28"/>
          <w:sz w:val="28"/>
          <w:szCs w:val="28"/>
          <w:rtl w:val="true"/>
          <w:lang w:bidi="ar-SA"/>
        </w:rPr>
        <w:t>آية ، الحمد لله ربّ العالمين آية ، الرحمن الرحيم آية ، مالك يوم الدين آية ، إياك نعبد وإياك نستعين آية ، اهدنا الصراط المستقيم آية ، صراط الذين أنعمت عليهم غير المغضوب عليهم ولا الضالين آية</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وهذا نص صريح على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الحاكم عن أمّ سلمة انّ رسول الله صلى الله عليه وآله وسلم قرأ في الصلاة بسم الله الرحمن الرّحيم فعدها آية ، الحمد لله ربّ العالمين آيتين ، الرّحمن الرّحيم ثلاث آيات ، مالك يوم الدين أربع آيات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إيّاك نعبد وإيّاك نستعين ، وجمع خمس أصابعه</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الحاكم عن أمّ سلمة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وآله وسلم يقرأ بسم الله الرّحمن الرّحيم ، الحمد لله ربّ العالمين يقطعها حرفا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وأقرّه على صحّته الذهبي في تلخيصه</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الحاكم عن نعيم المجمر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وراء أبي هريرة ، فقرأ بسم الله الرّحمن الرّحيم قرأ بأمّ القرآن حتّى بلغ ولا الضّالين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 ويقول كلّما 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ويقول إذا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انّي لأشبهكم صلاة برسول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وقرره الذهبي في تلخيصه</w:t>
      </w:r>
      <w:r>
        <w:rPr>
          <w:rFonts w:eastAsia="Amiri" w:cs="Amiri" w:ascii="Amiri" w:hAnsi="Amiri"/>
          <w:color w:val="111111"/>
          <w:sz w:val="28"/>
          <w:szCs w:val="28"/>
          <w:rtl w:val="true"/>
          <w:lang w:bidi="ar-SA"/>
        </w:rPr>
        <w:t xml:space="preserve">. </w:t>
      </w:r>
      <w:r>
        <w:rPr>
          <w:rStyle w:val="FootnoteAnchor"/>
          <w:rtl w:val="true"/>
        </w:rPr>
        <w:footnoteReference w:id="373"/>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الحاكم عن قتادة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أنس بن مالك كيف كان </w:t>
      </w:r>
    </w:p>
    <w:p>
      <w:pPr>
        <w:pStyle w:val="BookText"/>
        <w:rPr/>
      </w:pPr>
      <w:r>
        <w:rPr>
          <w:rFonts w:ascii="Amiri" w:hAnsi="Amiri" w:eastAsia="Amiri" w:cs="Amiri"/>
          <w:color w:val="111111"/>
          <w:sz w:val="28"/>
          <w:sz w:val="28"/>
          <w:szCs w:val="28"/>
          <w:rtl w:val="true"/>
          <w:lang w:bidi="ar-SA"/>
        </w:rPr>
        <w:t xml:space="preserve">قراءة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مدّا ، ثمّ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ويمد الرحيم</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وقرره على ذلك الذهبي في تلخيصه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الحاكم عن ابن جريج ، عن أبيه ، عن سعيد بن جبير ، عن ابن عباس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آتَيْناكَ سَبْعاً مِنَ 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وقرأ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لقد أخبرك سعيد عن ابن عباس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آية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ولم يخرجاه وتمام هذا الباب في كتاب الصلاة</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الثعلبي بإسناده إلى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النبي صلى الله عليه وآله وسلم في المسجد إذ دخل رجل يصلّي ، فافتتح الصلاة ، وتعوّذ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النبي صلى الله عليه وآله وسلم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رجل قطعت على نفسك الصلاة ، أما علمت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الحمد؟ فمن تركها فقد ترك آية ، ومن ترك آية فقد أفسد عليه صلاته</w:t>
      </w:r>
      <w:r>
        <w:rPr>
          <w:rFonts w:eastAsia="Amiri" w:cs="Amiri" w:ascii="Amiri" w:hAnsi="Amiri"/>
          <w:color w:val="111111"/>
          <w:sz w:val="28"/>
          <w:szCs w:val="28"/>
          <w:rtl w:val="true"/>
          <w:lang w:bidi="ar-SA"/>
        </w:rPr>
        <w:t xml:space="preserve">. </w:t>
      </w:r>
      <w:r>
        <w:rPr>
          <w:rStyle w:val="FootnoteAnchor"/>
          <w:rtl w:val="true"/>
        </w:rPr>
        <w:footnoteReference w:id="376"/>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الثعلبي عن علي انّه كان إذا افتتح السورة في الصلاة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قراءتها فقد نقص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تمام السبع المثاني</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الثعلبي عن طلحة بن عبيد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ترك آية من كتاب الله ، وقد نزل عليّ فيما عدّ من أمّ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الدارقطني ـ وصحّحه ـ والبيهقي في السنن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فاقرءوا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أمّ القرآن ، وأمّ الكتاب ، والسبع المثاني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آياتها</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الطبراني في الأوسط والدارقطني والبيهقي عن نافع ، انّ ابن عمر كان إذا افتتح الصلاة يقرأ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 القرآن وفي السورة التي تليها ، ويذكر أنّه سمع ذلك من رسول الله</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أبو داود والترمذي والدارقطني والبيهقي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وآله وسلم يفتتح صلاته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الدارقطني والبيهقي 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 الله عليه وآله وسلم كان إذا قرأ ـ وهو يؤم الناس ـ افتتح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آية من كتاب الله ، اقرءوا إن شئتم فاتحة القرآن ، فإنّها الآية السابعة</w:t>
      </w:r>
      <w:r>
        <w:rPr>
          <w:rFonts w:eastAsia="Amiri" w:cs="Amiri" w:ascii="Amiri" w:hAnsi="Amiri"/>
          <w:color w:val="111111"/>
          <w:sz w:val="28"/>
          <w:szCs w:val="28"/>
          <w:rtl w:val="true"/>
          <w:lang w:bidi="ar-SA"/>
        </w:rPr>
        <w:t xml:space="preserve">. </w:t>
      </w:r>
      <w:r>
        <w:rPr>
          <w:rStyle w:val="FootnoteAnchor"/>
          <w:rtl w:val="true"/>
        </w:rPr>
        <w:footnoteReference w:id="382"/>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البيهقي في شعب الإيمان عن ابن عمر انّه كان يقرأ في </w:t>
      </w:r>
      <w:bookmarkStart w:id="387" w:name="pg10144_71400"/>
    </w:p>
    <w:p>
      <w:pPr>
        <w:pStyle w:val="BookText"/>
        <w:rPr/>
      </w:pPr>
      <w:bookmarkEnd w:id="387"/>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ختم السورة قرأها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كتبت في المصحف إلاّ لتقرأ</w:t>
      </w:r>
      <w:r>
        <w:rPr>
          <w:rFonts w:eastAsia="Amiri" w:cs="Amiri" w:ascii="Amiri" w:hAnsi="Amiri"/>
          <w:color w:val="111111"/>
          <w:sz w:val="28"/>
          <w:szCs w:val="28"/>
          <w:rtl w:val="true"/>
          <w:lang w:bidi="ar-SA"/>
        </w:rPr>
        <w:t xml:space="preserve">. </w:t>
      </w:r>
      <w:r>
        <w:rPr>
          <w:rStyle w:val="FootnoteAnchor"/>
          <w:rtl w:val="true"/>
        </w:rPr>
        <w:footnoteReference w:id="383"/>
      </w:r>
    </w:p>
    <w:p>
      <w:pPr>
        <w:pStyle w:val="Heading5"/>
        <w:numPr>
          <w:ilvl w:val="4"/>
          <w:numId w:val="1"/>
        </w:numPr>
        <w:rPr/>
      </w:pPr>
      <w:bookmarkStart w:id="388" w:name="__RefHeading___Toc1165665_1067777946"/>
      <w:bookmarkStart w:id="389" w:name="_Toc140"/>
      <w:bookmarkEnd w:id="388"/>
      <w:r>
        <w:rPr>
          <w:rtl w:val="true"/>
        </w:rPr>
        <w:t>السبع المثاني هي فاتحة الكتاب</w:t>
      </w:r>
      <w:bookmarkEnd w:id="389"/>
    </w:p>
    <w:p>
      <w:pPr>
        <w:pStyle w:val="BookText"/>
        <w:rPr/>
      </w:pPr>
      <w:r>
        <w:rPr>
          <w:rFonts w:ascii="Amiri" w:hAnsi="Amiri" w:eastAsia="Amiri" w:cs="Amiri"/>
          <w:color w:val="111111"/>
          <w:sz w:val="28"/>
          <w:sz w:val="28"/>
          <w:szCs w:val="28"/>
          <w:rtl w:val="true"/>
          <w:lang w:bidi="ar-SA"/>
        </w:rPr>
        <w:t xml:space="preserve">قد تضافرت الآثار عن علي وابن مسعود وغيرهما من الصحابة وكثير من التابعين على أنّ المراد من السبع المثاني في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آتَيْناكَ سَبْعاً مِنَ الْمَثانِي وَالْقُرْآنَ الْعَظِيمَ </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هذا من جانب ، ومن جانب آخر ، انّ آياتها لا تبلغ سبعا إلاّ إذا عُدّ البسملة آية منها ، فإليك الكلام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دلّ على المراد من السبع المثاني هو سورة الفاتحة ، فهو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يفسر السبع المثاني بفاتحة الكتاب من دون تصريح بأنّ البسملة جزء من فاتحة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يفسر السبع المثاني بفاتحة الكتاب مع التصريح بأنّ البسملة من آياتها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 فإليك بعض ما وقفنا عليه لا كلّه ، لأنّه يوجب الإطناب في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الطبري عن عبد خير ، عن علي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السبع المثاني فاتحة الكتاب </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الطبري عن ابن سيرين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ابن مسعود عن سبع من المثاني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الطبري عن الحسن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آتَيْناكَ سَبْعاً مِنَ الْمَثانِي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فاتحة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أيضا عن سعيد بن جبير ،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الطبري عن أبي فاختة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آتَيْناكَ سَبْعاً مِنَ الْمَثانِي وَالْقُرْآنَ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 الكتاب</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الطبري عن أبي العالية 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آتَيْناكَ سَبْعاً مِنَ 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الكتاب سبع آيات ، قلت 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يقولون السبع الطول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أنزلت هذه وما أنزل من الطول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الطبري عن أبي العالية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الكتاب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سمّيت المثاني ، لأنّه يثنّى بها كلّما قرأ القرآن قرأها ، فقيل لأبي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الضحاك بن مزاحم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السبع الطول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نزلت هذه السورة سبعا من المثاني وما نزل شيء من الطول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الطبري عن عبد الله بن عبيد بن عمير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 من المثاني هي فاتحة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الطبري عن ابن جريج عن ابن مليكة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آتَيْناكَ سَبْعاً مِنَ 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 ، وذكر فاتحة الكتاب لنبيّكم صلى الله عليه وآله وسلم لم تذكر لنبي قبله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الطبري عن أبي هريرة ، عن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أعلّمك سورة ما أنزل في التوراة ولا في الإنجيل ولا في الزبور ولا في القرآن مثلها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أن لا تخرج من ذلك الباب حتّى تعلّمها ، فقام رسول الله </w:t>
      </w:r>
    </w:p>
    <w:p>
      <w:pPr>
        <w:pStyle w:val="BookText"/>
        <w:rPr/>
      </w:pPr>
      <w:r>
        <w:rPr>
          <w:rFonts w:ascii="Amiri" w:hAnsi="Amiri" w:eastAsia="Amiri" w:cs="Amiri"/>
          <w:color w:val="111111"/>
          <w:sz w:val="28"/>
          <w:sz w:val="28"/>
          <w:szCs w:val="28"/>
          <w:rtl w:val="true"/>
          <w:lang w:bidi="ar-SA"/>
        </w:rPr>
        <w:t xml:space="preserve">صلى الله عليه وآله وسلم وقمت معه فجعل يحدثني ويده في يدي ، فجعلت أتباطأ كراهية أن يخرج قبل أن يخبرني بها ، فلمّا قرب من الباب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السورة التي وعدتني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تقرأ إذا افتتحت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فاتحة الكتاب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هي ، وهي السبع المثاني التي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آتَيْناكَ سَبْعاً مِنَ الْمَثانِي وَالْقُرْآنَ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أعطيت</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وأخرجه الحاكم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مسلم ولم يخرجاه</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الطبري عن أبي هريرة ، عن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 القرآن وهي فاتحة الكتاب وهي السبع المثاني</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الطبري عن أبي هريرة ، عن النبي صلى الله عليه وآله وسلم في فاتحة الكتاب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فاتحة الكتاب وهي السبع المثاني والقرآن العظيم</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وأمّا القسم الثاني وهو ما يفسر السبع المثاني بفاتحة الكتاب ويجعل البسملة أوّل آية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ابن جرير وابن المنذر والطبراني وابن مردويه والحاكم ـ وصحّحه ـ والبيهقي في سننه عن ابن عباس انّه سُئل عن السبع المثاني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الكتاب استثناها الله لأمّة محمّد ، فرفعها في أمّ الكتاب ، فذخرها لهم حتى أخرجها ولم يعطها أحدا قبله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الآية السابعة؟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الطبري عن سعيد بن جبير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آتَيْناكَ سَبْعاً </w:t>
      </w:r>
    </w:p>
    <w:p>
      <w:pPr>
        <w:pStyle w:val="BookText"/>
        <w:rPr/>
      </w:pPr>
      <w:r>
        <w:rPr>
          <w:rFonts w:ascii="Amiri" w:hAnsi="Amiri" w:eastAsia="Amiri" w:cs="Amiri"/>
          <w:color w:val="111111"/>
          <w:sz w:val="28"/>
          <w:sz w:val="28"/>
          <w:szCs w:val="28"/>
          <w:rtl w:val="true"/>
          <w:lang w:bidi="ar-SA"/>
        </w:rPr>
        <w:t xml:space="preserve">مِنَ 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الكتاب ، فقرأها على ست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 الآية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وقرأها ابن عباس عليّ كما قرأها عليك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السابعة ، 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الطبري عن سعيد بن جبير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فاستفتح ثمّ قرأ فاتحة الكتاب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 ما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آتَيْناكَ سَبْعاً مِنَ الْمَثانِي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شهادة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فاستفتح ثمّ قرأ فاتحة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خروج البسملة من جوهرها ، وذلك لأنّ البسملة لما كانت موجودة في صدر عامة السور فأشار إلى البسملة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أشار إلى سائر آياتها التي تتميز عن سائر السور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قرأ فاتحة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يفسر الحديث التالي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الطبري عن أبي سعيد بن المعلى انّ النبي صلى الله عليه وآله وسلم دعاه وهو يصلّي فصلّى ثمّ أتاه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أن تجيبني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أصلّي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يقل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اسْتَجِيبُوا لِلَّهِ وَلِلرَّسُولِ إِذا دَعاكُمْ لِما يُحْيِيكُمْ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صلى الله عليه وآله وسلم لأعلمنك أعظم سورة في القرآن ، فكأنّه بيّنها أو نسي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الذي قلت</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 هي السبع المثاني والقرآن العظيم الذي أوتيته</w:t>
      </w:r>
      <w:r>
        <w:rPr>
          <w:rFonts w:eastAsia="Amiri" w:cs="Amiri" w:ascii="Amiri" w:hAnsi="Amiri"/>
          <w:color w:val="111111"/>
          <w:sz w:val="28"/>
          <w:szCs w:val="28"/>
          <w:rtl w:val="true"/>
          <w:lang w:bidi="ar-SA"/>
        </w:rPr>
        <w:t xml:space="preserve">. </w:t>
      </w:r>
      <w:r>
        <w:rPr>
          <w:rStyle w:val="FootnoteAnchor"/>
          <w:rtl w:val="true"/>
        </w:rPr>
        <w:footnoteReference w:id="394"/>
      </w:r>
      <w:bookmarkStart w:id="390" w:name="pg10144_71404"/>
    </w:p>
    <w:p>
      <w:pPr>
        <w:pStyle w:val="BookText"/>
        <w:rPr/>
      </w:pPr>
      <w:bookmarkEnd w:id="390"/>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الدارقطني والبيهقي 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 الله عليه وآله وسلم كان إذا قرأ ـ وهو يؤم الناس ـ افتتح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من كتاب الله ، اقرءوا إن شئتم فاتحة الكتاب ، فإنّها الآية السابعة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الدارقطني والبيهقي في السنن بسند صحيح عن عبد خير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علي رضي الله عنه عن السبع المثاني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ست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ابن الأنباري في المصاحف 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غَيْرِ الْمَغْضُوبِ عَلَيْهِمْ وَلَا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سبع يا أمّ سلمة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391" w:name="__RefHeading___Toc1165667_1067777946"/>
      <w:bookmarkStart w:id="392" w:name="_Toc141"/>
      <w:bookmarkEnd w:id="391"/>
      <w:r>
        <w:rPr>
          <w:rtl w:val="true"/>
        </w:rPr>
        <w:t>فاتحة الكتاب سبع آيات مع البسملة</w:t>
      </w:r>
      <w:bookmarkEnd w:id="392"/>
    </w:p>
    <w:p>
      <w:pPr>
        <w:pStyle w:val="BookText"/>
        <w:rPr/>
      </w:pPr>
      <w:r>
        <w:rPr>
          <w:rFonts w:ascii="Amiri" w:hAnsi="Amiri" w:eastAsia="Amiri" w:cs="Amiri"/>
          <w:color w:val="111111"/>
          <w:sz w:val="28"/>
          <w:sz w:val="28"/>
          <w:szCs w:val="28"/>
          <w:rtl w:val="true"/>
          <w:lang w:bidi="ar-SA"/>
        </w:rPr>
        <w:t xml:space="preserve">إنّ فاتحة الكتاب آيات سبع إذا قلنا بكون التسمية جزءا منها ولذلك ترى أنّ المصاحف المعروفة تعد البسملة آية من سورة الفاتحة وإن كان يترك عدّها آية من سائر السور ، وعلى ذلك يكون عدد الآيات سبعا كالشكل التالي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395"/>
      </w:r>
      <w:r>
        <w:rPr>
          <w:rFonts w:ascii="Amiri" w:hAnsi="Amiri" w:eastAsia="Amiri" w:cs="Amiri"/>
          <w:color w:val="111111"/>
          <w:sz w:val="28"/>
          <w:sz w:val="28"/>
          <w:szCs w:val="28"/>
          <w:rtl w:val="true"/>
          <w:lang w:bidi="ar-SA"/>
        </w:rPr>
        <w:t xml:space="preserve">الْحَمْدُ لِلَّهِ رَبِّ الْعالَمِينَ </w:t>
      </w:r>
      <w:r>
        <w:rPr>
          <w:rStyle w:val="FootnoteAnchor"/>
          <w:rtl w:val="true"/>
        </w:rPr>
        <w:footnoteReference w:id="396"/>
      </w:r>
      <w:r>
        <w:rPr>
          <w:rFonts w:ascii="Amiri" w:hAnsi="Amiri" w:eastAsia="Amiri" w:cs="Amiri"/>
          <w:color w:val="111111"/>
          <w:sz w:val="28"/>
          <w:sz w:val="28"/>
          <w:szCs w:val="28"/>
          <w:rtl w:val="true"/>
          <w:lang w:bidi="ar-SA"/>
        </w:rPr>
        <w:t xml:space="preserve">الرَّحْمنِ الرَّحِيمِ </w:t>
      </w:r>
      <w:r>
        <w:rPr>
          <w:rStyle w:val="FootnoteAnchor"/>
          <w:rtl w:val="true"/>
        </w:rPr>
        <w:footnoteReference w:id="397"/>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غَيْرِ الْمَغْضُوبِ عَلَيْهِمْ وَلَا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bookmarkStart w:id="393" w:name="pg10144_71405"/>
    </w:p>
    <w:p>
      <w:pPr>
        <w:pStyle w:val="BookText"/>
        <w:rPr/>
      </w:pPr>
      <w:bookmarkEnd w:id="393"/>
      <w:r>
        <w:rPr>
          <w:rFonts w:ascii="Amiri" w:hAnsi="Amiri" w:eastAsia="Amiri" w:cs="Amiri"/>
          <w:color w:val="111111"/>
          <w:sz w:val="28"/>
          <w:sz w:val="28"/>
          <w:szCs w:val="28"/>
          <w:rtl w:val="true"/>
          <w:lang w:bidi="ar-SA"/>
        </w:rPr>
        <w:t xml:space="preserve">فترى أنّ كلّ آية جملة تامة ، وأمّا من لم يجعل التسمية من السبع فقد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الْمَغْضُوبِ عَلَيْهِمْ وَلَا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أخرى ، ومعنى ذلك جعل المبدل منه آية والبدل آية أخرى ، وهذا ما لا يستسيغه الذوق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من حاول أن يجعل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أخرى فقد سلك مسلكا وعرا ، فإنّ الجملتين كسبيكة واحدة تنص على التوحيد في العبادة والاستعانة فما معنى الفصل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بعض ما وقفنا عليه من روايات أهل السنّة الدالة على أنّ البسملة جزء من الفاتحة ، ويدلّ عليه أيضا أمران آخران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سيمرّ عليك من أنّ النبي صلى الله عليه وآله وسلم وأصحابه كانوا يجهرون بالبسملة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يدلّ على أنّ البسملة جزء من كلّ 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انّه رعاية لنظام البحث فصلنا ما يدلّ على الجهر بالبسملة في قراءة الفاتحة عن ذكر البسملة ، كما فصلنا ما يدلّ على أنّ البسملة جزء من كلّ سورة</w:t>
      </w:r>
      <w:r>
        <w:rPr>
          <w:rFonts w:eastAsia="Amiri" w:cs="Amiri" w:ascii="Amiri" w:hAnsi="Amiri"/>
          <w:color w:val="111111"/>
          <w:sz w:val="28"/>
          <w:szCs w:val="28"/>
          <w:rtl w:val="true"/>
          <w:lang w:bidi="ar-SA"/>
        </w:rPr>
        <w:t>.</w:t>
      </w:r>
    </w:p>
    <w:p>
      <w:pPr>
        <w:pStyle w:val="Heading5"/>
        <w:numPr>
          <w:ilvl w:val="4"/>
          <w:numId w:val="1"/>
        </w:numPr>
        <w:rPr/>
      </w:pPr>
      <w:bookmarkStart w:id="394" w:name="__RefHeading___Toc1165669_1067777946"/>
      <w:bookmarkStart w:id="395" w:name="_Toc142"/>
      <w:bookmarkEnd w:id="394"/>
      <w:r>
        <w:rPr>
          <w:rtl w:val="true"/>
        </w:rPr>
        <w:t>روايات أئمّة أهل البيت عليهم السلام</w:t>
      </w:r>
      <w:bookmarkEnd w:id="395"/>
    </w:p>
    <w:p>
      <w:pPr>
        <w:pStyle w:val="BookText"/>
        <w:rPr/>
      </w:pPr>
      <w:r>
        <w:rPr>
          <w:rFonts w:ascii="Amiri" w:hAnsi="Amiri" w:eastAsia="Amiri" w:cs="Amiri"/>
          <w:color w:val="111111"/>
          <w:sz w:val="28"/>
          <w:sz w:val="28"/>
          <w:szCs w:val="28"/>
          <w:rtl w:val="true"/>
          <w:lang w:bidi="ar-SA"/>
        </w:rPr>
        <w:t xml:space="preserve">أمّا ما روي عن أئمّة أهل البيت عليهم السلام فحدّث عنه ولا حرج ، ولنذكر بعض ما روي عنهم عليهم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الشيخ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السبع المثاني والقرآن العظيم ، أهي الفاتحة؟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السبع؟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هي أفضلهن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الشيخ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يحيى الكاهلي ، عن أبي عبد الله عليه السلام ، عن أبيه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إلى اسم الله الأعظم من ناظر العين إلى بياضها </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الكليني عن معاوية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 للصلاة أقرأ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فاتحة الكتاب؟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الصدوق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العسكري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لأمير المؤمنين عليه السلام أخبرنا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أهي من فاتحة الكتاب؟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كان رسول الله صلى الله عليه وآله وسلم يقرأها ويعدها آية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الكتاب هي السبع المثاني </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إلى غير ذلك ممّا ورد عن أئمّة أهل البيت عليهم السلام في جزئيّة البسملة من الفاتحة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أنّ المأثور المشهور عن رسول الله صلى الله عليه وآله وسلم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أمر ذي بال لا يبدأ ببسم الله أقطع ، وكلّ أمر ذي بال لا يبدأ فيه ببسم الله فهو أبتر أو أجذم </w:t>
      </w:r>
      <w:r>
        <w:rPr>
          <w:rFonts w:eastAsia="Amiri" w:cs="Amiri" w:ascii="Amiri" w:hAnsi="Amiri"/>
          <w:color w:val="111111"/>
          <w:sz w:val="28"/>
          <w:szCs w:val="28"/>
          <w:rtl w:val="true"/>
          <w:lang w:bidi="ar-SA"/>
        </w:rPr>
        <w:t xml:space="preserve">». </w:t>
      </w:r>
      <w:r>
        <w:rPr>
          <w:rStyle w:val="FootnoteAnchor"/>
          <w:rtl w:val="true"/>
        </w:rPr>
        <w:footnoteReference w:id="401"/>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أنّ القرآن أفضل ما أوحاه الله تعالى إلى أنبيائه ورسله وانّ كلّ سورة منه ذات بال وعظمة تحدّى الله بها البشر فعجزوا عن أن يأتوا بمثلها ، فهل يمكن أن يكون القرآن أقطع؟ تعالى الله وتعالى فرقانه الحكيم وتعالت سوره عن ذلك علوّا كبيرا</w:t>
      </w:r>
      <w:r>
        <w:rPr>
          <w:rFonts w:eastAsia="Amiri" w:cs="Amiri" w:ascii="Amiri" w:hAnsi="Amiri"/>
          <w:color w:val="111111"/>
          <w:sz w:val="28"/>
          <w:szCs w:val="28"/>
          <w:rtl w:val="true"/>
          <w:lang w:bidi="ar-SA"/>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والصلاة هي الفلاح وهي خير العمل كما ينادى به في أعلى المنائر والمنابر ويعرفه البادي والحاضر ، لا يوازنها ولا يكايلها شيء بعد الإيمان بالله تعالى وكتبه ورسله واليوم الآخر ، فهل يجوز أن يشرعها الله تعالى بتراء جذماء؟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لا يجرأ على القول به برّ ولا فاجر ، لكن الأئمّة البررة مالكا والأوزاعي وأبا حنيفة رضي الله عنهم ذهلوا عن هذه اللوازم ، وكلّ مجتهد في الاستنباط من الأدلّة الشرعية معذور ومأجور إن أصاب وإن أخطأ</w:t>
      </w:r>
      <w:r>
        <w:rPr>
          <w:rFonts w:eastAsia="Amiri" w:cs="Amiri" w:ascii="Amiri" w:hAnsi="Amiri"/>
          <w:color w:val="111111"/>
          <w:sz w:val="28"/>
          <w:szCs w:val="28"/>
          <w:rtl w:val="true"/>
          <w:lang w:bidi="ar-SA"/>
        </w:rPr>
        <w:t xml:space="preserve">. </w:t>
      </w:r>
      <w:r>
        <w:rPr>
          <w:rStyle w:val="FootnoteAnchor"/>
          <w:rtl w:val="true"/>
        </w:rPr>
        <w:footnoteReference w:id="402"/>
      </w:r>
      <w:bookmarkStart w:id="396" w:name="pg10144_71408"/>
    </w:p>
    <w:p>
      <w:pPr>
        <w:pStyle w:val="Heading4"/>
        <w:numPr>
          <w:ilvl w:val="3"/>
          <w:numId w:val="1"/>
        </w:numPr>
        <w:rPr/>
      </w:pPr>
      <w:bookmarkStart w:id="397" w:name="__RefHeading___Toc1165671_1067777946"/>
      <w:bookmarkStart w:id="398" w:name="_Toc143"/>
      <w:bookmarkEnd w:id="396"/>
      <w:bookmarkEnd w:id="397"/>
      <w:r>
        <w:rPr/>
        <w:t>4</w:t>
      </w:r>
      <w:r>
        <w:rPr>
          <w:rtl w:val="true"/>
        </w:rPr>
        <w:t xml:space="preserve">. </w:t>
      </w:r>
      <w:r>
        <w:rPr>
          <w:rtl w:val="true"/>
        </w:rPr>
        <w:t>التسمية ولزوم الجهر بها</w:t>
      </w:r>
      <w:bookmarkEnd w:id="398"/>
    </w:p>
    <w:p>
      <w:pPr>
        <w:pStyle w:val="Heading5"/>
        <w:numPr>
          <w:ilvl w:val="4"/>
          <w:numId w:val="1"/>
        </w:numPr>
        <w:rPr/>
      </w:pPr>
      <w:bookmarkStart w:id="399" w:name="__RefHeading___Toc1165673_1067777946"/>
      <w:bookmarkStart w:id="400" w:name="_Toc144"/>
      <w:bookmarkEnd w:id="399"/>
      <w:r>
        <w:rPr>
          <w:rtl w:val="true"/>
        </w:rPr>
        <w:t>اشارة</w:t>
      </w:r>
      <w:bookmarkEnd w:id="400"/>
    </w:p>
    <w:p>
      <w:pPr>
        <w:pStyle w:val="BookText"/>
        <w:rPr/>
      </w:pPr>
      <w:r>
        <w:rPr>
          <w:rFonts w:ascii="Amiri" w:hAnsi="Amiri" w:eastAsia="Amiri" w:cs="Amiri"/>
          <w:color w:val="111111"/>
          <w:sz w:val="28"/>
          <w:sz w:val="28"/>
          <w:szCs w:val="28"/>
          <w:rtl w:val="true"/>
          <w:lang w:bidi="ar-SA"/>
        </w:rPr>
        <w:t xml:space="preserve">قد أثبت البحث السالف الذكر انّ التسمية جزء من فاتحة الكتاب ومن صميمها ، فلا تتم السورة إلاّ بقراءتها ، وأمّا الجهر بها فحكمه كحكم سائر أجزاء السورة ، فلو كانت الصلاة من الصلوات الجهرية يجب الجهر بها ما لم يدلّ دليل على جواز المخافتة ، مضافا إلى أنّه قد تضافرت الروايات على لزوم الجهر بها ، ويستفاد ذلك من الروايات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الحاكم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يجهر ببسم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الحاكم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جهر ببسم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رواة هذا الحديث عن آخرهم ثقات ، وأقرّه على ذلك الذهبي في تلخيصه</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الحاكم في مستدركه عن محمد بن أبي السري العسقلاني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المعتمر بن سليمان ما ، لا أحصي صلاة الصبح والمغرب فكان يجهر </w:t>
      </w:r>
    </w:p>
    <w:p>
      <w:pPr>
        <w:pStyle w:val="BookText"/>
        <w:rPr/>
      </w:pPr>
      <w:r>
        <w:rPr>
          <w:rFonts w:ascii="Amiri" w:hAnsi="Amiri" w:eastAsia="Amiri" w:cs="Amiri"/>
          <w:color w:val="111111"/>
          <w:sz w:val="28"/>
          <w:sz w:val="28"/>
          <w:szCs w:val="28"/>
          <w:rtl w:val="true"/>
          <w:lang w:bidi="ar-SA"/>
        </w:rPr>
        <w:t xml:space="preserve">ببسم الله الرحمن الرحيم قبل فاتحة الكتاب وبعدها ، وسمعت المعتمر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آلو أن اقتدي بصلاة أبي ، وقال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آلو أن اقتدي بصلاة أنس بن مالك ، وقال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آلو أن اقتدي بصلاة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رواة هذا الحديث عن آخرهم ثقات ، وأقرّه على ذلك الذهبي في تلخيصه</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الحاكم عن حميد الطويل ، عن أنس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النبي صلى الله عليه وآله وسلم وخلف أبي بكر وخلف عمر وخلف عثمان وخلف علي كلّهم كانوا يجهرون بقراءة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بقي في الباب عن أمير المؤمنين عثمان وعلي ، وطلحة بن عبيد الله ، وجابر بن عبد الله ، وعبد الله بن عمر ، والحكم بن عمير الثمالي ، والنعمان بن بشير ، وسمرة بن جندب ، وبريدة الأسلمي ، وعائشة بنت الصديق كلّها مخرجة عندي في الباب ، تركتها إيثارا للتخفيف واختصرت منها ما يليق بهذا الباب ، وكذلك ذكرت في الباب من جهر ببسم الله الرحمن الرحيم من الصحابة والتابعين وأتباعهم</w:t>
      </w:r>
      <w:r>
        <w:rPr>
          <w:rFonts w:eastAsia="Amiri" w:cs="Amiri" w:ascii="Amiri" w:hAnsi="Amiri"/>
          <w:color w:val="111111"/>
          <w:sz w:val="28"/>
          <w:szCs w:val="28"/>
          <w:rtl w:val="true"/>
          <w:lang w:bidi="ar-SA"/>
        </w:rPr>
        <w:t xml:space="preserve">. </w:t>
      </w:r>
      <w:r>
        <w:rPr>
          <w:rStyle w:val="FootnoteAnchor"/>
          <w:rtl w:val="true"/>
        </w:rPr>
        <w:footnoteReference w:id="406"/>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انّ الكلام الأخير الذي يدّعي إطباق الأئمة على الجهر بالتسمية في الصلوات يخالف مذهب إمام الذهبي ، فغاظ غيظه وادّعى انّ نسبة الجهر إلى هؤلاء كذب محض ، ثمّ حلف على صدق مدّعاه مع أنّ النبي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البينة على المدّعي واليمين على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يدّعي الكذب فعليه البيّنة لا الحلف ، وإلاّ ففي وسع كلّ من يرى الحديث مخالفا لهواه وللمذهب الذي نشأ عليه ، أن يحلف على كذبه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الإمام الشافعي في مسنده انّ معاوية قدم المدينة فصلّى بها ولم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فاعترض عليه المهاجرون والأنصار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سرقت منّا الصلاة ، 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 عليه الشافعي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أنّ الجهر بالتسمية كان كالأمر المتقرر عند كلّ الصحابة من المهاجرين والأنصار ، وإلاّ لما قدروا على إظهار الإنكار عليه بسبب ترك التسمية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وأخرجه الحاكم بنحو آخر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معاوية بالمدينة صلاة فجهر فيها بالقراءة فقرأ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 القرآن ولم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للسورة التي بعدها حتّى قضى تلك القراءة ، فلمّا سلّم ناداه من سمع ذلك من المهاجرين والأنصار من كلّ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أسرقت الصلاة أم 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صلّى بعد ذلك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للسورة التي بعد أمّ القرآن وكبّر حين يهوي ساجدا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مسلم فقد احتج بعبد المجيد بن عبد العزيز وسائر الرواة متفق على عدالتهم ، وأقرّه على ذلك الذهبي في تلخيصه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الرازي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البيهقي روى الجهر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سننه عن عمر بن الخطاب وابن عباس وابن عمر وابن الزبير ، ثمّ قال الرازي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انّ علي بن أبي طالب كان يجهر بالتسمية فقد ثبت بالتواتر ومن اقتدى في دينه بعلي بن أبي طالب فقد اهتدى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عليه قول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أدر الحقّ مع علي حيث دار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البزار والدارقطني والبيهقي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أبي الطفيل قال سمعت علي بن أبي طالب وعمار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وسلم كان يجهر في المكتوبات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فاتحة الكتاب</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الدارقطني عن عائشة انّ رسول الله صلى الله عليه وآله وسلم كان يجهر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الدارقطني عن النعمان بن بشير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أمّني جبرئيل عليه السلام عند الكعبة فجهر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الدارقطني عن علي بن أبي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وآله وسلم يجهر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السورتين جميعا</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الدارقطني والحاكم والبيهقي عن أبي هريرة ، وكان رسول الله صلى الله عليه وآله وسلم يجهر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وزاد البيهقي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فترك الناس ذلك </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الدارقطني عن عبد الله بن عمر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صلّيت خلف النبي صلى الله عليه وآله وسلم وأبي بكر وعمر فكانوا يجهرون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الثعلبي عن علي بن زيد بن جدعان انّ العبادلة كانوا </w:t>
      </w:r>
    </w:p>
    <w:p>
      <w:pPr>
        <w:pStyle w:val="BookText"/>
        <w:rPr/>
      </w:pPr>
      <w:r>
        <w:rPr>
          <w:rFonts w:ascii="Amiri" w:hAnsi="Amiri" w:eastAsia="Amiri" w:cs="Amiri"/>
          <w:color w:val="111111"/>
          <w:sz w:val="28"/>
          <w:sz w:val="28"/>
          <w:szCs w:val="28"/>
          <w:rtl w:val="true"/>
          <w:lang w:bidi="ar-SA"/>
        </w:rPr>
        <w:t xml:space="preserve">يستفتحون القراءة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يجهرون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 وعبد الله بن عمر ، وعبد الله بن الزبير</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البيهقي عن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سنّة الصلاة أن تقرأ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أوّل من أسرّ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سعيد بن العاص بالمدينة وكان رجلا حييّا</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الدارقطني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علّمني جبرئيل الصلاة ، فقام فكبّر لنا ثمّ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يجهر ، في كلّ ركعة</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الدارقطني عن الحكم بن عمير ـ وكان بدريا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النبي صلى الله عليه وآله وسلم فجهر في الصلاة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وصلاة الليل ، وصلاة الفجر وصلاة الجمعة</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وقد احتجّ الرازي على لزوم الجهر بالتسمية في الصلوات الجهرية بما أوعزنا إليه في صدر البحث من أنّ حكم جزء السورة كحكم كلّها ولا يصحّ التبعيض بين الكل والجزء إلاّ بدليل قاطع ، وقد ذكره الرازي باللفظ التالي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دللنا على أنّ التسمية آية من الفاتحة ، وإذا ثبت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الاستقراء دلّ على أنّ السورة الواحدة إمّا أن تكون بتمامها سرية أو جهرية ، فأمّا أن يكون بعضها سريا وبعضها جهريا فهذا مفقود في جميع السور ، وإذا ثبت هذا كان الجهر بالتسمية مشروعا في القراءة الجهرية</w:t>
      </w:r>
      <w:r>
        <w:rPr>
          <w:rFonts w:eastAsia="Amiri" w:cs="Amiri" w:ascii="Amiri" w:hAnsi="Amiri"/>
          <w:color w:val="111111"/>
          <w:sz w:val="28"/>
          <w:szCs w:val="28"/>
          <w:rtl w:val="true"/>
          <w:lang w:bidi="ar-SA"/>
        </w:rPr>
        <w:t xml:space="preserve">. </w:t>
      </w:r>
      <w:r>
        <w:rPr>
          <w:rStyle w:val="FootnoteAnchor"/>
          <w:rtl w:val="true"/>
        </w:rPr>
        <w:footnoteReference w:id="417"/>
      </w:r>
      <w:bookmarkStart w:id="401" w:name="pg10144_71413"/>
    </w:p>
    <w:p>
      <w:pPr>
        <w:pStyle w:val="Heading5"/>
        <w:numPr>
          <w:ilvl w:val="4"/>
          <w:numId w:val="1"/>
        </w:numPr>
        <w:rPr/>
      </w:pPr>
      <w:bookmarkStart w:id="402" w:name="__RefHeading___Toc1165675_1067777946"/>
      <w:bookmarkStart w:id="403" w:name="_Toc145"/>
      <w:bookmarkEnd w:id="401"/>
      <w:bookmarkEnd w:id="402"/>
      <w:r>
        <w:rPr>
          <w:rtl w:val="true"/>
        </w:rPr>
        <w:t>أئمّة أهل البيت عليهم السلام والجهر بالبسملة</w:t>
      </w:r>
      <w:bookmarkEnd w:id="403"/>
    </w:p>
    <w:p>
      <w:pPr>
        <w:pStyle w:val="BookText"/>
        <w:rPr/>
      </w:pPr>
      <w:r>
        <w:rPr>
          <w:rFonts w:ascii="Amiri" w:hAnsi="Amiri" w:eastAsia="Amiri" w:cs="Amiri"/>
          <w:color w:val="111111"/>
          <w:sz w:val="28"/>
          <w:sz w:val="28"/>
          <w:szCs w:val="28"/>
          <w:rtl w:val="true"/>
          <w:lang w:bidi="ar-SA"/>
        </w:rPr>
        <w:t xml:space="preserve">تضافرت الروايات عن أئمّة أهل البيت عليهم السلام على الجهر بالبسملة ، وكانت سيرة الإمام علي عليه السلام والأئمّة عليهم السلام بعده على الجهر بها ، نقتطف شيئا ممّا أثر عنهم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الشيخ أبو الفتوح الرازي في تفسيره بإسناده إلى الرضا ، عن أبيه ، عن الصادق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اجتمع آل محمّد صلى الله عليه وآله وسلم على الجهر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 </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علي بن إبراهيم في تفسيره بإسناده عن ابن أذينة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ما جهر به وهي الآية التي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ذَكَرْتَ رَبَّكَ فِي الْقُرْآنِ وَحْدَهُ وَلَّوْا عَلى أَدْبارِهِمْ نُفُوراً </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0"/>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الصدوق بإسناده عن الأعمش عن جعفر بن محمد عليهما السلام 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والإجهار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واجب </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الصدوق بإسناده عن الفضل بن شاذان فيما كتبه الرضا للمأمون في بيان محض الإسلام جاء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والإجهار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الصلوات سنّة </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الرضا عليه السلام انّه كان يجهر ببسم الله الرّحمن الرحيم في جميع صلواته بالليل والنهار</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الكليني عن صفوان الجمّال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أبي عبد الله عليه السلام أيّاما ، فكان إذا كانت صلاة لا يجهر فيها ، جهر ببسم الله الرحمن الرحيم ، وكان يجهر في السورتين</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العياشي عن خالد المختار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لهم عمدوا إلى أعظم آية في كتاب الله فزعموا أنّها بدعة إذا أظهروها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 </w:t>
      </w:r>
      <w:r>
        <w:rPr>
          <w:rStyle w:val="FootnoteAnchor"/>
          <w:rtl w:val="true"/>
        </w:rPr>
        <w:footnoteReference w:id="425"/>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الكليني عن يحيى بن أبي عمران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تقول في رجل ابتدأ ببسم الله الرحمن الرحيم في صلاته وحده في أمّ الكتاب فلمّا صار إلى غير أمّ الكتاب من السورة تركها ، فقال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بذلك بأس؟</w:t>
      </w:r>
    </w:p>
    <w:p>
      <w:pPr>
        <w:pStyle w:val="BookText"/>
        <w:rPr/>
      </w:pPr>
      <w:r>
        <w:rPr>
          <w:rFonts w:ascii="Amiri" w:hAnsi="Amiri" w:eastAsia="Amiri" w:cs="Amiri"/>
          <w:color w:val="111111"/>
          <w:sz w:val="28"/>
          <w:sz w:val="28"/>
          <w:szCs w:val="28"/>
          <w:rtl w:val="true"/>
          <w:lang w:bidi="ar-SA"/>
        </w:rPr>
        <w:t xml:space="preserve">فكتب بخطّه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يعيدها ـ مرّتين ـ على رغم أنفه ـ يعني العباسي ـ </w:t>
      </w:r>
      <w:r>
        <w:rPr>
          <w:rFonts w:eastAsia="Amiri" w:cs="Amiri" w:ascii="Amiri" w:hAnsi="Amiri"/>
          <w:color w:val="111111"/>
          <w:sz w:val="28"/>
          <w:szCs w:val="28"/>
          <w:rtl w:val="true"/>
          <w:lang w:bidi="ar-SA"/>
        </w:rPr>
        <w:t xml:space="preserve">». </w:t>
      </w:r>
      <w:r>
        <w:rPr>
          <w:rStyle w:val="FootnoteAnchor"/>
          <w:rtl w:val="true"/>
        </w:rPr>
        <w:footnoteReference w:id="426"/>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فيما ذكر من الروايات غنى وكفاية ، لطالب الحقّ ورائد الحقيقة</w:t>
      </w:r>
      <w:r>
        <w:rPr>
          <w:rFonts w:eastAsia="Amiri" w:cs="Amiri" w:ascii="Amiri" w:hAnsi="Amiri"/>
          <w:color w:val="111111"/>
          <w:sz w:val="28"/>
          <w:szCs w:val="28"/>
          <w:rtl w:val="true"/>
          <w:lang w:bidi="ar-SA"/>
        </w:rPr>
        <w:t xml:space="preserve">. </w:t>
      </w:r>
      <w:bookmarkStart w:id="404" w:name="pg10144_71415"/>
    </w:p>
    <w:p>
      <w:pPr>
        <w:pStyle w:val="Heading4"/>
        <w:numPr>
          <w:ilvl w:val="3"/>
          <w:numId w:val="1"/>
        </w:numPr>
        <w:rPr/>
      </w:pPr>
      <w:bookmarkStart w:id="405" w:name="__RefHeading___Toc1165677_1067777946"/>
      <w:bookmarkStart w:id="406" w:name="_Toc146"/>
      <w:bookmarkEnd w:id="404"/>
      <w:bookmarkEnd w:id="405"/>
      <w:r>
        <w:rPr/>
        <w:t>5</w:t>
      </w:r>
      <w:r>
        <w:rPr>
          <w:rtl w:val="true"/>
        </w:rPr>
        <w:t xml:space="preserve">. </w:t>
      </w:r>
      <w:r>
        <w:rPr>
          <w:rtl w:val="true"/>
        </w:rPr>
        <w:t>حجّة القائلين بعدم جزئية البسملة</w:t>
      </w:r>
      <w:bookmarkEnd w:id="406"/>
    </w:p>
    <w:p>
      <w:pPr>
        <w:pStyle w:val="Heading5"/>
        <w:numPr>
          <w:ilvl w:val="4"/>
          <w:numId w:val="1"/>
        </w:numPr>
        <w:rPr/>
      </w:pPr>
      <w:bookmarkStart w:id="407" w:name="__RefHeading___Toc1165679_1067777946"/>
      <w:bookmarkStart w:id="408" w:name="_Toc147"/>
      <w:bookmarkEnd w:id="407"/>
      <w:r>
        <w:rPr>
          <w:rtl w:val="true"/>
        </w:rPr>
        <w:t>وحكم الجهر بها</w:t>
      </w:r>
      <w:bookmarkEnd w:id="408"/>
    </w:p>
    <w:p>
      <w:pPr>
        <w:pStyle w:val="BookText"/>
        <w:rPr/>
      </w:pPr>
      <w:r>
        <w:rPr>
          <w:rFonts w:ascii="Amiri" w:hAnsi="Amiri" w:eastAsia="Amiri" w:cs="Amiri"/>
          <w:color w:val="111111"/>
          <w:sz w:val="28"/>
          <w:sz w:val="28"/>
          <w:szCs w:val="28"/>
          <w:rtl w:val="true"/>
          <w:lang w:bidi="ar-SA"/>
        </w:rPr>
        <w:t>وقد تجلّت الحقيقة بأجلى مظاهرها وظهرت بأوضح الدلائل ، انّ البسملة جزء من الفاتحة وانّها يجهر بها في الصلوات الجهرية لزوما ، وهناك روايات غريبة بين ما يدلّ على أنّ النبي صلى الله عليه وآله وسلم إمّا تركها بتاتا أو لم يجهر بها ، لكن مضمون بعضها أوضح دليل على كذبها ووضعها نذكرها تباعا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مسلم عن شعبة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قتادة يحدّث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مع رسول الله صلى الله عليه وآله وسلم وأبي بكر وعمر وعثمان فلم أسمع أحدا منهم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وأخرجه أيضا بسند آخر عن أنس بن مالك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النبي صلى الله عليه وآله وسلم وأبي بكر وعمر وعثمان فكانوا يستفتحون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قراءة ولا في آخرها</w:t>
      </w:r>
      <w:r>
        <w:rPr>
          <w:rFonts w:eastAsia="Amiri" w:cs="Amiri" w:ascii="Amiri" w:hAnsi="Amiri"/>
          <w:color w:val="111111"/>
          <w:sz w:val="28"/>
          <w:szCs w:val="28"/>
          <w:rtl w:val="true"/>
          <w:lang w:bidi="ar-SA"/>
        </w:rPr>
        <w:t xml:space="preserve">. </w:t>
      </w:r>
      <w:r>
        <w:rPr>
          <w:rStyle w:val="FootnoteAnchor"/>
          <w:rtl w:val="true"/>
        </w:rPr>
        <w:footnoteReference w:id="427"/>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معارض بما أخرج الحاكم عن أنس بن مالك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سمعت رسول الله صلى الله عليه وآله وسلم جهر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فلأجل هذا التعارض لا يمكن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كفانا الرازي في الإجابة عن الحديثين اللّذين هما العمدة في القول بالترك أو بالسرّ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أبو حامد الأسفرايني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أنس في هذا الباب ست روايات ، أمّا الحنفية فقد رووا عنه ثلاث 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رسول الله صلى الله عليه وآله وسلم ، وخلف أبي بكر وعمر وعثمان ، فكانوا يستفتحون الصلاة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وثانيتها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ما كانوا يذكرون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وثالثتها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 أحدا منهم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فهذه الروايات الثلاث تقوي قول الحنفية ، وثلاث أخرى تناقض قولهم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أنّ أنسا روى أنّ معاوية لمّا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أنكر عليه المهاجرون والأنصار ، وقد بيّنا أنّ هذا يدلّ على أنّ الجهر بهذه الكلمات كالأمر المتواتر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قلابة عن أنس أنّ رسول الله صلى الله عليه وآله وسلم وأبا بكر وعمر كانوا يجهرون ببسم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الجهر ببسم الله الرحمن الرحيم والإسرار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هذه المسألة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فثبت أنّ الرواية عن أنس في هذه المسألة قد عظم فيها الخبط والاضطراب ، فبقيت متعارضة فوجب الرجوع إلى سائر الدلائل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من قول أنس كان رسول الله صلى الله عليه وآله وسلم يستفتح الصلاة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يقدّم هذه السورة في القراءة على غيرها من السور ،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تمام هذه ، فجعل هذه اللفظة اسما لهذه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ففيها نكتة أخرى ، وهي أنّ عليّا عليه السلام كان يبالغ في الجهر بالتسمية ، فلما وصلت الدولة إلى بني أميّة بالغوا في المنع من الجهر ، سعيا في إبطال آثار علي عليه السلام ، فلعلّ أنسا خاف منهم ، فلهذا السبب اضطربت أقواله فيه ، ونحن وإن شككنا في شيء فانّا لا نشكّ أنّه مهما وقع التعارض بين قول أنس وقول علي بن أبي طالب عليه السلام الذي بقي عليه طول عمرة ، فإنّ الأخذ بقول علي أولى ، فهذا جواب قاطع في المسألة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ابن أبي شيبة والترمذي والنسائي وابن ماجة والبيهقي عن عبد الله بن مغفل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سمعني أبي وأنا أقرأ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محدث؟ صلّيت خلف رسول الله صلى الله عليه وآله وسلم وأبي بكر ، وعمر وعثمان ، فلم أسمع أحدا منهم جهر ببسم الله الرّحمن الرّحيم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وقد أجاب الرازي عن هذا الحديث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الجواب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راوي أخباركم أنس وابن المغفل ، وراوي قولنا علي بن أبي طالب عليه السلام وابن عباس وابن عمر وأبو هريرة ، وهؤلاء كانوا أكثر علما وقربا من رسول الله صلى الله عليه وآله وسلم من أنس وابن المغفل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المعلوم بالضرورة أنّ النبي عليه السلام كان يقدّم الأكابر على </w:t>
      </w:r>
    </w:p>
    <w:p>
      <w:pPr>
        <w:pStyle w:val="BookText"/>
        <w:rPr/>
      </w:pPr>
      <w:r>
        <w:rPr>
          <w:rFonts w:ascii="Amiri" w:hAnsi="Amiri" w:eastAsia="Amiri" w:cs="Amiri"/>
          <w:color w:val="111111"/>
          <w:sz w:val="28"/>
          <w:sz w:val="28"/>
          <w:szCs w:val="28"/>
          <w:rtl w:val="true"/>
          <w:lang w:bidi="ar-SA"/>
        </w:rPr>
        <w:t xml:space="preserve">الأصاغر ، والعلماء على غير العلماء ، والأشراف على الأعراب ، ولا شكّ أنّ عليا وابن عباس وابن عمر كانوا أعلى حالا في العلم والشرف وعلوّ الدرجة من أنس وابن المغفل ، والغاية على الظن أنّ عليا وابن عباس وابن عمر كانوا يقفون بالقرب من رسول الله صلى الله عليه وآله وسلم وكان أنس وابن المغفل يقفان بالبعد منه ، وأيضا أنّه عليه السلام ما كان يبالغ في الجهر امتثالا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تَجْهَرْ بِصَلاتِكَ وَلا تُخافِتْ بِها </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 وأيضا فالإنسان أوّل ما يَشْرع في القراءة إنّما يَشْرع فيها بصوت ضعيف ثمّ لا يزال يقوى صوته ساعة فساعة ، فهذه أسباب ظاهرة في أن يكون علي وابن عباس وابن عمر وأبو هريرة سمعوا الجهر بالتسمية من رسول الله صلى الله عليه وآله وسلم وإنّ أنسا وابن المغفل ما سمعاه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من عدم الجهر في حديث ابن المغفل عدم المبالغة في رفع الصوت ، كما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تَجْهَرْ بِصَلاتِكَ وَلا تُخافِتْ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الدلائل العقلية موافقة لنا ، وعمل علي ابن أبي طالب عليه السلام معنا ، ومن اتّخذ عليا إماما لدينه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اسْتَمْسَكَ بِالْعُرْوَةِ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دينه ونفسه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روي عن أبي هريرة ، انّ النبي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قسمت الصلاة بيني وبين عبدي نصفين ، فلما قال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حمدني عبدي ، 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أثنى عليّ عبدي ، 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مجّدني عبدي ، 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بيني وبين 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والاستدلال بهذا الخبر من وجهين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عليه الصلاة والسّلام لم يذكر التسمية ولو كانت آية من الفاتحة </w:t>
      </w:r>
    </w:p>
    <w:p>
      <w:pPr>
        <w:pStyle w:val="BookText"/>
        <w:rPr/>
      </w:pPr>
      <w:r>
        <w:rPr>
          <w:rFonts w:ascii="Amiri" w:hAnsi="Amiri" w:eastAsia="Amiri" w:cs="Amiri"/>
          <w:color w:val="111111"/>
          <w:sz w:val="28"/>
          <w:sz w:val="28"/>
          <w:szCs w:val="28"/>
          <w:rtl w:val="true"/>
          <w:lang w:bidi="ar-SA"/>
        </w:rPr>
        <w:t>لذكرها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الصلاة بيني وبين عبدي نصفين ، والمراد من الصلاة ، الفاتحة ، وهذا التنصيف إنّما يحصل إذا قلنا بأنّ التسمية ليست آية من الفاتحة ، لأنّ الفاتحة سبع آيات ، فيجب أن يكون فيها لله ثلاث آيات ونصف ، وهي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وللعبد ثلاث آيات ونصف وهي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جعلنا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من الفاتحة حصل لله أربع آيات ونصف وللعبد آيتان </w:t>
      </w:r>
      <w:r>
        <w:rPr>
          <w:rStyle w:val="FootnoteAnchor"/>
          <w:rtl w:val="true"/>
        </w:rPr>
        <w:footnoteReference w:id="430"/>
      </w:r>
      <w:r>
        <w:rPr>
          <w:rFonts w:ascii="Amiri" w:hAnsi="Amiri" w:eastAsia="Amiri" w:cs="Amiri"/>
          <w:color w:val="111111"/>
          <w:sz w:val="28"/>
          <w:sz w:val="28"/>
          <w:szCs w:val="28"/>
          <w:rtl w:val="true"/>
          <w:lang w:bidi="ar-SA"/>
        </w:rPr>
        <w:t>ونصف ، وذلك يبطل التنصيف المذكور</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يلاحظ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معارض بخبر ابن عباس مرفوعا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قسمت الصلاة بيني وبين عبدي ، فإذا قال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دعاني عبدي إلى آخر الحديث ، وقد اشتملت الرواية على البسملة وليست في مرفوعة ابن عباس كلمة نصفين ، والتقسيم لا يستدعي المساواة من حيث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النصف كما يحتمل النصف في عدد الآيات يحتمل النصف في المعنى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الفرائض نصف العلم ، وسمّاه بالنصف من حيث إنّه بحث عن أحوال الأموات والموت والحياة قسمان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هريرة روى عن رسول الله الجهر ببسم الله الرّحمن الرّحيم وكان هو يجهر بها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لأشبهكم صلاة برسول الله صلى الله عليه وآله وسلم ، وقد مرّ عليك حديثه في ذلك</w:t>
      </w:r>
      <w:r>
        <w:rPr>
          <w:rFonts w:eastAsia="Amiri" w:cs="Amiri" w:ascii="Amiri" w:hAnsi="Amiri"/>
          <w:color w:val="111111"/>
          <w:sz w:val="28"/>
          <w:szCs w:val="28"/>
          <w:rtl w:val="true"/>
          <w:lang w:bidi="ar-SA"/>
        </w:rPr>
        <w:t xml:space="preserve">. </w:t>
      </w:r>
      <w:r>
        <w:rPr>
          <w:rStyle w:val="FootnoteAnchor"/>
          <w:rtl w:val="true"/>
        </w:rPr>
        <w:footnoteReference w:id="432"/>
      </w:r>
      <w:bookmarkStart w:id="409" w:name="pg10144_71420"/>
    </w:p>
    <w:p>
      <w:pPr>
        <w:pStyle w:val="BookText"/>
        <w:rPr/>
      </w:pPr>
      <w:bookmarkEnd w:id="409"/>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روت عائشة انّ النبي صلى الله عليه وآله وسلم كان يفتتح الصلاة بالتكبير والقراءة بالحمد لله ربّ العالمين ، وهذا يدلّ على أنّ التسمية ليست آية من الفاتحة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عائشة جعلت الحمد لله ربّ العالمين اسما لهذه السورة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خَلَقَ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انّه قرأ هذه السورة فكذا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التعبير عن مجموع السورة بالآية التي وردت في أوّلها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فلان سورة قل هو الله أحد أو قرأ سورة يسبح لله ما في السموات وما أشبه ذلك ، فيكون معنى الحديث انّه كان يفتتح الصلاة بالتكبير وبقراءة هذه السورة التي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433"/>
      </w:r>
    </w:p>
    <w:p>
      <w:pPr>
        <w:pStyle w:val="Heading5"/>
        <w:numPr>
          <w:ilvl w:val="4"/>
          <w:numId w:val="1"/>
        </w:numPr>
        <w:rPr/>
      </w:pPr>
      <w:bookmarkStart w:id="410" w:name="__RefHeading___Toc1165681_1067777946"/>
      <w:bookmarkStart w:id="411" w:name="_Toc148"/>
      <w:bookmarkEnd w:id="410"/>
      <w:r>
        <w:rPr>
          <w:rtl w:val="true"/>
        </w:rPr>
        <w:t>ما يزيّفه التأريخ الصحيح</w:t>
      </w:r>
      <w:bookmarkEnd w:id="41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الطبراني من طريق سعيد بن جبير ،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هزأ منه المشركون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يذكر إله اليمامة ، وكان مسيلمة يتسمّى الرحمن ، فلمّا نزلت هذه الآية أمر رسول الله أن لا يجهر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نفس ما أخرجه ابن داود عن سعيد بن جبير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وسلم يجهر ببسم الله الرّحمن الرّحيم ، وكان أهل مكة يسمّون مسيلمة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يدعو إلى إله اليمامة ، فأمر رسول الله صلى الله عليه وآله وسلم بإخفائها فما جهر بها حتّى مات</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ولكن التأريخ يكذّب الرواية مهما صحّح سندها أو أرسلت إرسال المسلّم ، لأنّه ما علا أمر مسيلمة إلاّ في السنة العاشرة من الهجرة ، وأين هو من بدء الهجرة وصدر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الطبري وغيره انّ مسيلمة وفد إلى النبي مع جماعة وأسلم ، ولمّا عاد إلى موطنه ادّعى النبوة ، والتفّ حوله عصابة من قومه تعصبا ، وقد نقل انّ واحدا من أتباعه سأل مسيلمة ذات مرة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يأتيك؟</w:t>
      </w:r>
    </w:p>
    <w:p>
      <w:pPr>
        <w:pStyle w:val="BookText"/>
        <w:rPr/>
      </w:pPr>
      <w:r>
        <w:rPr>
          <w:rFonts w:ascii="Amiri" w:hAnsi="Amiri" w:eastAsia="Amiri" w:cs="Amiri"/>
          <w:color w:val="111111"/>
          <w:sz w:val="28"/>
          <w:sz w:val="28"/>
          <w:szCs w:val="28"/>
          <w:rtl w:val="true"/>
          <w:lang w:bidi="ar-SA"/>
        </w:rPr>
        <w:t xml:space="preserve">قال مسيلمة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نور أم في ظلمة؟</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كذّاب وانّ محمّدا صادق ، ولكنّ كذّاب ربيعة أحبّ إلينا من صادق مضر</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قال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موسوعته الروائيّة للتفسير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العرب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لَوْ شاءَ الرَّحْمنُ ما عَبَدْناهُمْ </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أَنْتُمْ إِلاَّ بَشَرٌ مِثْلُنا وَما أَنْزَلَ الرَّحْمنُ مِنْ شَيْءٍ </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وقد خاطبهم الله سبحانه بهذا الوصف أزيد من خمسين موضعا ، فكيف يا تُرى أنكروا وصفه تعالى بهذا الوصف وزعم أنّه مستعار من وصف صاحب اليمامة؟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لَهُمُ اسْجُدُوا لِلرَّحْمنِ قالُوا وَمَا الرَّحْمنُ أَنَسْجُدُ لِما تَأْمُرُنا وَزادَهُمْ نُفُوراً </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 xml:space="preserve">، فليس إنكارهم دليلا على عدم عرفانهم ، فان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استهزاء بموضع </w:t>
      </w:r>
    </w:p>
    <w:p>
      <w:pPr>
        <w:pStyle w:val="BookText"/>
        <w:rPr/>
      </w:pPr>
      <w:r>
        <w:rPr>
          <w:rFonts w:ascii="Amiri" w:hAnsi="Amiri" w:eastAsia="Amiri" w:cs="Amiri"/>
          <w:color w:val="111111"/>
          <w:sz w:val="28"/>
          <w:sz w:val="28"/>
          <w:szCs w:val="28"/>
          <w:rtl w:val="true"/>
          <w:lang w:bidi="ar-SA"/>
        </w:rPr>
        <w:t>الكليم في دعوته إلى عبادة الله بما أنّه إله واحد لا شريك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ابن شيبة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ببسم الله الرحمن الرحيم قراءة الاعراب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بالله عليك هل كان الإمام علي عليه السلام الذي اشتهر بأنّه كان يجهر بها في صلواته عامة ، من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الإمام الشافعي ومن أخذ عنه أو أخذ منه ، الذين كانوا يجهرون بها في الصلوات الجهرية من الأعراب؟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لَكُمْ كَيْفَ تَحْكُمُونَ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ونظيره ما أخرجه ابن أبي شيبة عن إبراهيم النخعي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 الإمام ببسم الله الرحمن الرحيم بدعة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وقد كانت الأئمة الذين أخذ إبراهيم عنهم الفقه ، يجهرون بالتسمية فهل أخذ الفقه من المبدعة؟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يشهد على أنّ عزو هذه الأقاويل إلى أئمّة الحديث والفقه ، كذب مفترى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تمّ الكلام في الأمرين التاليين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التسمية جزء من الفاتحة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التسمية يجهر بها في الصلوات الجهرية</w:t>
      </w:r>
      <w:r>
        <w:rPr>
          <w:rFonts w:eastAsia="Amiri" w:cs="Amiri" w:ascii="Amiri" w:hAnsi="Amiri"/>
          <w:color w:val="111111"/>
          <w:sz w:val="28"/>
          <w:szCs w:val="28"/>
          <w:rtl w:val="true"/>
          <w:lang w:bidi="ar-SA"/>
        </w:rPr>
        <w:t xml:space="preserve">. </w:t>
      </w:r>
      <w:bookmarkStart w:id="412" w:name="pg10144_71423"/>
    </w:p>
    <w:p>
      <w:pPr>
        <w:pStyle w:val="Heading4"/>
        <w:numPr>
          <w:ilvl w:val="3"/>
          <w:numId w:val="1"/>
        </w:numPr>
        <w:rPr/>
      </w:pPr>
      <w:bookmarkStart w:id="413" w:name="__RefHeading___Toc1165683_1067777946"/>
      <w:bookmarkStart w:id="414" w:name="_Toc149"/>
      <w:bookmarkEnd w:id="412"/>
      <w:bookmarkEnd w:id="413"/>
      <w:r>
        <w:rPr/>
        <w:t>6</w:t>
      </w:r>
      <w:r>
        <w:rPr>
          <w:rtl w:val="true"/>
        </w:rPr>
        <w:t xml:space="preserve">. </w:t>
      </w:r>
      <w:r>
        <w:rPr>
          <w:rtl w:val="true"/>
        </w:rPr>
        <w:t>البسملة جزء من مفتتح كلّ سورة</w:t>
      </w:r>
      <w:bookmarkEnd w:id="414"/>
    </w:p>
    <w:p>
      <w:pPr>
        <w:pStyle w:val="BookText"/>
        <w:rPr/>
      </w:pPr>
      <w:r>
        <w:rPr>
          <w:rFonts w:ascii="Amiri" w:hAnsi="Amiri" w:eastAsia="Amiri" w:cs="Amiri"/>
          <w:color w:val="111111"/>
          <w:sz w:val="28"/>
          <w:sz w:val="28"/>
          <w:szCs w:val="28"/>
          <w:rtl w:val="true"/>
          <w:lang w:bidi="ar-SA"/>
        </w:rPr>
        <w:t>قد أوقفك البحث السابق على أنّ التسمية جزء من الفاتحة ، وأنّه يجب الجهر بها في الصلوات الجهرية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البحث الثالث وهو انّ التسمية جزء من مفتتح كلّ سورة إلاّ سورة التوبة ، ويدلّ على ذلك الأمور التالية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الصحابة كافة فالتابعين أجمعين فسائر تابعيهم وتابعي التابعين في كلّ خلف من هذه الأمّة منذ دوّن القرآن إلى يومنا هذا مجمعون إجماعا عمليا على كتابة البسملة في مفتتح كلّ سورة خلا 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كتبوها كما كتبوا غيرها من سائر الآيات بدون ميزة مع أنّهم كافة متصافقون على أن لا يكتبوا شيئا من غير القرآن إلاّ بميزة بيّنة حرصا منهم على أن لا يختلط فيه شيء من غيره ، ألا تراهم كيف ميّزوا عنه أسماء سورة ورموز أجزائه وأحزابه وأرباعه وأخماسه وأعشاره فوضعوها خارجة عن السور على وجه يعلم منه خروجها عن القرآن احتفاظا به واحتياطا عليه ، ولعلّك تعلم أنّ الأمّة قل ما اجتمعت بقضّها وقضيضها على أمر كاجتماعها على ذلك ، وهذا بمجرده دليل على أنّ بِسْمِ اللهِ الرَّحْمنِ الرَّحِيمِ آية </w:t>
      </w:r>
    </w:p>
    <w:p>
      <w:pPr>
        <w:pStyle w:val="BookText"/>
        <w:rPr/>
      </w:pPr>
      <w:r>
        <w:rPr>
          <w:rFonts w:ascii="Amiri" w:hAnsi="Amiri" w:eastAsia="Amiri" w:cs="Amiri"/>
          <w:color w:val="111111"/>
          <w:sz w:val="28"/>
          <w:sz w:val="28"/>
          <w:szCs w:val="28"/>
          <w:rtl w:val="true"/>
          <w:lang w:bidi="ar-SA"/>
        </w:rPr>
        <w:t>مستقلة في مفتتح كلّ سورة رسمها السلف والخلف في مفتتحها</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الحاكم عن ابن عباس انّ النبي صلى الله عليه وآله وسلم كان إذا جاءه جبرئيل فقرأ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أنّها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الاسناد ولم يخرجاه</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الحاكم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وآله وسلم لا يعلم ختم السورة حتّى تنزل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 هذا حديث صحيح على شرط الشيخين ولم يخرجاه ، وأقرّه على صحّته الذهبي في تلخيص المستدرك</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الحاكم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المسلمون لا يعلمون انقضاء السورة حتّى تنزل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أنّ السورة قد انقضت</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ضريس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Style w:val="FootnoteAnchor"/>
          <w:rtl w:val="true"/>
        </w:rPr>
        <w:footnoteReference w:id="443"/>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الواحدي عن عبد الله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سورة</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الطبراني في الأوسط والدارقطني والبيهقي عن نافع انّ ابن عمر كان إذا افتتح الصلاة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 القرآن وفي السورة التي تليها ويذكر انّه سمع ذلك من رسول الله 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وَتَمَّتْ كَلِمَةُ رَبِّكَ صِدْقاً وَعَدْلاً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مُبَدِّلَ لِكَلِماتِهِ وَهُوَ السَّمِيعُ الْعَلِيمُ </w:t>
      </w:r>
      <w:r>
        <w:rPr>
          <w:rFonts w:eastAsia="Amiri" w:cs="Amiri" w:ascii="Amiri" w:hAnsi="Amiri"/>
          <w:color w:val="111111"/>
          <w:sz w:val="28"/>
          <w:szCs w:val="28"/>
          <w:rtl w:val="true"/>
          <w:lang w:bidi="ar-SA"/>
        </w:rPr>
        <w:t xml:space="preserve">). </w:t>
      </w:r>
      <w:r>
        <w:rPr>
          <w:rStyle w:val="FootnoteAnchor"/>
          <w:rtl w:val="true"/>
        </w:rPr>
        <w:footnoteReference w:id="446"/>
      </w:r>
      <w:bookmarkStart w:id="415" w:name="pg10144_71426"/>
    </w:p>
    <w:p>
      <w:pPr>
        <w:pStyle w:val="Heading2"/>
        <w:numPr>
          <w:ilvl w:val="1"/>
          <w:numId w:val="1"/>
        </w:numPr>
        <w:rPr/>
      </w:pPr>
      <w:bookmarkStart w:id="416" w:name="__RefHeading___Toc1165685_1067777946"/>
      <w:bookmarkStart w:id="417" w:name="_Toc150"/>
      <w:bookmarkEnd w:id="415"/>
      <w:bookmarkEnd w:id="416"/>
      <w:r>
        <w:rPr/>
        <w:t>6</w:t>
      </w:r>
      <w:r>
        <w:rPr>
          <w:rtl w:val="true"/>
        </w:rPr>
        <w:t xml:space="preserve">. </w:t>
      </w:r>
      <w:r>
        <w:rPr>
          <w:rtl w:val="true"/>
        </w:rPr>
        <w:t>السجود على الأرض</w:t>
      </w:r>
      <w:bookmarkEnd w:id="41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8" w:name="__RefHeading___Toc1165687_1067777946"/>
      <w:bookmarkStart w:id="419" w:name="_Toc151"/>
      <w:bookmarkEnd w:id="418"/>
      <w:r>
        <w:rPr>
          <w:rtl w:val="true"/>
        </w:rPr>
        <w:t>اشارة</w:t>
      </w:r>
      <w:bookmarkStart w:id="420" w:name="pg10144_71427"/>
      <w:bookmarkEnd w:id="419"/>
    </w:p>
    <w:p>
      <w:pPr>
        <w:pStyle w:val="Heading3"/>
        <w:numPr>
          <w:ilvl w:val="2"/>
          <w:numId w:val="1"/>
        </w:numPr>
        <w:rPr/>
      </w:pPr>
      <w:bookmarkStart w:id="421" w:name="__RefHeading___Toc1165689_1067777946"/>
      <w:bookmarkStart w:id="422" w:name="_Toc152"/>
      <w:bookmarkEnd w:id="420"/>
      <w:bookmarkEnd w:id="421"/>
      <w:r>
        <w:rPr/>
        <w:t>1</w:t>
      </w:r>
      <w:r>
        <w:rPr>
          <w:rtl w:val="true"/>
        </w:rPr>
        <w:t xml:space="preserve">. </w:t>
      </w:r>
      <w:r>
        <w:rPr>
          <w:rtl w:val="true"/>
        </w:rPr>
        <w:t>السجود على الأرض</w:t>
      </w:r>
      <w:bookmarkEnd w:id="422"/>
    </w:p>
    <w:p>
      <w:pPr>
        <w:pStyle w:val="Heading4"/>
        <w:numPr>
          <w:ilvl w:val="3"/>
          <w:numId w:val="1"/>
        </w:numPr>
        <w:rPr/>
      </w:pPr>
      <w:bookmarkStart w:id="423" w:name="__RefHeading___Toc1165691_1067777946"/>
      <w:bookmarkStart w:id="424" w:name="_Toc153"/>
      <w:bookmarkEnd w:id="423"/>
      <w:r>
        <w:rPr>
          <w:rtl w:val="true"/>
        </w:rPr>
        <w:t>مظهر ناصع من مظاهر العبودية</w:t>
      </w:r>
      <w:bookmarkEnd w:id="424"/>
    </w:p>
    <w:p>
      <w:pPr>
        <w:pStyle w:val="BookText"/>
        <w:rPr/>
      </w:pPr>
      <w:r>
        <w:rPr>
          <w:rFonts w:ascii="Amiri" w:hAnsi="Amiri" w:eastAsia="Amiri" w:cs="Amiri"/>
          <w:color w:val="111111"/>
          <w:sz w:val="28"/>
          <w:sz w:val="28"/>
          <w:szCs w:val="28"/>
          <w:rtl w:val="true"/>
          <w:lang w:bidi="ar-SA"/>
        </w:rPr>
        <w:t>لعلّ من أوضح مظاهر العبودية والانقياد والتذلّل من قبل المخلوق لخالقه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السجود ، وبه يؤكّد المؤمن عبوديّته لله تعالى ، والبارئ عزّ اسمه يقدّر لعبده هذا التصاغر وهذه الطاعة فيضفي على الساجد فيض لطفه وعظيم إحسانه ، لذا روي في بعض المأثورات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أقرب ما يكون العبد إلى ربّه حال سجوده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الصلاة من بين العبادات معراجا يتميّز بها المؤمن عن الكافر ، وكان السجود ركنا من أركانها ، لم يكن هناك أوضح في إعلان التذلّل لله تعالى من السجود على التراب والرمل والحجر والحصى ، لما فيه من تذلّل أوضح وأبين من السجود على الحصر والبواري ، فضلا عن السجود على الألبسة الفاخرة والفرش الوثيرة والذهب والفضّة ، وإن كان الكلّ سجودا ، إلاّ أنّ العبودية تتجلّى في الأوّل بما لا تتجلّى في غيره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والإمامية ملتزمة بالسجدة على الأرض في حضرهم وسفرهم ، ولا يعدلون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عنها إلاّ إلى ما أنبت منها بشرط أن لا يؤكل ولا يلبس ، ولا يرون السجود على غير الأرض وما أنبت منها صحيحا في حال الصلاة أخذا بالسنّة المتواترة عن النبيّ الأكرم صلى الله عليه وآله وسلم وأهل بيته وصحبه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وسيظهر ـ في ثنايا البحث ـ أنّ الالتزام بالسجود على الأرض أو ما أنبتت ، كانت هي السنّة بين الصحابة ، وأنّ العدول عنها حدث في الأزمنة المتأخرة</w:t>
      </w:r>
      <w:r>
        <w:rPr>
          <w:rFonts w:eastAsia="Amiri" w:cs="Amiri" w:ascii="Amiri" w:hAnsi="Amiri"/>
          <w:color w:val="111111"/>
          <w:sz w:val="28"/>
          <w:szCs w:val="28"/>
          <w:rtl w:val="true"/>
          <w:lang w:bidi="ar-SA"/>
        </w:rPr>
        <w:t xml:space="preserve">. </w:t>
      </w:r>
      <w:bookmarkStart w:id="425" w:name="pg10144_71429"/>
    </w:p>
    <w:p>
      <w:pPr>
        <w:pStyle w:val="Heading3"/>
        <w:numPr>
          <w:ilvl w:val="2"/>
          <w:numId w:val="1"/>
        </w:numPr>
        <w:rPr/>
      </w:pPr>
      <w:bookmarkStart w:id="426" w:name="__RefHeading___Toc1165693_1067777946"/>
      <w:bookmarkStart w:id="427" w:name="_Toc154"/>
      <w:bookmarkEnd w:id="425"/>
      <w:bookmarkEnd w:id="426"/>
      <w:r>
        <w:rPr/>
        <w:t>2</w:t>
      </w:r>
      <w:r>
        <w:rPr>
          <w:rtl w:val="true"/>
        </w:rPr>
        <w:t xml:space="preserve">. </w:t>
      </w:r>
      <w:r>
        <w:rPr>
          <w:rtl w:val="true"/>
        </w:rPr>
        <w:t>اختلاف الفقهاء في شرائط المسجود عليه</w:t>
      </w:r>
      <w:bookmarkEnd w:id="427"/>
    </w:p>
    <w:p>
      <w:pPr>
        <w:pStyle w:val="BookText"/>
        <w:rPr/>
      </w:pPr>
      <w:r>
        <w:rPr>
          <w:rFonts w:ascii="Amiri" w:hAnsi="Amiri" w:eastAsia="Amiri" w:cs="Amiri"/>
          <w:color w:val="111111"/>
          <w:sz w:val="28"/>
          <w:sz w:val="28"/>
          <w:szCs w:val="28"/>
          <w:rtl w:val="true"/>
          <w:lang w:bidi="ar-SA"/>
        </w:rPr>
        <w:t xml:space="preserve">اتّفق المسلمون على وجوب السجود في الصلاة في كلّ ركعة مرّتين ، ولم يختلفوا في المسجود له ، فإنّه هو الله سبحانه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يَسْجُدُ مَنْ فِي السَّماواتِ وَالْأَرْضِ طَوْعاً وَكَرْهاً </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 xml:space="preserve">وشعار كلّ مسلم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تَسْجُدُوا لِلشَّمْسِ وَلا لِلْقَمَرِ وَاسْجُدُوا لِلَّهِ الَّذِي خَلَقَهُنَ </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 xml:space="preserve">وإنّما اختلفوا في شروط المسجود عليه ـ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يضع الساجد جبهته عليه ـ فالشيعة الإمامية تشترط كون المسجود عليه أرضا أو ما ينبت منها غير مأكول ولا ملبوس كالحصر والبواري ، وما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وخالفهم في ذلك غيرهم من المذاهب ، وإليك نقل الآراء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الطوسي </w:t>
      </w:r>
      <w:r>
        <w:rPr>
          <w:rStyle w:val="FootnoteAnchor"/>
          <w:rtl w:val="true"/>
        </w:rPr>
        <w:footnoteReference w:id="449"/>
      </w:r>
      <w:r>
        <w:rPr>
          <w:rFonts w:ascii="Amiri" w:hAnsi="Amiri" w:eastAsia="Amiri" w:cs="Amiri"/>
          <w:color w:val="111111"/>
          <w:sz w:val="28"/>
          <w:sz w:val="28"/>
          <w:szCs w:val="28"/>
          <w:rtl w:val="true"/>
          <w:lang w:bidi="ar-SA"/>
        </w:rPr>
        <w:t xml:space="preserve">ـ وهو يبيّن آراء الفقهاء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السجود إلاّ على الأرض أو ما أنبتته الأرض ممّا لا يؤكل ولا يلبس من قطن أو كتان مع الاختيار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وخالف فقهاء السنّة في ذلك حيث أجازوا السجود على القطن والكتان والشعر والصوف وغير ذلك ـ إلى أن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السجود على شيء هو حامل له ككور العمامة ، وطرف الرداء ، وكمّ القميص ، وبه قال الشافعي ، وروي ذلك عن علي عليه السلام وابن عمر ، وعبادة بن الصامت ، ومالك ، وأحمد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حنيفة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سجد على ما هو حامل له كالثياب التي عليه ، 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سجد على ما لا ينفصل منه مثل أن يفترش يده ويسجد عليها أجزأه لكنّه مكروه ، وروي ذلك عن الحسن البصري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الحلّي </w:t>
      </w:r>
      <w:r>
        <w:rPr>
          <w:rStyle w:val="FootnoteAnchor"/>
          <w:rtl w:val="true"/>
        </w:rPr>
        <w:footnoteReference w:id="451"/>
      </w:r>
      <w:r>
        <w:rPr>
          <w:rFonts w:ascii="Amiri" w:hAnsi="Amiri" w:eastAsia="Amiri" w:cs="Amiri"/>
          <w:color w:val="111111"/>
          <w:sz w:val="28"/>
          <w:sz w:val="28"/>
          <w:szCs w:val="28"/>
          <w:rtl w:val="true"/>
          <w:lang w:bidi="ar-SA"/>
        </w:rPr>
        <w:t xml:space="preserve">ـ وهو يبيّن آراء الفقهاء فيما يسجد عليه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السجود على ما ليس بأرض ولا من نباتها كالجلود والصوف عند علمائنا أجمع ، وأطبق جمهور السنّة على الجواز</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وقد اقتفت الشيعة في ذلك أثر أئمتهم الذين هم أعدال الكتاب وقرناؤه في حديث الثقلين ، ونحن نكتفي هنا بإيراد شيء ممّا روي عنهم في هذا الجانب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الصدوق بإسناده عن هشام بن الحكم أنّه قال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عمّا يجوز السجود عليه ، وعمّا لا يجوز؟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السجود لا يجوز إلاّ على الأرض ، أو على ما أنبتت الأرض إلاّ ما أكل أو 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العلّة في ذلك؟</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السجود خضوع لله عزّ وجلّ فلا ينبغي أن يكون على ما يؤكل </w:t>
      </w:r>
    </w:p>
    <w:p>
      <w:pPr>
        <w:pStyle w:val="BookText"/>
        <w:rPr/>
      </w:pPr>
      <w:r>
        <w:rPr>
          <w:rFonts w:ascii="Amiri" w:hAnsi="Amiri" w:eastAsia="Amiri" w:cs="Amiri"/>
          <w:color w:val="111111"/>
          <w:sz w:val="28"/>
          <w:sz w:val="28"/>
          <w:szCs w:val="28"/>
          <w:rtl w:val="true"/>
          <w:lang w:bidi="ar-SA"/>
        </w:rPr>
        <w:t xml:space="preserve">ويلبس ، لأنّ أبناء الدنيا عبيد ما يأكلون ويلبسون ، والساجد في سجوده ، في عبادة الله عزّ وجلّ ، فلا ينبغي أن يضع جبهته في سجوده على معبود أبناء الدنيا الذين اغترّوا بغرورها </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وقال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شيء يكون غذاء الإنسان في مطعمه أو مشربه ، أو ملبسه ، فلا تجوز الصلاة عليه ، ولا السجود إلاّ ما كان من نبات الأرض من غير ثمر ، قبل أن يصير مغزولا ، فإذا صار غزلا فلا تجوز الصلاة عليه إلاّ في حال ضرورة </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فلا عتب على الشيعة إذا التزموا بالسجود على الأرض أو ما أنبتته إذا لم يكن مأكولا ولا ملبوسا اقتداء بأئمّتهم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ما رواه أهل السنّة في المقام ، يدعم نظريّة الشيعة ، وسيظهر لك فيما سيأتي من سرد الأحاديث من طرقهم ، ويتّضح أنّ السنّة كانت هي السجود على الأرض ، ثمّ جاءت الرخصة في الحصر والبواري فقط ، ولم يثبت الترخيص الثالث ، بل ثبت المنع عنه كما سيوافيك</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المحدث النوري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جعفر بن محمّد ، عن أبيه ، عن آبائه ، عن علي عليه السلام ، أنّ رسول الله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الأرض بكم برّة ، تتيمّمون منها ، وتصلّون عليها في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لكم كفاة في الممات ، وذلك من نعمة الله ، له الحمد ، فأفضل ما يسجد عليه المصلّي الأرض النقيّة </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وروى أيضا عن جعفر بن محمد عليهما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للمصلّي أن يباشر بجبهته الأرض ، ويعفّر وجهه في التراب ، لأنّه من التذلّل لله </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وقال عبد الوهاب بن أحمد بن علي الأنصاري المصري المعروف بالشعراني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أعيان القرن العاشر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ما هذا نصّه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إظهار الخضوع بالرأس حتى يمسّ الأرض بوجهه الذي هو أشرف أعضائه ، سواء كان ذلك بالجبهة أو الأنف ، بل ربّما كان الأنف عند بعضهم أولى بالوضع من حيث إنّه مأخوذ من الأنفة والكبرياء ، فإذا وضعه على الأرض ، فكأنّه خرج عن الكبرياء التي عنده بين يدي الله تعالى ، إذ الحضرة الإلهية محرّم دخولها على من فيه أدنى ذرة من كبر فإنّها هي الجنة الكبرى حقيقة ، وقد قال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يدخل الجنة من في قلبه مثقال ذرة من كبر </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نقل الإمام محمد بن محمد بن سليمان المغربي المالكي الروداني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يلزق أنفه مع جبهته بالأرض إذا سجد لم تجز صلاته</w:t>
      </w:r>
      <w:r>
        <w:rPr>
          <w:rFonts w:eastAsia="Amiri" w:cs="Amiri" w:ascii="Amiri" w:hAnsi="Amiri"/>
          <w:color w:val="111111"/>
          <w:sz w:val="28"/>
          <w:szCs w:val="28"/>
          <w:rtl w:val="true"/>
          <w:lang w:bidi="ar-SA"/>
        </w:rPr>
        <w:t xml:space="preserve">. </w:t>
      </w:r>
      <w:r>
        <w:rPr>
          <w:rStyle w:val="FootnoteAnchor"/>
          <w:rtl w:val="true"/>
        </w:rPr>
        <w:footnoteReference w:id="458"/>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أصل العمل العبادي أمر توقيفي فكذلك شرائطه وأحكامه هي الأخرى التي يجب أن توضح وتبيّن من جانب مبيّن الشريعة ومبلّغها ونعني به رسول الله صلى الله عليه وآله وسلم لأنّه صلى الله عليه وآله وسلم هو الاسوة بنصّ القرآن الكريم والمبين للكتاب العزيز وعلى المسلمين جميعا أن يتعلموا منه أحكام دينهم وتفاصيل شريعتهم وقد قال سبحانه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أُسْوَةٌ حَسَنَةٌ لِمَنْ كانَ يَرْجُوا اللهَ وَالْيَوْمَ الْآخِرَ وَذَكَرَ اللهَ كَثِيراً </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آتاكُمُ الرَّسُولُ فَخُذُوهُ وَما نَهاكُمْ عَنْهُ فَانْتَهُوا </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إنّ النبي الأكرم صلى الله عليه وآله وسلم مبيّن للشريعة بنصّ من القرآن الكريم ، وأئمّة أهل البيت ـ حسب تنصيص النبي ـ أعدال الكتاب وقرناؤه ، حيث قال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ان تمسّكتم به لن تضلّوا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 وعترتي أهل بيتي ، ولن يفترقا حتّى يردا عليّ الحوض فانظروا كيف تخلفوني فيهما</w:t>
      </w:r>
      <w:r>
        <w:rPr>
          <w:rFonts w:eastAsia="Amiri" w:cs="Amiri" w:ascii="Amiri" w:hAnsi="Amiri"/>
          <w:color w:val="111111"/>
          <w:sz w:val="28"/>
          <w:szCs w:val="28"/>
          <w:rtl w:val="true"/>
          <w:lang w:bidi="ar-SA"/>
        </w:rPr>
        <w:t xml:space="preserve">. </w:t>
      </w:r>
      <w:r>
        <w:rPr>
          <w:rStyle w:val="FootnoteAnchor"/>
          <w:rtl w:val="true"/>
        </w:rPr>
        <w:footnoteReference w:id="461"/>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محيص عن الاهتداء بهديهم ، والاقتداء بهم وسوف يوافيك أنّهم كانوا ملتزمين بالسجود على الأرض أو ما أتيت منها</w:t>
      </w:r>
      <w:r>
        <w:rPr>
          <w:rFonts w:eastAsia="Amiri" w:cs="Amiri" w:ascii="Amiri" w:hAnsi="Amiri"/>
          <w:color w:val="111111"/>
          <w:sz w:val="28"/>
          <w:szCs w:val="28"/>
          <w:rtl w:val="true"/>
          <w:lang w:bidi="ar-SA"/>
        </w:rPr>
        <w:t xml:space="preserve">. </w:t>
      </w:r>
      <w:bookmarkStart w:id="428" w:name="pg10144_71434"/>
    </w:p>
    <w:p>
      <w:pPr>
        <w:pStyle w:val="Heading3"/>
        <w:numPr>
          <w:ilvl w:val="2"/>
          <w:numId w:val="1"/>
        </w:numPr>
        <w:rPr/>
      </w:pPr>
      <w:bookmarkStart w:id="429" w:name="__RefHeading___Toc1165695_1067777946"/>
      <w:bookmarkStart w:id="430" w:name="_Toc155"/>
      <w:bookmarkEnd w:id="428"/>
      <w:bookmarkEnd w:id="429"/>
      <w:r>
        <w:rPr/>
        <w:t>3</w:t>
      </w:r>
      <w:r>
        <w:rPr>
          <w:rtl w:val="true"/>
        </w:rPr>
        <w:t xml:space="preserve">. </w:t>
      </w:r>
      <w:r>
        <w:rPr>
          <w:rtl w:val="true"/>
        </w:rPr>
        <w:t>الفرق بين المسجود له والمسجود عليه</w:t>
      </w:r>
      <w:bookmarkEnd w:id="430"/>
    </w:p>
    <w:p>
      <w:pPr>
        <w:pStyle w:val="BookText"/>
        <w:rPr/>
      </w:pPr>
      <w:r>
        <w:rPr>
          <w:rFonts w:ascii="Amiri" w:hAnsi="Amiri" w:eastAsia="Amiri" w:cs="Amiri"/>
          <w:color w:val="111111"/>
          <w:sz w:val="28"/>
          <w:sz w:val="28"/>
          <w:szCs w:val="28"/>
          <w:rtl w:val="true"/>
          <w:lang w:bidi="ar-SA"/>
        </w:rPr>
        <w:t>كثيرا ما يتصوّر أنّ الالتزام بالسجود على الأرض أو ما أنبتت منها بدعة وتتخيّل التربة المسجود عليها وثنا ، وهؤلاء ، هم الذين لا يفرّقون بين المسجود له ، والمسجود عليه ، ويزعمون أنّ الحجر أو التربة الموضوعة أمام المصلّي وثن يعبده المصلّي بوضع الجبهة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عتب على الشيعة إذا قصر فهم المخالف ، ولم يفرّق بين الأمرين ، وزعم المسجود عليه مسجودا له ، وقاس أمر الموحّد بأمر المشرك بحجّة المشاركة في الظاهر ، فأخذ بالصور والظواهر ، مع أنّ الملاك هو الأخذ بالبواطن والضمائر ، فالوثن عند الوثني معبود ومسجود له ، يضعه أمامه ويركع ويسجد له ، ولكن الموحّد الذي يريد إظهار العبودية إلى نهاية مراتبها ، يخضع لله سبحانه ويسجد له ، ويضع جبهته ووجهه على التراب والحجر والرمال والحصى ، مظهرا بذلك مساواته معها عند التقييم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التراب وربّ الأرباب؟</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الساجد على التربة غير عابد لها ، بل يتذلّل إلى ربّه بالسجود عليها ، ومن توهّم عكس ذلك فهو من البلاهة بمكان ، وسيؤدي إلى إرباك كلّ المصلين </w:t>
      </w:r>
    </w:p>
    <w:p>
      <w:pPr>
        <w:pStyle w:val="BookText"/>
        <w:rPr/>
      </w:pPr>
      <w:r>
        <w:rPr>
          <w:rFonts w:ascii="Amiri" w:hAnsi="Amiri" w:eastAsia="Amiri" w:cs="Amiri"/>
          <w:color w:val="111111"/>
          <w:sz w:val="28"/>
          <w:sz w:val="28"/>
          <w:szCs w:val="28"/>
          <w:rtl w:val="true"/>
          <w:lang w:bidi="ar-SA"/>
        </w:rPr>
        <w:t>والحكم بشركهم ، فمن يسجد على الفرش والقماش وغيره لا بدّ أن يكون عابدا لها على هذا المنوال فيا للعجب العجاب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الآمدي عن علي أمير المؤمنين عليه السلام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الجسماني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عتائق الوجوه على التراب</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روى الصدوق عن أئمّة أهل البيت عليهم السلام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إقرار بالربوبية 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الوجه على الأرض كلّ يوم إعظام لله جلّ جلاله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وضع الذقن على الأرض تذلّل لله سبحانه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أُوتُوا الْعِلْمَ مِنْ قَبْلِهِ إِذا يُتْلى عَلَيْهِمْ يَخِرُّونَ لِلْأَذْقانِ سُجَّداً </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4"/>
      </w:r>
      <w:bookmarkStart w:id="431" w:name="pg10144_71436"/>
    </w:p>
    <w:p>
      <w:pPr>
        <w:pStyle w:val="Heading3"/>
        <w:numPr>
          <w:ilvl w:val="2"/>
          <w:numId w:val="1"/>
        </w:numPr>
        <w:rPr/>
      </w:pPr>
      <w:bookmarkStart w:id="432" w:name="__RefHeading___Toc1165697_1067777946"/>
      <w:bookmarkStart w:id="433" w:name="_Toc156"/>
      <w:bookmarkEnd w:id="431"/>
      <w:bookmarkEnd w:id="432"/>
      <w:r>
        <w:rPr/>
        <w:t>4</w:t>
      </w:r>
      <w:r>
        <w:rPr>
          <w:rtl w:val="true"/>
        </w:rPr>
        <w:t xml:space="preserve">. </w:t>
      </w:r>
      <w:r>
        <w:rPr>
          <w:rtl w:val="true"/>
        </w:rPr>
        <w:t>السجدة في اللغة</w:t>
      </w:r>
      <w:bookmarkEnd w:id="433"/>
    </w:p>
    <w:p>
      <w:pPr>
        <w:pStyle w:val="Heading4"/>
        <w:numPr>
          <w:ilvl w:val="3"/>
          <w:numId w:val="1"/>
        </w:numPr>
        <w:rPr/>
      </w:pPr>
      <w:bookmarkStart w:id="434" w:name="__RefHeading___Toc1165699_1067777946"/>
      <w:bookmarkStart w:id="435" w:name="_Toc157"/>
      <w:bookmarkEnd w:id="434"/>
      <w:r>
        <w:rPr>
          <w:rtl w:val="true"/>
        </w:rPr>
        <w:t>اشارة</w:t>
      </w:r>
      <w:bookmarkEnd w:id="435"/>
    </w:p>
    <w:p>
      <w:pPr>
        <w:pStyle w:val="BookText"/>
        <w:rPr/>
      </w:pPr>
      <w:r>
        <w:rPr>
          <w:rFonts w:ascii="Amiri" w:hAnsi="Amiri" w:eastAsia="Amiri" w:cs="Amiri"/>
          <w:color w:val="111111"/>
          <w:sz w:val="28"/>
          <w:sz w:val="28"/>
          <w:szCs w:val="28"/>
          <w:rtl w:val="true"/>
          <w:lang w:bidi="ar-SA"/>
        </w:rPr>
        <w:t xml:space="preserve">لا شكّ انّ السجود من فرائض الصلاة ، وقد روى الفريقان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أن أسجد على سبعة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الجبهة واليدين والركبتين وأطراف القدمين</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ومع ذلك فإنّ حقيقة السجدة وواقعها ومقومها هو وضع الجبهة على الأرض ، وأمّا الباقون فأشبه بالشرائط ويدلّ على ذلك قول أصحاب المعاجم حيث لا يذكرون في تعريف السجدة إلاّ وضع الجبهة على الأرض فكأنّ غيرها من شرائط السجدة التي فرضها الشارع وأضافها إلى حقيقتها اللغوية والعرفية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منظور ناقلا عن ابن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 يسجد سجودا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جبهته بالأرض ، وقوم سجد وسجود</w:t>
      </w:r>
      <w:r>
        <w:rPr>
          <w:rFonts w:eastAsia="Amiri" w:cs="Amiri" w:ascii="Amiri" w:hAnsi="Amiri"/>
          <w:color w:val="111111"/>
          <w:sz w:val="28"/>
          <w:szCs w:val="28"/>
          <w:rtl w:val="true"/>
          <w:lang w:bidi="ar-SA"/>
        </w:rPr>
        <w:t xml:space="preserve">. </w:t>
      </w:r>
      <w:r>
        <w:rPr>
          <w:rStyle w:val="FootnoteAnchor"/>
          <w:rtl w:val="true"/>
        </w:rPr>
        <w:footnoteReference w:id="466"/>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سجود الصلاة ، وهو وضع الجبهة على الأرض ، ولا خضوع أعظم منه</w:t>
      </w:r>
      <w:r>
        <w:rPr>
          <w:rFonts w:eastAsia="Amiri" w:cs="Amiri" w:ascii="Amiri" w:hAnsi="Amiri"/>
          <w:color w:val="111111"/>
          <w:sz w:val="28"/>
          <w:szCs w:val="28"/>
          <w:rtl w:val="true"/>
          <w:lang w:bidi="ar-SA"/>
        </w:rPr>
        <w:t xml:space="preserve">. </w:t>
      </w:r>
      <w:r>
        <w:rPr>
          <w:rStyle w:val="FootnoteAnchor"/>
          <w:rtl w:val="true"/>
        </w:rPr>
        <w:footnoteReference w:id="467"/>
      </w:r>
      <w:bookmarkStart w:id="436" w:name="pg10144_71437"/>
    </w:p>
    <w:p>
      <w:pPr>
        <w:pStyle w:val="BookText"/>
        <w:rPr/>
      </w:pPr>
      <w:bookmarkEnd w:id="436"/>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من جواهر القاموس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خضع ، ومنه سجود الصلاة وهو وضع الجبهة على الأرض ، ولا خضوع أعظم منه ، والاسم ، 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وهذه الكلمات من أصحاب المعاجم ونظائرها المبثوثة في كتب اللغة ، تعرب عن أنّ حقيقة السجدة وواقعها ومقومها هو وضع الجبهة على الأرض ، ولو لا انّ النبي فرض السجود على سبعة أعظم لكفى وضع الجبهة على الأرض ، ولكنّه صلى الله عليه وآله وسلم أضاف إلى الوضع أمورا أخرى ، فصار الواجب السجود على سبعة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كذلك فلا غرو في أن يختص وضع الجبهة بشرط خاص دون سائر الأعضاء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اشتراط كون المسجود عليه هو الأرض أو ما ينبت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السجود على غيرها دون سائر الأعضاء</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1165701_1067777946"/>
      <w:bookmarkStart w:id="438" w:name="_Toc158"/>
      <w:bookmarkEnd w:id="437"/>
      <w:r>
        <w:rPr>
          <w:rtl w:val="true"/>
        </w:rPr>
        <w:t>سرّ كشف الجبهة في السجدة</w:t>
      </w:r>
      <w:bookmarkEnd w:id="438"/>
    </w:p>
    <w:p>
      <w:pPr>
        <w:pStyle w:val="BookText"/>
        <w:rPr/>
      </w:pPr>
      <w:r>
        <w:rPr>
          <w:rFonts w:ascii="Amiri" w:hAnsi="Amiri" w:eastAsia="Amiri" w:cs="Amiri"/>
          <w:color w:val="111111"/>
          <w:sz w:val="28"/>
          <w:sz w:val="28"/>
          <w:szCs w:val="28"/>
          <w:rtl w:val="true"/>
          <w:lang w:bidi="ar-SA"/>
        </w:rPr>
        <w:t>والذي يعرب عن ذلك انّ معظم فقهاء السنّة ذهبوا إلى لزوم كشف الجبهة دون سائر الأعضاء ، فلو كان لسائر الأعضاء دور في حقيقة السجدة كالجبهة ، لكان حكمها حكم الجبهة مع أنّ الواقع خلافه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مختصر أبي القاسم الخرقي وشرحه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تجب عليه مباشرة المصلّي بشيء منها إلاّ الجبهة على إحدى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رواية أخرى انّه يجب عليه مباشرة المصلّي بالجبهة ذكرها أبو الخطاب وروى الأثرم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عن السجود على كور العمامة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يسجد على كورها ولكن يحسر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p>
    <w:p>
      <w:pPr>
        <w:pStyle w:val="BookText"/>
        <w:rPr/>
      </w:pPr>
      <w:r>
        <w:rPr>
          <w:rFonts w:ascii="Amiri" w:hAnsi="Amiri" w:eastAsia="Amiri" w:cs="Amiri"/>
          <w:color w:val="111111"/>
          <w:sz w:val="28"/>
          <w:sz w:val="28"/>
          <w:szCs w:val="28"/>
          <w:rtl w:val="true"/>
          <w:lang w:bidi="ar-SA"/>
        </w:rPr>
        <w:t>مذهب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روى خباب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شكونا إلى رسول الله صلى الله عليه وآله وسلم حرّ الرمضاء في جباهنا وأكفنا فلم يشكنا ـ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أحدكم يصلي فليحسر العمامة عن جبهته ، رواه البيهقي</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كشف الجبهة في السجود لما روي عن خباب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شكونا إلى رسول الله صلى الله عليه وآله وسلم حرّ الرمضاء في جباهنا وأكفّنا فلم يشكنا ، أي لم يزل شكوانا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كشف الجميع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ما يقع عليه الاسم كما في الوضع ، ويجب أن يكون المكشوف من الموضوع على الأرض ، فلو كشف شيئا ووضع غيره لم يجز ، وإنّما يحصل الكشف إذا لم يكن بينه وبين موضع السجود حائل متصل به يرتفع بارتفاعه ، فلو سجد على طرفه أو كور عمامته لم يجز ، لأنّه لم يباشر بجبهته موضع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حديث خباب ، وأيضا روي أنّه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الزق جبهتك بالأرض</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أيضا هل من شرط السجود أن تكون يد الساجد بارزة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مكشوفة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وموضوعة على الذي يوضع عليه الوجه ، أم ليس ذلك من شرطه؟</w:t>
      </w:r>
    </w:p>
    <w:p>
      <w:pPr>
        <w:pStyle w:val="BookText"/>
        <w:rPr/>
      </w:pPr>
      <w:r>
        <w:rPr>
          <w:rFonts w:ascii="Amiri" w:hAnsi="Amiri" w:eastAsia="Amiri" w:cs="Amiri"/>
          <w:color w:val="111111"/>
          <w:sz w:val="28"/>
          <w:sz w:val="28"/>
          <w:szCs w:val="28"/>
          <w:rtl w:val="true"/>
          <w:lang w:bidi="ar-SA"/>
        </w:rPr>
        <w:t xml:space="preserve">وقال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شرط السجود أحسبه شرط تمامه</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وقال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من شرط السجود</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اختلافهم في السجود على طاقات العمامة وللناس فيه </w:t>
      </w:r>
    </w:p>
    <w:p>
      <w:pPr>
        <w:pStyle w:val="BookText"/>
        <w:rPr/>
      </w:pPr>
      <w:r>
        <w:rPr>
          <w:rFonts w:ascii="Amiri" w:hAnsi="Amiri" w:eastAsia="Amiri" w:cs="Amiri"/>
          <w:color w:val="111111"/>
          <w:sz w:val="28"/>
          <w:sz w:val="28"/>
          <w:szCs w:val="28"/>
          <w:rtl w:val="true"/>
          <w:lang w:bidi="ar-SA"/>
        </w:rPr>
        <w:t xml:space="preserve">ثلاثة مذاهب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بالمنع ، وقول بالجواز ، وقول بالفرق بين أن يسجد على طاقات يسيرة من العمامة أو كثيرة ، وقول بالفرق بين أن يمس من جبهته الأرض شيء أو لا يمس منها</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القفال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على جبهته عصابة لعلة بها فسجد عليها أجزأ ولا إعادة عليه ، ومن أصحابنا خرّج فيه قولا آخر في وجوب الإعادة من المسح على الجبيرة</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على المذاهب الأربعة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الشافعية ـ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 السجود على كور العمامة ونحوها كالعصابة إذا ستر كلّ الجبهة ، فلو لم يسجد على جبهته المكشوفة بطلت صلاته إن كان عامدا عالما إلاّ لعذر كأن كان به جراحة وخاف من نزع العصابة حصول مشقة شديدة ، فإنّ سجوده عليها في هذه الحالة صحيح</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الظاهر انّ سرّ لزوم كشف الجبهة لأجل إلصاق الجبهة المكشوفة بالصعيد حتّى يبلغ المصلّي منتهى الخضوع والعبودية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انّ هؤلاء خصّوا كشف الجبهة بعدم وجود حاجز عليها يمنعها من السجود ككور العمامة وطاقاتها والعصابة وبالرغم من ذلك فقد سوغوا السجدة على السجاد والفرش</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أبطلوا سرّ لزوم كشف الجبهة وفائدته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فعندئذ يتوجه إليهم السؤال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السجدة على الفرش والسجاد جائزة ، فأي فرق بين السجود عليها والسجود على العصابة وكور 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التفريق بين الأمرين أمر غريب ، فإنّ العصابة أو العمامة منسوج كالفرش والسجاد ، وكون العمامة وأجزائها ممّا يحمله المصلّي دون الفرش والسجاد لا يوجب الفرق بعد اشتراكهما في تحقّق السجدة على 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إذا قلنا بأنّ سرّ الكشف هو لصوق الجبهة بالصعيد ، فعندئذ لا يكون أي فرق بين العصابة والسجاد</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ذلك ذهب علماؤنا أجمع ، 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إبراز الجبهة للسجود ، على ما يصحّ عليه السجود</w:t>
      </w:r>
      <w:r>
        <w:rPr>
          <w:rFonts w:eastAsia="Amiri" w:cs="Amiri" w:ascii="Amiri" w:hAnsi="Amiri"/>
          <w:color w:val="111111"/>
          <w:sz w:val="28"/>
          <w:szCs w:val="28"/>
          <w:rtl w:val="true"/>
          <w:lang w:bidi="ar-SA"/>
        </w:rPr>
        <w:t xml:space="preserve">. </w:t>
      </w:r>
      <w:r>
        <w:rPr>
          <w:rStyle w:val="FootnoteAnchor"/>
          <w:rtl w:val="true"/>
        </w:rPr>
        <w:footnoteReference w:id="475"/>
      </w:r>
      <w:bookmarkStart w:id="439" w:name="pg10144_71441"/>
    </w:p>
    <w:p>
      <w:pPr>
        <w:pStyle w:val="Heading3"/>
        <w:numPr>
          <w:ilvl w:val="2"/>
          <w:numId w:val="1"/>
        </w:numPr>
        <w:rPr/>
      </w:pPr>
      <w:bookmarkStart w:id="440" w:name="__RefHeading___Toc1165703_1067777946"/>
      <w:bookmarkStart w:id="441" w:name="_Toc159"/>
      <w:bookmarkEnd w:id="439"/>
      <w:bookmarkEnd w:id="440"/>
      <w:r>
        <w:rPr/>
        <w:t>5</w:t>
      </w:r>
      <w:r>
        <w:rPr>
          <w:rtl w:val="true"/>
        </w:rPr>
        <w:t xml:space="preserve">. </w:t>
      </w:r>
      <w:r>
        <w:rPr>
          <w:rtl w:val="true"/>
        </w:rPr>
        <w:t>السجود</w:t>
      </w:r>
      <w:bookmarkEnd w:id="441"/>
    </w:p>
    <w:p>
      <w:pPr>
        <w:pStyle w:val="Heading4"/>
        <w:numPr>
          <w:ilvl w:val="3"/>
          <w:numId w:val="1"/>
        </w:numPr>
        <w:rPr/>
      </w:pPr>
      <w:bookmarkStart w:id="442" w:name="__RefHeading___Toc1165705_1067777946"/>
      <w:bookmarkStart w:id="443" w:name="_Toc160"/>
      <w:bookmarkEnd w:id="442"/>
      <w:r>
        <w:rPr>
          <w:rtl w:val="true"/>
        </w:rPr>
        <w:t>في عصر الرسول صلى الله عليه وآله وسلم وبعده</w:t>
      </w:r>
      <w:bookmarkEnd w:id="443"/>
    </w:p>
    <w:p>
      <w:pPr>
        <w:pStyle w:val="BookText"/>
        <w:rPr/>
      </w:pPr>
      <w:r>
        <w:rPr>
          <w:rFonts w:ascii="Amiri" w:hAnsi="Amiri" w:eastAsia="Amiri" w:cs="Amiri"/>
          <w:color w:val="111111"/>
          <w:sz w:val="28"/>
          <w:sz w:val="28"/>
          <w:szCs w:val="28"/>
          <w:rtl w:val="true"/>
          <w:lang w:bidi="ar-SA"/>
        </w:rPr>
        <w:t>إنّ النبي الأكرم صلى الله عليه وآله وسلم وصحبه كانوا ملتزمين بالسجود على الأرض مدّة لا يستهان بها ، متحمّلين شدّة الرمضاء ، وغبار التراب ، ورطوبة الطين ، طيلة أعوام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يسجد أحد يوم ذاك على الثوب وكور العمامة بل ولا على الحصر والبواري والخمر ، ولا على الفرش والسجاد ، وأقصى ما كان عندهم لرفع الأذى عن الجبهة ، هو تبريد الحصى بأكفّهم ثمّ السجود عليها ، وقد شكا بعضهم رسول الله صلى الله عليه وآله وسلم من شدّة الحرّ ، فلم يجبه ، إذ لم يكن له صلى الله عليه وآله وسلم أن يبدّل الأمر الإلهي من تلقاء نفسه ، إلى أن وردت الرخصة بالسجود على الخمر والحصر ، فوسّع الأمر للمسلمين لكن في إطار محدود ، وعلى ضوء هذا فقد مرّت في ذلك الوقت على المسلمين مراحل ثلاث لا غير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كان الواجب فيها على المسلمين السجود على الأرض بأنواعها المختلفة من التراب والرمل والحصى والطين ، ولم تكن هناك أيّة رخصة لغيرها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المرحلة التي ورد فيها الرخصة بالسجود على نبات الأرض من الحصر </w:t>
      </w:r>
      <w:bookmarkStart w:id="444" w:name="pg10144_71442"/>
    </w:p>
    <w:p>
      <w:pPr>
        <w:pStyle w:val="BookText"/>
        <w:rPr/>
      </w:pPr>
      <w:bookmarkEnd w:id="444"/>
      <w:r>
        <w:rPr>
          <w:rFonts w:ascii="Amiri" w:hAnsi="Amiri" w:eastAsia="Amiri" w:cs="Amiri"/>
          <w:color w:val="111111"/>
          <w:sz w:val="28"/>
          <w:sz w:val="28"/>
          <w:szCs w:val="28"/>
          <w:rtl w:val="true"/>
          <w:lang w:bidi="ar-SA"/>
        </w:rPr>
        <w:t>والبواري والخمر ، تسهيلا للأمر ، ورفعا للحرج والمشقّة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المرحلة التي رخّص فيها السجود على الثياب اضطرارا وفي حال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البيان </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1165707_1067777946"/>
      <w:bookmarkStart w:id="446" w:name="_Toc161"/>
      <w:bookmarkEnd w:id="445"/>
      <w:r>
        <w:rPr>
          <w:rtl w:val="true"/>
        </w:rPr>
        <w:t>المرحلة الأولى</w:t>
      </w:r>
      <w:r>
        <w:rPr>
          <w:rtl w:val="true"/>
        </w:rPr>
        <w:t xml:space="preserve">: </w:t>
      </w:r>
      <w:r>
        <w:rPr>
          <w:rtl w:val="true"/>
        </w:rPr>
        <w:t>السجود على الأرض</w:t>
      </w:r>
      <w:bookmarkEnd w:id="446"/>
    </w:p>
    <w:p>
      <w:pPr>
        <w:pStyle w:val="Heading5"/>
        <w:numPr>
          <w:ilvl w:val="4"/>
          <w:numId w:val="1"/>
        </w:numPr>
        <w:rPr/>
      </w:pPr>
      <w:bookmarkStart w:id="447" w:name="__RefHeading___Toc1165709_1067777946"/>
      <w:bookmarkStart w:id="448" w:name="_Toc162"/>
      <w:bookmarkEnd w:id="447"/>
      <w:r>
        <w:rPr>
          <w:rtl w:val="true"/>
        </w:rPr>
        <w:t>اشارة</w:t>
      </w:r>
      <w:bookmarkEnd w:id="4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الفريقان عن النبيّ الأكرم صلى الله عليه وآله وسلم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وجعلت لي الأرض مسجدا وطهورا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والمتبادر من الحديث أنّ كلّ جزء من الأرض مسجد وطهور يسجد عليه ويقصد للتيمّم ، وعلى ذلك فالأرض تقصد للجهتين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للسجود تارة ، وللتيمّم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الحديث يثبت بجلاء انّ وجه الأرض ، ترابا كان أو صخرا أو حصى هو الأصل في السجود وهو الذي يجب أن يتخذ موضعا للسجود ولا يجوز التعدي عن ذلك إلاّ بدليل آخر</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تفسير الرواية بأنّ العبادة والسجود لله سبحانه لا يختص بمكان دون مكان ، بل الأرض كلّها مسجد للمسلمين بخلاف غيرهم حيث خصّوا العبادة بالبيع والكنائس ، فليس هذا المعنى مغايرا لما ذكرناه ، فإنّه إذا كانت الأرض على وجه الإطلاق مسجدا للمصلّي فيكون لازمه كون الأرض كلّها صالحة للعبادة ، فما </w:t>
      </w:r>
      <w:bookmarkStart w:id="449" w:name="pg10144_71443"/>
    </w:p>
    <w:p>
      <w:pPr>
        <w:pStyle w:val="BookText"/>
        <w:rPr/>
      </w:pPr>
      <w:bookmarkEnd w:id="449"/>
      <w:r>
        <w:rPr>
          <w:rFonts w:ascii="Amiri" w:hAnsi="Amiri" w:eastAsia="Amiri" w:cs="Amiri"/>
          <w:color w:val="111111"/>
          <w:sz w:val="28"/>
          <w:sz w:val="28"/>
          <w:szCs w:val="28"/>
          <w:rtl w:val="true"/>
          <w:lang w:bidi="ar-SA"/>
        </w:rPr>
        <w:t xml:space="preserve">ذكر معنى التزامي لما ذكرناه ، ويعرب عن كونه المراد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وجعلهما مفعولين 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والنتيجة هي توصيف الأرض بوصفين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مسجدا وكونها طهورا ، وهذا هو الذي فهمه الجصاص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جعله من الأرض مسجدا ، هو الذي جعله طهورا</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ومثله غيره من شرّاح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التربة والحصى طهورا فهي أيضا مسجود عليه للمصلّي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فالحصر حجّة إلى أن يدلّ دليل على الخروج عنه</w:t>
      </w:r>
      <w:r>
        <w:rPr>
          <w:rFonts w:eastAsia="Amiri" w:cs="Amiri" w:ascii="Amiri" w:hAnsi="Amiri"/>
          <w:color w:val="111111"/>
          <w:sz w:val="28"/>
          <w:szCs w:val="28"/>
          <w:rtl w:val="true"/>
          <w:lang w:bidi="ar-SA"/>
        </w:rPr>
        <w:t>.</w:t>
      </w:r>
    </w:p>
    <w:p>
      <w:pPr>
        <w:pStyle w:val="Heading5"/>
        <w:numPr>
          <w:ilvl w:val="4"/>
          <w:numId w:val="1"/>
        </w:numPr>
        <w:rPr/>
      </w:pPr>
      <w:bookmarkStart w:id="450" w:name="__RefHeading___Toc1165711_1067777946"/>
      <w:bookmarkStart w:id="451" w:name="_Toc163"/>
      <w:bookmarkEnd w:id="450"/>
      <w:r>
        <w:rPr>
          <w:rtl w:val="true"/>
        </w:rPr>
        <w:t>تبريد الحصى للسجود عليها</w:t>
      </w:r>
      <w:bookmarkEnd w:id="45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جابر بن عبد الله الأنصاري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أصلّي مع النبيّ صلى الله عليه وآله وسلم الظهر ، فآخذ قبضة من الحصى ، فأجعلها في كفّي ثمّ أحوّلها إلى الكف الأخرى حتى تبرد ثمّ أضعها لجبيني ، حتّى أسجد عليها من شدّة الحرّ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وعلّق عليه البيهقي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جاز السجود على ثوب متّصل به لكان ذلك أسهل من تبريد الحصى بالكف ووضعها للسجود</w:t>
      </w:r>
      <w:r>
        <w:rPr>
          <w:rFonts w:eastAsia="Amiri" w:cs="Amiri" w:ascii="Amiri" w:hAnsi="Amiri"/>
          <w:color w:val="111111"/>
          <w:sz w:val="28"/>
          <w:szCs w:val="28"/>
          <w:rtl w:val="true"/>
          <w:lang w:bidi="ar-SA"/>
        </w:rPr>
        <w:t xml:space="preserve">. </w:t>
      </w:r>
      <w:r>
        <w:rPr>
          <w:rStyle w:val="FootnoteAnchor"/>
          <w:rtl w:val="true"/>
        </w:rPr>
        <w:footnoteReference w:id="477"/>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السجود على مطلق الثياب سواء كان متصلا أم منفصلا جائزا ، لكان أسهل من تبريد الحصى ، ولأمكن حمل منديل أو سجّادة أو ما شابه للسجود عليه</w:t>
      </w:r>
      <w:r>
        <w:rPr>
          <w:rFonts w:eastAsia="Amiri" w:cs="Amiri" w:ascii="Amiri" w:hAnsi="Amiri"/>
          <w:color w:val="111111"/>
          <w:sz w:val="28"/>
          <w:szCs w:val="28"/>
          <w:rtl w:val="true"/>
          <w:lang w:bidi="ar-SA"/>
        </w:rPr>
        <w:t xml:space="preserve">. </w:t>
      </w:r>
      <w:bookmarkStart w:id="452" w:name="pg10144_71444"/>
    </w:p>
    <w:p>
      <w:pPr>
        <w:pStyle w:val="BookText"/>
        <w:rPr/>
      </w:pPr>
      <w:bookmarkEnd w:id="45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صلى الله عليه وآله وسلم في شدّة الحرّ ، فيأخذ أحدنا الحصباء في يده فإذا برد وضعه وسجد عليه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خباب بن الأرت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شكونا إلى رسول الله صلى الله عليه وآله وسلم شدّة الرمضاء في جباهنا وأكفّنا فلم يشكنا</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قال ابن الأثير في معنى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لمّا شكوا إليه ما يجدون من ذلك ، لم يفسح لهم أن يسجدوا على طرف ثيابهم</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هذه المأثورات تعرب عن أنّ السنّة في الصلاة كانت جارية على السجود على الأرض فقط ، حتّى أنّ الرسول صلى الله عليه وآله وسلم لم يفسح للمسلمين العدول عنها إلى الثياب المتّصلة أو المنسوجات المنفصلة ، وهو صلى الله عليه وآله وسلم مع كونه بالمؤمنين رءوفا رحيما أوجب عليهم مسّ جباههم الأرض ، وإن آذتهم شدّة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يعرب عن التزام المسلمين بالسجود على الأرض ، وعن إصرار النبي الأكرم صلى الله عليه وآله وسلم بوضع الجبهة عليها لا على الثياب المتّصلة ككور العمامة أو المنفصلة كالمناديل والسجاجيد ، ما روي من حديث الأمر بالتتريب في غير واحدة من الروايات ، وإليك البيان</w:t>
      </w:r>
      <w:r>
        <w:rPr>
          <w:rFonts w:eastAsia="Amiri" w:cs="Amiri" w:ascii="Amiri" w:hAnsi="Amiri"/>
          <w:color w:val="111111"/>
          <w:sz w:val="28"/>
          <w:szCs w:val="28"/>
          <w:rtl w:val="true"/>
          <w:lang w:bidi="ar-SA"/>
        </w:rPr>
        <w:t>.</w:t>
      </w:r>
    </w:p>
    <w:p>
      <w:pPr>
        <w:pStyle w:val="Heading5"/>
        <w:numPr>
          <w:ilvl w:val="4"/>
          <w:numId w:val="1"/>
        </w:numPr>
        <w:rPr/>
      </w:pPr>
      <w:bookmarkStart w:id="453" w:name="__RefHeading___Toc1165713_1067777946"/>
      <w:bookmarkStart w:id="454" w:name="_Toc164"/>
      <w:bookmarkEnd w:id="453"/>
      <w:r>
        <w:rPr>
          <w:rtl w:val="true"/>
        </w:rPr>
        <w:t>الأمر بالتتريب</w:t>
      </w:r>
      <w:bookmarkEnd w:id="45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خالد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النبيّ صلى الله عليه وآله وسلم صهيبا يسجد كأنّه يتّقي التراب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ترّب وجهك يا صهيب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455" w:name="pg10144_71445"/>
    </w:p>
    <w:p>
      <w:pPr>
        <w:pStyle w:val="BookText"/>
        <w:rPr/>
      </w:pPr>
      <w:bookmarkEnd w:id="455"/>
      <w:r>
        <w:rPr>
          <w:rFonts w:ascii="Amiri" w:hAnsi="Amiri" w:eastAsia="Amiri" w:cs="Amiri"/>
          <w:color w:val="111111"/>
          <w:sz w:val="28"/>
          <w:sz w:val="28"/>
          <w:szCs w:val="28"/>
          <w:rtl w:val="true"/>
          <w:lang w:bidi="ar-SA"/>
        </w:rPr>
        <w:t>والظاهر أنّ صهيبا كان يتّقي عن التتريب ، بالسجود على الثوب المتّصل والمنفصل ، ولا أقل بالسجود على الحصر والبواري والأحجار الصافية ، وعلى كلّ تقدير ، فالحديث شاهد على أفضليّة السجود على التراب في مقابل السجود على الحصى لما مرّ من جواز السجدة على الحصى في مقابل السجود على غير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النبي صلى الله عليه وآله وسلم غلاما لنا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ينفخ إذا سجد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أفلح ترّب </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رباح ترّب وجهك </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أبو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 سلمة ، فدخل عليها ابن أخ لها فصلّى في بيتها ركعتين ، فلمّا سجد نفخ التراب ، 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 لا تنفخ ، فإنّي سمعت رسول الله صلى الله عليه وآله وسلم يقول لغلام له يقال له يسار ـ ونفخ 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ترّب وجهك لله </w:t>
      </w:r>
      <w:r>
        <w:rPr>
          <w:rFonts w:eastAsia="Amiri" w:cs="Amiri" w:ascii="Amiri" w:hAnsi="Amiri"/>
          <w:color w:val="111111"/>
          <w:sz w:val="28"/>
          <w:szCs w:val="28"/>
          <w:rtl w:val="true"/>
          <w:lang w:bidi="ar-SA"/>
        </w:rPr>
        <w:t xml:space="preserve">». </w:t>
      </w:r>
      <w:r>
        <w:rPr>
          <w:rStyle w:val="FootnoteAnchor"/>
          <w:rtl w:val="true"/>
        </w:rPr>
        <w:footnoteReference w:id="483"/>
      </w:r>
    </w:p>
    <w:p>
      <w:pPr>
        <w:pStyle w:val="Heading5"/>
        <w:numPr>
          <w:ilvl w:val="4"/>
          <w:numId w:val="1"/>
        </w:numPr>
        <w:rPr/>
      </w:pPr>
      <w:bookmarkStart w:id="456" w:name="__RefHeading___Toc1165715_1067777946"/>
      <w:bookmarkStart w:id="457" w:name="_Toc165"/>
      <w:bookmarkEnd w:id="456"/>
      <w:r>
        <w:rPr>
          <w:rtl w:val="true"/>
        </w:rPr>
        <w:t>الأمر بحسر العمامة عن الجبهة</w:t>
      </w:r>
      <w:bookmarkEnd w:id="457"/>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وسلم كان إذا سجد رفع العمامة عن جبهته</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علي أمير المؤمنين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أحدكم يصلّي فليحسر العمامة عن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حتّى لا يسجد على كور العمامة</w:t>
      </w:r>
      <w:r>
        <w:rPr>
          <w:rFonts w:eastAsia="Amiri" w:cs="Amiri" w:ascii="Amiri" w:hAnsi="Amiri"/>
          <w:color w:val="111111"/>
          <w:sz w:val="28"/>
          <w:szCs w:val="28"/>
          <w:rtl w:val="true"/>
          <w:lang w:bidi="ar-SA"/>
        </w:rPr>
        <w:t xml:space="preserve">. </w:t>
      </w:r>
      <w:r>
        <w:rPr>
          <w:rStyle w:val="FootnoteAnchor"/>
          <w:rtl w:val="true"/>
        </w:rPr>
        <w:footnoteReference w:id="485"/>
      </w:r>
      <w:bookmarkStart w:id="458" w:name="pg10144_71446"/>
    </w:p>
    <w:p>
      <w:pPr>
        <w:pStyle w:val="BookText"/>
        <w:rPr/>
      </w:pPr>
      <w:bookmarkEnd w:id="458"/>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صالح بن حيوان السبائي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وسلم رأى رجلا يسجد بجنبه وقد اعتمّ على جبهته فحسر رسول الله صلى الله عليه وآله وسلم عن جبهته</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عياض بن عبد الله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رسول الله صلى الله عليه وآله وسلم رجلا يسجد على كور عمامته فأومأ بيده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ارفع عمامتك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وأومأ إلى جبهته</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هذه الروايات تكشف عن أنّه لم يكن للمسلمين يوم ذاك تكليف إلاّ السجود على الأرض ، ولم يكن هناك أي رخصة سوى تبريد الحصى ، ولو كان هناك ترخيص لما فعلوا ذلك ، ولما أمر النبي صلى الله عليه وآله وسلم بالتتريب ، ولما حسر العمامة عن الجبهة</w:t>
      </w:r>
      <w:r>
        <w:rPr>
          <w:rFonts w:eastAsia="Amiri" w:cs="Amiri" w:ascii="Amiri" w:hAnsi="Amiri"/>
          <w:color w:val="111111"/>
          <w:sz w:val="28"/>
          <w:szCs w:val="28"/>
          <w:rtl w:val="true"/>
          <w:lang w:bidi="ar-SA"/>
        </w:rPr>
        <w:t>.</w:t>
      </w:r>
    </w:p>
    <w:p>
      <w:pPr>
        <w:pStyle w:val="Heading5"/>
        <w:numPr>
          <w:ilvl w:val="4"/>
          <w:numId w:val="1"/>
        </w:numPr>
        <w:rPr/>
      </w:pPr>
      <w:bookmarkStart w:id="459" w:name="__RefHeading___Toc1165717_1067777946"/>
      <w:bookmarkStart w:id="460" w:name="_Toc166"/>
      <w:bookmarkEnd w:id="459"/>
      <w:r>
        <w:rPr>
          <w:rtl w:val="true"/>
        </w:rPr>
        <w:t>سيرة النبي في السجود</w:t>
      </w:r>
      <w:bookmarkEnd w:id="460"/>
    </w:p>
    <w:p>
      <w:pPr>
        <w:pStyle w:val="BookText"/>
        <w:rPr/>
      </w:pPr>
      <w:r>
        <w:rPr>
          <w:rFonts w:ascii="Amiri" w:hAnsi="Amiri" w:eastAsia="Amiri" w:cs="Amiri"/>
          <w:color w:val="111111"/>
          <w:sz w:val="28"/>
          <w:sz w:val="28"/>
          <w:szCs w:val="28"/>
          <w:rtl w:val="true"/>
          <w:lang w:bidi="ar-SA"/>
        </w:rPr>
        <w:t xml:space="preserve">يظهر من غير واحد من الروايات انّ النبي كان يهتم بالسجود على الأرض وإليك نماذج من هذا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وائل 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النبي صلى الله عليه وآله وسلم إذا سجد وضع جبهته وأنفه على الأرض </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صلى الله عليه وآله وسلم سجد على الحجر</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رسول الله صلى الله عليه وآله وسلم متقيا وجهه بشيء </w:t>
      </w:r>
      <w:r>
        <w:rPr>
          <w:rFonts w:eastAsia="Amiri" w:cs="Amiri" w:ascii="Amiri" w:hAnsi="Amiri"/>
          <w:color w:val="111111"/>
          <w:sz w:val="28"/>
          <w:szCs w:val="28"/>
          <w:rtl w:val="true"/>
          <w:lang w:bidi="ar-SA"/>
        </w:rPr>
        <w:t xml:space="preserve">». </w:t>
      </w:r>
      <w:r>
        <w:rPr>
          <w:rStyle w:val="FootnoteAnchor"/>
          <w:rtl w:val="true"/>
        </w:rPr>
        <w:footnoteReference w:id="490"/>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إشارة إلى أنّ مباشرة الأرض عند السجود هو </w:t>
      </w:r>
    </w:p>
    <w:p>
      <w:pPr>
        <w:pStyle w:val="BookText"/>
        <w:rPr/>
      </w:pPr>
      <w:r>
        <w:rPr>
          <w:rFonts w:ascii="Amiri" w:hAnsi="Amiri" w:eastAsia="Amiri" w:cs="Amiri"/>
          <w:color w:val="111111"/>
          <w:sz w:val="28"/>
          <w:sz w:val="28"/>
          <w:szCs w:val="28"/>
          <w:rtl w:val="true"/>
          <w:lang w:bidi="ar-SA"/>
        </w:rPr>
        <w:t>الأصل ، لأنّه علق بعدم الاستطاعة</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وهذا الحديث يعرب عن جواز السجود على الثياب عند الضرورة وعدم جوازه في حال الاختيار ، وهذا هو المروي عن أئمّة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عيينة بباع القصب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أدخل في المسجد في اليوم الشديد الحرّ فأكره أنّ أصلي على الحصى فأبسط ثوبي فأسجد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به بأس</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وعن القاسم بن الفضيل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الرجل يسجد على كمه من أذى الحرّ والبرد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إنّ هناك أحاديث وروايات تعرب عن أنّ النبي صلى الله عليه وآله وسلم كان يسجد على الطين والأرض في البرد القارص ، وكان يصلي في كساء يتقي به برد الأرض بيده ورجله دون جبهته ، وإليك ما يدلّ على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وائل بن حجر رأيت رسول الله صلى الله عليه وآله وسلم يصلّي في كساء أبيض في غداة باردة يتقي بالكساء برد الأرض بيده ورجله</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ثابت بن صامت انّ رسول الله صلّى في بني عبد الأشهل وعليه كساء متلفف به يضع يديه عليه يقي برد الحصى</w:t>
      </w:r>
      <w:r>
        <w:rPr>
          <w:rFonts w:eastAsia="Amiri" w:cs="Amiri" w:ascii="Amiri" w:hAnsi="Amiri"/>
          <w:color w:val="111111"/>
          <w:sz w:val="28"/>
          <w:szCs w:val="28"/>
          <w:rtl w:val="true"/>
          <w:lang w:bidi="ar-SA"/>
        </w:rPr>
        <w:t xml:space="preserve">. </w:t>
      </w:r>
      <w:r>
        <w:rPr>
          <w:rStyle w:val="FootnoteAnchor"/>
          <w:rtl w:val="true"/>
        </w:rPr>
        <w:footnoteReference w:id="495"/>
      </w:r>
      <w:bookmarkStart w:id="461" w:name="pg10144_71448"/>
    </w:p>
    <w:p>
      <w:pPr>
        <w:pStyle w:val="BookText"/>
        <w:rPr/>
      </w:pPr>
      <w:bookmarkEnd w:id="46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رسول الله صلى الله عليه وآله وسلم في يوم مطير حتّى أنّي لأنظر إلى أثر ذلك في جبهته وأرنبته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هذه الروايات ونظائرها تعرب عن عمل النبي في سجدته في يوم مطير والبرد وانّه كان يسجد تارة على الطين ولم يقي وجهه بشيء ، وأخرى وقى يديه من دون تعرض للوجه مع أنّ تدقيق الرواة في بيان عمل النبي في اتقاء يديه بالكساء عن البرد والطين وتركهم ذكر الجبهة يكشف عن أنّه لم يبق وجهه بشيء وإلاّ لذكره الرواة ولم يغفلوا عنه</w:t>
      </w:r>
      <w:r>
        <w:rPr>
          <w:rFonts w:eastAsia="Amiri" w:cs="Amiri" w:ascii="Amiri" w:hAnsi="Amiri"/>
          <w:color w:val="111111"/>
          <w:sz w:val="28"/>
          <w:szCs w:val="28"/>
          <w:rtl w:val="true"/>
          <w:lang w:bidi="ar-SA"/>
        </w:rPr>
        <w:t>.</w:t>
      </w:r>
    </w:p>
    <w:p>
      <w:pPr>
        <w:pStyle w:val="Heading5"/>
        <w:numPr>
          <w:ilvl w:val="4"/>
          <w:numId w:val="1"/>
        </w:numPr>
        <w:rPr/>
      </w:pPr>
      <w:bookmarkStart w:id="462" w:name="__RefHeading___Toc1165719_1067777946"/>
      <w:bookmarkStart w:id="463" w:name="_Toc167"/>
      <w:bookmarkEnd w:id="462"/>
      <w:r>
        <w:rPr>
          <w:rtl w:val="true"/>
        </w:rPr>
        <w:t>سيرة الصحابة والتابعين في السجود</w:t>
      </w:r>
      <w:bookmarkEnd w:id="463"/>
    </w:p>
    <w:p>
      <w:pPr>
        <w:pStyle w:val="BookText"/>
        <w:rPr/>
      </w:pPr>
      <w:r>
        <w:rPr>
          <w:rFonts w:ascii="Amiri" w:hAnsi="Amiri" w:eastAsia="Amiri" w:cs="Amiri"/>
          <w:color w:val="111111"/>
          <w:sz w:val="28"/>
          <w:sz w:val="28"/>
          <w:szCs w:val="28"/>
          <w:rtl w:val="true"/>
          <w:lang w:bidi="ar-SA"/>
        </w:rPr>
        <w:t>يظهر من غير واحد من الروايات انّ سيرة لفيف من الصحابة كانت جارية على السجود على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أميّة أنّ أبا بكر كان يسجد أو يصلّي على الأرض مفضيا إليها</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عبيدة انّ ابن مسعود لا يسجد ـ أو قال لا يصلّي ـ إلاّ على الأرض</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مسروق بن الأجدع من أصحاب ابن مسعود لا يرخص في السجود على غير الأرض حتّى في السفينة ، وكان يحمل في السفينة شيئا يسجد عليه</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إبراهيم النخعي الفقيه الكوفي التابعي يقوم على البردي ويسجد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ما البردي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الحصير</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وفي لفظ انّه كان يصلّي على الحصر ويسجد على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عمر بن عبد العزيز لا يكتفي بالخمرة بل يضع عليها التراب ويسجد عليه</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عروة بن الزبير يكره الصلاة على شيء دون الأرض</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علي بن عبد الله بن عباس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ابعث إليّ بلوح من أحجار المروة عليه أسجد</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والحاصل انّ التذلل والخضوع في مقابل عظمة الله سبحانه يتحقّق بأفضل مجاليه بوضع الجبهة والأنف على التراب والطين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التراب ورب الأرباب وأنّه والتراب سواسية ولا تجد ذلك في السجود على المصنوعات وللعلاّمة الأميني كلمة قيمة وإليك نصّها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والأنسب بالسجدة التي إن هي إلاّ التصاغر والتذلّل تجاه عظمة المولى سبحانه وو جاه كبريائه ، أن تتخذ الأرض لديها مسجدا يعفّر المصلّي بها خدّه ويرغم أنفه لتذكّر السّاجد لله طينته الوضيعة الخسيسة التي خلق منها وإليها </w:t>
      </w:r>
    </w:p>
    <w:p>
      <w:pPr>
        <w:pStyle w:val="BookText"/>
        <w:rPr/>
      </w:pPr>
      <w:r>
        <w:rPr>
          <w:rFonts w:ascii="Amiri" w:hAnsi="Amiri" w:eastAsia="Amiri" w:cs="Amiri"/>
          <w:color w:val="111111"/>
          <w:sz w:val="28"/>
          <w:sz w:val="28"/>
          <w:szCs w:val="28"/>
          <w:rtl w:val="true"/>
          <w:lang w:bidi="ar-SA"/>
        </w:rPr>
        <w:t>يعود ومنها يعاد تارة أخرى حتّى يتّعظ بها ويكون على ذكر من وضاعة أصله ليتأتى له خضوع روحي وذلّ في الباطن وانحطاط في النفس واندفاع في الجوارح إلى العبودية وتقاعس عن الترفّع والأنانية ، ويكون على بصيرة من أنّ المخلوق من التراب حقيق وخليق بالذلّ والمسكنة ليس إلاّ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توجد هذه الأسرار قطّ وقطّ في المنسوج من الصوف والديباج والحرير وأمثاله من وسائل الدّعة والراحة ممّا يري للإنسان عظمة في نفسه ، وحرمة وكرامة ومقاما لديه ويكون له ترفّعا وتجبرا واستعلاء وينسلخ عند ذلك من الخضوع والخشوع</w:t>
      </w:r>
      <w:r>
        <w:rPr>
          <w:rFonts w:eastAsia="Amiri" w:cs="Amiri" w:ascii="Amiri" w:hAnsi="Amiri"/>
          <w:color w:val="111111"/>
          <w:sz w:val="28"/>
          <w:szCs w:val="28"/>
          <w:rtl w:val="true"/>
          <w:lang w:bidi="ar-SA"/>
        </w:rPr>
        <w:t xml:space="preserve">. </w:t>
      </w:r>
      <w:r>
        <w:rPr>
          <w:rStyle w:val="FootnoteAnchor"/>
          <w:rtl w:val="true"/>
        </w:rPr>
        <w:footnoteReference w:id="503"/>
      </w:r>
      <w:bookmarkStart w:id="464" w:name="pg10144_71451"/>
    </w:p>
    <w:p>
      <w:pPr>
        <w:pStyle w:val="Heading4"/>
        <w:numPr>
          <w:ilvl w:val="3"/>
          <w:numId w:val="1"/>
        </w:numPr>
        <w:rPr/>
      </w:pPr>
      <w:bookmarkStart w:id="465" w:name="__RefHeading___Toc1165721_1067777946"/>
      <w:bookmarkStart w:id="466" w:name="_Toc168"/>
      <w:bookmarkEnd w:id="464"/>
      <w:bookmarkEnd w:id="465"/>
      <w:r>
        <w:rPr>
          <w:rtl w:val="true"/>
        </w:rPr>
        <w:t xml:space="preserve">المرحلة الثانية </w:t>
      </w:r>
      <w:r>
        <w:rPr>
          <w:rtl w:val="true"/>
        </w:rPr>
        <w:t xml:space="preserve">: </w:t>
      </w:r>
      <w:r>
        <w:rPr>
          <w:rtl w:val="true"/>
        </w:rPr>
        <w:t>الترخيص في السجود على الخُمُر والحُصر</w:t>
      </w:r>
      <w:bookmarkEnd w:id="466"/>
    </w:p>
    <w:p>
      <w:pPr>
        <w:pStyle w:val="BookText"/>
        <w:rPr/>
      </w:pPr>
      <w:r>
        <w:rPr>
          <w:rFonts w:ascii="Amiri" w:hAnsi="Amiri" w:eastAsia="Amiri" w:cs="Amiri"/>
          <w:color w:val="111111"/>
          <w:sz w:val="28"/>
          <w:sz w:val="28"/>
          <w:szCs w:val="28"/>
          <w:rtl w:val="true"/>
          <w:lang w:bidi="ar-SA"/>
        </w:rPr>
        <w:t xml:space="preserve">ما مرّ من الأحاديث والمأثورات المبثوثة في الصحاح والمسانيد وسائر كتب الحديث تعرب عن التزام النبي صلى الله عليه وآله وسلم وأصحابه بالسجود على الأرض بأنواعها ، وأنّهم كانوا لا يعدلون عنها ، وإن صعب الأمر واشتدّ الحرّ ، لكنّ هناك نصوصا تعرب عن ترخيص النبي صلى الله عليه وآله وسلم ـ بإيحاء من الله سبحانه إليه ـ السجود على ما أنبتت الأرض ، فسهُل لهم بذلك أمر السجود ، ورفع عنهم الإصر والمشقّة في الحرّ والبرد ، وفيما إذا كانت الأرض مبتلّة ، وإليك تلك النصوص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يصلّي على الخمرة</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وسلم يصلّي على الخمرة ، وفي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النبي صلى الله عليه وآله وسلم يصلّي على الخمرة</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وآله وسلم يصلّي على الخمرة</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يصلّي على الخمرة</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ميمونة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 الله صلى الله عليه وآله وسلم يصلّي على الخمرة فيسجد</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أمّ سليم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على الخمرة</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يصلّي على الخمر</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وقد اعترض عليّ بعض المرشدين في المسجد الحرام لمّا رأى التزامي بالسجود على الحصير ، وسألني عن وجهه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وآله وسلم كان يصلّي على الحصير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صلاة النبي على الحصر والبواري لا يلازم السجود عليهما إذ يمكن أن يصلّي على الحصير ويسجد على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التفريق بين الأمرين لا يقبله الذوق السليم فان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على الحصير بمعنى انّه يصلّي عليه في عامة حالات الصلاة من القيام والركوع والسجود لا انّه يضع قدميه على الحصير أو ركبتيه ويديه عليه ويضع جبهته على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في لفيف من الروايات تصريحا بسجوده على الحصير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أبو سعيد الخدري أنّه دخل على النبي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يصلّي على حصير يسجد عليه</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أنس بن مالك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وسلم يصلّي على الخمرة ويسجد عليها </w:t>
      </w:r>
      <w:r>
        <w:rPr>
          <w:rFonts w:eastAsia="Amiri" w:cs="Amiri" w:ascii="Amiri" w:hAnsi="Amiri"/>
          <w:color w:val="111111"/>
          <w:sz w:val="28"/>
          <w:szCs w:val="28"/>
          <w:rtl w:val="true"/>
          <w:lang w:bidi="ar-SA"/>
        </w:rPr>
        <w:t xml:space="preserve">». </w:t>
      </w:r>
      <w:r>
        <w:rPr>
          <w:rStyle w:val="FootnoteAnchor"/>
          <w:rtl w:val="true"/>
        </w:rPr>
        <w:footnoteReference w:id="512"/>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ضوء الأحاديث المذكورة يتبين جواز السجود على الأرض والتراب وبعض ما ينبت من الأرض مثل الحصير المصنوع من خوص جريد النخل</w:t>
      </w:r>
      <w:r>
        <w:rPr>
          <w:rFonts w:eastAsia="Amiri" w:cs="Amiri" w:ascii="Amiri" w:hAnsi="Amiri"/>
          <w:color w:val="111111"/>
          <w:sz w:val="28"/>
          <w:szCs w:val="28"/>
          <w:rtl w:val="true"/>
          <w:lang w:bidi="ar-SA"/>
        </w:rPr>
        <w:t xml:space="preserve">. </w:t>
      </w:r>
      <w:bookmarkStart w:id="467" w:name="pg10144_71453"/>
    </w:p>
    <w:p>
      <w:pPr>
        <w:pStyle w:val="Heading4"/>
        <w:numPr>
          <w:ilvl w:val="3"/>
          <w:numId w:val="1"/>
        </w:numPr>
        <w:rPr/>
      </w:pPr>
      <w:bookmarkStart w:id="468" w:name="__RefHeading___Toc1165723_1067777946"/>
      <w:bookmarkStart w:id="469" w:name="_Toc169"/>
      <w:bookmarkEnd w:id="467"/>
      <w:bookmarkEnd w:id="468"/>
      <w:r>
        <w:rPr>
          <w:rtl w:val="true"/>
        </w:rPr>
        <w:t>المرحلة الثالثة</w:t>
      </w:r>
      <w:r>
        <w:rPr>
          <w:rtl w:val="true"/>
        </w:rPr>
        <w:t xml:space="preserve">: </w:t>
      </w:r>
      <w:r>
        <w:rPr>
          <w:rtl w:val="true"/>
        </w:rPr>
        <w:t>السجود على الثياب لعذر</w:t>
      </w:r>
      <w:bookmarkEnd w:id="469"/>
    </w:p>
    <w:p>
      <w:pPr>
        <w:pStyle w:val="Heading5"/>
        <w:numPr>
          <w:ilvl w:val="4"/>
          <w:numId w:val="1"/>
        </w:numPr>
        <w:rPr/>
      </w:pPr>
      <w:bookmarkStart w:id="470" w:name="__RefHeading___Toc1165725_1067777946"/>
      <w:bookmarkStart w:id="471" w:name="_Toc170"/>
      <w:bookmarkEnd w:id="470"/>
      <w:r>
        <w:rPr>
          <w:rtl w:val="true"/>
        </w:rPr>
        <w:t>اشارة</w:t>
      </w:r>
      <w:bookmarkEnd w:id="471"/>
    </w:p>
    <w:p>
      <w:pPr>
        <w:pStyle w:val="BookText"/>
        <w:rPr/>
      </w:pPr>
      <w:r>
        <w:rPr>
          <w:rFonts w:ascii="Amiri" w:hAnsi="Amiri" w:eastAsia="Amiri" w:cs="Amiri"/>
          <w:color w:val="111111"/>
          <w:sz w:val="28"/>
          <w:sz w:val="28"/>
          <w:szCs w:val="28"/>
          <w:rtl w:val="true"/>
          <w:lang w:bidi="ar-SA"/>
        </w:rPr>
        <w:t>قد عرفت المرحلتين الماضيتين ، ولو كانت هناك مرحلة ثالثة فإنّما هي مرحلة جواز السجود على غير الأرض وما ينبت منها لعذر وضرورة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هذا الترخيص جاء متأخّرا عن المرحلتين لما عرفت أنّ النبيّ صلى الله عليه وآله وسلم لم يُجب شكوى الأصحاب من شدّة الحرّ والرمضاء ، وراح هو وأصحابه يسجدون على الأرض متحمّلين الحرّ والأذى ، ولكنّ الباري عزّ اسمه رخّص لرفع حرج السجود على الثياب لعذر وضرورة ، وإليك ما ورد في هذا المقام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 صلّينا مع النبي صلى الله عليه وآله وسلم فلم يستطع أحدنا أن يمكّن جبهته من الأرض ، طرح ثوبه ثم سجد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لفظ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نصلّي مع النبي صلى الله عليه وآله وسلم فيضع أحدنا طرف الثوب من شدّة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يستطع أحدنا أن يمكّن جبهته من الأرض ، بسط ثوبه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لفظ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 صلّينا مع النبيّ صلى الله عليه وآله وسلم فيضع أحدنا طرف الثوب من شدّة الحرّ مكان السجود</w:t>
      </w:r>
      <w:r>
        <w:rPr>
          <w:rFonts w:eastAsia="Amiri" w:cs="Amiri" w:ascii="Amiri" w:hAnsi="Amiri"/>
          <w:color w:val="111111"/>
          <w:sz w:val="28"/>
          <w:szCs w:val="28"/>
          <w:rtl w:val="true"/>
          <w:lang w:bidi="ar-SA"/>
        </w:rPr>
        <w:t xml:space="preserve">. </w:t>
      </w:r>
      <w:r>
        <w:rPr>
          <w:rStyle w:val="FootnoteAnchor"/>
          <w:rtl w:val="true"/>
        </w:rPr>
        <w:footnoteReference w:id="513"/>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التي نقلها أصحاب الصحاح والسنن والمسانيد تكشف عن حقيقة بعض ما روي في ذلك المجال الظاهر في جواز السجود على الثياب في </w:t>
      </w:r>
    </w:p>
    <w:p>
      <w:pPr>
        <w:pStyle w:val="BookText"/>
        <w:rPr/>
      </w:pPr>
      <w:r>
        <w:rPr>
          <w:rFonts w:ascii="Amiri" w:hAnsi="Amiri" w:eastAsia="Amiri" w:cs="Amiri"/>
          <w:color w:val="111111"/>
          <w:sz w:val="28"/>
          <w:sz w:val="28"/>
          <w:szCs w:val="28"/>
          <w:rtl w:val="true"/>
          <w:lang w:bidi="ar-SA"/>
        </w:rPr>
        <w:t>حالة الاختيار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رواية أنس نصّ في اختصاص الجواز بحالة الضرورة ، فتكون قرينة على المراد من هذه المطلقات ، وإليك بعض ما روي في هذا المجال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محرز 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يصلّي على كور عمامته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الرواية مع أنّها معارضة لما مرّ من نهي النبيّ صلى الله عليه وآله وسلم عن السجود عليه </w:t>
      </w:r>
      <w:r>
        <w:rPr>
          <w:rStyle w:val="FootnoteAnchor"/>
          <w:rtl w:val="true"/>
        </w:rPr>
        <w:footnoteReference w:id="514"/>
      </w:r>
      <w:r>
        <w:rPr>
          <w:rFonts w:ascii="Amiri" w:hAnsi="Amiri" w:eastAsia="Amiri" w:cs="Amiri"/>
          <w:color w:val="111111"/>
          <w:sz w:val="28"/>
          <w:sz w:val="28"/>
          <w:szCs w:val="28"/>
          <w:rtl w:val="true"/>
          <w:lang w:bidi="ar-SA"/>
        </w:rPr>
        <w:t xml:space="preserve">، محمولة على العذر والضرورة ، وقد صرّح بذلك الشيخ البيهقي في سننه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روي في ذلك عن النبيّ صلى الله عليه وآله وسلم من السجود على كور العمامة فلا يثبت شيء من ذلك ، وأصحّ ما روي في ذلك قول الحسن البصري حكاية عن أصحاب النبيّ 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وقد روي عن ابن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مكحولا يسجد على عمامته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تسجد عليها؟ قال أتّقي البرد على أسناني</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روي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نصلّي مع النبيّ صلى الله عليه وآله وسلم فيسجد أحدنا على ثوبه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والرواية محمولة على صورة العذر بقرينة ما رويناه عنه ، وبما رواه عنه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نصلّي مع النبيّ صلى الله عليه وآله وسلم في شدّة الحرّ ، فإذا لم يستطع أحدنا أن يمكّن وجهه من الأرض بسط ثوبه فسجد عليه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رواه النسائي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إذا صلّينا خلف النبيّ صلى الله عليه وآله وسلم بالظهائر </w:t>
      </w:r>
      <w:bookmarkStart w:id="472" w:name="pg10144_71455"/>
    </w:p>
    <w:p>
      <w:pPr>
        <w:pStyle w:val="BookText"/>
        <w:rPr/>
      </w:pPr>
      <w:bookmarkEnd w:id="472"/>
      <w:r>
        <w:rPr>
          <w:rFonts w:ascii="Amiri" w:hAnsi="Amiri" w:eastAsia="Amiri" w:cs="Amiri"/>
          <w:color w:val="111111"/>
          <w:sz w:val="28"/>
          <w:sz w:val="28"/>
          <w:szCs w:val="28"/>
          <w:rtl w:val="true"/>
          <w:lang w:bidi="ar-SA"/>
        </w:rPr>
        <w:t xml:space="preserve">سجدنا على ثيابنا اتّقاء الحرّ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روايات قاصرة الدلالة حيث لا تدلّ إلاّ على أنّ النبيّ صلى الله عليه وآله وسلم صلّى على الفرو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أنّه سجد عليه فلا دلالة لها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يصلّي على الحصير والفرو المدبوغة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مع كونها ضعيفة بيونس بن الحرث ، ليست ظاهرة في السجود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ملازمة بين الصلاة على الفرو والسجدة عليه ، لأنّه شيء كالجبّة يبطّن من جلود بعض الحيوانات كالأرانب والسمّور فلا يسع بدن المصلّي لصغره فيحتمل انّه صلى الله عليه وآله وسلم وضع جبهته على الأرض أو ما ينبت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الملازمة لا تقاوم هي وما في معناها ما سردناه من الروايات في المرحلتين الماضيتين</w:t>
      </w:r>
      <w:r>
        <w:rPr>
          <w:rFonts w:eastAsia="Amiri" w:cs="Amiri" w:ascii="Amiri" w:hAnsi="Amiri"/>
          <w:color w:val="111111"/>
          <w:sz w:val="28"/>
          <w:szCs w:val="28"/>
          <w:rtl w:val="true"/>
          <w:lang w:bidi="ar-SA"/>
        </w:rPr>
        <w:t>.</w:t>
      </w:r>
    </w:p>
    <w:p>
      <w:pPr>
        <w:pStyle w:val="Heading5"/>
        <w:numPr>
          <w:ilvl w:val="4"/>
          <w:numId w:val="1"/>
        </w:numPr>
        <w:rPr/>
      </w:pPr>
      <w:bookmarkStart w:id="473" w:name="__RefHeading___Toc1165727_1067777946"/>
      <w:bookmarkStart w:id="474" w:name="_Toc171"/>
      <w:bookmarkEnd w:id="473"/>
      <w:r>
        <w:rPr>
          <w:rtl w:val="true"/>
        </w:rPr>
        <w:t>حصيلة البحث</w:t>
      </w:r>
      <w:bookmarkEnd w:id="474"/>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المتأمّل في الروايات يجد بوضوح أنّ قضيّة السجود في الصلاة مرت بمرحلتين أو ثلاث مراحل ، ففي المرحلة الأولى كان الفرض السجود على الأرض ولم يرخّص للمسلمين السجود على غيرها ، وفي الثانية جاء الترخيص فيما تنبته الأرض ، وليست وراء هاتين المرحلتين مرحلة أخرى إلا مرحلة جواز السجود على الثياب لعذر وضرورة ، فما يظهر من بعض الروايات من جواز السجود على الفرو وأمثاله مطلقا فمحمولة على الضرورة ، أو لا دلالة لها على السجود عليه لصغره ، بل غايتها الصلاة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يظهر بوضوح أنّ ما التزمت به الشيعة من السجود على الأرض أو ما أنبتته الأرض هو عين ما جاءت به السنّة النبويّة ، ولم تنحرف عنه قيد أنملة ، ونحن ندعو إلى قليل من التأمّل لإحقاق الحقّ وتجاوز 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فالسجدة على الفراش والسجاد والبُسُط المنسوجة من الصوف والوبر والحرير وأمثالها والثوب المتّصل فلا دليل يسوّغها قطّ ، ولم يرد في السنّة أيّ مستند لجوازها وهذه الصحاح الستّ وهي تتكفّل بيان أحكام الدين ولا سيّما الصلاة الّتي هي عماده لم يوجد فيها ولا حديث واحد ، ولا كلمة إيماء وإيعاز إلى جواز ذلك</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فالقول بجواز السجود على الفرش والسجاد والالتزام بذلك ، وافتراش المساجد بها للسجود عليها كما تداول عند الناس بدعة محضة ، وأمر محدث غير مشروع ، يخالف سنّة الله وسنّة رسوله ، ولن تجد لسنّة الله تحويلا</w:t>
      </w:r>
      <w:r>
        <w:rPr>
          <w:rFonts w:eastAsia="Amiri" w:cs="Amiri" w:ascii="Amiri" w:hAnsi="Amiri"/>
          <w:color w:val="111111"/>
          <w:sz w:val="28"/>
          <w:szCs w:val="28"/>
          <w:rtl w:val="true"/>
          <w:lang w:bidi="ar-SA"/>
        </w:rPr>
        <w:t xml:space="preserve">. </w:t>
      </w:r>
      <w:r>
        <w:rPr>
          <w:rStyle w:val="FootnoteAnchor"/>
          <w:rtl w:val="true"/>
        </w:rPr>
        <w:footnoteReference w:id="519"/>
      </w:r>
      <w:bookmarkStart w:id="475" w:name="pg10144_71457"/>
    </w:p>
    <w:p>
      <w:pPr>
        <w:pStyle w:val="Heading3"/>
        <w:numPr>
          <w:ilvl w:val="2"/>
          <w:numId w:val="1"/>
        </w:numPr>
        <w:rPr/>
      </w:pPr>
      <w:bookmarkStart w:id="476" w:name="__RefHeading___Toc1165729_1067777946"/>
      <w:bookmarkStart w:id="477" w:name="_Toc172"/>
      <w:bookmarkEnd w:id="475"/>
      <w:bookmarkEnd w:id="476"/>
      <w:r>
        <w:rPr/>
        <w:t>6</w:t>
      </w:r>
      <w:r>
        <w:rPr>
          <w:rtl w:val="true"/>
        </w:rPr>
        <w:t xml:space="preserve">. </w:t>
      </w:r>
      <w:r>
        <w:rPr>
          <w:rtl w:val="true"/>
        </w:rPr>
        <w:t>ما هو السرّ في اتّخاذ تربة طاهرة؟</w:t>
      </w:r>
      <w:bookmarkEnd w:id="477"/>
    </w:p>
    <w:p>
      <w:pPr>
        <w:pStyle w:val="Heading4"/>
        <w:numPr>
          <w:ilvl w:val="3"/>
          <w:numId w:val="1"/>
        </w:numPr>
        <w:rPr/>
      </w:pPr>
      <w:bookmarkStart w:id="478" w:name="__RefHeading___Toc1165731_1067777946"/>
      <w:bookmarkStart w:id="479" w:name="_Toc173"/>
      <w:bookmarkEnd w:id="478"/>
      <w:r>
        <w:rPr>
          <w:rtl w:val="true"/>
        </w:rPr>
        <w:t>اشارة</w:t>
      </w:r>
      <w:bookmarkEnd w:id="479"/>
    </w:p>
    <w:p>
      <w:pPr>
        <w:pStyle w:val="BookText"/>
        <w:rPr/>
      </w:pPr>
      <w:r>
        <w:rPr>
          <w:rFonts w:ascii="Amiri" w:hAnsi="Amiri" w:eastAsia="Amiri" w:cs="Amiri"/>
          <w:color w:val="111111"/>
          <w:sz w:val="28"/>
          <w:sz w:val="28"/>
          <w:szCs w:val="28"/>
          <w:rtl w:val="true"/>
          <w:lang w:bidi="ar-SA"/>
        </w:rPr>
        <w:t>بقي هنا سؤال يطرحه كثيرا إخواننا أهل السنّة حول سبب اتّخاذ الشيعة تربة طاهرة في السفر والحضر والسجود عليها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يتخيّل البسطاء ـ كما ذكرنا سابقا ـ أنّ الشيعة يسجدون لها لا عليها ، ويعبدون الحجر والتربة ، وذلك لأنّ هؤلاء المساكين لا يفرّقون بين السجود على التربة ، والسجود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فالإجابة عنها واضحة ، فإنّ المستحسن عند الشيعة هو اتّخاذ تربة طاهرة طيّبة ليتيقن من طهارتها ، من أيّ أرض أخذت ، ومن أيّ صقع من أرجاء العالم كانت ، وهي كلّها في ذلك سواء</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هذا الالتزام إلاّ مثل التزام المصلّي بطهارة جسده وملبسه ومصلاّه ، وأمّا سرّ الالتزام في اتّخاذ التربة هو أنّ الثقة بطهارة كلّ أرض يحلّ بها ، ويتّخذها مسجدا ، لا تتأتّى له في كلّ موضع من المواضع التي يرتادها المسلم في حلّه وترحاله ، بل وأنّى له ذلك وهذه الأماكن ترتادها أصناف مختلفة من البشر ، مسلمين كانوا أم غيرهم ، ملتزمين بأصول الطهارة أم غير ذلك ، وفي ذلك محنة كبيرة تواجه المسلم في صلاته فلا يجد مناصا من أن يتخذ لنفسه تربة طاهرة يطمئنّ بها وبطهارتها ، يسجد عليها لدى صلاته حذرا من السجدة على الرجاسة </w:t>
      </w:r>
    </w:p>
    <w:p>
      <w:pPr>
        <w:pStyle w:val="BookText"/>
        <w:rPr/>
      </w:pPr>
      <w:r>
        <w:rPr>
          <w:rFonts w:ascii="Amiri" w:hAnsi="Amiri" w:eastAsia="Amiri" w:cs="Amiri"/>
          <w:color w:val="111111"/>
          <w:sz w:val="28"/>
          <w:sz w:val="28"/>
          <w:szCs w:val="28"/>
          <w:rtl w:val="true"/>
          <w:lang w:bidi="ar-SA"/>
        </w:rPr>
        <w:t xml:space="preserve">والنجاسة ، والأوساخ التي لا يتقرّب بها إلى الله قط ولا تجوّز السنّة السجود عليها ولا يقبله العقل السليم ، خصوصا بعد ورود التأكيد التام البالغ في طهارة أعضاء المصلّي ولباسه والنهي عن الصلاة في مواطن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المزبلة ، والمجزرة ، وقارعة الطريق ، والحمام ، ومواطن الإبل ، بل والأمر بتطهير المساجد وتطييبها</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وهذه القاعدة كانت ثابتة عند السلف الصالح وإن غفل التأريخ عن نقلها ، فقد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التابعي الفقيه مسروق بن الأجدع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يصحب في أسفاره لبنة من المدينة يسجد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أخرجه ابن أبي شيبة في كتابه المصنف ، باب من كان حمل في السفينة شيئا يسجد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بإسنادين أنّ مسروقا كان إذا سافر حمل معه في السفينة لبنة يسجد عليها</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إلى هنا تبيّن أنّ التزام الشيعة باتّخاذ التربة مسجدا ليس إلاّ لتسهيل الأمر للمصلّي في سفره وحضره خوفا من أن لا يجد أرضا طاهرة أو حصيرا طاهرا فيصعب الأمر عليه ، وهذا كادّخار المسلم تربة طاهرة لغاية التيمّم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السرّ في التزام الشيعة استحبابا بالسجود على التربة الحسينية ، فإنّ من الأغراض العالية والمقاصد السامية منها ، أن يتذكّر المصلّي ـ حين يضع جبهته على تلك التربة ـ تضحية ذلك الإمام عليه السلام بنفسه وأهل بيته والصفوة من أصحابه في سبيل العقيدة والمبدأ ومقارعة الجور والفساد</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السجود أعظم أركان الصلاة ، 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أقرب ما يكون العبد إلى ربّه حال سجوده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فيناسب أن يتذكّر بوضع جبهته على تلك التربة الزاكية ، أولئك الذين جعلوا أجسامهم ضحايا للحقّ ، وارتفعت أرواحهم إلى الملإ الأعلى ، </w:t>
      </w:r>
    </w:p>
    <w:p>
      <w:pPr>
        <w:pStyle w:val="BookText"/>
        <w:rPr/>
      </w:pPr>
      <w:r>
        <w:rPr>
          <w:rFonts w:ascii="Amiri" w:hAnsi="Amiri" w:eastAsia="Amiri" w:cs="Amiri"/>
          <w:color w:val="111111"/>
          <w:sz w:val="28"/>
          <w:sz w:val="28"/>
          <w:szCs w:val="28"/>
          <w:rtl w:val="true"/>
          <w:lang w:bidi="ar-SA"/>
        </w:rPr>
        <w:t>ليخشع ويخضع ويتلازم الوضع والرفع ، وتحتقر هذه الدنيا الزائفة ، وزخارفها الزائلة ، ولعلّ هذا هو المقصود من أنّ السجود عليها يخرق الحجب السبع كما في الخبر ، فيكون حينئذ في السجود سر الصعود والعروج من التراب إلى ربّ الأرباب</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وقال العلاّمة الأميني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نتّخذ من تربة كربلاء قِطَعا لمعا ، وأقراصا نسجد عليها كما كان فقيه السلف مسروق بن الأجدع ، يحمل معه لبنة من تربة المدينة المنوّرة يسجد عليها ، والرجل تلميذ الخلافة الراشدة ، فقيه المدينة ، ومعلّم السنّة بها ، وحاشاه من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ذلك أيّ حزازة وتعسّف أو شيء يضاد نداء القرآن الكريم أو يخالف سنّة الله وسنّة رسوله صلى الله عليه وآله وسلم أو خروج من حكم العقل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اتّخاذ تربة كربلاء مسجدا لدى الشيعة من الفرض المحتّم ، ولا من واجب الشرع والدين ، ولا ممّا ألزمه المذهب ، ولا يفرّق أيّ أحد منهم منذ أوّل يومها بينها وبين غيرها من تراب جميع الأرض في جواز السجود عليها خلاف ما يزعمه الجاهل بهم وبآرائهم ، وإن هو عندهم إلاّ استحسان عقلي ليس إلاّ ، واختيار لما هو الأولى بالسجود لدى العقل والمنطق والاعتبار فحسب كما سمعت ، وكثير من رجال المذهب يتّخذون معهم في أسفارهم غير تربة كربلاء ممّا يصحّ السجود عليه كحصير طاهر نظيف يوثق بطهارته أو خمرة مثله ويسجدون عليه في صلواتهم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إلمام إجمالي بهذه المسألة الفقهية والتفصيل موكول إلى محلّه ، وقد أغنانا </w:t>
      </w:r>
    </w:p>
    <w:p>
      <w:pPr>
        <w:pStyle w:val="BookText"/>
        <w:rPr/>
      </w:pPr>
      <w:r>
        <w:rPr>
          <w:rFonts w:ascii="Amiri" w:hAnsi="Amiri" w:eastAsia="Amiri" w:cs="Amiri"/>
          <w:color w:val="111111"/>
          <w:sz w:val="28"/>
          <w:sz w:val="28"/>
          <w:szCs w:val="28"/>
          <w:rtl w:val="true"/>
          <w:lang w:bidi="ar-SA"/>
        </w:rPr>
        <w:t xml:space="preserve">عن ذلك ما سطّره أعلام العصر وأكابره ، وأخص بالذكر منهم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المصلح الكبير الشيخ محمّد حسين كاشف الغطاء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والتربة الحسينية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الكبير الشيخ عبد الحسين الأميني مؤلّف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دوّن رسالة في هذا الموضوع طبعت في آخر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سيرتنا وسنّتنا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علي الأحمدي قدس سره فقد أجاد في التتبّع والتحقيق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ذكرنا في هذه المسألة اقتباس من أنوار علومهم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الماضين من علمائنا وحفظ الله الباقين منهم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وقفنا عليه من الروايات والتي أوردناها في هذا المختصر</w:t>
      </w:r>
      <w:r>
        <w:rPr>
          <w:rFonts w:eastAsia="Amiri" w:cs="Amiri" w:ascii="Amiri" w:hAnsi="Amiri"/>
          <w:color w:val="111111"/>
          <w:sz w:val="28"/>
          <w:szCs w:val="28"/>
          <w:rtl w:val="true"/>
          <w:lang w:bidi="ar-SA"/>
        </w:rPr>
        <w:t xml:space="preserve">. </w:t>
      </w:r>
      <w:bookmarkStart w:id="480" w:name="pg10144_71461"/>
    </w:p>
    <w:p>
      <w:pPr>
        <w:pStyle w:val="Heading4"/>
        <w:numPr>
          <w:ilvl w:val="3"/>
          <w:numId w:val="1"/>
        </w:numPr>
        <w:rPr/>
      </w:pPr>
      <w:bookmarkStart w:id="481" w:name="__RefHeading___Toc1165733_1067777946"/>
      <w:bookmarkStart w:id="482" w:name="_Toc174"/>
      <w:bookmarkEnd w:id="480"/>
      <w:bookmarkEnd w:id="481"/>
      <w:r>
        <w:rPr>
          <w:rtl w:val="true"/>
        </w:rPr>
        <w:t>خاتمة المطاف</w:t>
      </w:r>
      <w:bookmarkEnd w:id="482"/>
    </w:p>
    <w:p>
      <w:pPr>
        <w:pStyle w:val="Heading5"/>
        <w:numPr>
          <w:ilvl w:val="4"/>
          <w:numId w:val="1"/>
        </w:numPr>
        <w:rPr/>
      </w:pPr>
      <w:bookmarkStart w:id="483" w:name="__RefHeading___Toc1165735_1067777946"/>
      <w:bookmarkStart w:id="484" w:name="_Toc175"/>
      <w:bookmarkEnd w:id="483"/>
      <w:r>
        <w:rPr>
          <w:rtl w:val="true"/>
        </w:rPr>
        <w:t>اشارة</w:t>
      </w:r>
      <w:bookmarkEnd w:id="484"/>
    </w:p>
    <w:p>
      <w:pPr>
        <w:pStyle w:val="BookText"/>
        <w:rPr/>
      </w:pPr>
      <w:r>
        <w:rPr>
          <w:rFonts w:ascii="Amiri" w:hAnsi="Amiri" w:eastAsia="Amiri" w:cs="Amiri"/>
          <w:color w:val="111111"/>
          <w:sz w:val="28"/>
          <w:sz w:val="28"/>
          <w:szCs w:val="28"/>
          <w:rtl w:val="true"/>
          <w:lang w:bidi="ar-SA"/>
        </w:rPr>
        <w:t xml:space="preserve">نذكر فيها أمرين </w:t>
      </w:r>
      <w:r>
        <w:rPr>
          <w:rFonts w:eastAsia="Amiri" w:cs="Amiri" w:ascii="Amiri" w:hAnsi="Amiri"/>
          <w:color w:val="111111"/>
          <w:sz w:val="28"/>
          <w:szCs w:val="28"/>
          <w:rtl w:val="true"/>
          <w:lang w:bidi="ar-SA"/>
        </w:rPr>
        <w:t>:</w:t>
      </w:r>
    </w:p>
    <w:p>
      <w:pPr>
        <w:pStyle w:val="Heading5"/>
        <w:numPr>
          <w:ilvl w:val="4"/>
          <w:numId w:val="1"/>
        </w:numPr>
        <w:rPr/>
      </w:pPr>
      <w:bookmarkStart w:id="485" w:name="__RefHeading___Toc1165737_1067777946"/>
      <w:bookmarkStart w:id="486" w:name="_Toc176"/>
      <w:bookmarkEnd w:id="485"/>
      <w:r>
        <w:rPr/>
        <w:t>1</w:t>
      </w:r>
      <w:r>
        <w:rPr>
          <w:rtl w:val="true"/>
        </w:rPr>
        <w:t xml:space="preserve">. </w:t>
      </w:r>
      <w:r>
        <w:rPr>
          <w:rtl w:val="true"/>
        </w:rPr>
        <w:t>فرض العقيدة والفقه على الزائر</w:t>
      </w:r>
      <w:bookmarkEnd w:id="486"/>
    </w:p>
    <w:p>
      <w:pPr>
        <w:pStyle w:val="BookText"/>
        <w:rPr/>
      </w:pPr>
      <w:r>
        <w:rPr>
          <w:rFonts w:ascii="Amiri" w:hAnsi="Amiri" w:eastAsia="Amiri" w:cs="Amiri"/>
          <w:color w:val="111111"/>
          <w:sz w:val="28"/>
          <w:sz w:val="28"/>
          <w:szCs w:val="28"/>
          <w:rtl w:val="true"/>
          <w:lang w:bidi="ar-SA"/>
        </w:rPr>
        <w:t xml:space="preserve">إنّ من غرائب الدهر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عشت أراك الدهر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تصادر الحريات في الحرمين الشريفين فتفرض على الزائر ، العقيدة والفقه الخاص ، مع أنّ السيرة عبر القرون كانت جارية على حرية الزائر في الحرمين الشريفين في عقيدته وعمله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التوسل والتبرّك بالنبي صلى الله عليه وآله وسلم وأئمة أهل البيت عليهم السلام كانت سنّة رائجة في القرون الغابرة ، ولم يكن هناك أي منع وقد وردت فيه صحاح الروايات ومسانيدها ، وكان الحرمان الشريفان أمنا للزائر كما شاء سبحانه أن يكونا كذلك ،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آياتٌ بَيِّناتٌ مَقامُ إِبْراهِيمَ وَمَنْ دَخَلَهُ كانَ آمِناً </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 xml:space="preserve">وقال تعالى حاكيا دعاء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إِبْراهِيمُ رَبِّ اجْعَلْ هَذَا الْبَلَدَ آمِناً </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 xml:space="preserve">ولكن أصبح اليوم من تلك الناحية على خلاف ما دعا إليه إبراهيم ، فالزائر الشيعي المقتدي بفقه أئمة أهل البيت لا يسمح له أن يمارس طقوسه بحرية تامة ، ولا أن يتكلم بشيء ممّا يعتقد به ، ومن مظاهر ذلك فرض السجود على الفرش المنسوجة والمنع </w:t>
      </w:r>
      <w:bookmarkStart w:id="487" w:name="pg10144_71462"/>
    </w:p>
    <w:p>
      <w:pPr>
        <w:pStyle w:val="BookText"/>
        <w:rPr/>
      </w:pPr>
      <w:bookmarkEnd w:id="487"/>
      <w:r>
        <w:rPr>
          <w:rFonts w:ascii="Amiri" w:hAnsi="Amiri" w:eastAsia="Amiri" w:cs="Amiri"/>
          <w:color w:val="111111"/>
          <w:sz w:val="28"/>
          <w:sz w:val="28"/>
          <w:szCs w:val="28"/>
          <w:rtl w:val="true"/>
          <w:lang w:bidi="ar-SA"/>
        </w:rPr>
        <w:t>من السجدة على الصعيد والتربة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بدورنا نقترح على الحكومة الراشدة في أراضي الوحي أن يمنحوا حريات مشروعة لعامّة الحجاج كي يمارسوا طقوسهم بحرية ، فإنّ ذلك يعزّز أواصر الوحدة والتعاون بين المسلمين على اختلاف طوائفهم</w:t>
      </w:r>
      <w:r>
        <w:rPr>
          <w:rFonts w:eastAsia="Amiri" w:cs="Amiri" w:ascii="Amiri" w:hAnsi="Amiri"/>
          <w:color w:val="111111"/>
          <w:sz w:val="28"/>
          <w:szCs w:val="28"/>
          <w:rtl w:val="true"/>
          <w:lang w:bidi="ar-SA"/>
        </w:rPr>
        <w:t>.</w:t>
      </w:r>
    </w:p>
    <w:p>
      <w:pPr>
        <w:pStyle w:val="Heading5"/>
        <w:numPr>
          <w:ilvl w:val="4"/>
          <w:numId w:val="1"/>
        </w:numPr>
        <w:rPr/>
      </w:pPr>
      <w:bookmarkStart w:id="488" w:name="__RefHeading___Toc1165739_1067777946"/>
      <w:bookmarkStart w:id="489" w:name="_Toc177"/>
      <w:bookmarkEnd w:id="488"/>
      <w:r>
        <w:rPr/>
        <w:t>2</w:t>
      </w:r>
      <w:r>
        <w:rPr>
          <w:rtl w:val="true"/>
        </w:rPr>
        <w:t xml:space="preserve">. </w:t>
      </w:r>
      <w:r>
        <w:rPr>
          <w:rtl w:val="true"/>
        </w:rPr>
        <w:t>صيرورة السنّة بدعة</w:t>
      </w:r>
      <w:bookmarkEnd w:id="489"/>
    </w:p>
    <w:p>
      <w:pPr>
        <w:pStyle w:val="BookText"/>
        <w:rPr/>
      </w:pPr>
      <w:r>
        <w:rPr>
          <w:rFonts w:ascii="Amiri" w:hAnsi="Amiri" w:eastAsia="Amiri" w:cs="Amiri"/>
          <w:color w:val="111111"/>
          <w:sz w:val="28"/>
          <w:sz w:val="28"/>
          <w:szCs w:val="28"/>
          <w:rtl w:val="true"/>
          <w:lang w:bidi="ar-SA"/>
        </w:rPr>
        <w:t>قد وقفت على أنّ السجود على الأرض أو على الحصر والبواري وأشباهها هو السنّة ، وأنّ السجود على الفرش والسجاجيد وأشباهها هو البدعة ، وأنّه ما أنزل الله به من سلطان ، ولكن يا للأسف صارت السنّة بدعة والبدعة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عمل الرجل بالسنّة في المساجد والمشاهد ، وسجد على التراب والأحجار يوصف عمله بالبدعة ، والرجل بالمبدع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ليس هذا فريدا في بابه فقد نرى في فقه المذاهب الأربعة 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الموارد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محمد بن عبد الرحمن الدمشقي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 في القبر ، التسطيح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أولى على الراجح من مذهب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حنيفة ومالك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التسنيم أولى ، لأنّ التسطيح صار شعارا للشيعة</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وقال الرافعي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سطّح قبر ابنه إبراهيم ، وعن القاسم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قبر النبي وأبي بكر وعمر مسطّحة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الأفضل الآن العدول من التسطيح إلى التسنيم ، لأنّ التسطيح صار شعارا للروافض ، فالأولى مخالفتهم ، وصيانة الميت وأهله عن </w:t>
      </w:r>
    </w:p>
    <w:p>
      <w:pPr>
        <w:pStyle w:val="BookText"/>
        <w:rPr/>
      </w:pPr>
      <w:r>
        <w:rPr>
          <w:rFonts w:ascii="Amiri" w:hAnsi="Amiri" w:eastAsia="Amiri" w:cs="Amiri"/>
          <w:color w:val="111111"/>
          <w:sz w:val="28"/>
          <w:sz w:val="28"/>
          <w:szCs w:val="28"/>
          <w:rtl w:val="true"/>
          <w:lang w:bidi="ar-SA"/>
        </w:rPr>
        <w:t xml:space="preserve">الاتّهام بالبدعة ، ومثله 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الجهر بالتسمية إذا صار في موضع شعارا لهم فالمستحب الإسرار بها مخالفة لهم ، واحتج له بما روي انّ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يقوم إذا بدت جنازة ، فأخبر انّ اليهود تفعل ذلك ، فترك القيام بعد ذلك مخالفة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هو الذي أجاب به في الكتاب ومال إليه الشيخ أبو محمد وتابعة القاضي الروياني لكن الجمهور على أنّ المذهب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تركنا ما ثبت في السنّة لإطباق بعض المبتدعة عليه لجرّنا ذلك إلى ترك سنن كثيرة ، وإذا اطّرد جرينا على الشيء خرج عن أن يعد شعارا للمبتدعة</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البيهقي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يجهر في الصلاة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ـ رضي الله عنه ـ يجهر بالتسمية وقد ثبت بالتواتر ، وكان علي بن أبي طالب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ذكره شرف للذاكرين ، ومثل هذا كيف يليق بالعاقل أن يسعى في إخفائه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 هي الجهر بالتسمية ، سواء أكانت في الصلاة الجهرية أو السرية ، وجمهور الفقهاء يخالفونهم ـ إلى أن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كان يبالغ في الجهر بالتسمية ، فلمّا وصلت الدولة إلى بني أميّة بالغوا في المنع من الجهر ، سعيا في إبطال آثار عليّ ـ رضي الله عنه ـ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الزمخشري في تفسير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وَمَلائِكَتَهُ يُصَلُّونَ عَلَى النَّبِيِ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الصلاة على غيره؟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جواز الصلاة على كلّ مؤمن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يُصَلِّي </w:t>
      </w:r>
    </w:p>
    <w:p>
      <w:pPr>
        <w:pStyle w:val="BookText"/>
        <w:rPr/>
      </w:pPr>
      <w:r>
        <w:rPr>
          <w:rFonts w:ascii="Amiri" w:hAnsi="Amiri" w:eastAsia="Amiri" w:cs="Amiri"/>
          <w:color w:val="111111"/>
          <w:sz w:val="28"/>
          <w:sz w:val="28"/>
          <w:szCs w:val="28"/>
          <w:rtl w:val="true"/>
          <w:lang w:bidi="ar-SA"/>
        </w:rPr>
        <w:t xml:space="preserve">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عَلَيْهِمْ إِنَّ صَلاتَكَ سَكَنٌ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آل أبي أوفى ، ولكن للعلماء تفصيلا في ذلك وهو أنّها إن كانت على سبيل التبع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على النبي وآله فلا كلام فيها ، وأمّا إذا أفرد غيره من أهل البيت بالصلاة كما يفرد هو فمكروه ، لأنّ ذلك صار شعارا لذكر رسول الله صلى الله عليه وآله وسلم ، ولأنّه يؤدي إلى الاتّهام بالرفض</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اختلف في السّلام على غير الأنبياء بعد الاتّفاق على مشروعيته في الحيّ ، فقيل يشرع مطلقا ، وقيل بل تبعا ولا يفرّد لواحد لكونه صار شعارا للروافضة ، ونقله النووي عن الشيخ أبي محمد الجويني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ومعنى ذلك انّه لم يجد مبرّرا لترك ما شرّعه الإسلام ، إلاّ عمل الرافضة بسنّة الإسلام ، ولو صحّ ذلك ، كان على القائل أن يترك عامة الفرائض والسنن التي يعمل بها الروافض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كُلٌّ مُتَرَبِّصٌ فَتَرَبَّصُوا</w:t>
      </w:r>
    </w:p>
    <w:p>
      <w:pPr>
        <w:pStyle w:val="BookText"/>
        <w:rPr/>
      </w:pPr>
      <w:r>
        <w:rPr>
          <w:rFonts w:ascii="Amiri" w:hAnsi="Amiri" w:eastAsia="Amiri" w:cs="Amiri"/>
          <w:color w:val="111111"/>
          <w:sz w:val="28"/>
          <w:sz w:val="28"/>
          <w:szCs w:val="28"/>
          <w:rtl w:val="true"/>
          <w:lang w:bidi="ar-SA"/>
        </w:rPr>
        <w:t>فَسَتَعْلَمُونَ مَنْ أَصْحابُ الصِّراطِ السَّوِيِّ</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اهْتَدى </w:t>
      </w:r>
      <w:r>
        <w:rPr>
          <w:rFonts w:eastAsia="Amiri" w:cs="Amiri" w:ascii="Amiri" w:hAnsi="Amiri"/>
          <w:color w:val="111111"/>
          <w:sz w:val="28"/>
          <w:szCs w:val="28"/>
          <w:rtl w:val="true"/>
          <w:lang w:bidi="ar-SA"/>
        </w:rPr>
        <w:t xml:space="preserve">). </w:t>
      </w:r>
      <w:r>
        <w:rPr>
          <w:rStyle w:val="FootnoteAnchor"/>
          <w:rtl w:val="true"/>
        </w:rPr>
        <w:footnoteReference w:id="530"/>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0" w:name="pg10144_71466"/>
      <w:bookmarkStart w:id="491" w:name="pg10144_71466"/>
      <w:bookmarkEnd w:id="491"/>
    </w:p>
    <w:p>
      <w:pPr>
        <w:pStyle w:val="Heading2"/>
        <w:numPr>
          <w:ilvl w:val="1"/>
          <w:numId w:val="1"/>
        </w:numPr>
        <w:rPr/>
      </w:pPr>
      <w:bookmarkStart w:id="492" w:name="pg10144_71466"/>
      <w:bookmarkStart w:id="493" w:name="__RefHeading___Toc1165741_1067777946"/>
      <w:bookmarkStart w:id="494" w:name="_Toc178"/>
      <w:bookmarkEnd w:id="492"/>
      <w:bookmarkEnd w:id="493"/>
      <w:r>
        <w:rPr/>
        <w:t>7</w:t>
      </w:r>
      <w:r>
        <w:rPr>
          <w:rtl w:val="true"/>
        </w:rPr>
        <w:t xml:space="preserve">. </w:t>
      </w:r>
      <w:r>
        <w:rPr>
          <w:rtl w:val="true"/>
        </w:rPr>
        <w:t>الجمع بين الصلاتين</w:t>
      </w:r>
      <w:bookmarkEnd w:id="494"/>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5" w:name="__RefHeading___Toc1165743_1067777946"/>
      <w:bookmarkStart w:id="496" w:name="_Toc179"/>
      <w:bookmarkEnd w:id="495"/>
      <w:r>
        <w:rPr>
          <w:rtl w:val="true"/>
        </w:rPr>
        <w:t>اشارة</w:t>
      </w:r>
      <w:bookmarkEnd w:id="496"/>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7" w:name="pg10144_71468"/>
      <w:bookmarkStart w:id="498" w:name="pg10144_71468"/>
      <w:bookmarkEnd w:id="498"/>
    </w:p>
    <w:p>
      <w:pPr>
        <w:pStyle w:val="Heading3"/>
        <w:numPr>
          <w:ilvl w:val="2"/>
          <w:numId w:val="1"/>
        </w:numPr>
        <w:rPr/>
      </w:pPr>
      <w:bookmarkStart w:id="499" w:name="pg10144_71468"/>
      <w:bookmarkStart w:id="500" w:name="__RefHeading___Toc1165745_1067777946"/>
      <w:bookmarkStart w:id="501" w:name="_Toc180"/>
      <w:bookmarkEnd w:id="499"/>
      <w:bookmarkEnd w:id="500"/>
      <w:r>
        <w:rPr>
          <w:rtl w:val="true"/>
        </w:rPr>
        <w:t>أقسام الجمع بين الصلاتين</w:t>
      </w:r>
      <w:bookmarkEnd w:id="501"/>
    </w:p>
    <w:p>
      <w:pPr>
        <w:pStyle w:val="Heading4"/>
        <w:numPr>
          <w:ilvl w:val="3"/>
          <w:numId w:val="1"/>
        </w:numPr>
        <w:rPr/>
      </w:pPr>
      <w:bookmarkStart w:id="502" w:name="__RefHeading___Toc1165747_1067777946"/>
      <w:bookmarkStart w:id="503" w:name="_Toc181"/>
      <w:bookmarkEnd w:id="502"/>
      <w:r>
        <w:rPr>
          <w:rtl w:val="true"/>
        </w:rPr>
        <w:t>اشارة</w:t>
      </w:r>
      <w:bookmarkEnd w:id="503"/>
    </w:p>
    <w:p>
      <w:pPr>
        <w:pStyle w:val="BookText"/>
        <w:rPr/>
      </w:pPr>
      <w:r>
        <w:rPr>
          <w:rFonts w:ascii="Amiri" w:hAnsi="Amiri" w:eastAsia="Amiri" w:cs="Amiri"/>
          <w:color w:val="111111"/>
          <w:sz w:val="28"/>
          <w:sz w:val="28"/>
          <w:szCs w:val="28"/>
          <w:rtl w:val="true"/>
          <w:lang w:bidi="ar-SA"/>
        </w:rPr>
        <w:t xml:space="preserve">اعلم أنّ للجمع بين الصلاتين صورا مختلفة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الجمع بين الصلاتين في المزدلفة وعرفة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الجمع بين الصلاتين في السفر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الجمع بين الصلاتين في الحضر لأجل الأعذار كالمطر والوحل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الجمع بين الصلاتين في الحضر اختيارا بلا عذر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اتّفقت كلمة الفقهاء على الجمع في المزدلفة وعرفة واختلفت في غيرهما ، فها نحن نأخذ كلّ واحدة بالبحث مع ذكر الأقوال والمصادر بوجه موجز</w:t>
      </w:r>
      <w:r>
        <w:rPr>
          <w:rFonts w:eastAsia="Amiri" w:cs="Amiri" w:ascii="Amiri" w:hAnsi="Amiri"/>
          <w:color w:val="111111"/>
          <w:sz w:val="28"/>
          <w:szCs w:val="28"/>
          <w:rtl w:val="true"/>
          <w:lang w:bidi="ar-SA"/>
        </w:rPr>
        <w:t xml:space="preserve">. </w:t>
      </w:r>
      <w:bookmarkStart w:id="504" w:name="pg10144_71469"/>
    </w:p>
    <w:p>
      <w:pPr>
        <w:pStyle w:val="Heading4"/>
        <w:numPr>
          <w:ilvl w:val="3"/>
          <w:numId w:val="1"/>
        </w:numPr>
        <w:rPr/>
      </w:pPr>
      <w:bookmarkStart w:id="505" w:name="__RefHeading___Toc1165749_1067777946"/>
      <w:bookmarkStart w:id="506" w:name="_Toc182"/>
      <w:bookmarkEnd w:id="504"/>
      <w:bookmarkEnd w:id="505"/>
      <w:r>
        <w:rPr/>
        <w:t>1</w:t>
      </w:r>
      <w:r>
        <w:rPr>
          <w:rtl w:val="true"/>
        </w:rPr>
        <w:t xml:space="preserve">. </w:t>
      </w:r>
      <w:r>
        <w:rPr>
          <w:rtl w:val="true"/>
        </w:rPr>
        <w:t>الجمع بين الصلاتين في عرفة والمزدلفة</w:t>
      </w:r>
      <w:bookmarkEnd w:id="506"/>
    </w:p>
    <w:p>
      <w:pPr>
        <w:pStyle w:val="BookText"/>
        <w:rPr/>
      </w:pPr>
      <w:r>
        <w:rPr>
          <w:rFonts w:ascii="Amiri" w:hAnsi="Amiri" w:eastAsia="Amiri" w:cs="Amiri"/>
          <w:color w:val="111111"/>
          <w:sz w:val="28"/>
          <w:sz w:val="28"/>
          <w:szCs w:val="28"/>
          <w:rtl w:val="true"/>
          <w:lang w:bidi="ar-SA"/>
        </w:rPr>
        <w:t xml:space="preserve">اتّفقت كلمة الفقهاء على رجحان الجمع بين الصلاتين في المزدلفة وعرفة من غير خلاف بينهم ، قال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على أنّ الجمع بين الظهر والعصر في وقت الظهر بعرفة وبين المغرب والعشاء بالمزدلفة أيضا في وقت العشاء سنّة أيضا ، وإنّما اختلفوا في الجمع في غير هذين المكانين</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وقال ابن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وابن سيرين وأصحاب الرأي لا يجوز الجمع إلاّ في يوم عرفة بعرفة ، وليلة المزدلفة بها</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أخرج مسلم عن جابر بن عبد الله انّ رسول الله صلى الله عليه وآله وسلم مكث تسع سنين لم يحج ثمّ أذن في الناس في العاشرة انّ رسول الله صلى الله عليه وآله وسلم حاجّ ، فقدم المدينة بشر كثير كلّهم يلتمس أن يأتمّ برسول الله صلى الله عليه وآله وسلم ويعمل مثل عمله ـ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حتّى أتى عرفة فوجد القبة قد ضربت له بنمرة ، فنزل بها حتى إذا زاغت الشمس أمر بالقصواء فرحلت له فأتى بطن الوادي وخطب الناس ـ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ثمّ أذّن ثمّ أقام فصلّى الظهر ، ثمّ أقام فصلى العصر ولم يصل بينهما شيئا ـ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حتّى أتى المزدلفة فصلى بها المغرب والعشاء بأذان واحد وإقامتين ولم يسبح بينهما شيئا</w:t>
      </w:r>
      <w:r>
        <w:rPr>
          <w:rFonts w:eastAsia="Amiri" w:cs="Amiri" w:ascii="Amiri" w:hAnsi="Amiri"/>
          <w:color w:val="111111"/>
          <w:sz w:val="28"/>
          <w:szCs w:val="28"/>
          <w:rtl w:val="true"/>
          <w:lang w:bidi="ar-SA"/>
        </w:rPr>
        <w:t xml:space="preserve">. </w:t>
      </w:r>
      <w:r>
        <w:rPr>
          <w:rStyle w:val="FootnoteAnchor"/>
          <w:rtl w:val="true"/>
        </w:rPr>
        <w:footnoteReference w:id="533"/>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انّ المسألة مورد اتّفاق بين الفقهاء نقتصر على هذا المقدار</w:t>
      </w:r>
      <w:r>
        <w:rPr>
          <w:rFonts w:eastAsia="Amiri" w:cs="Amiri" w:ascii="Amiri" w:hAnsi="Amiri"/>
          <w:color w:val="111111"/>
          <w:sz w:val="28"/>
          <w:szCs w:val="28"/>
          <w:rtl w:val="true"/>
          <w:lang w:bidi="ar-SA"/>
        </w:rPr>
        <w:t xml:space="preserve">. </w:t>
      </w:r>
      <w:bookmarkStart w:id="507" w:name="pg10144_71470"/>
    </w:p>
    <w:p>
      <w:pPr>
        <w:pStyle w:val="Heading4"/>
        <w:numPr>
          <w:ilvl w:val="3"/>
          <w:numId w:val="1"/>
        </w:numPr>
        <w:rPr/>
      </w:pPr>
      <w:bookmarkStart w:id="508" w:name="__RefHeading___Toc1165751_1067777946"/>
      <w:bookmarkStart w:id="509" w:name="_Toc183"/>
      <w:bookmarkEnd w:id="507"/>
      <w:bookmarkEnd w:id="508"/>
      <w:r>
        <w:rPr/>
        <w:t>2</w:t>
      </w:r>
      <w:r>
        <w:rPr>
          <w:rtl w:val="true"/>
        </w:rPr>
        <w:t xml:space="preserve">. </w:t>
      </w:r>
      <w:r>
        <w:rPr>
          <w:rtl w:val="true"/>
        </w:rPr>
        <w:t>الجمع بين الصلاتين في السفر</w:t>
      </w:r>
      <w:bookmarkEnd w:id="509"/>
    </w:p>
    <w:p>
      <w:pPr>
        <w:pStyle w:val="BookText"/>
        <w:rPr/>
      </w:pPr>
      <w:r>
        <w:rPr>
          <w:rFonts w:ascii="Amiri" w:hAnsi="Amiri" w:eastAsia="Amiri" w:cs="Amiri"/>
          <w:color w:val="111111"/>
          <w:sz w:val="28"/>
          <w:sz w:val="28"/>
          <w:szCs w:val="28"/>
          <w:rtl w:val="true"/>
          <w:lang w:bidi="ar-SA"/>
        </w:rPr>
        <w:t xml:space="preserve">ذهب معظم الفقهاء غير الحسن والنخعي وأبي حنيفة وصاحبيه إلى جواز الجمع بين الصلاتين في السفر ، فيجوز عند الجمهور غير هؤلاء ، الجمع بين الظهر والعصر تقديما في وقت الأولى وتأخيرا في وقت الثانية ، وبين المغرب والعشاء تقديما وتأخيرا أيضا ، فالصلوات التي تجمع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والعصر ، المغرب والعشاء في وقت إحداهما ، ويسمّى الجمع في وقت الصلوات الأولى جمع التقديم ، والجمع في وقت الصلوات الثانية جمع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الشوكاني الأقوال بالنحو التالي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ذهب إلى جواز الجمع في السفر مطلقا تقديما وتأخيرا ، كثير من الصحابة والتابعين ، ومن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الثوري والشافعي وأحمد وإسحاق والشعبي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الجمع مطلقا إلا بعرفة ومزدلفة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الحسن والنخعي وأبي حنيفة وصاحبيه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المشهور عن مالك انّ الجمع يختص بمن جدّ به السير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بالسائر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الأوزاعي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في السفر يختصّ بمن له عذر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ابن حزم ، وهو مروي عن مالك انّه يجوز جمع التأخير دون التقديم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هذه هي الأقوال الستة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كانت المسألة على وجه الإجمال مورد اتّفاق الجمهور إلاّ من عرفت ، فلا بدّ من البحث في مقامين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الجمع مختصّ بمن جدّ به السير؟ أي من أسرع في سيره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الجواز يختصّ بجمع التأخير ولا يعمّ التقديم؟</w:t>
      </w:r>
    </w:p>
    <w:p>
      <w:pPr>
        <w:pStyle w:val="BookText"/>
        <w:rPr/>
      </w:pPr>
      <w:r>
        <w:rPr>
          <w:rFonts w:ascii="IRNazanin" w:hAnsi="IRNazanin" w:eastAsia="IRNazanin"/>
          <w:color w:val="111111"/>
          <w:sz w:val="28"/>
          <w:sz w:val="28"/>
          <w:szCs w:val="28"/>
          <w:rtl w:val="true"/>
          <w:lang w:bidi="fa-IR"/>
        </w:rPr>
        <w:t xml:space="preserve">أمّا المقام الأوّل فنقول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الأخبار الحاكية لفعل النبي صلى الله عليه وآله وسلم على صنفين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يصرح بأنّه صلى الله عليه وآله وسلم يجمع إذا جدّ به السير أو أعجله السير في السفر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مسلم عن نافع ، عن ابن عمر انّ رسول الله صلى الله عليه وآله وسلم كان إذا جدّ به السير جمع بين المغرب والعشاء</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مسلم عن سالم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وآله وسلم يجمع بين المغرب والعشاء إذا جدّ به السير</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مسلم عن سالم بن عبد الله انّ أباه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وآله وسلم إذا أعجله السير في السفر يؤخّر صلاة المغرب حتّى يجمع بينها وبين صلاة العشاء</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مسلم عن أنس ، عن النبي صلى الله عليه وآله وسلم إذا عجّل عليه السفر يؤخّر الظهر إلى أوّل وقت العصر فيجمع بينهما ، ويؤخّر المغرب حتّى يجمع بينها وبين العشاء حين يغيب الشفق</w:t>
      </w:r>
      <w:r>
        <w:rPr>
          <w:rFonts w:eastAsia="Amiri" w:cs="Amiri" w:ascii="Amiri" w:hAnsi="Amiri"/>
          <w:color w:val="111111"/>
          <w:sz w:val="28"/>
          <w:szCs w:val="28"/>
          <w:rtl w:val="true"/>
          <w:lang w:bidi="ar-SA"/>
        </w:rPr>
        <w:t xml:space="preserve">. </w:t>
      </w:r>
      <w:r>
        <w:rPr>
          <w:rStyle w:val="FootnoteAnchor"/>
          <w:rtl w:val="true"/>
        </w:rPr>
        <w:footnoteReference w:id="537"/>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وصنف آخر يحكي فعل رسول الله بلا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جدّ به السير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اخرج مسلم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إذا ارتحل قبل أن تزيغ الشمس أخّر الظهر إلى وقت العصر ثمّ نزل فجمع بينهما ، فإن زاغت الشمس قبل أن يرتحل صلّى الظهر ثمّ ركب</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مسلم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وآله وسلم إذا أراد أن يجمع بين الصلاتين في السفر أخّر الظهر حتّى يدخل أوّل وقت العصر ثمّ يجمع بينهما</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أبو داود والترمذي عن معاذ بن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صلى الله عليه وآله وسلم كان في غزوة تبوك إذا ارتحل قبل أن تزيغ الشمس أخّر الظهر حتّى يجمعها إلى العصر يصلّيهما جميعا ، وإذا ارتحل بعد زيغ الشمس صلّى الظهر والعصر جميعا ثمّ سار ، وكان إذا ارتحل قبل المغرب أخّر المغرب حتّى يصلّيها مع العشاء ، وكان إذا ارتحل بعد المغرب عجّل العشاء فصلاّها مع المغرب</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أحمد في مسنده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وآله وسلم كان في السفر إذا زاغت الشمس في منزله جمع بين الظهر والعصر قبل أن يركب ، فإذا لم تزغ له في منزله ، سار حتّى إذا حانت العصر نزل فجمع بين الظهر والعصر ، وإذا حانت له المغرب في منزله جمع بينها وبين العشاء ، وإذا لم تحن في منزله ركب حتى إذا كانت العشاء نزل فجمع بينهما</w:t>
      </w:r>
      <w:r>
        <w:rPr>
          <w:rFonts w:eastAsia="Amiri" w:cs="Amiri" w:ascii="Amiri" w:hAnsi="Amiri"/>
          <w:color w:val="111111"/>
          <w:sz w:val="28"/>
          <w:szCs w:val="28"/>
          <w:rtl w:val="true"/>
          <w:lang w:bidi="ar-SA"/>
        </w:rPr>
        <w:t xml:space="preserve">. </w:t>
      </w:r>
      <w:r>
        <w:rPr>
          <w:rStyle w:val="FootnoteAnchor"/>
          <w:rtl w:val="true"/>
        </w:rPr>
        <w:footnoteReference w:id="541"/>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الشوكاني بعد نقله الرواية عن مسند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الشافعي في مسنده بنحوه 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سار قبل أن تزول الشمس أخّر الظهر حتّى يجمع بينها وبين </w:t>
      </w:r>
    </w:p>
    <w:p>
      <w:pPr>
        <w:pStyle w:val="BookText"/>
        <w:rPr/>
      </w:pPr>
      <w:r>
        <w:rPr>
          <w:rFonts w:ascii="Amiri" w:hAnsi="Amiri" w:eastAsia="Amiri" w:cs="Amiri"/>
          <w:color w:val="111111"/>
          <w:sz w:val="28"/>
          <w:sz w:val="28"/>
          <w:szCs w:val="28"/>
          <w:rtl w:val="true"/>
          <w:lang w:bidi="ar-SA"/>
        </w:rPr>
        <w:t>العصر في وقت العصر</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أنس بن مالك نقل فعل النبي تارة على وجه الإطلاق ، وأخرى على وجه التقييد </w:t>
      </w:r>
      <w:r>
        <w:rPr>
          <w:rStyle w:val="FootnoteAnchor"/>
          <w:rtl w:val="true"/>
        </w:rPr>
        <w:footnoteReference w:id="543"/>
      </w:r>
      <w:r>
        <w:rPr>
          <w:rFonts w:ascii="Amiri" w:hAnsi="Amiri" w:eastAsia="Amiri" w:cs="Amiri"/>
          <w:color w:val="111111"/>
          <w:sz w:val="28"/>
          <w:sz w:val="28"/>
          <w:szCs w:val="28"/>
          <w:rtl w:val="true"/>
          <w:lang w:bidi="ar-SA"/>
        </w:rPr>
        <w:t>ومقتضى القاعدة هو حمل المطلق على المقيد وتقييد الروايات المطلقة بما في المقيدة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الحاكية لفعل الرسول على وجه الإطلاق دليل لبّي لا لسان له ، وما كان هذا شأنه لا ينعقد فيه الإطلاق ، لأنّ الإطلاق شأن اللفظ ، وليس هناك للرسول صلى الله عليه وآله وسلم لفظ بل صدر منه عمل ، نقله الراوي ولعلّ عمله كان مقارنا لما جدّ به السير ولم يذكره الراوي لعدم احتمال دخله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هذا لا يجمع إلاّ إذا جدّ به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إلى هذا يشير ابن 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إنّما نقل فعلا فقط</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ولكن الظاهر انّ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 في السير والعجلة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الدواعي إلى الجمع ، وتخلّف الداعي في مورد لا يكون سببا لانتفاء الحكم ، فإنّ الإنسان لا يترك الأفضل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هناك داع إليه ، فلأجله اختار الجمع وترك التفريق ، وقد قرر في محلّه انّ انتفاء الدواعي والحكم لا تعد من قيود الحكم بل يكون ثابتا مع انتفائهما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المقام الثاني أي عدم اختصاصه بجمع التأخير وعمومه بجمع التقدّم فيكفي في ذلك ما أخرجه أبو داود والترمذي عن معاذ بن جبل وما أخرجه أحمد عن ابن عباس فلاحظ الرقم الثالث والرابع من الأحاديث الماضية</w:t>
      </w:r>
      <w:r>
        <w:rPr>
          <w:rFonts w:eastAsia="Amiri" w:cs="Amiri" w:ascii="Amiri" w:hAnsi="Amiri"/>
          <w:color w:val="111111"/>
          <w:sz w:val="28"/>
          <w:szCs w:val="28"/>
          <w:rtl w:val="true"/>
          <w:lang w:bidi="ar-SA"/>
        </w:rPr>
        <w:t xml:space="preserve">. </w:t>
      </w:r>
      <w:bookmarkStart w:id="510" w:name="pg10144_71474"/>
    </w:p>
    <w:p>
      <w:pPr>
        <w:pStyle w:val="Heading4"/>
        <w:numPr>
          <w:ilvl w:val="3"/>
          <w:numId w:val="1"/>
        </w:numPr>
        <w:rPr/>
      </w:pPr>
      <w:bookmarkStart w:id="511" w:name="__RefHeading___Toc1165753_1067777946"/>
      <w:bookmarkStart w:id="512" w:name="_Toc184"/>
      <w:bookmarkEnd w:id="510"/>
      <w:bookmarkEnd w:id="511"/>
      <w:r>
        <w:rPr/>
        <w:t>3</w:t>
      </w:r>
      <w:r>
        <w:rPr>
          <w:rtl w:val="true"/>
        </w:rPr>
        <w:t xml:space="preserve">. </w:t>
      </w:r>
      <w:r>
        <w:rPr>
          <w:rtl w:val="true"/>
        </w:rPr>
        <w:t>الجمع بين الصلاتين في الحضر لأجل العذر</w:t>
      </w:r>
      <w:bookmarkEnd w:id="512"/>
    </w:p>
    <w:p>
      <w:pPr>
        <w:pStyle w:val="BookText"/>
        <w:rPr/>
      </w:pPr>
      <w:r>
        <w:rPr>
          <w:rFonts w:ascii="Amiri" w:hAnsi="Amiri" w:eastAsia="Amiri" w:cs="Amiri"/>
          <w:color w:val="111111"/>
          <w:sz w:val="28"/>
          <w:sz w:val="28"/>
          <w:szCs w:val="28"/>
          <w:rtl w:val="true"/>
          <w:lang w:bidi="ar-SA"/>
        </w:rPr>
        <w:t>المشهور هو جواز الجمع بين المغرب والعشاء لعذر خلافا للحنفية حيث لم يجوّزوا الجمع مطلقا إلاّ في الحج بعرفة والمزدلفة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القائلون بالجمع فقد اختلفوا من 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الجواز بالمطر ، أو يعمّه وغيره؟</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الجواز بالمغرب والعشاء ، أو يعمّ الظهر والعصر؟</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يختص الجواز بجمع التقديم أو يعمّ جمع التأخير؟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وإليك نقل كلماتهم في الوجوه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 فالظاهر من الشافعية هو اختصاص الجواز بالمطر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الجمع بين الصلاتين في المطر ، وأمّا الوحل والريح والظلمة والمرض فلا يجوز الجمع لأجلها</w:t>
      </w:r>
      <w:r>
        <w:rPr>
          <w:rFonts w:eastAsia="Amiri" w:cs="Amiri" w:ascii="Amiri" w:hAnsi="Amiri"/>
          <w:color w:val="111111"/>
          <w:sz w:val="28"/>
          <w:szCs w:val="28"/>
          <w:rtl w:val="true"/>
          <w:lang w:bidi="ar-SA"/>
        </w:rPr>
        <w:t xml:space="preserve">. </w:t>
      </w:r>
      <w:r>
        <w:rPr>
          <w:rStyle w:val="FootnoteAnchor"/>
          <w:rtl w:val="true"/>
        </w:rPr>
        <w:footnoteReference w:id="546"/>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الجمع في الحضر لعذر المطر فأجازه الشافعي ـ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وأمّا الجمع في الحضر للمريض ، فأمّا مالكا أباحه له إذا خاف أن يغمى </w:t>
      </w:r>
    </w:p>
    <w:p>
      <w:pPr>
        <w:pStyle w:val="BookText"/>
        <w:rPr/>
      </w:pPr>
      <w:r>
        <w:rPr>
          <w:rFonts w:ascii="Amiri" w:hAnsi="Amiri" w:eastAsia="Amiri" w:cs="Amiri"/>
          <w:color w:val="111111"/>
          <w:sz w:val="28"/>
          <w:sz w:val="28"/>
          <w:szCs w:val="28"/>
          <w:rtl w:val="true"/>
          <w:lang w:bidi="ar-SA"/>
        </w:rPr>
        <w:t>عليه أو كان به بطن ، ومنع ذلك الشافعي</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وقال في الشرح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ذلك ـ وراء المطر ـ لأجل الوحل والريح الشديدة الباردة ، أو لمن يصلّي في بيته أو في مسجد طريقه تحت ساباط على وجهين</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وأمّا الثاني ، أي هل يختص الجواز بالمغرب والعشاء أو يعمّ الظهرين؟</w:t>
      </w:r>
    </w:p>
    <w:p>
      <w:pPr>
        <w:pStyle w:val="BookText"/>
        <w:rPr/>
      </w:pPr>
      <w:r>
        <w:rPr>
          <w:rFonts w:ascii="Amiri" w:hAnsi="Amiri" w:eastAsia="Amiri" w:cs="Amiri"/>
          <w:color w:val="111111"/>
          <w:sz w:val="28"/>
          <w:sz w:val="28"/>
          <w:szCs w:val="28"/>
          <w:rtl w:val="true"/>
          <w:lang w:bidi="ar-SA"/>
        </w:rPr>
        <w:t xml:space="preserve">فقال ابن 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الجمع في الحضر لعذر المطر فأجازه الشافعي ليلا كان أو نهارا ، ومنعه مالك في النهار وأجازه في الليل</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وقال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والأصحاب يجوز الجمع بين الظهر والعصر وبين المغرب والعشاء في المطر ، وحكى إمام الحرمين قولا إنّه يجوز بين المغرب والعشاء في وقت المغرب ولا يجوز بين الظهر والعصر ، وهو مذهب مالك ، وقال المزني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والمذهب الأوّل هو المعروف من نصوص الشافعي قديما وجديدا</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وأمّا الثالث ، أي اختصاص الجواز بجمع التقديم دون جمع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الجمع بين الصلاتين في المطر في وقت الأولة منهما ، وهل يجوز أن يجمعهما في وقت الثانية؟ فيه قولان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 لأنّه عذر يجوز الجمع به في وقت الأولى فجاز الجمع في وقت الثانية كالجمع في السفر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 لأنّه إذا أخّر ربما انقطع المطر فجمع من غير عذر</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هذا إجمال الأقوال في النقاط الثلاث ، ولهم اختلافات في مواضع أخر لا حاجة لذكرها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 فالمهمّ هو وجود الدليل على جواز الجمع في الحضر 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استدلّوا بحديثين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دلّ على جواز الجمع في الحضر على وجه الإطلاق حيث حملوه على صورة المطر أو صورة العذر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البخاري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صلى الله عليه وآله وسلم صلّى بالمدينة سبعا وثمانيا الظهر والعصر ، المغرب والعشاء</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قال ابن 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الجمع في الحضر لغير عذر ، فان مالكا وأكثر الفقهاء لا يجيزونه وأجاز ذلك جماعة من أهل الظاهر وأشهب من أصحاب مالك ، وسبب اختلافهم اختلافهم في مفهوم حديث ابن عباس ، فمنهم من تأوّله على أنّه كان في مطر كما قال مالك ، ومنهم من أخذ بعمومه 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 الله عليه وآله وسلم جمع بين الظهر والعصر وبين المغرب والعشاء بالمدينة من غير خوف ولا سفر ولا مطر ، قيل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أراد بذلك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لا يحرج أمّته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فظاهر الحديث يعطي انّ الجمع في المطر كان أمرا مسلما ، ولذلك حاول </w:t>
      </w:r>
    </w:p>
    <w:p>
      <w:pPr>
        <w:pStyle w:val="BookText"/>
        <w:rPr/>
      </w:pPr>
      <w:r>
        <w:rPr>
          <w:rFonts w:ascii="Amiri" w:hAnsi="Amiri" w:eastAsia="Amiri" w:cs="Amiri"/>
          <w:color w:val="111111"/>
          <w:sz w:val="28"/>
          <w:sz w:val="28"/>
          <w:szCs w:val="28"/>
          <w:rtl w:val="true"/>
          <w:lang w:bidi="ar-SA"/>
        </w:rPr>
        <w:t>ابن عباس أن يبيّن بأنّ هذا الجمع لم يكن لغاية المطر أو سائر الأعذار ، بل عفوا لغاية عدم إحراج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جاز الجمع في الحضر لأجل العذر يكون الجمع في السفر اختيارا من غير عذر من أحكام السفر ، لأنّ المسافر يجمع فيه بين الصلاتين بلا عذر وأمّا الحاضر فإنّما يجمع لعذر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قلنا بالجواز في الحضر اختيارا كما سيوافيك فلا يكون الجمع بين الصلاتين من أحكام السفر</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الكلام في الصورة الثالثة ، بقي الكلام في الصورة الرابعة وهي الجمع بين الصلاتين في الحضر ، فلو ثبت جواز الجمع بينهما في الحضر اختيارا ، ثبت جواز الجمع في السفر لعذر أو لغير عذر ، بطريق أولى ، ولذلك أولينا أهمية خاصة للصورة الرابعة لأنّ ثبوت الجواز فيها مفتاح ثبوت الجواز في سائر الصور ، فلاحظ</w:t>
      </w:r>
      <w:r>
        <w:rPr>
          <w:rFonts w:eastAsia="Amiri" w:cs="Amiri" w:ascii="Amiri" w:hAnsi="Amiri"/>
          <w:color w:val="111111"/>
          <w:sz w:val="28"/>
          <w:szCs w:val="28"/>
          <w:rtl w:val="true"/>
          <w:lang w:bidi="ar-SA"/>
        </w:rPr>
        <w:t xml:space="preserve">. </w:t>
      </w:r>
      <w:bookmarkStart w:id="513" w:name="pg10144_71478"/>
    </w:p>
    <w:p>
      <w:pPr>
        <w:pStyle w:val="Heading4"/>
        <w:numPr>
          <w:ilvl w:val="3"/>
          <w:numId w:val="1"/>
        </w:numPr>
        <w:rPr/>
      </w:pPr>
      <w:bookmarkStart w:id="514" w:name="__RefHeading___Toc1165755_1067777946"/>
      <w:bookmarkStart w:id="515" w:name="_Toc185"/>
      <w:bookmarkEnd w:id="513"/>
      <w:bookmarkEnd w:id="514"/>
      <w:r>
        <w:rPr/>
        <w:t>4</w:t>
      </w:r>
      <w:r>
        <w:rPr>
          <w:rtl w:val="true"/>
        </w:rPr>
        <w:t xml:space="preserve">. </w:t>
      </w:r>
      <w:r>
        <w:rPr>
          <w:rtl w:val="true"/>
        </w:rPr>
        <w:t>الجمع بين الصلاتين في الحضر اختيارا</w:t>
      </w:r>
      <w:bookmarkEnd w:id="515"/>
    </w:p>
    <w:p>
      <w:pPr>
        <w:pStyle w:val="BookText"/>
        <w:rPr/>
      </w:pPr>
      <w:r>
        <w:rPr>
          <w:rFonts w:ascii="Amiri" w:hAnsi="Amiri" w:eastAsia="Amiri" w:cs="Amiri"/>
          <w:color w:val="111111"/>
          <w:sz w:val="28"/>
          <w:sz w:val="28"/>
          <w:szCs w:val="28"/>
          <w:rtl w:val="true"/>
          <w:lang w:bidi="ar-SA"/>
        </w:rPr>
        <w:t>اتّفقت الإمامية على أنّه يجوز الجمع بين الصلاتين في الحضر اختيارا وإن كان التفريق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الجمع بين الصلاتين ، بين الظهر والعصر وبين المغرب وعشاء الآخرة ، في السفر والحضر وعلى كلّ حال ، ولا فرق بين أن يجمع بينهما في وقت الأولة منهما أو وقت الثانية ، لأنّ الوقت مشترك بعد الزوال وبعد المغرب على ما بيّناه</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إنّ الجمع بين الصلاتين على مذهب الإمامية ليس بمعنى إتيان الصلاة في غير وقتها الشرعي ، بل المراد الإتيان في غير وقت الفضيلة ، وإليك تفصيل المذهب</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الإمامية ـ تبعا للنصوص الواردة عن أئمّة أهل البيت عليهم السلام ـ إنّه إذا زالت الشمس دخل الوقتان ـ أي وقت الظهر والعصر ـ إلاّ أنّ صلاة الظهر يؤتى بها قبل العصر ، وعلى ذلك فالوقت بين الظهر والغروب وقت مشترك بين الصلاتين ، غير انّه يختص مقدار أربع ركعات من الزوال بالظهر ومقدار أربع </w:t>
      </w:r>
    </w:p>
    <w:p>
      <w:pPr>
        <w:pStyle w:val="BookText"/>
        <w:rPr/>
      </w:pPr>
      <w:r>
        <w:rPr>
          <w:rFonts w:ascii="Amiri" w:hAnsi="Amiri" w:eastAsia="Amiri" w:cs="Amiri"/>
          <w:color w:val="111111"/>
          <w:sz w:val="28"/>
          <w:sz w:val="28"/>
          <w:szCs w:val="28"/>
          <w:rtl w:val="true"/>
          <w:lang w:bidi="ar-SA"/>
        </w:rPr>
        <w:t>ركعات من الآخر للعصر وما بينهما وقت مشترك ، فلو صلّى الظهر والعصر في أي جزء من بين الزوال والغروب فقد أتى بهما في وقتهما ، وذلك لأنّ الوقت مشترك بينهما ، غير انّه يختص بالظهر مقدار أربع ركعات من أوّل الوقت ولا يصحّ فيه العصر ويختص بالعصر بمقدار أربع ركعات من آخر الوقت ولا يصحّ إتيان الظهر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واقع المذهب ، ولأجل ذلك فالجامع بين الصلاتين في غير الوقت المختص به آت بالفريضة في وقتها فصلاته أداء لا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فلكلّ من الصلاتين ـ وراء وقت الاجزاء ـ وقت 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فوقت فضيلة الظهر من الزوال إلى بلوغ ظل الشاخص الحادث بعد الانعدام أو بعد الانتهاء مثله ، ووقت فضيلة العصر من المثل إلى المثلين عند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يعلم وقت المغرب والعشاء ، فإذا غربت الشمس دخل الوقتان إلى نصف الليل ، ويختص المغرب بأوّله بمقدار أدائه والعشاء بآخره كذلك وما بينهما وقت مشترك ، ومع ذلك انّ لكلّ من الصلاتين وقت فضيلة ، فوقت فضيلة صلاة المغرب من المغرب إلى ذهاب الشفق وهي الحمرة المغربية ، ووقت فضيلة العشاء من ذهاب الشفق إلى ثلث الليل</w:t>
      </w:r>
      <w:r>
        <w:rPr>
          <w:rFonts w:eastAsia="Amiri" w:cs="Amiri" w:ascii="Amiri" w:hAnsi="Amiri"/>
          <w:color w:val="111111"/>
          <w:sz w:val="28"/>
          <w:szCs w:val="28"/>
          <w:rtl w:val="true"/>
          <w:lang w:bidi="ar-SA"/>
        </w:rPr>
        <w:t xml:space="preserve">. </w:t>
      </w:r>
      <w:r>
        <w:rPr>
          <w:rStyle w:val="FootnoteAnchor"/>
          <w:rtl w:val="true"/>
        </w:rPr>
        <w:footnoteReference w:id="554"/>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وأكثر من يستغرب جمع الشيعة الإمامية بين الصلاتين لأجل انّه يتصور انّ الجامع يصلّي إحدى الصلاتين في غير وقتها ، ولكنّه غرب عن بآلة أنّه يأتي بالصلاة في غير وقت الفضيلة ولكنّه يأتي بها في وقت الإجزاء ، ولا غرو أن يكون </w:t>
      </w:r>
    </w:p>
    <w:p>
      <w:pPr>
        <w:pStyle w:val="BookText"/>
        <w:rPr/>
      </w:pPr>
      <w:r>
        <w:rPr>
          <w:rFonts w:ascii="Amiri" w:hAnsi="Amiri" w:eastAsia="Amiri" w:cs="Amiri"/>
          <w:color w:val="111111"/>
          <w:sz w:val="28"/>
          <w:sz w:val="28"/>
          <w:szCs w:val="28"/>
          <w:rtl w:val="true"/>
          <w:lang w:bidi="ar-SA"/>
        </w:rPr>
        <w:t>للصلاة أوقاتا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الاختصاص كما في أربع ركعات من أوّل الوقت وآخره ، أو ثلاث ركعات بعد المغرب وأربع ركعات قبل نصف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الفضيلة ، وقد عرفت تفصيله في الظهرين والعشاءين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الإجزاء ، وهو مطلق ما بين الحدّين إلاّ ما يختصّ بإحدى الصلاتين ، فيكون وقت الإجزاء أعمّ من وقت الفضيلة وخارجه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تضافرت الروايات عن أئمّة أهل البيت انّه إذا زالت الشمس دخل الوقتان إلاّ أنّ هذه قبل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الصدوق بإسناده عن زرارة ، عن أبي جعفر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زالت الشمس دخل الوقتان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والعصر ، وإذا غابت الشمس دخل الوقتان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والعشاء الآخرة </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روى الشيخ الطوسي بإسناده عن عبيد بن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وقت الظهر والعصر؟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زالت الشمس دخل وقت الظهر والعصر ، إلاّ انّ هذه قبل هذه ثمّ أنت في وقت منهما جميعا حتى تغيب الشمس </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والروايات بهذا المضمون متوفرة اقتصرنا على هذا المقدار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كانت الصلوات تتمتع بأوقات ثلاثة كما بيّناه يتبيّن انّ الجمع ليس بأمر مشكل وإنّما يفوت به فضيلة الوقت لا أصل الوقت ، ولأجل ذلك ورد عن أئمّة أهل البيت أنّ التفريق أفضل من الجمع ، فنذكر في المقام بعض ما يصرح بجواز </w:t>
      </w:r>
    </w:p>
    <w:p>
      <w:pPr>
        <w:pStyle w:val="BookText"/>
        <w:rPr/>
      </w:pPr>
      <w:r>
        <w:rPr>
          <w:rFonts w:ascii="Amiri" w:hAnsi="Amiri" w:eastAsia="Amiri" w:cs="Amiri"/>
          <w:color w:val="111111"/>
          <w:sz w:val="28"/>
          <w:sz w:val="28"/>
          <w:szCs w:val="28"/>
          <w:rtl w:val="true"/>
          <w:lang w:bidi="ar-SA"/>
        </w:rPr>
        <w:t>الجمع تيمّنا وتبرّكا ، وإلاّ فالمسألة من ضروريات الفقه الإمامي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الصدوق بإسناده عن عبد الله بن سنان ، عن الصادق عليه السلام انّ رسول الله صلى الله عليه وآله وسلم جمع بين الظهر والعصر بأذان وإقامتين ، وجمع بين المغرب والعشاء في الحضر من غير علّة بأذان واحد وإقامتين </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أيضا بإسناده عن إسحاق بن عمّار ، عن أبي عبد 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صلى الله عليه وآله وسلم صلّى الظهر والعصر في مكان واحد من غير علة ولا سبب ، فقال له عمر ـ وكان أجرأ القوم عليه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 في الصلاة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أردت أن أوسّع على أمّتي </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الكليني بإسناده عن زرارة ، عن أبي عبد 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رسول الله بالناس الظهر والعصر حين زالت الشمس في جماعة من غير علّة ، وصلّى بهم المغرب والعشاء الآخرة قبل سقوط الشفق من غير علّة في جماعة ، وإنّما فعل رسول الله صلى الله عليه وآله وسلم ليتسع الوقت على أمّته </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إلى غير ذلك من الروايات المتوفرة التي جمعها الشيخ الحر العاملي في وسائل الشيعة</w:t>
      </w:r>
      <w:r>
        <w:rPr>
          <w:rFonts w:eastAsia="Amiri" w:cs="Amiri" w:ascii="Amiri" w:hAnsi="Amiri"/>
          <w:color w:val="111111"/>
          <w:sz w:val="28"/>
          <w:szCs w:val="28"/>
          <w:rtl w:val="true"/>
          <w:lang w:bidi="ar-SA"/>
        </w:rPr>
        <w:t xml:space="preserve">. </w:t>
      </w:r>
      <w:r>
        <w:rPr>
          <w:rStyle w:val="FootnoteAnchor"/>
          <w:rtl w:val="true"/>
        </w:rPr>
        <w:footnoteReference w:id="560"/>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تبيّنت نظرية الشيعة في الجمع بين الصلاتين</w:t>
      </w:r>
      <w:r>
        <w:rPr>
          <w:rFonts w:eastAsia="Amiri" w:cs="Amiri" w:ascii="Amiri" w:hAnsi="Amiri"/>
          <w:color w:val="111111"/>
          <w:sz w:val="28"/>
          <w:szCs w:val="28"/>
          <w:rtl w:val="true"/>
          <w:lang w:bidi="ar-SA"/>
        </w:rPr>
        <w:t>.</w:t>
      </w:r>
      <w:bookmarkStart w:id="516" w:name="pg10144_71482"/>
    </w:p>
    <w:p>
      <w:pPr>
        <w:pStyle w:val="Heading3"/>
        <w:numPr>
          <w:ilvl w:val="2"/>
          <w:numId w:val="1"/>
        </w:numPr>
        <w:rPr/>
      </w:pPr>
      <w:bookmarkStart w:id="517" w:name="__RefHeading___Toc1165757_1067777946"/>
      <w:bookmarkStart w:id="518" w:name="_Toc186"/>
      <w:bookmarkEnd w:id="516"/>
      <w:bookmarkEnd w:id="517"/>
      <w:r>
        <w:rPr>
          <w:rtl w:val="true"/>
        </w:rPr>
        <w:t>التنويع في الوقت في فقه السنّة</w:t>
      </w:r>
      <w:bookmarkEnd w:id="518"/>
    </w:p>
    <w:p>
      <w:pPr>
        <w:pStyle w:val="BookText"/>
        <w:rPr/>
      </w:pPr>
      <w:r>
        <w:rPr>
          <w:rFonts w:ascii="Amiri" w:hAnsi="Amiri" w:eastAsia="Amiri" w:cs="Amiri"/>
          <w:color w:val="111111"/>
          <w:sz w:val="28"/>
          <w:sz w:val="28"/>
          <w:szCs w:val="28"/>
          <w:rtl w:val="true"/>
          <w:lang w:bidi="ar-SA"/>
        </w:rPr>
        <w:t>وربما يتصوّر من لا خبرة له أنّ هذا التنويع في الوقت من خصائص الفقه الإمامي ، فان تنويع الوقت إلى أوقات ثلاثة يوجد في كلا الفقهين وإن كان بينهما اختلاف في الكمية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النووي في شرح 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للظهر ثلاثة 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فضيلة ، ووقت اختيار ، ووقت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فوقت الفضيلة أوّله ، ووقت الاختيار ما بعد وقت الفضيلة ، إلى آخر الوقت ، ووقت العذر وقت العصر في حقّ من يجمع بسفر أو 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القاضي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أربعة 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فضيلة ، ووقت اختيار ، ووقت جواز ، ووقت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فوقت الفضيلة إذا صار ظل الشيء مثل ربعه ، والاختيار إذا صار مثل نصفه ، والجواز إذا صار ظله مثله وهو آخر الوقت ، والعذر وقت العصر لمن جمع بسفر أو مطر</w:t>
      </w:r>
      <w:r>
        <w:rPr>
          <w:rFonts w:eastAsia="Amiri" w:cs="Amiri" w:ascii="Amiri" w:hAnsi="Amiri"/>
          <w:color w:val="111111"/>
          <w:sz w:val="28"/>
          <w:szCs w:val="28"/>
          <w:rtl w:val="true"/>
          <w:lang w:bidi="ar-SA"/>
        </w:rPr>
        <w:t xml:space="preserve">. </w:t>
      </w:r>
      <w:r>
        <w:rPr>
          <w:rStyle w:val="FootnoteAnchor"/>
          <w:rtl w:val="true"/>
        </w:rPr>
        <w:footnoteReference w:id="561"/>
      </w:r>
    </w:p>
    <w:p>
      <w:pPr>
        <w:pStyle w:val="Heading3"/>
        <w:numPr>
          <w:ilvl w:val="2"/>
          <w:numId w:val="1"/>
        </w:numPr>
        <w:rPr/>
      </w:pPr>
      <w:bookmarkStart w:id="519" w:name="__RefHeading___Toc1165759_1067777946"/>
      <w:bookmarkStart w:id="520" w:name="_Toc187"/>
      <w:bookmarkEnd w:id="519"/>
      <w:r>
        <w:rPr>
          <w:rtl w:val="true"/>
        </w:rPr>
        <w:t>من يوافق الإمامية بعض الموافقة</w:t>
      </w:r>
      <w:bookmarkEnd w:id="520"/>
    </w:p>
    <w:p>
      <w:pPr>
        <w:pStyle w:val="BookText"/>
        <w:rPr/>
      </w:pPr>
      <w:r>
        <w:rPr>
          <w:rFonts w:ascii="Amiri" w:hAnsi="Amiri" w:eastAsia="Amiri" w:cs="Amiri"/>
          <w:color w:val="111111"/>
          <w:sz w:val="28"/>
          <w:sz w:val="28"/>
          <w:szCs w:val="28"/>
          <w:rtl w:val="true"/>
          <w:lang w:bidi="ar-SA"/>
        </w:rPr>
        <w:t xml:space="preserve">كما أنّ هناك من يقول ببعض ما ذهبت إليه الإمامية ، نقله النووي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عطاء وطاوس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ظل الشيء مثله دخل وقت العصر وما بعده وقت للظهر والعصر على سبيل الاشتراك حتى تغرب الشمس</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القول يخصّ صيرورة ظل الشيء مثله للظهر ، ثمّ يجعل الباقي مشتركا بينهما حتى تغرب الشمس ، وهو قريب ممّا ذهب إليه الإمامية</w:t>
      </w:r>
      <w:r>
        <w:rPr>
          <w:rFonts w:eastAsia="Amiri" w:cs="Amiri" w:ascii="Amiri" w:hAnsi="Amiri"/>
          <w:color w:val="111111"/>
          <w:sz w:val="28"/>
          <w:szCs w:val="28"/>
          <w:rtl w:val="true"/>
          <w:lang w:bidi="ar-SA"/>
        </w:rPr>
        <w:t xml:space="preserve">. </w:t>
      </w:r>
      <w:bookmarkStart w:id="521" w:name="pg10144_71483"/>
    </w:p>
    <w:p>
      <w:pPr>
        <w:pStyle w:val="BookText"/>
        <w:rPr/>
      </w:pPr>
      <w:bookmarkEnd w:id="521"/>
      <w:r>
        <w:rPr>
          <w:rFonts w:ascii="Amiri" w:hAnsi="Amiri" w:eastAsia="Amiri" w:cs="Amiri"/>
          <w:color w:val="111111"/>
          <w:sz w:val="28"/>
          <w:sz w:val="28"/>
          <w:szCs w:val="28"/>
          <w:rtl w:val="true"/>
          <w:lang w:bidi="ar-SA"/>
        </w:rPr>
        <w:t xml:space="preserve">وقال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ظله مثله فهو آخر وقت الظهر وأوّل وقت العصر بالاشتراك ، فإذا زاد على المثل زيادة بيّنة خرج وقت الظهر</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وهذا القول يجعل قسما من الوقت ـ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صيرورة الظل مثله ـ إلى زيادة الظل عنه زيادة بيّنة ، وقتا مشتركا بين الظهر والعصر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عنه أيضا انّ وقت الظهر يمتد إلى غروب الشمس</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إلى غير ذلك من الأقوال التي فيها نوع موافقة للفقه الإمامي</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1165761_1067777946"/>
      <w:bookmarkStart w:id="523" w:name="_Toc188"/>
      <w:bookmarkEnd w:id="522"/>
      <w:r>
        <w:rPr>
          <w:rtl w:val="true"/>
        </w:rPr>
        <w:t>من يوافق الإمامية تمام الموافقة من السنّة</w:t>
      </w:r>
      <w:bookmarkEnd w:id="523"/>
    </w:p>
    <w:p>
      <w:pPr>
        <w:pStyle w:val="BookText"/>
        <w:rPr/>
      </w:pPr>
      <w:r>
        <w:rPr>
          <w:rFonts w:ascii="Amiri" w:hAnsi="Amiri" w:eastAsia="Amiri" w:cs="Amiri"/>
          <w:color w:val="111111"/>
          <w:sz w:val="28"/>
          <w:sz w:val="28"/>
          <w:szCs w:val="28"/>
          <w:rtl w:val="true"/>
          <w:lang w:bidi="ar-SA"/>
        </w:rPr>
        <w:t>والجمع بين الصلاتين اختيارا وإن كان من ضروريات الفقه الإمامي ، لكن ليست الإماميّة متفردة فيه بل وافقهم لفيف من فقهاء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الجمع في الحضر لغير عذر فإن مالكا وأكثر الفقهاء لا يجيزونه ، وأجاز ذلك جماعة من أهل الظاهر ، وأشهب من أصحاب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 اختلافهم ، اختلافهم في مفهوم حديث ابن عباس ، فمنهم من تأوّله على أنّه كان من 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أخذ بعمومه مطلقا ، وقد خرّج مسلم زيادة في حديثه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خوف ولا سفر ولا مطر ، وبهذا تمسّك أهل الظاهر</w:t>
      </w:r>
      <w:r>
        <w:rPr>
          <w:rFonts w:eastAsia="Amiri" w:cs="Amiri" w:ascii="Amiri" w:hAnsi="Amiri"/>
          <w:color w:val="111111"/>
          <w:sz w:val="28"/>
          <w:szCs w:val="28"/>
          <w:rtl w:val="true"/>
          <w:lang w:bidi="ar-SA"/>
        </w:rPr>
        <w:t xml:space="preserve">. </w:t>
      </w:r>
      <w:r>
        <w:rPr>
          <w:rStyle w:val="FootnoteAnchor"/>
          <w:rtl w:val="true"/>
        </w:rPr>
        <w:footnoteReference w:id="564"/>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في مذاهبهم من الجمع بلا خوف ولا سفر ، ولا مطر ولا مرض ، مذهبنا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ومذهب أبي حنيفة ومالك وأحمد والجمهور انّه لا يجوز ، </w:t>
      </w:r>
      <w:bookmarkStart w:id="524" w:name="pg10144_71484"/>
    </w:p>
    <w:p>
      <w:pPr>
        <w:pStyle w:val="BookText"/>
        <w:rPr/>
      </w:pPr>
      <w:bookmarkEnd w:id="524"/>
      <w:r>
        <w:rPr>
          <w:rFonts w:ascii="Amiri" w:hAnsi="Amiri" w:eastAsia="Amiri" w:cs="Amiri"/>
          <w:color w:val="111111"/>
          <w:sz w:val="28"/>
          <w:sz w:val="28"/>
          <w:szCs w:val="28"/>
          <w:rtl w:val="true"/>
          <w:lang w:bidi="ar-SA"/>
        </w:rPr>
        <w:t xml:space="preserve">وحكى ابن المنذر عن طائفة جوازه بلا سبب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وجوّزه ابن سيرين لحاجة أو ما لم يتّخذه عادة</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وعلى كل تقدير فالمهم هو الدليل لا الأقوال ، فإن وافقت الدليل فهو ، وإلاّ فالمرجع هو الدليل</w:t>
      </w:r>
      <w:r>
        <w:rPr>
          <w:rFonts w:eastAsia="Amiri" w:cs="Amiri" w:ascii="Amiri" w:hAnsi="Amiri"/>
          <w:color w:val="111111"/>
          <w:sz w:val="28"/>
          <w:szCs w:val="28"/>
          <w:rtl w:val="true"/>
          <w:lang w:bidi="ar-SA"/>
        </w:rPr>
        <w:t>.</w:t>
      </w:r>
    </w:p>
    <w:p>
      <w:pPr>
        <w:pStyle w:val="Heading3"/>
        <w:numPr>
          <w:ilvl w:val="2"/>
          <w:numId w:val="1"/>
        </w:numPr>
        <w:rPr/>
      </w:pPr>
      <w:bookmarkStart w:id="525" w:name="__RefHeading___Toc1165763_1067777946"/>
      <w:bookmarkStart w:id="526" w:name="_Toc189"/>
      <w:bookmarkEnd w:id="525"/>
      <w:r>
        <w:rPr>
          <w:rtl w:val="true"/>
        </w:rPr>
        <w:t>الكتاب والجمع بين الصلاتين</w:t>
      </w:r>
      <w:bookmarkEnd w:id="526"/>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إِلى غَسَقِ اللَّيْلِ وَقُرْآنَ الْفَجْرِ إِنَّ قُرْآنَ الْفَجْرِ كانَ مَشْهُوداً </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إنّ الآية متكفّلة لبيان أوقات الصلوات الخمسة ، فلو قلنا بأنّ المراد من غسق الليل هو انتصافه ، فيكون ما بين الدلوك وغسق الليل أوقاتا للصلوات الأربع ، غير أنّ الدليل دلّ على خروج وقت الظهرين بغروب الشمس ، فيكون ما بين الدلوك والغروب وقتا مشتركا للظهرين كما يكون ما بين الغروب وغسق الليل وقتا مشتركا للمغرب والعشاء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يفسر الغسق بغروب الشمس ، فعندئذ تتكفل الآية لبيان وقت الظهرين وصلاة الفجر دون المغرب والعشاء ، والمعروف هو التفسير الأوّل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دلالة على أنّ وقت صلاة الظهر موسّع إلى آخر النهار ، لأنّ الله سبحانه جعل من دلوك الشمس الذي هو الزوال إلى غسق الليل وقتا للصلوات الأربع إلاّ انّ الظهر والعصر اشتركا في الوقت من الزوال إلى </w:t>
      </w:r>
    </w:p>
    <w:p>
      <w:pPr>
        <w:pStyle w:val="BookText"/>
        <w:rPr/>
      </w:pPr>
      <w:r>
        <w:rPr>
          <w:rFonts w:ascii="Amiri" w:hAnsi="Amiri" w:eastAsia="Amiri" w:cs="Amiri"/>
          <w:color w:val="111111"/>
          <w:sz w:val="28"/>
          <w:sz w:val="28"/>
          <w:szCs w:val="28"/>
          <w:rtl w:val="true"/>
          <w:lang w:bidi="ar-SA"/>
        </w:rPr>
        <w:t xml:space="preserve">الغروب ، والمغرب والعشاء الآخرة اشتركا في الوقت من الغروب إلى الغسق وأفرد صلاة الفجر بالذكر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وَقُرْآنَ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الآية بيان وجوب الصلوات الخمس وبيان أوقاتها</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وما ذكرناه هو الذي نصّ عليه الإمام الباقر عليه السلام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تعالى لنبيّه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إِلى غَسَقِ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أربع صلوات سمّاهن الله وبيّنهن ووقّتهن ، وغسق الليل هو انتصافه ، ثمّ قال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وَقُرْآنَ الْفَجْرِ إِنَّ قُرْآنَ الْفَجْرِ كانَ مَشْهُوداً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الخامسة </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وقال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صلاتان أوّل وقتهما من زوال الشمس إلاّ أنّ هذه قبل هذه ، ومنها صلاتان أوّل وقتهما من غروب الشمس إلى انتصاف الليل إلاّ أنّ هذه قبل هذه </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وقال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قوم إلى أنّ صلاة الظهر يتمادى وقتها من الزوال إلى الغروب ، لأنّ الله سبحانه علّق وجوبها على الدلوك وهذا دلوك كلّه ؛ قاله الأوزاعي وأبو حنيفة في تفصيل ، وأشار إليه مالك والشافعي في حالة الضرورة</w:t>
      </w:r>
      <w:r>
        <w:rPr>
          <w:rFonts w:eastAsia="Amiri" w:cs="Amiri" w:ascii="Amiri" w:hAnsi="Amiri"/>
          <w:color w:val="111111"/>
          <w:sz w:val="28"/>
          <w:szCs w:val="28"/>
          <w:rtl w:val="true"/>
          <w:lang w:bidi="ar-SA"/>
        </w:rPr>
        <w:t xml:space="preserve">. </w:t>
      </w:r>
      <w:r>
        <w:rPr>
          <w:rStyle w:val="FootnoteAnchor"/>
          <w:rtl w:val="true"/>
        </w:rPr>
        <w:footnoteReference w:id="570"/>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فسرنا الغسق بظهور أوّل الظلمة ـ وحكاه عن ابن عبّاس وعطاء والنضر بن شمّيل ـ كان الغسق عبارة عن أوّل المغرب ، وعلى هذا التقدير يكون المذكور في الآية ثلاثة 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الزوال ، ووقت أوّل المغرب ، ووقت الفجر</w:t>
      </w:r>
      <w:r>
        <w:rPr>
          <w:rFonts w:eastAsia="Amiri" w:cs="Amiri" w:ascii="Amiri" w:hAnsi="Amiri"/>
          <w:color w:val="111111"/>
          <w:sz w:val="28"/>
          <w:szCs w:val="28"/>
          <w:rtl w:val="true"/>
          <w:lang w:bidi="ar-SA"/>
        </w:rPr>
        <w:t xml:space="preserve">. </w:t>
      </w:r>
      <w:bookmarkStart w:id="527" w:name="pg10144_71486"/>
    </w:p>
    <w:p>
      <w:pPr>
        <w:pStyle w:val="BookText"/>
        <w:rPr/>
      </w:pPr>
      <w:bookmarkEnd w:id="52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يقتضي أن يكون الزوال وقتا للظهر والعصر فيكون هذا الوقت مشتركا بين هاتين الصلاتين ، وأن يكون أوّل المغرب وقتا للمغرب والعشاء فيكون هذا الوقت مشتركا أيضا بين هاتين الصلاتين ، فهذا يقتضي جواز الجمع بين الظهر والعصر والمغرب والعشاء مطلقا ، إلاّ أنّه دلّ الدليل على أنّ الجمع في الحضر من غير عذر لا يجوز ، فوجب أن يكون الجمع جائزا لعذر السفر وعند المطر وغيره</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وما حقّقه الرازي في المقام ، حقّ ليس وراءه شيء ، لكن عدوله عنه ،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الجمع في السفر من غير عذر لا يجوز لوجود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رجم بالغيب ، إذ أيّ دليل قام على عدم الجواز بلا عذر ، فهل الدليل هو الكتاب؟ والكتاب حسب تحقيقه يدلّ على الجواز ، أو السنّة وسيوافيك تضافر النصوص على الجواز ، أو الإجماع فليس عدم الجواز موضع إجماع وقد عرفت القول بالجواز أيضا من أهل السنّة ، مضافا إلى إطباق أئمّة أهل البيت عليهم السلام على الجواز ؛ وليس وراء الكتاب والسنّة والإجماع حجّة ، كما ليس وراء عبادان قرية</w:t>
      </w:r>
      <w:r>
        <w:rPr>
          <w:rFonts w:eastAsia="Amiri" w:cs="Amiri" w:ascii="Amiri" w:hAnsi="Amiri"/>
          <w:color w:val="111111"/>
          <w:sz w:val="28"/>
          <w:szCs w:val="28"/>
          <w:rtl w:val="true"/>
          <w:lang w:bidi="ar-SA"/>
        </w:rPr>
        <w:t xml:space="preserve">. </w:t>
      </w:r>
      <w:r>
        <w:rPr>
          <w:rStyle w:val="FootnoteAnchor"/>
          <w:rtl w:val="true"/>
        </w:rPr>
        <w:footnoteReference w:id="572"/>
      </w:r>
    </w:p>
    <w:p>
      <w:pPr>
        <w:pStyle w:val="Heading3"/>
        <w:numPr>
          <w:ilvl w:val="2"/>
          <w:numId w:val="1"/>
        </w:numPr>
        <w:rPr/>
      </w:pPr>
      <w:bookmarkStart w:id="528" w:name="__RefHeading___Toc1165765_1067777946"/>
      <w:bookmarkStart w:id="529" w:name="_Toc190"/>
      <w:bookmarkEnd w:id="528"/>
      <w:r>
        <w:rPr>
          <w:rtl w:val="true"/>
        </w:rPr>
        <w:t>السنّة والجمع بين الصلاتين في الحضر اختيارا</w:t>
      </w:r>
      <w:bookmarkEnd w:id="529"/>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تضافرت الروايات عن الصادق بالحق على جواز الجمع بين الصلاتين </w:t>
      </w:r>
    </w:p>
    <w:p>
      <w:pPr>
        <w:pStyle w:val="BookText"/>
        <w:rPr/>
      </w:pPr>
      <w:r>
        <w:rPr>
          <w:rFonts w:ascii="Amiri" w:hAnsi="Amiri" w:eastAsia="Amiri" w:cs="Amiri"/>
          <w:color w:val="111111"/>
          <w:sz w:val="28"/>
          <w:sz w:val="28"/>
          <w:szCs w:val="28"/>
          <w:rtl w:val="true"/>
          <w:lang w:bidi="ar-SA"/>
        </w:rPr>
        <w:t>في الحضر اختيارا رواها أصحاب الصحاح والسنن والمسانيد ، فلنقدم ما رواه مسلم بالسند والمتن ثمّ نذكر ما نقله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يحيى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مالك ، عن الزبير ، عن سعيد بن جبير ،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صلى الله عليه وآله وسلم الظهر والعصر جميعا والمغرب والعشاء جميعا في غير خوف ولا سفر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وحدّثنا أحمد بن يونس وعون بن سلام جميعا عن زهير ، قال ابن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زهير ، حدّثنا أبو الزبير ، عن سعيد بن جبير ،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صلى الله عليه وآله وسلم الظهر والعصر جميعا بالمدينة في غير خوف ولا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سعيدا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فعل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عباس كما سألتني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لا يحرج أحدا من أمّته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وحدّثنا أبو بكر بن أبي شيبة وأبو كريب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معاوية ؛ وحدّثنا أبو كريب وأبو سعيد الأشج ـ واللفظ لأبي كريب ـ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وكيع كلاهما عن الأعمش ، عن حبيب بن أبي ثابت ، عن سعيد بن جبير ،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رسول الله صلى الله عليه وآله وسلم بين الظهر والعصر والمغرب والعشاء بالمدينة في غير خوف ولا 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فعل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لا يحرج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أبي معاوية قيل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أراد إلى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لا يحرج أمّته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وحدّثنا أبو بكر بن أبي شيبة ، حدّثنا سفيان بن عيينة ، عن عمرو ، عن جابر بن زيد ،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مع النبي صلى الله عليه وآله وسلم ثمانيا جميعا وسبعا جميعا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الشعثاء أظنه أخّر الظهر وعجّل العصر وأخّر المغرب وعجّل </w:t>
      </w:r>
    </w:p>
    <w:p>
      <w:pPr>
        <w:pStyle w:val="BookText"/>
        <w:rPr/>
      </w:pPr>
      <w:r>
        <w:rPr>
          <w:rFonts w:ascii="Amiri" w:hAnsi="Amiri" w:eastAsia="Amiri" w:cs="Amiri"/>
          <w:color w:val="111111"/>
          <w:sz w:val="28"/>
          <w:sz w:val="28"/>
          <w:szCs w:val="28"/>
          <w:rtl w:val="true"/>
          <w:lang w:bidi="ar-SA"/>
        </w:rPr>
        <w:t xml:space="preserve">العشاء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أظن ذاك</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ما ظنه ـ لو رجع إلى الجمع الصوري كما سيوافيك ـ لا يغني من الحقّ شيئا ، وسيوافيك الكلام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أبو الربيع الزهراني ، حدّثنا حماد بن زيد ، عن عمرو بن دينار ، عن جابر بن زيد ، عن ابن عبّاس أنّ رسول الله صلى الله عليه وآله وسلم صلّى بالمدينة سبعا وثمانيا </w:t>
      </w:r>
      <w:r>
        <w:rPr>
          <w:rStyle w:val="FootnoteAnchor"/>
          <w:rtl w:val="true"/>
        </w:rPr>
        <w:footnoteReference w:id="574"/>
      </w:r>
      <w:r>
        <w:rPr>
          <w:rFonts w:ascii="IRNazanin" w:hAnsi="IRNazanin" w:eastAsia="IRNazanin"/>
          <w:color w:val="111111"/>
          <w:sz w:val="28"/>
          <w:sz w:val="28"/>
          <w:szCs w:val="28"/>
          <w:rtl w:val="true"/>
          <w:lang w:bidi="fa-IR"/>
        </w:rPr>
        <w:t>الظهر والعصر والمغرب والعشاء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وحدّثني أبو الربيع الزهراني ، حدّثنا حماد ، عن الزبير بن الخريت ، عن عبد الله بن شقيق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ابن عباس يوما بعد العصر حتّى غربت الشمس وبدت النجوم ، وجعل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رجل من بني تميم لا يفتر ولا ينثني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أتعلّمني بالسنّة لا أمّ 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وآله وسلم جمع بين الظهر والعصر ، والمغرب والعشاء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شقيق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فحاك في صدري من ذلك شيء فأتيت أبا هريرة فسألته ، فصدّق مقالته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وحدّثنا ابن أبي عمر ، حدّثنا وكيع ، حدّثنا عمران بن حدير ، عن عبد الله بن شقيق العقيلي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فسكت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فسكت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فسكت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 لك أتعلّمنا بالصلاة وكنّا نجمع بين الصلاتين على عهد رسول الله 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هذا ما نقله مسلم في صحيحه ، وإليك ما نقله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البخاري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 الله عليه وآله وسلم صلّى بالمدينة سبعا وثمانيا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والعصر ، والمغرب والعشاء ، فقال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في ليلة مطيرة؟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البخاري عن جابر بن زيد ،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النبي صلى الله عليه وآله وسلم سبعا جميعا وثمانيا جميعا</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البخاري بإرسال عن ابن عمر وأبي أيّوب وابن عباس ، صلّى النبيّ صلى الله عليه وآله وسلم المغرب والعشاء</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الترمذي عن سعيد بن جبير ،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رسول الله صلى الله عليه وآله وسلم بين الظهر والعصر وبين المغرب والعشاء بالمدينة من غير خوف ولا مطر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أراد بذلك؟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لا يحرج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الترمذي بعد نقل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عباس قد روي عنه من غير وجه ، رواه جابر بن زيد وسعيد بن جبير وعبد الله بن شقيق العقيلي</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الإمام أحمد عن قتادة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 بن زيد ،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صلى الله عليه وآله وسلم بين الظهر والعصر ، والمغرب والعشاء بالمدينة في</w:t>
      </w:r>
    </w:p>
    <w:p>
      <w:pPr>
        <w:pStyle w:val="BookText"/>
        <w:rPr/>
      </w:pPr>
      <w:r>
        <w:rPr>
          <w:rFonts w:ascii="Amiri" w:hAnsi="Amiri" w:eastAsia="Amiri" w:cs="Amiri"/>
          <w:color w:val="111111"/>
          <w:sz w:val="28"/>
          <w:sz w:val="28"/>
          <w:szCs w:val="28"/>
          <w:rtl w:val="true"/>
          <w:lang w:bidi="ar-SA"/>
        </w:rPr>
        <w:t xml:space="preserve">غير خوف ولا مطر ، قيل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أراد لغير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إلاّ يحرج أمّته</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الإمام أحمد عن سفيان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جابر بن زيد انّه سمع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مع رسول الله صلى الله عليه وآله وسلم ثمانيا جميعا وسبعا جميعا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الشعثاء أظنّه أخّر الظهر وعجل العصر ، وأخّر المغرب وعجّل العشاء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 ذلك</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الإمام أحمد عن عبد الله بن شقيق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ابن عباس يوما بعد العصر حتّى غربت الشمس وبدت النجوم وعلق الناس ينادونه الصلاة وفي القوم رجل من بني تميم فجعل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 فغضب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أتعلّمني بالسنّة شهدت رسول الله صلى الله عليه وآله وسلم جمع بين الظهر والعصر والمغرب والعشاء ، 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في نفسي من ذلك شيئا فلقيت أبا هريرة فسألته فوافقه</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مالك عن سعيد بن جبير ، عن عبد الله بن عباس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صلى الله عليه وآله وسلم الظهر والعصر جميعا والمغرب والعشاء جميعا في غير خوف ولا سفر</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أبو داود عن سعيد بن جبير ، عن عبد الله 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صلى الله عليه وآله وسلم الظهر والعصر جميعا ، والمغرب والعشاء جميعا في غير خوف ولا سفر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ذلك كان في مطر</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أبو داود عن جابر بن زيد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بالمدينة ثمانيا وسبعا الظهر والعصر ، والمغرب والعشاء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صالح مولى التوأمة ،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مطر</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النسائي عن سعيد بن جبير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صلى الله عليه وآله وسلم الظهر والعصر جميعا والمغرب والعشاء جميعا من غير خوف ولا سفر</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النسائي عن سعيد بن جبير ، عن ابن عباس انّ النبي صلى الله عليه وآله وسلم كان يصلّي بالمدينة يجمع بين الصلاتين بين الظهر والعصر والمغرب والعشاء من غير خوف ولا مطر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على أمّته حرج</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النسائي عن أبي الشعثاء ،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وراء رسول الله صلى الله عليه وآله وسلم ثمانيا جميعا وسبعا جميعا</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النسائي عن جابر بن زيد ، عن ابن عباس انّه صلّى بالبصرة الأولى والعصر ليس بينهما شيء ، والمغرب والعشاء ليس بينهما شيء فعل ذلك من شغل ، وزعم ابن عباس انّه صلّى مع رسول الله بالمدينة ، الأولى والعصر ثمان </w:t>
      </w:r>
    </w:p>
    <w:p>
      <w:pPr>
        <w:pStyle w:val="BookText"/>
        <w:rPr/>
      </w:pPr>
      <w:r>
        <w:rPr>
          <w:rFonts w:ascii="Amiri" w:hAnsi="Amiri" w:eastAsia="Amiri" w:cs="Amiri"/>
          <w:color w:val="111111"/>
          <w:sz w:val="28"/>
          <w:sz w:val="28"/>
          <w:szCs w:val="28"/>
          <w:rtl w:val="true"/>
          <w:lang w:bidi="ar-SA"/>
        </w:rPr>
        <w:t>سجدات ليس بينهما شيء</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الحافظ عبد الرزاق عن داود بن قيس ، عن صالح مولى التوأمة انّه سمع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رسول الله صلى الله عليه وآله وسلم بين الظهر والعصر ، والمغرب والعشاء بالمدينة في غير سفر ولا مطر ، قال قلت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تراه فعل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للتوسعة على أمّته</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عبد الرزاق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رسول الله صلى الله عليه وآله وسلم بين الظهر والعصر ، بالمدينة في غير سفر ولا خوف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تراه فعل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لا يحرج أحدا من أمّته</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عبد الرزاق عن عمرو بن دينار انّ أبا الشعثاء أخبره انّ ابن عباس أخبره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وراء رسول الله ثمانيا جميعا وسبعا جميعا بالمدينة ، قال ابن جريح ، فقلت لأبي الشعثاء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لأظن النبي أخّر من الظهر قليلا وقدّم من العصر قليلا ، قال أبو الشعثاء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أظن ذلك</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ظنّه ابن جريح وصدّقه أبو الشعثاء ظن لا يغني من الحقّ شيئا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الجمع كان صوريا لا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وسيوافيك ضعف هذا الحمل وانّ الجمع الصوري يوجب الإحراج أكثر من التفريق فإنّ معرفة أواخر الوقت من الصلاة الأولى وأوائله من الصلاة الثانية أشكل من الجمع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عبد الرزاق عن عمرو بن شعيب ، عن عبد الله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لنا رسول الله مقيما غير مسافر بين الظهر والعصر فقال رجل لابن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w:t>
      </w:r>
    </w:p>
    <w:p>
      <w:pPr>
        <w:pStyle w:val="BookText"/>
        <w:rPr/>
      </w:pPr>
      <w:r>
        <w:rPr>
          <w:rFonts w:ascii="Amiri" w:hAnsi="Amiri" w:eastAsia="Amiri" w:cs="Amiri"/>
          <w:color w:val="111111"/>
          <w:sz w:val="28"/>
          <w:sz w:val="28"/>
          <w:szCs w:val="28"/>
          <w:rtl w:val="true"/>
          <w:lang w:bidi="ar-SA"/>
        </w:rPr>
        <w:t xml:space="preserve">ترى النبي فعل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لا يحرج أمّته إن جمع رجل</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الطحاوي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صلى الله عليه وآله وسلم بين الظهر والعصر والمغرب والعشاء في المدينة للرخص من غير خوف ولا علّة</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الحافظ أبو نعيم أحمد بن عبد الله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زيد انّ ابن عباس جمع بين الظهر والعصر ، وزعم انّه صلّى مع رسول الله بالمدينة الظهر والعصر</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أبو نعيم عن عمرو بن دينار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الشعثاء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صلّى رسول الله صلى الله عليه وآله وسلم ثماني ركعات جميعا وسبع ركعات جميعا من غير مرض ولا علّة</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البزار في مسنده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صلى الله عليه وآله وسلم بين الصلاتين في المدينة من غير خوف</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الطبراني في الأوسط والكبير بسنده عن عبد الله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رسول الله صلى الله عليه وآله وسلم ـ يعني بالمدينة ـ بين الظهر والعصر والمغرب والعشاء ، فقيل له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صنعت ذلك لئلاّ تحرج أمّتي</w:t>
      </w:r>
      <w:r>
        <w:rPr>
          <w:rFonts w:eastAsia="Amiri" w:cs="Amiri" w:ascii="Amiri" w:hAnsi="Amiri"/>
          <w:color w:val="111111"/>
          <w:sz w:val="28"/>
          <w:szCs w:val="28"/>
          <w:rtl w:val="true"/>
          <w:lang w:bidi="ar-SA"/>
        </w:rPr>
        <w:t xml:space="preserve">. </w:t>
      </w:r>
      <w:r>
        <w:rPr>
          <w:rStyle w:val="FootnoteAnchor"/>
          <w:rtl w:val="true"/>
        </w:rPr>
        <w:footnoteReference w:id="598"/>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ثلاثون حديثا جمعناها من الصحاح والسنن والمسانيد ، وبسطنا الكلام في النقل ، ليقف القارئ على أنّها أحاديث اعتنى بنقلها حفّاظ المحدّثين وأكابرهم </w:t>
      </w:r>
      <w:bookmarkStart w:id="530" w:name="pg10144_71494"/>
    </w:p>
    <w:p>
      <w:pPr>
        <w:pStyle w:val="BookText"/>
        <w:rPr/>
      </w:pPr>
      <w:bookmarkEnd w:id="530"/>
      <w:r>
        <w:rPr>
          <w:rFonts w:ascii="Amiri" w:hAnsi="Amiri" w:eastAsia="Amiri" w:cs="Amiri"/>
          <w:color w:val="111111"/>
          <w:sz w:val="28"/>
          <w:sz w:val="28"/>
          <w:szCs w:val="28"/>
          <w:rtl w:val="true"/>
          <w:lang w:bidi="ar-SA"/>
        </w:rPr>
        <w:t>ولا يمكن لأحد أن يتناكرها أو يرفضها ، وهناك روايات مبثوثة في كتب الحديث أعرضنا عن ذكرها لأجل الاختصار</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وهذه الأسانيد المتوفرة تنتهي إلى الأشخاص التالية أسماؤهم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عباس حبر الأمّة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أيّوب الأنصاري مضيّف النبي صلى الله عليه وآله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هريرة الدوسي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 الله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والروايات صريحة في أنّ الرسول صلى الله عليه وآله وسلم جمع بالمدينة بين الصلاتين من غير خوف ولا مطر ولا علّة ، جمع لبيان جواز الجمع ومشروعيته لئلاّ يتوهّم متوهّم بأنّ التفريق فريضة لما كان صلى الله عليه وآله وسلم يستمر على التوقيت والإتيان في وقت الفضيلة ، ولكنّه بعمله أثبت انّ الجمع جائز وإن كان التوقيت أفضل</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1165767_1067777946"/>
      <w:bookmarkStart w:id="532" w:name="_Toc191"/>
      <w:bookmarkEnd w:id="531"/>
      <w:r>
        <w:rPr>
          <w:rtl w:val="true"/>
        </w:rPr>
        <w:t>تبريرات لرفض الجمع بين الصلاتين</w:t>
      </w:r>
      <w:bookmarkEnd w:id="532"/>
    </w:p>
    <w:p>
      <w:pPr>
        <w:pStyle w:val="Heading4"/>
        <w:numPr>
          <w:ilvl w:val="3"/>
          <w:numId w:val="1"/>
        </w:numPr>
        <w:rPr/>
      </w:pPr>
      <w:bookmarkStart w:id="533" w:name="__RefHeading___Toc1165769_1067777946"/>
      <w:bookmarkStart w:id="534" w:name="_Toc192"/>
      <w:bookmarkEnd w:id="533"/>
      <w:r>
        <w:rPr>
          <w:rtl w:val="true"/>
        </w:rPr>
        <w:t>اشارة</w:t>
      </w:r>
      <w:bookmarkEnd w:id="534"/>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مضمون الروايات مخالفا للمذاهب الفقهية الرائجة حاول غير واحد من المحدّثين وأهل الفتيا إخضاع الروايات على فتوى الأئمّة مكان أخذها مقياسا لتمييز الحقّ عن الباطل ، فترك كثير منهم العمل بهذه الروايات ، غير انّ </w:t>
      </w:r>
      <w:bookmarkStart w:id="535" w:name="pg10144_71495"/>
    </w:p>
    <w:p>
      <w:pPr>
        <w:pStyle w:val="BookText"/>
        <w:rPr/>
      </w:pPr>
      <w:bookmarkEnd w:id="535"/>
      <w:r>
        <w:rPr>
          <w:rFonts w:ascii="Amiri" w:hAnsi="Amiri" w:eastAsia="Amiri" w:cs="Amiri"/>
          <w:color w:val="111111"/>
          <w:sz w:val="28"/>
          <w:sz w:val="28"/>
          <w:szCs w:val="28"/>
          <w:rtl w:val="true"/>
          <w:lang w:bidi="ar-SA"/>
        </w:rPr>
        <w:t xml:space="preserve">لفيفا منهم عملوا بها وأفتوا على ضوئها ، ذكر أسماءهم ابن رشد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مرّ ، وإليك الأعذار التي التجأ إليها المخالف وهي أوهن من بيت العنكبوت</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1165771_1067777946"/>
      <w:bookmarkStart w:id="537" w:name="_Toc193"/>
      <w:bookmarkEnd w:id="536"/>
      <w:r>
        <w:rPr/>
        <w:t>1</w:t>
      </w:r>
      <w:r>
        <w:rPr>
          <w:rtl w:val="true"/>
        </w:rPr>
        <w:t xml:space="preserve">. </w:t>
      </w:r>
      <w:r>
        <w:rPr>
          <w:rtl w:val="true"/>
        </w:rPr>
        <w:t>ترك الجمهور العمل بها</w:t>
      </w:r>
      <w:bookmarkEnd w:id="537"/>
    </w:p>
    <w:p>
      <w:pPr>
        <w:pStyle w:val="BookText"/>
        <w:rPr/>
      </w:pPr>
      <w:r>
        <w:rPr>
          <w:rFonts w:ascii="Amiri" w:hAnsi="Amiri" w:eastAsia="Amiri" w:cs="Amiri"/>
          <w:color w:val="111111"/>
          <w:sz w:val="28"/>
          <w:sz w:val="28"/>
          <w:szCs w:val="28"/>
          <w:rtl w:val="true"/>
          <w:lang w:bidi="ar-SA"/>
        </w:rPr>
        <w:t>إنّ ممّا يؤخذ على هذه الروايات ترك الجمهور للعمل بها ، وهو يوجب سقوط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الترمذي بعد ذكر أحاديث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على هذا عند أهل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يجمع بين الصلاتين إلاّ في السفر أو بعرفة</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وقد ردّ عليه غير واحد من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الروايات الثابتة في مسلم كما تراها وللعلماء فيها تأويلات ومذاهب ، وقد قال الترمذي في آخر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كتابي حديث أجمعت الأمّة على ترك العمل به إلاّ حديث ابن عباس في الجمع بالمدينة من غير خوف ولا مطر ، وحديث قتل شارب الخمر في المرة الرابعة</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وهذا الذي قاله الترمذي في حديث شارب الخمر هو كما قاله فهو حديث منسوخ دلّ الإجماع على نسخه ، وأمّا حديث ابن عباس فلم يجمعوا على ترك العمل به بل لهم أقوال ، ثمّ ذكر بعض التأويلات التي نشير إليها</w:t>
      </w:r>
      <w:r>
        <w:rPr>
          <w:rFonts w:eastAsia="Amiri" w:cs="Amiri" w:ascii="Amiri" w:hAnsi="Amiri"/>
          <w:color w:val="111111"/>
          <w:sz w:val="28"/>
          <w:szCs w:val="28"/>
          <w:rtl w:val="true"/>
          <w:lang w:bidi="ar-SA"/>
        </w:rPr>
        <w:t xml:space="preserve">. </w:t>
      </w:r>
      <w:r>
        <w:rPr>
          <w:rStyle w:val="FootnoteAnchor"/>
          <w:rtl w:val="true"/>
        </w:rPr>
        <w:footnoteReference w:id="602"/>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الشوكاني ردا على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يخفاك انّ الحديث صحيح ، وترك الجمهور للعمل به لا يقدح في صحته ولا يوجب سقوط الاستدلال به ، وقد أخذ </w:t>
      </w:r>
    </w:p>
    <w:p>
      <w:pPr>
        <w:pStyle w:val="BookText"/>
        <w:rPr/>
      </w:pPr>
      <w:r>
        <w:rPr>
          <w:rFonts w:ascii="Amiri" w:hAnsi="Amiri" w:eastAsia="Amiri" w:cs="Amiri"/>
          <w:color w:val="111111"/>
          <w:sz w:val="28"/>
          <w:sz w:val="28"/>
          <w:szCs w:val="28"/>
          <w:rtl w:val="true"/>
          <w:lang w:bidi="ar-SA"/>
        </w:rPr>
        <w:t>به بعض أهل العلم كما سلف وإن كان ظاهر كلام الترمذي انّه لم يأخذ به ولكن قد أثبت ذلك غيره ، والمثبت مقدّم</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الآلوسي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جماعة من الأئمة جواز الجمع في الحضر للحاجة لمن لا يتخذ عادة ، وهو قول ابن سيرين ، وأشهب من أصحاب مالك ، وحكاه الخطابي عن القفال الشاشي الكبير من أصحاب الإمام الشافعي ، وعن أبي إسحاق المروزي وعن جماعة من أصحاب الحديث ، واختاره ابن المنذر ، ويؤيده ظاهر ما صحّ عن ابن عباس ، ورواه مسلم أيضا ، انّه 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رسول الله صلى الله عليه وآله وسلم بين الظهر والعصر ، والمغرب والعشاء بالمدينة في غير خوف ولا 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فعل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لا يحرج أحدا من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الحرج بمعنى المشقة فلم يعلّله بمرض ولا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ويعلم ممّا ذكرنا أنّ قول الترمذي في آخر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كتابي حديث أجمعت الأمّة على ترك العمل به إلاّ حديث ابن عباس في الجمع بالمدينة من غير خوف ولا مطر وحديث قتل شارب الخمر في المرة الرابعة ، ناشئ من عدم التتبع ، نعم ما قاله في الحديث الثاني صحيح فقد صرحوا بأنّه حديث منسوخ دلّ الإجماع على نسخه</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النقود ظهر انّه ليس هناك إعراض عن العمل بهذه الأحاديث ، ولعلّ عدم إفتاء الجمهور بمضمون هذه الأحاديث هو كون التوقيت والتفريق أحوط</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الاحتياط يخالف مع احتياط آخر ، وهو انّ التفريق في أعصارنا هذا </w:t>
      </w:r>
      <w:bookmarkStart w:id="538" w:name="pg10144_71497"/>
    </w:p>
    <w:p>
      <w:pPr>
        <w:pStyle w:val="BookText"/>
        <w:rPr/>
      </w:pPr>
      <w:bookmarkEnd w:id="538"/>
      <w:r>
        <w:rPr>
          <w:rFonts w:ascii="Amiri" w:hAnsi="Amiri" w:eastAsia="Amiri" w:cs="Amiri"/>
          <w:color w:val="111111"/>
          <w:sz w:val="28"/>
          <w:sz w:val="28"/>
          <w:szCs w:val="28"/>
          <w:rtl w:val="true"/>
          <w:lang w:bidi="ar-SA"/>
        </w:rPr>
        <w:t xml:space="preserve">أدى بكثير من أهل الأشغال إلى ترك الصلاة ـ كما شاهدناه عيانا ـ بخلاف الجمع فإنّه أقرب إلى المحافظة على أدائها ، وبهذا ينقلب الاحتياط إلى ضده ، ويكون الأحوط للفقهاء أن يفتوا العامة بالجمع وأن ييسّروا ولا يعسّروا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وَلا يُرِيدُ بِكُمُ الْعُسْرَ </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والدليل على جواز الجمع مطلقا موجود والحمد لله سنة صحيحة صريحة كما سمعت بل كتابا محكما مبيّنا</w:t>
      </w:r>
      <w:r>
        <w:rPr>
          <w:rFonts w:eastAsia="Amiri" w:cs="Amiri" w:ascii="Amiri" w:hAnsi="Amiri"/>
          <w:color w:val="111111"/>
          <w:sz w:val="28"/>
          <w:szCs w:val="28"/>
          <w:rtl w:val="true"/>
          <w:lang w:bidi="ar-SA"/>
        </w:rPr>
        <w:t xml:space="preserve">. </w:t>
      </w:r>
      <w:r>
        <w:rPr>
          <w:rStyle w:val="FootnoteAnchor"/>
          <w:rtl w:val="true"/>
        </w:rPr>
        <w:footnoteReference w:id="607"/>
      </w:r>
    </w:p>
    <w:p>
      <w:pPr>
        <w:pStyle w:val="Heading4"/>
        <w:numPr>
          <w:ilvl w:val="3"/>
          <w:numId w:val="1"/>
        </w:numPr>
        <w:rPr/>
      </w:pPr>
      <w:bookmarkStart w:id="539" w:name="__RefHeading___Toc1165773_1067777946"/>
      <w:bookmarkStart w:id="540" w:name="_Toc194"/>
      <w:bookmarkEnd w:id="539"/>
      <w:r>
        <w:rPr/>
        <w:t>2</w:t>
      </w:r>
      <w:r>
        <w:rPr>
          <w:rtl w:val="true"/>
        </w:rPr>
        <w:t xml:space="preserve">. </w:t>
      </w:r>
      <w:r>
        <w:rPr>
          <w:rtl w:val="true"/>
        </w:rPr>
        <w:t>الحديث لا ينص على جمع التقديم والتأخير</w:t>
      </w:r>
      <w:bookmarkEnd w:id="540"/>
    </w:p>
    <w:p>
      <w:pPr>
        <w:pStyle w:val="BookText"/>
        <w:rPr/>
      </w:pPr>
      <w:r>
        <w:rPr>
          <w:rFonts w:ascii="Amiri" w:hAnsi="Amiri" w:eastAsia="Amiri" w:cs="Amiri"/>
          <w:color w:val="111111"/>
          <w:sz w:val="28"/>
          <w:sz w:val="28"/>
          <w:szCs w:val="28"/>
          <w:rtl w:val="true"/>
          <w:lang w:bidi="ar-SA"/>
        </w:rPr>
        <w:t xml:space="preserve">قال القاضي شرف الدين الحسين بن محمد المغربي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البدر التمام في شرح بلوغ المرام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حديث ابن عباس لا يصح الاحتجاج به ، لأنّه غير معيّن لجمع التقديم والتأخير كما هو ظاهر رواية مسلم وتعيين واحد منها تحكم ، فوجب العدول إلى ما هو واجب من البقاء على العموم في حديث الأوقات للمعذور وغيره وتخصيص المسافر بثبوت المخصص</w:t>
      </w:r>
      <w:r>
        <w:rPr>
          <w:rFonts w:eastAsia="Amiri" w:cs="Amiri" w:ascii="Amiri" w:hAnsi="Amiri"/>
          <w:color w:val="111111"/>
          <w:sz w:val="28"/>
          <w:szCs w:val="28"/>
          <w:rtl w:val="true"/>
          <w:lang w:bidi="ar-SA"/>
        </w:rPr>
        <w:t xml:space="preserve">. </w:t>
      </w:r>
      <w:r>
        <w:rPr>
          <w:rStyle w:val="FootnoteAnchor"/>
          <w:rtl w:val="true"/>
        </w:rPr>
        <w:footnoteReference w:id="608"/>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لم ينقل كيفية الجمع لوضوحها فان الجمع في الحضر كالجمع في السفر ، فكما أنّه يجوز في السفر بكلتا الصورتين جمع التقديم وجمع التأخير كما مرّ التنصيص به فيما سبق</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 xml:space="preserve">فكذلك في الحضر ، وسكوت ابن عباس وعدم سؤال الرواة عن الكيفية يعرب عن أنّهم فهموا من كلامه عدم </w:t>
      </w:r>
    </w:p>
    <w:p>
      <w:pPr>
        <w:pStyle w:val="BookText"/>
        <w:rPr/>
      </w:pPr>
      <w:r>
        <w:rPr>
          <w:rFonts w:ascii="Amiri" w:hAnsi="Amiri" w:eastAsia="Amiri" w:cs="Amiri"/>
          <w:color w:val="111111"/>
          <w:sz w:val="28"/>
          <w:sz w:val="28"/>
          <w:szCs w:val="28"/>
          <w:rtl w:val="true"/>
          <w:lang w:bidi="ar-SA"/>
        </w:rPr>
        <w:t>الخصوصية لواحدة من الصورتين وإلاّ كان عليهم السؤال ثانيا من أنّ النبي صلى الله عليه وآله وسلم جمع على نحو جمع التقديم أو جمع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وحدة التعليل في كلام ابن عباس في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مسلم عن ابن عباس انّ رسول الله صلى الله عليه وآله وسلم جمع بين الصلاة في سفرة سافرها في غزوة تبوك فجمع بين الظهر والعصر والمغرب والعشاء ، 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حمله على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لا يحرج أمّته</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ويؤيد الإطلاق وعدم الفرق بين الصورتين هو عموم العلة وهو عدم الإحراج على الأمّة ورفع الحرج منه ، فالإحراج في الالتزام بالتفريق بين الصلاتين ورفعه يحصل بكلّ واحدة من الصورتين ، سواء أكانت جمع تقديم أم جمع 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انّ ابن عباس عمل بالحديث بصورة جمع التأخير ، فقد مرّ انّ ابن عباس خطب يوما بعد العصر حتّى غربت الشمس وبدت النجوم وجعل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 فجاء رجل من بني تميم لا يفتر ولا ينثني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أتعلّمني بالسنّة لا أمّ لك إلى آخر ما مرّ من الحديث</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ولعمر القاري انّ المخالف لمّا وقف أمام هذه الروايات الهائلة الدالة على تجويز الجمع مقابل التفريق ورأى أنّ فقه الجمهور على الخلاف ، عمد إلى التشكيك بها ، ولذلك أتى بهذه الشبهة وهي أشبه بسؤال بني إسرائيل موسى بن عمران عن سن البقرة ولونها</w:t>
      </w:r>
      <w:r>
        <w:rPr>
          <w:rFonts w:eastAsia="Amiri" w:cs="Amiri" w:ascii="Amiri" w:hAnsi="Amiri"/>
          <w:color w:val="111111"/>
          <w:sz w:val="28"/>
          <w:szCs w:val="28"/>
          <w:rtl w:val="true"/>
          <w:lang w:bidi="ar-SA"/>
        </w:rPr>
        <w:t xml:space="preserve">. </w:t>
      </w:r>
      <w:r>
        <w:rPr>
          <w:rStyle w:val="FootnoteAnchor"/>
          <w:rtl w:val="true"/>
        </w:rPr>
        <w:footnoteReference w:id="611"/>
      </w:r>
      <w:bookmarkStart w:id="541" w:name="pg10144_71499"/>
    </w:p>
    <w:p>
      <w:pPr>
        <w:pStyle w:val="Heading4"/>
        <w:numPr>
          <w:ilvl w:val="3"/>
          <w:numId w:val="1"/>
        </w:numPr>
        <w:rPr/>
      </w:pPr>
      <w:bookmarkStart w:id="542" w:name="__RefHeading___Toc1165775_1067777946"/>
      <w:bookmarkStart w:id="543" w:name="_Toc195"/>
      <w:bookmarkEnd w:id="541"/>
      <w:bookmarkEnd w:id="542"/>
      <w:r>
        <w:rPr/>
        <w:t>3</w:t>
      </w:r>
      <w:r>
        <w:rPr>
          <w:rtl w:val="true"/>
        </w:rPr>
        <w:t xml:space="preserve">. </w:t>
      </w:r>
      <w:r>
        <w:rPr>
          <w:rtl w:val="true"/>
        </w:rPr>
        <w:t>كان الجمع بين الصلاتين جمعا صوريا</w:t>
      </w:r>
      <w:bookmarkEnd w:id="543"/>
    </w:p>
    <w:p>
      <w:pPr>
        <w:pStyle w:val="Heading5"/>
        <w:numPr>
          <w:ilvl w:val="4"/>
          <w:numId w:val="1"/>
        </w:numPr>
        <w:rPr/>
      </w:pPr>
      <w:bookmarkStart w:id="544" w:name="__RefHeading___Toc1165777_1067777946"/>
      <w:bookmarkStart w:id="545" w:name="_Toc196"/>
      <w:bookmarkEnd w:id="544"/>
      <w:r>
        <w:rPr>
          <w:rtl w:val="true"/>
        </w:rPr>
        <w:t>اشارة</w:t>
      </w:r>
      <w:bookmarkEnd w:id="545"/>
    </w:p>
    <w:p>
      <w:pPr>
        <w:pStyle w:val="BookText"/>
        <w:rPr/>
      </w:pPr>
      <w:r>
        <w:rPr>
          <w:rFonts w:ascii="Amiri" w:hAnsi="Amiri" w:eastAsia="Amiri" w:cs="Amiri"/>
          <w:color w:val="111111"/>
          <w:sz w:val="28"/>
          <w:sz w:val="28"/>
          <w:szCs w:val="28"/>
          <w:rtl w:val="true"/>
          <w:lang w:bidi="ar-SA"/>
        </w:rPr>
        <w:t>إنّ غير واحد ممّن تعرض لحلّ هذه الأحاديث التجأ إلى أنّ الجمع لم يكن جمعا حقيقيا كما في الجمع في السفر ، بل كان جمعا صوريا ، بمعنى انّه صلى الله عليه وآله وسلم أخّر الظهر إلى حد بقي من وقتها مقدار أربع ركعات فصلّى الظهر ، وبإتمامها دخل وقت العصر وصلّى العصر فكان جمعا بين الصلاتين مع أنّ كلّ واحدة من الصلاتين أتي بها في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الظاهر في غير واحد من شراح الحديث ، وإليك كلماتهم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تأوّله على تأخير الأولى إلى آخر وقتها فصلاّها فيه فلمّا فرغ منها دخلت الثانية فصلاّها فصارت صلاته صورة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ضعيف أو باطل ، لأنّه مخالف للظاهر مخالفة لا تحتمل ، وفعل ابن عباس الذي ذكرناه حين خطب ، واستدلاله بالحديث لتصويب فعله وتصديق أبي هريرة له وعدم إنكاره ، صريح في ردّ هذا التأويل</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وكان على النووي أن يرد عليه بما ذكرناه ، وهو انّ الرسول صلى الله عليه وآله وسلم جمع بين الصلاتين بغية رفع الحرج عن الأمّة ، والجمع بالنحو المذكور أكثر حرجا من التفريق</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رخصة ، فلو كان على ما ذكروه لكان أشد ضيقا وأعظم حرجا من الإتيان بكلّ صلاة في وقتها ، لأنّ الإتيان بكلّ صلاة في وقتها أوسع من مراعاة طرفي الوقتين بحيث لا يبقى من وقت الأولى إلاّ قدر فعلها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لو كان الجمع هكذا ، لجاز الجمع بين العصر والمغرب ، والعشاء والصبح ولا خلاف بين الأمّة في تحريم ذلك والعمل بالخبر على الوجه السابق إلى الفهم منه أولى من هذا التكلّف</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كما أنّ المقدسي في الشرح الكبير </w:t>
      </w:r>
      <w:r>
        <w:rPr>
          <w:rStyle w:val="FootnoteAnchor"/>
          <w:rtl w:val="true"/>
        </w:rPr>
        <w:footnoteReference w:id="614"/>
      </w:r>
      <w:r>
        <w:rPr>
          <w:rFonts w:ascii="Amiri" w:hAnsi="Amiri" w:eastAsia="Amiri" w:cs="Amiri"/>
          <w:color w:val="111111"/>
          <w:sz w:val="28"/>
          <w:sz w:val="28"/>
          <w:szCs w:val="28"/>
          <w:rtl w:val="true"/>
          <w:lang w:bidi="ar-SA"/>
        </w:rPr>
        <w:t>ردّ على هذا التأويل بنفس ما ذكره ابن قدامة ، واللفظ في كلا الكتابين واحد ولذلك اقتصرنا بلفظ ابن قدامة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انّهما ردّا بما نقلناه عنهما على من فسّر جواز الجمع بين الصلاتين للمسافر بالجمع الصوري ، ولمّا كان ملاك الجمع في كلا المقامين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المسافر والحاضر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 وهو رفع الحرج والمشقة عن الأمّة ، وكان الجمع الصوري محرجا على نحو أشد ، أثبتنا كلامهما في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ما ذكرنا حمل الخطّابي الجمع في الرواية على الجمع الحقيقي دون الصوري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لا يقع على من أخّر الظهر حتّى صلاّها في آخر وقتها وعجّل العصر فصلاّها في أوّل وقتها ، لأنّ هذا قد صلّى كلّ صلاة منهما في وقتها الخاصّ بها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الجمع المعروف بينهما أن تكون الصلاتان معا في وقت إحداهما ، ألا ترى أنّ الجمع بعرفة بينهما ومزدلفة كذلك</w:t>
      </w:r>
      <w:r>
        <w:rPr>
          <w:rFonts w:eastAsia="Amiri" w:cs="Amiri" w:ascii="Amiri" w:hAnsi="Amiri"/>
          <w:color w:val="111111"/>
          <w:sz w:val="28"/>
          <w:szCs w:val="28"/>
          <w:rtl w:val="true"/>
          <w:lang w:bidi="ar-SA"/>
        </w:rPr>
        <w:t xml:space="preserve">. </w:t>
      </w:r>
      <w:r>
        <w:rPr>
          <w:rStyle w:val="FootnoteAnchor"/>
          <w:rtl w:val="true"/>
        </w:rPr>
        <w:footnoteReference w:id="615"/>
      </w:r>
      <w:bookmarkStart w:id="546" w:name="pg10144_71501"/>
    </w:p>
    <w:p>
      <w:pPr>
        <w:pStyle w:val="Heading5"/>
        <w:numPr>
          <w:ilvl w:val="4"/>
          <w:numId w:val="1"/>
        </w:numPr>
        <w:rPr/>
      </w:pPr>
      <w:bookmarkStart w:id="547" w:name="__RefHeading___Toc1165779_1067777946"/>
      <w:bookmarkStart w:id="548" w:name="_Toc197"/>
      <w:bookmarkEnd w:id="546"/>
      <w:bookmarkEnd w:id="547"/>
      <w:r>
        <w:rPr>
          <w:rtl w:val="true"/>
        </w:rPr>
        <w:t>أدلّة الشوكاني على أنّ الجمع كان صوريّا</w:t>
      </w:r>
      <w:bookmarkEnd w:id="548"/>
    </w:p>
    <w:p>
      <w:pPr>
        <w:pStyle w:val="BookText"/>
        <w:rPr/>
      </w:pPr>
      <w:r>
        <w:rPr>
          <w:rFonts w:ascii="Amiri" w:hAnsi="Amiri" w:eastAsia="Amiri" w:cs="Amiri"/>
          <w:color w:val="111111"/>
          <w:sz w:val="28"/>
          <w:sz w:val="28"/>
          <w:szCs w:val="28"/>
          <w:rtl w:val="true"/>
          <w:lang w:bidi="ar-SA"/>
        </w:rPr>
        <w:t xml:space="preserve">ثمّ إنّ الشوكاني ممّن يؤيّد تفسير الجمع بالجمع الصوري ، وأيّده بوجوه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مالك في الموطّأ والبخاري وأبو داود والنسائي عن ابن مسعود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رسول الله صلى الله عليه وآله وسلم صلّى صلاة لغير ميقاتها إلاّ صلاتين جمع بين المغرب والعشاء بالمزدلفة وصلّى الفجر يومئذ قبل ميقاتها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ابن مسعود مطلق الجمع وحصره في جمع المزدلفة ، مع أنّه ممّن روى حديث الجمع بالمدينة كما تقدّم ، وهو يدلّ على أنّ الجمع الواقع بالمدينة جمع صوري ، ولو كان جمعا حقيقيا لتعارض روايتاه والجمع ما أمكن المسير إليه هو الواجب</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يلاحظ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يحتجّ به ، لأنّه حصر الجمع في المزدلفة مع تضافر الروايات على أنّه صلى الله عليه وآله وسلم جمع في المزدلفة وعرفة ، فالحديث متروك الظاهر لا يعرّج عليه ، ولا يصحّ قرينة على المراد من الجمع في روايات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مسعود نفسه روى جمع الرسول صلى الله عليه وآله وسلم بين الصلاتين في المدينة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رسول الله صلى الله عليه وآله وسلم بين الظهر والعصر والمغرب والعشاء فقيل له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صنعت ذلك لئلاّ تحرج أمّتي</w:t>
      </w:r>
      <w:r>
        <w:rPr>
          <w:rFonts w:eastAsia="Amiri" w:cs="Amiri" w:ascii="Amiri" w:hAnsi="Amiri"/>
          <w:color w:val="111111"/>
          <w:sz w:val="28"/>
          <w:szCs w:val="28"/>
          <w:rtl w:val="true"/>
          <w:lang w:bidi="ar-SA"/>
        </w:rPr>
        <w:t xml:space="preserve">. </w:t>
      </w:r>
      <w:r>
        <w:rPr>
          <w:rStyle w:val="FootnoteAnchor"/>
          <w:rtl w:val="true"/>
        </w:rPr>
        <w:footnoteReference w:id="617"/>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أنّ الجمع الصوري أشدّ حرجا من الجمع الحقيقي ، فإنّ معرفة أواخر الأوقات وأوائلها على وجه الضبط كان مشكلا في الأعصار السابقة ، فلا </w:t>
      </w:r>
    </w:p>
    <w:p>
      <w:pPr>
        <w:pStyle w:val="BookText"/>
        <w:rPr/>
      </w:pPr>
      <w:r>
        <w:rPr>
          <w:rFonts w:ascii="Amiri" w:hAnsi="Amiri" w:eastAsia="Amiri" w:cs="Amiri"/>
          <w:color w:val="111111"/>
          <w:sz w:val="28"/>
          <w:sz w:val="28"/>
          <w:szCs w:val="28"/>
          <w:rtl w:val="true"/>
          <w:lang w:bidi="ar-SA"/>
        </w:rPr>
        <w:t>محيص من تفسير الجمع بالجمع الحقيقي ، وهذا دليل على أنّ رواية الحصر في المزدلفة متروكة لا يحتجّ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ابن جرير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صلى الله عليه وآله وسلم فكان يؤخّر الظهر ويعجّل العصر فيجمع بينهما ، ويؤخر المغرب ويعجّل العشاء فيجمع بينهما ، وهذا هو الجمع الصوري</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وإن كان مشعرا بالجمع الصوري ولكنّه لا يؤخذ به ، وذلك لإجمال المراد منه ، فإن أراد أنّ النبيّ صلى الله عليه وآله وسلم فعل ذلك في السفر ، فقد تقدّم أنّ جمع الرسول بين الصلاتين في السفر ، كان جمعا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مسلم عن أنس بن مالك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إذا ارتحل قبل أن تزيغ الشمس أخّر الظهر إلى وقت العصر ، ثمّ نزل فجمع بينهما</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وفي رواية أخرى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وسلم إذا عجّل عليه السفر يؤخر الظهر إلى أوّل وقت العصر فيجمع بينهما ، ويؤخّر المغرب حتى يجمع بينها وبين العشاء حتّى يغيب الشفق</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وإن أراد أنّ رسول الله صلى الله عليه وآله وسلم جمع بين الصلاتين بالجمع الصوري في الحضر ، فقد عرفت تضافر الروايات على الجمع الحقيقي ، حيث إنّ حديث ابن عباس وغيره صريح فيه وقرينة على حمل سائر الروايات على الحقيقي فلا يمكن أن يطرح حديث حبر الأمّة وعمله بحديث مجمل لابن عمر</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النسائي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مع النبي الظهر والعصر جميعا والمغرب والعشاء جميعا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 الظهر وعجّل العصر وأخّر المغرب وعجّل </w:t>
      </w:r>
      <w:bookmarkStart w:id="549" w:name="pg10144_71503"/>
    </w:p>
    <w:p>
      <w:pPr>
        <w:pStyle w:val="BookText"/>
        <w:rPr/>
      </w:pPr>
      <w:bookmarkEnd w:id="549"/>
      <w:r>
        <w:rPr>
          <w:rFonts w:ascii="Amiri" w:hAnsi="Amiri" w:eastAsia="Amiri" w:cs="Amiri"/>
          <w:color w:val="111111"/>
          <w:sz w:val="28"/>
          <w:sz w:val="28"/>
          <w:szCs w:val="28"/>
          <w:rtl w:val="true"/>
          <w:lang w:bidi="ar-SA"/>
        </w:rPr>
        <w:t xml:space="preserve">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ابن عباس راوي حديث الباب قد صرّح بأنّ ما رواه من الجمع المذكور هو الجمع الصوري</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التفسير ـ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 الظهر وعجّل العصر وأخّر المغرب وعجّل العشاء ـ ليس من ابن عباس ، بل من جابر بن زيد ، بقرينة ما أخرجه الإمام أحمد عن جابر بن زيد أنّه سمع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مع رسول الله ثمانيا جميعا وسبعا جميعا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الشعثاء أظنّه أخّر الظهر وعجّل العصر وأخّر المغرب وعجّل العشاء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أظن ذلك</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وهذا دليل واضح على أنّ التفسير من أبي الشعثاء وأضرابه ، وما أوّلوه إلاّ لأنّهم اعتادوا على التوقيت والتفريق بين الصلوات ، فزعموا أنّ التوقيت فرض لا يترك ، ولمّا وقفوا على هذه الروايات الهائلة تحيّروا في مفاد الرواية واتخذ كلّ منهم مهربا ، وفسّره أبو الشعثاء بالجمع الصوري</w:t>
      </w:r>
      <w:r>
        <w:rPr>
          <w:rFonts w:eastAsia="Amiri" w:cs="Amiri" w:ascii="Amiri" w:hAnsi="Amiri"/>
          <w:color w:val="111111"/>
          <w:sz w:val="28"/>
          <w:szCs w:val="28"/>
          <w:rtl w:val="true"/>
          <w:lang w:bidi="ar-SA"/>
        </w:rPr>
        <w:t>.</w:t>
      </w:r>
    </w:p>
    <w:p>
      <w:pPr>
        <w:pStyle w:val="Heading4"/>
        <w:numPr>
          <w:ilvl w:val="3"/>
          <w:numId w:val="1"/>
        </w:numPr>
        <w:rPr/>
      </w:pPr>
      <w:bookmarkStart w:id="550" w:name="__RefHeading___Toc1165781_1067777946"/>
      <w:bookmarkStart w:id="551" w:name="_Toc198"/>
      <w:bookmarkEnd w:id="550"/>
      <w:r>
        <w:rPr/>
        <w:t>4</w:t>
      </w:r>
      <w:r>
        <w:rPr>
          <w:rtl w:val="true"/>
        </w:rPr>
        <w:t xml:space="preserve">. </w:t>
      </w:r>
      <w:r>
        <w:rPr>
          <w:rtl w:val="true"/>
        </w:rPr>
        <w:t>كان الجمع لعذر المطر</w:t>
      </w:r>
      <w:bookmarkEnd w:id="551"/>
    </w:p>
    <w:p>
      <w:pPr>
        <w:pStyle w:val="BookText"/>
        <w:rPr/>
      </w:pPr>
      <w:r>
        <w:rPr>
          <w:rFonts w:ascii="Amiri" w:hAnsi="Amiri" w:eastAsia="Amiri" w:cs="Amiri"/>
          <w:color w:val="111111"/>
          <w:sz w:val="28"/>
          <w:sz w:val="28"/>
          <w:szCs w:val="28"/>
          <w:rtl w:val="true"/>
          <w:lang w:bidi="ar-SA"/>
        </w:rPr>
        <w:t>هذا هو التأويل الثالث الذي لجأ إليه من لم يجوز الجمع بين الصلاتين في الحضر اختيارا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تأوّله على أنّه جمع بعذر المطر ، وهذا مشهور عن جماعة من الكبار المتقدّمين ، ثمّ رد عليه بأنّه ضعيف بالرواية الأخرى من غير خوف ولا مطر</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إنّ السبب لهذا النوع من التأويل هو تطبيق الرواية على فتوى الجمهور وإلاّ فالروايات صريحة في أنّ هذا الجمع كان بلا عذر ولو استقرأت نصوص الروايات التي نقلناها عن ابن عباس وغيره لوقفت على أنّ الجمع لم يكن لعذر بل كان لأجل رفع الحرج عن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خوف ولا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الرواية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خوف ولا 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الرواية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سفر ولا 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الرواية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خوف ولا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الرواية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مرض ولا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الرواية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أضف إلى ذلك التعليل الوارد في الروايات الذي يرد هذا الاحتمال بوضوح ، وإليك نصها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علّل في بعض الروايات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أراد ان لا يحرج أحدا من أمّته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لاحظ الرواية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يكون على أمته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الرواية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للتوسعة على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الرواية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لا يحرج أمّته ان جمع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الرواية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تحرج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الرواية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فالناظر في هذه الروايات يذعن بأنّ الجمع لم يكن لعذر المطر والسفر والخوف ولا لعلة أخرى وانّ الصادق بالحق جمع بين الصلاتين في المدينة ـ بلا أيّ </w:t>
      </w:r>
      <w:bookmarkStart w:id="552" w:name="pg10144_71505"/>
    </w:p>
    <w:p>
      <w:pPr>
        <w:pStyle w:val="BookText"/>
        <w:rPr/>
      </w:pPr>
      <w:bookmarkEnd w:id="552"/>
      <w:r>
        <w:rPr>
          <w:rFonts w:ascii="Amiri" w:hAnsi="Amiri" w:eastAsia="Amiri" w:cs="Amiri"/>
          <w:color w:val="111111"/>
          <w:sz w:val="28"/>
          <w:sz w:val="28"/>
          <w:szCs w:val="28"/>
          <w:rtl w:val="true"/>
          <w:lang w:bidi="ar-SA"/>
        </w:rPr>
        <w:t>عذر ـ بأمر من الله سبحانه ليتسع الأمر على أمّته ولئلا يتوهم متوهم انّ التوقيت فرض لا يمكن التخلّف عنه بل هو فضيلة لا تنكر ، ومع ذلك لكلّ واحد من آحاد الأمّة الجمع بين الصلاتين بلا توقيت</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1165783_1067777946"/>
      <w:bookmarkStart w:id="554" w:name="_Toc199"/>
      <w:bookmarkEnd w:id="553"/>
      <w:r>
        <w:rPr/>
        <w:t>5</w:t>
      </w:r>
      <w:r>
        <w:rPr>
          <w:rtl w:val="true"/>
        </w:rPr>
        <w:t xml:space="preserve">. </w:t>
      </w:r>
      <w:r>
        <w:rPr>
          <w:rtl w:val="true"/>
        </w:rPr>
        <w:t>كان الجمع للغيم في السماء</w:t>
      </w:r>
      <w:bookmarkEnd w:id="554"/>
    </w:p>
    <w:p>
      <w:pPr>
        <w:pStyle w:val="BookText"/>
        <w:rPr/>
      </w:pPr>
      <w:r>
        <w:rPr>
          <w:rFonts w:ascii="Amiri" w:hAnsi="Amiri" w:eastAsia="Amiri" w:cs="Amiri"/>
          <w:color w:val="111111"/>
          <w:sz w:val="28"/>
          <w:sz w:val="28"/>
          <w:szCs w:val="28"/>
          <w:rtl w:val="true"/>
          <w:lang w:bidi="ar-SA"/>
        </w:rPr>
        <w:t>ومنهم من تأوّله على أنّه كان غيم فصلى الظهر ثمّ انكشف الغيم وبان انّ وقت العصر دخل فصلاها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الاحتمال من الوهن بمكان وكفى في وهنه ما ذكره النووي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كان فيه أدنى احتمال في الظهر والعصر ولكن لا احتمال فيه في المغرب والعشاء مع أنّ الجمع لم يكن مختصا بالظهرين بل جمع بين المغرب والعشاء حتّى انّ ابن عباس أخّر المغرب إلى وقت العشاء</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أضف إلى ذلك انّه لو كان الجمع في هذه الحالة كان على الرواية التصريح بذلك أفيحتمل انّ حبر الأمة غفل عن القيد أو تذكر ولم ينقل وهكذا غيره نظراء أبي هريرة وعبد الله بن عمر وعبد الله بن مسعود؟</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1165785_1067777946"/>
      <w:bookmarkStart w:id="556" w:name="_Toc200"/>
      <w:bookmarkEnd w:id="555"/>
      <w:r>
        <w:rPr/>
        <w:t>6</w:t>
      </w:r>
      <w:r>
        <w:rPr>
          <w:rtl w:val="true"/>
        </w:rPr>
        <w:t xml:space="preserve">. </w:t>
      </w:r>
      <w:r>
        <w:rPr>
          <w:rtl w:val="true"/>
        </w:rPr>
        <w:t>كان الجمع لمرض</w:t>
      </w:r>
      <w:bookmarkEnd w:id="556"/>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أوّله بعض من لا يروقه الجمع بين الصلاتين وقال بأنّ الرواية محمولة على الجمع بعذر المرض أو نحوه ، نقله النووي عن أحمد بن حنبل والقاضي حسين من الشافعية واختاره الخطابي والتولي والروياني من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النووي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المختار في تأويله لظاهر الحديث ولفعل ابن عباس وموافقة أبي هريرة ، ولأنّ المشقة فيه أشدّ من المطر</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أيضا كسائر التأويلات في الوهن والسقوط ، وقد ورد في بعض الروايات من غير خوف ولا علة ، وفي البعض الآخر من غير مرض ولا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يبطل ذلك هو انّ ابن عباس جمع بين المغرب والعشاء ولم يكن هناك مرض ولا مريض ، بل كان يخطب الناس وطال كلامه حتى مضى وقت الفضيلة للمغرب فصلّى المغرب مع العشاء في وقت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كان التأخير للمرض ، فيجوز لخصوص المريض لا لمن لم يكن مريضا مع أنّ النبي جمع بين الصلاتين مع عامة أصحابه ، واحتمال انّ المرض عمّ الجميع بعيد غاية البعد</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وبما ذكرنا صرّح الحافظ ابن حجر العسقلاني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جمعه صلى الله عليه وآله وسلم بين الصلاتين لعارض المرض لما صلّى معه إلاّ من به نحو ذلك العذر ، والظاهر أنّه صلّى بأصحابه ، وقد صرّح بذلك ابن عباس في روايته</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وهذا هو الخطابي يحكي في معالمه عن ابن المنذر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معنى لحمل الأمر فيه على عذر من الأعذار ، لأنّ ابن عباس قد أخبر بالعلة فيه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أراد أن لا تحرج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عن ابن سيرين انّه كان لا يرى بأسا أن يجمع بين الصلاتين إذا كانت حاجة أو شيء ما لم يتّخذه عادة</w:t>
      </w:r>
      <w:r>
        <w:rPr>
          <w:rFonts w:eastAsia="Amiri" w:cs="Amiri" w:ascii="Amiri" w:hAnsi="Amiri"/>
          <w:color w:val="111111"/>
          <w:sz w:val="28"/>
          <w:szCs w:val="28"/>
          <w:rtl w:val="true"/>
          <w:lang w:bidi="ar-SA"/>
        </w:rPr>
        <w:t xml:space="preserve">. </w:t>
      </w:r>
      <w:r>
        <w:rPr>
          <w:rStyle w:val="FootnoteAnchor"/>
          <w:rtl w:val="true"/>
        </w:rPr>
        <w:footnoteReference w:id="628"/>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المحقّق لسنن الترمذي بعد نقل كلام الخطابي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الصحيح </w:t>
      </w:r>
      <w:bookmarkStart w:id="557" w:name="pg10144_71507"/>
    </w:p>
    <w:p>
      <w:pPr>
        <w:pStyle w:val="BookText"/>
        <w:rPr/>
      </w:pPr>
      <w:bookmarkEnd w:id="557"/>
      <w:r>
        <w:rPr>
          <w:rFonts w:ascii="Amiri" w:hAnsi="Amiri" w:eastAsia="Amiri" w:cs="Amiri"/>
          <w:color w:val="111111"/>
          <w:sz w:val="28"/>
          <w:sz w:val="28"/>
          <w:szCs w:val="28"/>
          <w:rtl w:val="true"/>
          <w:lang w:bidi="ar-SA"/>
        </w:rPr>
        <w:t>الذي يؤخذ من الحديث ، وأمّا التأوّل بالمرض أو العذر أو غيره فإنّه تكلّف لا دليل عليه ، وفي الأخذ بهذا رفع كثير من الحرج عن أناس قد تضطرهم أعمالهم أو ظروف قاهرة إلى الجمع بين الصلاتين ويتأثّمون من ذلك ويتحرّجون وفي هذا ترفيه لهم وإعانة على الطاعة ما لم يتّخذه عادة كما قال ابن سيرين</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وما ذكره هو الحقّ ولكنّه تضييق أيضا لما وسّعه النبي صلى الله عليه وآله وسلم فحصر الجمع بمن له حاجة مع أنّ النبي بإذن من الله وسّع على وجه الإطلاق سواء أكانت هناك علة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شكّ انّ التوقيت أفضل ومن أتى بكلّ صلاة في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إتيانها في الوقت المشترك ، ومع ذلك فمجال الإتيان في الشريعة أوسع</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1165787_1067777946"/>
      <w:bookmarkStart w:id="559" w:name="_Toc201"/>
      <w:bookmarkEnd w:id="558"/>
      <w:r>
        <w:rPr/>
        <w:t>7</w:t>
      </w:r>
      <w:r>
        <w:rPr>
          <w:rtl w:val="true"/>
        </w:rPr>
        <w:t xml:space="preserve">. </w:t>
      </w:r>
      <w:r>
        <w:rPr>
          <w:rtl w:val="true"/>
        </w:rPr>
        <w:t>كان الجمع لأحد الأعذار المبهمة</w:t>
      </w:r>
      <w:bookmarkEnd w:id="559"/>
    </w:p>
    <w:p>
      <w:pPr>
        <w:pStyle w:val="BookText"/>
        <w:rPr/>
      </w:pPr>
      <w:r>
        <w:rPr>
          <w:rFonts w:ascii="Amiri" w:hAnsi="Amiri" w:eastAsia="Amiri" w:cs="Amiri"/>
          <w:color w:val="111111"/>
          <w:sz w:val="28"/>
          <w:sz w:val="28"/>
          <w:szCs w:val="28"/>
          <w:rtl w:val="true"/>
          <w:lang w:bidi="ar-SA"/>
        </w:rPr>
        <w:t>لما كان تعيين العذر المسوّغ للجمع ، أمرا مشكلا سلك بعضهم مسلك الإبهام والإجمال وانّ الجمع كان لأحد الأعذار المسوّغة ، من دون 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عرّج على هذا الاحتمال مفتي السعودية السابق عبد العزيز بن باز في تعليقة مختصرة له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بشرح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لمّا ضعّف مختار ابن حجر في تفسير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الصوري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هذا الجمع ضعيف ، قال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الصواب حمل الحديث المذكور على أنّه صلى الله عليه وآله وسلم جمع بين الصلوات المذكورة لمشقّة عارضة ذلك اليوم من مرض غالب أو برد شديد أو وحل ونحو ذلك ، ويدلّ على ذلك قول ابن عباس ، لمّا سئل عن علّة هذا الجمع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يحرج أمّته </w:t>
      </w:r>
    </w:p>
    <w:p>
      <w:pPr>
        <w:pStyle w:val="BookText"/>
        <w:rPr/>
      </w:pPr>
      <w:r>
        <w:rPr>
          <w:rFonts w:ascii="Amiri" w:hAnsi="Amiri" w:eastAsia="Amiri" w:cs="Amiri"/>
          <w:color w:val="111111"/>
          <w:sz w:val="28"/>
          <w:sz w:val="28"/>
          <w:szCs w:val="28"/>
          <w:rtl w:val="true"/>
          <w:lang w:bidi="ar-SA"/>
        </w:rPr>
        <w:t xml:space="preserve">ثمّ استحسن هذا الجمع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جواب عظيم سديد شاف</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الجمع كالجمع الذي ضعّفه في الضعف والوهن سواء ، وذلك لأنّه يخالف رواية ابن عباس وعمله ، فإنّه جمع بين الصلاتين في البصرة من دون أن يكون هناك مرض غالب أو برد شديد أو وحل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إطلاق التعليل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الحرج عن الأمّة ، فإنّ الحرج لا يختصّ بصور الأعذار ، بل يعمّ إلزام الناس بالتفريق بين الصلوات على وجه الإيجاب عبر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لابن الصدّيق في تأليفه المنيف المسمّى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الحظر عمّن جمع بين الصلاتين في الحضر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كلاما لا بأس بإيراده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وآله وسلم صرّح بأنّه فعل ذلك ليرفع الحرج عن أمّته وبيّن لهم جواز الجمع إذا احتاجوا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 على المطر بعد هذا التصريح من النبي صلى الله عليه وآله وسلم والصحابة الذين رووه ، تعسف ظاهر ، بل تكذيب للرواة ومعارضة لله والرسول ، لأنّه لو فعل ذلك للمطر لما صرّح النبيّ صلى الله عليه وآله وسلم بخلافه ، ولما عدل الرواة عن التعليل به ، إلى التعليل بنفي الحرج ، كما رووا عنه صلى الله عليه وآله وسلم أنّه كان يأمر المنادي أن ينادي في الليلة المطيرة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صلّوا في الرحال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يذكروا ذلك في الجمع فكيف وقد صرّحوا بنفي المطر؟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وأضاف أيضا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عباس الراوي لهذا الحديث أخّر الصلاة وجمع لأجل انشغاله بالخطبة ، ثمّ احتجّ بجمع النبي صلى الله عليه وآله وسلم ولا يجوز أن يحتجّ بجمع النبي صلى الله عليه وآله وسلم للمطر ـ وهو عذر بيّن ظاهر ـ على الجمع لمجرّد الخطبة أو الدرس الذي في </w:t>
      </w:r>
    </w:p>
    <w:p>
      <w:pPr>
        <w:pStyle w:val="BookText"/>
        <w:rPr/>
      </w:pPr>
      <w:r>
        <w:rPr>
          <w:rFonts w:ascii="Amiri" w:hAnsi="Amiri" w:eastAsia="Amiri" w:cs="Amiri"/>
          <w:color w:val="111111"/>
          <w:sz w:val="28"/>
          <w:sz w:val="28"/>
          <w:szCs w:val="28"/>
          <w:rtl w:val="true"/>
          <w:lang w:bidi="ar-SA"/>
        </w:rPr>
        <w:t>إمكانه أن يقطعه للصلاة ثمّ يعود إليه أو ينتهي منه عند وقت الصلاة ولا يلحقه فيه ضرر ولا مشقة كما يلحق الإنسان في الخروج في حالة المطر والوحل</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حصيلة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التشريع من الرسول صلى الله عليه وآله وسلم بأمر من الله سبحانه أضفى للشريعة مرونة قابلة للتطبيق على مرّ العصور وعلى كافة أصعدة الحياة المتطورة مهما تطورت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ألقى نظرة فاحصة على الحياة المتطورة في الغرب الصناعي يقف على أنّ التفريق بين الصلاتين ـ خصوصا الظهر والعصر ـ أمر شاق على المسلمين خاصة العمال والموظفين بنحو ينتهي الأمر ، إمّا إلى تحمل المشقة الكبيرة ، أو ترك الصلاة من رأس ، وربما ينجر الأمر إلى الإعراض عن الفريضة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لفقهاء السنّة الواعين أن يأخذوا بنظر الاعتبار السماحة التي نادى بها الإسلام في اجتهاداتهم ، والسعة التي جاءت بها الأخبار في حساباتهم ، وأن يعلنوا للملإ بصراحة انّ الجمع بين الظهرين والعشاءين أمر مسموح به موافق للشريعة وإن كان التوقيت أفضل ، فمن فرّق فله فضل التوقيت ، ومن جمع فقد أدّى الفريضة وأخذ بالسعة والسماحة</w:t>
      </w:r>
      <w:r>
        <w:rPr>
          <w:rFonts w:eastAsia="Amiri" w:cs="Amiri" w:ascii="Amiri" w:hAnsi="Amiri"/>
          <w:color w:val="111111"/>
          <w:sz w:val="28"/>
          <w:szCs w:val="28"/>
          <w:rtl w:val="true"/>
          <w:lang w:bidi="ar-SA"/>
        </w:rPr>
        <w:t xml:space="preserve">. </w:t>
      </w:r>
      <w:bookmarkStart w:id="560" w:name="pg10144_71510"/>
    </w:p>
    <w:p>
      <w:pPr>
        <w:pStyle w:val="Heading3"/>
        <w:numPr>
          <w:ilvl w:val="2"/>
          <w:numId w:val="1"/>
        </w:numPr>
        <w:rPr/>
      </w:pPr>
      <w:bookmarkStart w:id="561" w:name="__RefHeading___Toc1165789_1067777946"/>
      <w:bookmarkStart w:id="562" w:name="_Toc202"/>
      <w:bookmarkEnd w:id="560"/>
      <w:bookmarkEnd w:id="561"/>
      <w:r>
        <w:rPr>
          <w:rtl w:val="true"/>
        </w:rPr>
        <w:t>أسئلة وأجوبة</w:t>
      </w:r>
      <w:bookmarkEnd w:id="562"/>
    </w:p>
    <w:p>
      <w:pPr>
        <w:pStyle w:val="Heading4"/>
        <w:numPr>
          <w:ilvl w:val="3"/>
          <w:numId w:val="1"/>
        </w:numPr>
        <w:rPr/>
      </w:pPr>
      <w:bookmarkStart w:id="563" w:name="__RefHeading___Toc1165791_1067777946"/>
      <w:bookmarkStart w:id="564" w:name="_Toc203"/>
      <w:bookmarkEnd w:id="563"/>
      <w:r>
        <w:rPr>
          <w:rtl w:val="true"/>
        </w:rPr>
        <w:t>اشارة</w:t>
      </w:r>
      <w:bookmarkEnd w:id="564"/>
    </w:p>
    <w:p>
      <w:pPr>
        <w:pStyle w:val="BookText"/>
        <w:rPr/>
      </w:pPr>
      <w:r>
        <w:rPr>
          <w:rFonts w:ascii="Amiri" w:hAnsi="Amiri" w:eastAsia="Amiri" w:cs="Amiri"/>
          <w:color w:val="111111"/>
          <w:sz w:val="28"/>
          <w:sz w:val="28"/>
          <w:szCs w:val="28"/>
          <w:rtl w:val="true"/>
          <w:lang w:bidi="ar-SA"/>
        </w:rPr>
        <w:t>ثمّ إنّ من لم يجوّز الجمع بين الصلاتين ، اعترض على الاحتجاج برواية ابن عباس وغيره بوجوه نذكرها مع تحليلها</w:t>
      </w:r>
      <w:r>
        <w:rPr>
          <w:rFonts w:eastAsia="Amiri" w:cs="Amiri" w:ascii="Amiri" w:hAnsi="Amiri"/>
          <w:color w:val="111111"/>
          <w:sz w:val="28"/>
          <w:szCs w:val="28"/>
          <w:rtl w:val="true"/>
          <w:lang w:bidi="ar-SA"/>
        </w:rPr>
        <w:t>.</w:t>
      </w:r>
    </w:p>
    <w:p>
      <w:pPr>
        <w:pStyle w:val="Heading4"/>
        <w:numPr>
          <w:ilvl w:val="3"/>
          <w:numId w:val="1"/>
        </w:numPr>
        <w:rPr/>
      </w:pPr>
      <w:bookmarkStart w:id="565" w:name="__RefHeading___Toc1165793_1067777946"/>
      <w:bookmarkStart w:id="566" w:name="_Toc204"/>
      <w:bookmarkEnd w:id="565"/>
      <w:r>
        <w:rPr>
          <w:rtl w:val="true"/>
        </w:rPr>
        <w:t xml:space="preserve">الأوّل </w:t>
      </w:r>
      <w:r>
        <w:rPr>
          <w:rtl w:val="true"/>
        </w:rPr>
        <w:t xml:space="preserve">: </w:t>
      </w:r>
      <w:r>
        <w:rPr>
          <w:rtl w:val="true"/>
        </w:rPr>
        <w:t xml:space="preserve">الجمع وحديث </w:t>
      </w:r>
      <w:r>
        <w:rPr>
          <w:rtl w:val="true"/>
        </w:rPr>
        <w:t xml:space="preserve">« </w:t>
      </w:r>
      <w:r>
        <w:rPr>
          <w:rtl w:val="true"/>
        </w:rPr>
        <w:t xml:space="preserve">حنش </w:t>
      </w:r>
      <w:r>
        <w:rPr>
          <w:rtl w:val="true"/>
        </w:rPr>
        <w:t>»</w:t>
      </w:r>
      <w:bookmarkEnd w:id="566"/>
    </w:p>
    <w:p>
      <w:pPr>
        <w:pStyle w:val="BookText"/>
        <w:rPr/>
      </w:pPr>
      <w:r>
        <w:rPr>
          <w:rFonts w:ascii="Amiri" w:hAnsi="Amiri" w:eastAsia="Amiri" w:cs="Amiri"/>
          <w:color w:val="111111"/>
          <w:sz w:val="28"/>
          <w:sz w:val="28"/>
          <w:szCs w:val="28"/>
          <w:rtl w:val="true"/>
          <w:lang w:bidi="ar-SA"/>
        </w:rPr>
        <w:t xml:space="preserve">أخبار الجمع يعارضها ما أخرجه الترمذي عن حنش ، عن عكرمة ، عن ابن عباس ، عن النبي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جمع بين الصلاتين من غير عذر فقد أتى بابا من أبواب الكبائر</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في ضعفه انّ في سنده حنش ، وهو لقب حسين بن قيس الرحبي الواسطي وهو ضعيف للغاية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 وقال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أحاديثه منكرة ولا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زرعة وابن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 وقال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أحاديثه منكرة جدا ، وقال الدارقطني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متروك وعدّ الذهبي من مناكيره هذا الحديث</w:t>
      </w:r>
      <w:r>
        <w:rPr>
          <w:rFonts w:eastAsia="Amiri" w:cs="Amiri" w:ascii="Amiri" w:hAnsi="Amiri"/>
          <w:color w:val="111111"/>
          <w:sz w:val="28"/>
          <w:szCs w:val="28"/>
          <w:rtl w:val="true"/>
          <w:lang w:bidi="ar-SA"/>
        </w:rPr>
        <w:t xml:space="preserve">. </w:t>
      </w:r>
      <w:r>
        <w:rPr>
          <w:rStyle w:val="FootnoteAnchor"/>
          <w:rtl w:val="true"/>
        </w:rPr>
        <w:footnoteReference w:id="633"/>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العقيلي في حديثه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جمع بين صلاتين فقد أتى بابا من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يتابع عليه ولا يعرف إلاّ به ، ولا أصل له ، وقد صحّ عن ابن عباس انّ النبي صلى الله عليه وآله وسلم </w:t>
      </w:r>
      <w:bookmarkStart w:id="567" w:name="pg10144_71511"/>
    </w:p>
    <w:p>
      <w:pPr>
        <w:pStyle w:val="BookText"/>
        <w:rPr/>
      </w:pPr>
      <w:bookmarkEnd w:id="567"/>
      <w:r>
        <w:rPr>
          <w:rFonts w:ascii="Amiri" w:hAnsi="Amiri" w:eastAsia="Amiri" w:cs="Amiri"/>
          <w:color w:val="111111"/>
          <w:sz w:val="28"/>
          <w:sz w:val="28"/>
          <w:szCs w:val="28"/>
          <w:rtl w:val="true"/>
          <w:lang w:bidi="ar-SA"/>
        </w:rPr>
        <w:t>جمع بين الظهر والعصر</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أضف إلى ذلك انّ في سنده أيضا عِكْرمة ، وهو ضعيف لا يحتج بحديثه</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1165795_1067777946"/>
      <w:bookmarkStart w:id="569" w:name="_Toc205"/>
      <w:bookmarkEnd w:id="568"/>
      <w:r>
        <w:rPr>
          <w:rtl w:val="true"/>
        </w:rPr>
        <w:t xml:space="preserve">الثاني </w:t>
      </w:r>
      <w:r>
        <w:rPr>
          <w:rtl w:val="true"/>
        </w:rPr>
        <w:t xml:space="preserve">: </w:t>
      </w:r>
      <w:r>
        <w:rPr>
          <w:rtl w:val="true"/>
        </w:rPr>
        <w:t>الجمع وحديث ليلة التعريس</w:t>
      </w:r>
      <w:bookmarkEnd w:id="569"/>
    </w:p>
    <w:p>
      <w:pPr>
        <w:pStyle w:val="BookText"/>
        <w:rPr/>
      </w:pPr>
      <w:r>
        <w:rPr>
          <w:rFonts w:ascii="Amiri" w:hAnsi="Amiri" w:eastAsia="Amiri" w:cs="Amiri"/>
          <w:color w:val="111111"/>
          <w:sz w:val="28"/>
          <w:sz w:val="28"/>
          <w:szCs w:val="28"/>
          <w:rtl w:val="true"/>
          <w:lang w:bidi="ar-SA"/>
        </w:rPr>
        <w:t xml:space="preserve">وربّما تتوهّم المعارضة بين ما دلّ على جواز الجمع بين الصلاتين جمعا حقيقيا وما رواه مسلم من حديث ليلة التعريس نقله الآلوسي في تفسيره عن ابن الهمام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ابن عباس معارض بما في مسلم في حديث ليلة التعريس أنّه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النوم تفريط وإنّما التفريط في اليقظة أن يؤخّر الصلاة حتّى يدخل وقت صلاة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الآلوسي بعد نقل كلام ابن الهمام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وللبحث في ذلك مجال</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وفي الاستدلال ـ كما ذكره الآلوسي ـ مجال للبحث بل للرّدّ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التعريس لا يشمل جمع التقديم ، بل يختصّ بجمع التأخير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يؤخّر الصلاة حتّى يدخل وقت صلاة أخرى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 ابن عباس رضي الله عنه حاك عن أنّ جمع النبي صلى الله عليه وآله وسلم بين الصلاتين كان جمع تأخير على ما رواه مسلم كما مرّ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ابن عباس يوما بعد العصر حتّى غربت الشمس وبدت النجوم وجعل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رجل من بني تميم لا يفتر ولا ينثني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أتعلّمني بالسنة لا أمّ 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جمع الظهر والعصر والمغرب والعشاء ، فقال عبد الله بن شقيق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فحاك في صدري من ذلك </w:t>
      </w:r>
      <w:bookmarkStart w:id="570" w:name="pg10144_71512"/>
    </w:p>
    <w:p>
      <w:pPr>
        <w:pStyle w:val="BookText"/>
        <w:rPr/>
      </w:pPr>
      <w:bookmarkEnd w:id="570"/>
      <w:r>
        <w:rPr>
          <w:rFonts w:ascii="Amiri" w:hAnsi="Amiri" w:eastAsia="Amiri" w:cs="Amiri"/>
          <w:color w:val="111111"/>
          <w:sz w:val="28"/>
          <w:sz w:val="28"/>
          <w:szCs w:val="28"/>
          <w:rtl w:val="true"/>
          <w:lang w:bidi="ar-SA"/>
        </w:rPr>
        <w:t xml:space="preserve">شيء فأتيت أبا هريرة ، فسألته فصدّق مقالته </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فأي الحديثين أولى بالأخذ؟</w:t>
      </w:r>
    </w:p>
    <w:p>
      <w:pPr>
        <w:pStyle w:val="BookText"/>
        <w:rPr/>
      </w:pPr>
      <w:r>
        <w:rPr>
          <w:rFonts w:ascii="Amiri" w:hAnsi="Amiri" w:eastAsia="Amiri" w:cs="Amiri"/>
          <w:color w:val="111111"/>
          <w:sz w:val="28"/>
          <w:sz w:val="28"/>
          <w:szCs w:val="28"/>
          <w:rtl w:val="true"/>
          <w:lang w:bidi="ar-SA"/>
        </w:rPr>
        <w:t>والحديث محمول على تأخير صلاة العشاء حتّى يدخل وقت صلاة الفجر لا تأخيره إلى نهاية الوقت ويؤيّده ورود الرواية في ليلة التعريس الّتي ينشغل فيها الإنسان بأمور حتى يدخل وقت صلاة الفجر</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1165797_1067777946"/>
      <w:bookmarkStart w:id="572" w:name="_Toc206"/>
      <w:bookmarkEnd w:id="571"/>
      <w:r>
        <w:rPr>
          <w:rtl w:val="true"/>
        </w:rPr>
        <w:t xml:space="preserve">الثالث </w:t>
      </w:r>
      <w:r>
        <w:rPr>
          <w:rtl w:val="true"/>
        </w:rPr>
        <w:t xml:space="preserve">: </w:t>
      </w:r>
      <w:r>
        <w:rPr>
          <w:rtl w:val="true"/>
        </w:rPr>
        <w:t>حديث حبيب بن أبي ثابت لا يحتجّ به</w:t>
      </w:r>
      <w:bookmarkEnd w:id="572"/>
    </w:p>
    <w:p>
      <w:pPr>
        <w:pStyle w:val="BookText"/>
        <w:rPr/>
      </w:pPr>
      <w:r>
        <w:rPr>
          <w:rFonts w:ascii="Amiri" w:hAnsi="Amiri" w:eastAsia="Amiri" w:cs="Amiri"/>
          <w:color w:val="111111"/>
          <w:sz w:val="28"/>
          <w:sz w:val="28"/>
          <w:szCs w:val="28"/>
          <w:rtl w:val="true"/>
          <w:lang w:bidi="ar-SA"/>
        </w:rPr>
        <w:t xml:space="preserve">إنّ الرواية الثالثة التي أخرجها مسلم ، ورد في سندها حبيب بن أبي ثابت قال في حقّه الخطابي في معالم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لا يقول به أكثر الفقهاء ، وإسناده جيّد إلاّ ما تكلّموا من أمر حبيب</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ذكره من أنّ الحديث لا يقول به أكثر الفقهاء حق ، ولكن يقول به كثير من الفقهاء ومن يؤخذ عنه الفتوى وقد مرّت أسماؤهم ، وأمّا عدم أخذ الأكثر به فقد عرفت أنّ الوجه في عدم الأخذ إمّا لكون التفريق موافقا للاحتياط أو كونه مخالفا لما استمرّ عليه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الاحتياط فقد مرّ أنّ الإفتاء بلزوم التفريق في ظروفنا هذه على خلاف الاحتياط ، لأنّه ربما ينتهي الأمر بسببه إلى ترك الصلاة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فعل النبي صلى الله عليه وآله وسلم فقد عرفت أنّه جمع أيضا ، ليفهم الأمّة على أنّ استمراره على التفريق سنّة مؤكّدة وليست بفرض</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 من أنّهم تكلّموا في حبيب بن أبي ثابت ، فهو يخالف ما ذكره </w:t>
      </w:r>
    </w:p>
    <w:p>
      <w:pPr>
        <w:pStyle w:val="BookText"/>
        <w:rPr/>
      </w:pPr>
      <w:r>
        <w:rPr>
          <w:rFonts w:ascii="Amiri" w:hAnsi="Amiri" w:eastAsia="Amiri" w:cs="Amiri"/>
          <w:color w:val="111111"/>
          <w:sz w:val="28"/>
          <w:sz w:val="28"/>
          <w:szCs w:val="28"/>
          <w:rtl w:val="true"/>
          <w:lang w:bidi="ar-SA"/>
        </w:rPr>
        <w:t xml:space="preserve">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به كلّ من أفراد الصحاح بلا تردّد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يحيى بن معين وجماعة</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على أنّ الرواية في أحد الصحيحين اللّذين اتّفق الجمهور على صحّة أحاديثهما والعمل بما ورد فيهما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نأتي بحديث الرسول الأكرم صلى الله عليه وآله وسلم الذي نقله الفريقان قال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الدّين متين فأوغل فيه برِفْق ولا تبغّض إلى نفسك عبادة ربّك ، فان المنبت لا ظهرا أبقى ولا أرضا قطع </w:t>
      </w:r>
      <w:r>
        <w:rPr>
          <w:rFonts w:eastAsia="Amiri" w:cs="Amiri" w:ascii="Amiri" w:hAnsi="Amiri"/>
          <w:color w:val="111111"/>
          <w:sz w:val="28"/>
          <w:szCs w:val="28"/>
          <w:rtl w:val="true"/>
          <w:lang w:bidi="ar-SA"/>
        </w:rPr>
        <w:t xml:space="preserve">». </w:t>
      </w:r>
      <w:r>
        <w:rPr>
          <w:rStyle w:val="FootnoteAnchor"/>
          <w:rtl w:val="true"/>
        </w:rPr>
        <w:footnoteReference w:id="639"/>
      </w:r>
      <w:bookmarkStart w:id="573" w:name="pg10144_71514"/>
    </w:p>
    <w:p>
      <w:pPr>
        <w:pStyle w:val="Heading2"/>
        <w:numPr>
          <w:ilvl w:val="1"/>
          <w:numId w:val="1"/>
        </w:numPr>
        <w:rPr/>
      </w:pPr>
      <w:bookmarkStart w:id="574" w:name="__RefHeading___Toc1165799_1067777946"/>
      <w:bookmarkStart w:id="575" w:name="_Toc207"/>
      <w:bookmarkEnd w:id="573"/>
      <w:bookmarkEnd w:id="574"/>
      <w:r>
        <w:rPr/>
        <w:t>8</w:t>
      </w:r>
      <w:r>
        <w:rPr>
          <w:rtl w:val="true"/>
        </w:rPr>
        <w:t xml:space="preserve">. </w:t>
      </w:r>
      <w:r>
        <w:rPr>
          <w:rtl w:val="true"/>
        </w:rPr>
        <w:t>القصر في السفر</w:t>
      </w:r>
      <w:bookmarkEnd w:id="575"/>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6" w:name="__RefHeading___Toc1165801_1067777946"/>
      <w:bookmarkStart w:id="577" w:name="_Toc208"/>
      <w:bookmarkEnd w:id="576"/>
      <w:r>
        <w:rPr>
          <w:rtl w:val="true"/>
        </w:rPr>
        <w:t>اشارة</w:t>
      </w:r>
      <w:bookmarkEnd w:id="577"/>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8" w:name="pg10144_71516"/>
      <w:bookmarkStart w:id="579" w:name="pg10144_71516"/>
      <w:bookmarkEnd w:id="579"/>
    </w:p>
    <w:p>
      <w:pPr>
        <w:pStyle w:val="Heading3"/>
        <w:numPr>
          <w:ilvl w:val="2"/>
          <w:numId w:val="1"/>
        </w:numPr>
        <w:rPr/>
      </w:pPr>
      <w:bookmarkStart w:id="580" w:name="pg10144_71516"/>
      <w:bookmarkStart w:id="581" w:name="__RefHeading___Toc1165803_1067777946"/>
      <w:bookmarkStart w:id="582" w:name="_Toc209"/>
      <w:bookmarkEnd w:id="580"/>
      <w:bookmarkEnd w:id="581"/>
      <w:r>
        <w:rPr>
          <w:rtl w:val="true"/>
        </w:rPr>
        <w:t>هل القصر في السفر</w:t>
      </w:r>
      <w:bookmarkEnd w:id="582"/>
    </w:p>
    <w:p>
      <w:pPr>
        <w:pStyle w:val="Heading3"/>
        <w:numPr>
          <w:ilvl w:val="2"/>
          <w:numId w:val="1"/>
        </w:numPr>
        <w:rPr/>
      </w:pPr>
      <w:bookmarkStart w:id="583" w:name="__RefHeading___Toc1165805_1067777946"/>
      <w:bookmarkStart w:id="584" w:name="_Toc210"/>
      <w:bookmarkEnd w:id="583"/>
      <w:r>
        <w:rPr>
          <w:rtl w:val="true"/>
        </w:rPr>
        <w:t>عزيمة أو رخصة؟</w:t>
      </w:r>
      <w:bookmarkEnd w:id="584"/>
    </w:p>
    <w:p>
      <w:pPr>
        <w:pStyle w:val="BookText"/>
        <w:rPr/>
      </w:pPr>
      <w:r>
        <w:rPr>
          <w:rFonts w:ascii="Amiri" w:hAnsi="Amiri" w:eastAsia="Amiri" w:cs="Amiri"/>
          <w:color w:val="111111"/>
          <w:sz w:val="28"/>
          <w:sz w:val="28"/>
          <w:szCs w:val="28"/>
          <w:rtl w:val="true"/>
          <w:lang w:bidi="ar-SA"/>
        </w:rPr>
        <w:t>اتّفق المسلمون تبعا للكتاب العزيز والسنّة النبوية على مشروعية القصر في السفر وإن لم يكن معه 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أنّ القصر في السفر عزيمة ، أو سنّة مؤكدة ، أو 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 أقوال ثلاثة نشير إليها بالتفصيل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ذهبت الإمامية والحنفية إلى أنّها عزيمة ، وإنّ فرض المسافر في كلّ صلاة رباعية ركعتان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المالكية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سنّة مؤكدة لفعل النبي صلى الله عليه وآله وسلم ، فإنّه لم ير منه في أسفاره أنّه أتمّ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اخرج الشيخان عن ابن عمر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النبي فكان لا يزيد في السفر على ركعتين ، وأبو بكر وعمر وعثمان كذلك</w:t>
      </w:r>
      <w:r>
        <w:rPr>
          <w:rFonts w:eastAsia="Amiri" w:cs="Amiri" w:ascii="Amiri" w:hAnsi="Amiri"/>
          <w:color w:val="111111"/>
          <w:sz w:val="28"/>
          <w:szCs w:val="28"/>
          <w:rtl w:val="true"/>
          <w:lang w:bidi="ar-SA"/>
        </w:rPr>
        <w:t xml:space="preserve">. </w:t>
      </w:r>
      <w:r>
        <w:rPr>
          <w:rStyle w:val="FootnoteAnchor"/>
          <w:rtl w:val="true"/>
        </w:rPr>
        <w:footnoteReference w:id="640"/>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الشافعية والحنابلة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رخصة على سبيل التخيير ، فللمسافر أن يتمّ أو يقصر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الشيخ الطوسي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التقصير في السفر فرض وعزيمة ، والواجب في هذه الصلوات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والعصر والعشاء الآخرة ركعتان ، فإن صلّى أربعا مع العلم وجب 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حنيفة 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زاد على ركعتين ، فإن كان تشهد في الثانية صحّت صلاته وما زاد على اثنتين يكون نافلة إلاّ أن يأتم بمقيم فيصلي أربعا فيكون الكل فريضة أسقط بها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 التقصير عزيمة مذهب علي عليه السلام وعمر ، وفي الفقهاء مذهب أبي حنيفة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بالخيار بين أن يصلّي صلاة السفر ركعتين وبين أن يصلّي صلاة الحضر أربعا ، فيسقط بذلك الفرض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والإتمام أفضل ، وبمذهبه قال في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وعبد الله بن مسعود وسعد بن أبي وقاص وعائشة ، وفي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الأوزاعي وأبو ثور</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هذه هي الأقوال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البحث في صلاة المسافر واسع المجال ، فيبحث فيها تارة عن المسافة التي يجوز فيها القصر ، وأخرى عن نوع السفر وانّه هل يختص القصر بالسفر المباح أم يعم سفر المعصية أيضا؟ وثالثة في الموضع الذي يبدأ منه المسافر بالقصر ؛ ورابعة في مقدار الزمان الذي يتمّ فيه المسافر إذا أقام في موضع ، فهناك من يقول يكفي نيّة إقامة أربعة أيام كالمالكية والشافعية </w:t>
      </w:r>
      <w:r>
        <w:rPr>
          <w:rStyle w:val="FootnoteAnchor"/>
          <w:rtl w:val="true"/>
        </w:rPr>
        <w:footnoteReference w:id="642"/>
      </w:r>
      <w:r>
        <w:rPr>
          <w:rFonts w:ascii="Amiri" w:hAnsi="Amiri" w:eastAsia="Amiri" w:cs="Amiri"/>
          <w:color w:val="111111"/>
          <w:sz w:val="28"/>
          <w:sz w:val="28"/>
          <w:szCs w:val="28"/>
          <w:rtl w:val="true"/>
          <w:lang w:bidi="ar-SA"/>
        </w:rPr>
        <w:t xml:space="preserve">، وهناك من يقول بأنّه </w:t>
      </w:r>
      <w:bookmarkStart w:id="585" w:name="pg10144_71518"/>
    </w:p>
    <w:p>
      <w:pPr>
        <w:pStyle w:val="BookText"/>
        <w:rPr/>
      </w:pPr>
      <w:bookmarkEnd w:id="585"/>
      <w:r>
        <w:rPr>
          <w:rFonts w:ascii="Amiri" w:hAnsi="Amiri" w:eastAsia="Amiri" w:cs="Amiri"/>
          <w:color w:val="111111"/>
          <w:sz w:val="28"/>
          <w:sz w:val="28"/>
          <w:szCs w:val="28"/>
          <w:rtl w:val="true"/>
          <w:lang w:bidi="ar-SA"/>
        </w:rPr>
        <w:t>يقصر إلاّ إذا نوى إقامة عشرة أيّام كما عليه الإمامية ، إلى غير ذلك من المباحث الراجعة إلى صلاة المسافر ، ونحن نركز على موضع آخر وهو كون القصر عزيمة أو سنّة مؤكّدة أو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ندخل في المواضع الأربعة كما لا ندخل في مبحث شروط القصر التي ذكرها الفقهاء ، فان البحث في هاتيك المواضيع يحوجنا إلى تأليف كتاب مفرد وقد قمنا بتحريرها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الناظر في صلاة 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فلندخل في صلب الموضوع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الكتاب فقد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ضَرَبْتُمْ فِي الْأَرْضِ فَلَيْسَ عَلَيْكُمْ جُناحٌ أَنْ تَقْصُرُوا مِنَ الصَّلاةِ إِنْ خِفْتُمْ أَنْ يَفْتِنَكُمُ الَّذِينَ كَفَرُوا إِنَّ الْكافِرِينَ كانُوا لَكُمْ عَدُوًّا مُبِيناً </w:t>
      </w:r>
      <w:r>
        <w:rPr>
          <w:rFonts w:eastAsia="Amiri" w:cs="Amiri" w:ascii="Amiri" w:hAnsi="Amiri"/>
          <w:color w:val="111111"/>
          <w:sz w:val="28"/>
          <w:szCs w:val="28"/>
          <w:rtl w:val="true"/>
          <w:lang w:bidi="ar-SA"/>
        </w:rPr>
        <w:t xml:space="preserve">). </w:t>
      </w:r>
      <w:r>
        <w:rPr>
          <w:rStyle w:val="FootnoteAnchor"/>
          <w:rtl w:val="true"/>
        </w:rPr>
        <w:footnoteReference w:id="643"/>
      </w:r>
    </w:p>
    <w:p>
      <w:pPr>
        <w:pStyle w:val="Heading3"/>
        <w:numPr>
          <w:ilvl w:val="2"/>
          <w:numId w:val="1"/>
        </w:numPr>
        <w:rPr/>
      </w:pPr>
      <w:bookmarkStart w:id="586" w:name="__RefHeading___Toc1165807_1067777946"/>
      <w:bookmarkStart w:id="587" w:name="_Toc211"/>
      <w:bookmarkEnd w:id="586"/>
      <w:r>
        <w:rPr>
          <w:rtl w:val="true"/>
        </w:rPr>
        <w:t>تفسير مفردات الآية</w:t>
      </w:r>
      <w:bookmarkEnd w:id="5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الضرب في الأرض كناية عن السفر ، أي إذا سرتم فيها فليس عليكم جناح ـ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حرج ـ ولا إثم أن تقصروا من الصلاة ـ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عددها ـ فتصلّوا الرباعيات ركعتين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أيضا فسر القرطبي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 xml:space="preserve">ويؤيد ذلك استعمال الضرب في الأرض في غير واحد من الآيات كقوله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ضَرَبْتُمْ فِي سَبِيلِ اللهِ فَتَبَيَّنُوا </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أَنْتُمْ ضَرَبْتُمْ فِي الْأَرْضِ فَأَصابَتْكُمْ مُصِيبَةُ الْمَوْتِ </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ضَرَبُوا فِي الْأَرْضِ أَوْ كانُوا غُزًّى لَوْ كانُوا عِنْدَنا ما ماتُوا وَما قُتِلُوا </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الجناح فهو بمعنى الإثم كما تقدّم في عبارة الشيخ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تضافر استعماله في الإثم في آيات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حَجَّ الْبَيْتَ أَوِ اعْتَمَرَ فَلا جُناحَ عَلَيْهِ أَنْ يَطَّوَّفَ بِهِما </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وقد ورد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العزيز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 والمقصود في الجميع هو ما ذكرنا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عَلَيْكُمْ 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للشرط المتأخر ، فكأنّه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خفتم أن يفتنكم الذين كفروا فليس عليكم جناح أن تقصروا من الصلاة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من القصر هو تخفيف عدد الركعات من أربع ركعات إلى ركعتين ، وربما يفسر بتخفيف كيفية الصلاة ووصفها من تبدّل الركوع والسجود إلى الإيماء أو الإتيان بالصلاة راكبا أو ماشيا حسب ما تقتضيه الظروف ، كما ورد في صلاة الخوف والمطاردة والمسايرة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 ذلك المعنى في بعض الروايات إلى ابن عباس وابن جريح عن ابن طاوس عن أبيه ، ومال إليه أبو بكر الجصاص في تفسيره</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 xml:space="preserve">وربما يظهر من السيد المرتضى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انتصاره </w:t>
      </w:r>
      <w:r>
        <w:rPr>
          <w:rFonts w:eastAsia="Amiri" w:cs="Amiri" w:ascii="Amiri" w:hAnsi="Amiri"/>
          <w:color w:val="111111"/>
          <w:sz w:val="28"/>
          <w:szCs w:val="28"/>
          <w:rtl w:val="true"/>
          <w:lang w:bidi="ar-SA"/>
        </w:rPr>
        <w:t xml:space="preserve">» </w:t>
      </w:r>
      <w:r>
        <w:rPr>
          <w:rStyle w:val="FootnoteAnchor"/>
          <w:rtl w:val="true"/>
        </w:rPr>
        <w:footnoteReference w:id="650"/>
      </w:r>
      <w:r>
        <w:rPr>
          <w:rFonts w:ascii="Amiri" w:hAnsi="Amiri" w:eastAsia="Amiri" w:cs="Amiri"/>
          <w:color w:val="111111"/>
          <w:sz w:val="28"/>
          <w:sz w:val="28"/>
          <w:szCs w:val="28"/>
          <w:rtl w:val="true"/>
          <w:lang w:bidi="ar-SA"/>
        </w:rPr>
        <w:t xml:space="preserve">والقطب الراوندي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القرآن </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ولكن المعروف بين المفسرين وعليه روايات أئمّة أهل البيت عليهم السلام هو انّ المراد من القصر هو تخفيف ركعات الصلوات الرباعية ، وعلى ذلك فلفظة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تبعيضية أي شيئا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جعل من زائدة حسب ما نقله أبو البقاء عن الأخفش القائل بزيادتها في الإثبات فهو غير لائق بالكتاب العزيز</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ثمّ إنّ الآية تخصّ القصر بالسفر المرافق للخوف ، وظاهرها انّ السفر ليس موضوعا مستقلا ، بل الموضوع هو السفر المرافق للخوف ، لكنّ السنّة فسرت الآية وأعطت للسفر استقلالا للتقصير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النبي صلى الله عليه وآله وسلم كان يقصر في حالتي الخوف والأمن كما ستوافيك رواياته ، وأمّا تعليق القصر على الخوف في الآية كأنّه كان لتقرير الحالة الواقعة ، لأنّ غالب أسفار النبي صلى الله عليه وآله وسلم لم تخلو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القيد في الآية قيد غالبي بالنسبة إلى الظروف التي نزلت الآية فيها ، فمن حاول أن يحصر التقصير بسفر الخوف دون سفر الأمن ، فقد أخذ بظاهر الآية وترك السنّة النبوية واتّفاق المسلمين وفي مقدمهم أئمّة أهل البيت عليهم السلام الذين عرّفهم الرسول بكونهم أعدال القرآن وقرناء الكتاب</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من زعم انّ القصر رخصة تمسّك بظاهر الآية وهو قوله سبحانه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عَلَيْكُمْ 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ولكنّه غفل عن أنّ هذا التعبير لا يدلّ على مقصوده ، لأنّ الآية وردت في مقام رفع توهم الحظر ، فكأنّ المخاطب يتصوّر انّ القصر إيجاد نقص في الصلاة وهو أمر محظور ، فنزلت الآية لدفع هذا التوهم ، لتطيب النفس بالقصر وتطمئن إليه</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وليس ذلك بغريب فقد ورد مثله في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وَالْمَرْوَةَ مِنْ شَعائِرِ اللهِ فَمَنْ حَجَّ الْبَيْتَ أَوِ اعْتَمَرَ فَلا جُناحَ عَلَيْهِ أَنْ يَطَّوَّفَ بِهِما وَمَنْ تَطَوَّعَ خَيْراً فَإِنَّ اللهَ شاكِرٌ عَلِيمٌ </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فان المسلمين لمّا أرادوا الطواف بين الصفا والمروة في عمرة القضاء شاهدوا وجود الأصنام فوق الصفا والمروة ، فتحرّج المسلمون من الطواف بينهما ، فنزل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وَالْمَرْوَةَ مِنْ شَعائِرِ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الصفا صنم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إساف وعلى المروة صنم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نائلة ، وكان المشركون إذا كانوا بهما مسحوهما ، فتحرّج المسلمون عن الطواف بهما لأجل الصنمين ، فأنزل الله تعالى هذه الآية ، وهو منقول عن الشعبي وكثير من العلماء ، فرجع رفع الجناح عن الطواف بهما إلى تحرّجهم عن الطواف بهما لأجل الصنمين لا إلى عين الطواف ، كما لو كان الإنسان محبوسا في موضع لا يمكنه الصلاة إلاّ بالتوجه إلى ما يكره التوجه إليه من المخرج وغيره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عليك في الصلاة إلى ذلك المكان ، فلا يرجع رفع الجناح إلى عين الصلاة ، لأنّ عين الصلاة واجبة وإنّما يرجع التوجّه إلى ذلك المكان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ورويت رواية أخرى عن أبي عبد الله عليه السلام انّه كان ذلك في عمرة القضاء ، </w:t>
      </w:r>
      <w:bookmarkStart w:id="588" w:name="pg10144_71522"/>
    </w:p>
    <w:p>
      <w:pPr>
        <w:pStyle w:val="BookText"/>
        <w:rPr/>
      </w:pPr>
      <w:bookmarkEnd w:id="588"/>
      <w:r>
        <w:rPr>
          <w:rFonts w:ascii="Amiri" w:hAnsi="Amiri" w:eastAsia="Amiri" w:cs="Amiri"/>
          <w:color w:val="111111"/>
          <w:sz w:val="28"/>
          <w:sz w:val="28"/>
          <w:szCs w:val="28"/>
          <w:rtl w:val="true"/>
          <w:lang w:bidi="ar-SA"/>
        </w:rPr>
        <w:t xml:space="preserve">وذلك انّ رسول الله صلى الله عليه وآله وسلم شرط عليهم أن يرفعوا الأصنام ، فتشاغل رجل من أصحابه حتى أعيدت الأصنام ، فجاءوا إلى رسول الله صلى الله عليه وآله وسلم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لم يطف وقد أعيدت الأصنام ، فنزلت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جُناحَ عَلَيْهِ أَنْ يَطَّوَّفَ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والأصنام عليهما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الناس يسعون والأصنام على حالها</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ويجري نفس هذا الكلام في المقام ، فان قصر الصلاة وتبديلها إلى ركعتين من الأمور التي يتحرّج به المسلم ويتصوّر انّه ترك للفريضة ، ففي هذه الظروف يقول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ضَرَبْتُمْ فِي الْأَرْضِ فَلَيْسَ عَلَيْكُمْ جُناحٌ أَنْ تَقْصُرُوا مِنَ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هذا فالآية لا تدلّ على العزيمة ولا على الرخصة ، بل هي ساكتة عن هذا الجانب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تبين انّ الآية لا تدلّ على أحد الأقوال ، فلا محيص من الرجوع إلى السنّة</w:t>
      </w:r>
      <w:r>
        <w:rPr>
          <w:rFonts w:eastAsia="Amiri" w:cs="Amiri" w:ascii="Amiri" w:hAnsi="Amiri"/>
          <w:color w:val="111111"/>
          <w:sz w:val="28"/>
          <w:szCs w:val="28"/>
          <w:rtl w:val="true"/>
          <w:lang w:bidi="ar-SA"/>
        </w:rPr>
        <w:t>.</w:t>
      </w:r>
    </w:p>
    <w:p>
      <w:pPr>
        <w:pStyle w:val="Heading3"/>
        <w:numPr>
          <w:ilvl w:val="2"/>
          <w:numId w:val="1"/>
        </w:numPr>
        <w:rPr/>
      </w:pPr>
      <w:bookmarkStart w:id="589" w:name="__RefHeading___Toc1165809_1067777946"/>
      <w:bookmarkStart w:id="590" w:name="_Toc212"/>
      <w:bookmarkEnd w:id="589"/>
      <w:r>
        <w:rPr>
          <w:rtl w:val="true"/>
        </w:rPr>
        <w:t>أدلّة القول بأنّ القصر عزيمة</w:t>
      </w:r>
      <w:bookmarkEnd w:id="590"/>
    </w:p>
    <w:p>
      <w:pPr>
        <w:pStyle w:val="BookText"/>
        <w:rPr/>
      </w:pPr>
      <w:r>
        <w:rPr>
          <w:rFonts w:ascii="Amiri" w:hAnsi="Amiri" w:eastAsia="Amiri" w:cs="Amiri"/>
          <w:color w:val="111111"/>
          <w:sz w:val="28"/>
          <w:sz w:val="28"/>
          <w:szCs w:val="28"/>
          <w:rtl w:val="true"/>
          <w:lang w:bidi="ar-SA"/>
        </w:rPr>
        <w:t xml:space="preserve">دلّت السنّة المتضافرة المبثوثة في الصحاح والسنن والمسانيد على أنّ القصر عزيمة ، وكان النبي يقصر في عامّة أسفاره ، فنذكر من الكثير 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مسلم عن عائشة زوجة النبي صلى الله عليه وآله وسلم انّها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فرضت الصلاة ركعتين ركعتين في الحضر والسفر فأقرّت صلاة السفر وزيد في صلاة الحضر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دليل ناهض على الوجوب ، لأنّ صلاة السفر إذا كانت مفروضة ركعتين لم تجز الزيادة عليها كما أنّها لا تجوز الزيادة على الأربع في الحضر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بعض من يحاول إخضاع الرواية على فقه إمام مذهبه ناقش فيها بوجوه واهية ، نقلها الشوكاني في كتابه ، وإليك نصها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الحديث من قول عائشة غير مرفوع ، وانّها لم تشهد زمان فرض الصلاة وانّه لو كان ثابتا لنقل تواترا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عدالة الراوي هو انّه سمع الحديث من النبي صلى الله عليه وآله وسلم ، أو من عدل آخر سمعه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اقتصرنا في الأخذ بروايات عائشة على زمن ملازمتها للنبي صلى الله عليه وآله وسلم لسقط قسط كبير من رواياتها عن الاعتبار ، فإنّها كثيرا ما تروي حوادث لم تشاهدها ، ونذكر في المقام كنموذج رواية كيفية نزول الوحي على النبي ، نقلها البخاري في صحيحه على وجه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وآله وسلم يجاور في حراء من كلّ سنة شهرا حتّى إذا كان الشهر الذي بعثه الله سبحانه فيه خرج رسول الله صلى الله عليه وآله وسلم إلى حراء حتّى إذا كانت الليلة التي أكرمه الله فيها برسالته ، جاءه جبرئيل بأمر الله ، ولنترك وصف ذلك إلى ما ورد عن رسول الله صلى الله عليه وآله وسلم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فجاءني جبرئيل وأنا نائم بنمط من ديباج فيه كتاب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اقرأ؟</w:t>
      </w:r>
    </w:p>
    <w:p>
      <w:pPr>
        <w:pStyle w:val="BookText"/>
        <w:rPr/>
      </w:pPr>
      <w:r>
        <w:rPr>
          <w:rFonts w:ascii="Amiri" w:hAnsi="Amiri" w:eastAsia="Amiri" w:cs="Amiri"/>
          <w:color w:val="111111"/>
          <w:sz w:val="28"/>
          <w:sz w:val="28"/>
          <w:szCs w:val="28"/>
          <w:rtl w:val="true"/>
          <w:lang w:bidi="ar-SA"/>
        </w:rPr>
        <w:t xml:space="preserve">فغتني به حتى ظننت انّه الموت ثمّ أرسلني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أقرأ؟</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فغتني به حتى ظننت انّه الموت ثمّ أرسلني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أقرأ</w:t>
      </w:r>
      <w:r>
        <w:rPr>
          <w:rFonts w:eastAsia="Amiri" w:cs="Amiri" w:ascii="Amiri" w:hAnsi="Amiri"/>
          <w:color w:val="111111"/>
          <w:sz w:val="28"/>
          <w:szCs w:val="28"/>
          <w:rtl w:val="true"/>
          <w:lang w:bidi="ar-SA"/>
        </w:rPr>
        <w:t xml:space="preserve">. </w:t>
      </w:r>
      <w:r>
        <w:rPr>
          <w:rStyle w:val="FootnoteAnchor"/>
          <w:rtl w:val="true"/>
        </w:rPr>
        <w:footnoteReference w:id="656"/>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ترى أنّها كيف ترسل كيفية نزول الوحي على الرسول مع أنّها لم </w:t>
      </w:r>
    </w:p>
    <w:p>
      <w:pPr>
        <w:pStyle w:val="BookText"/>
        <w:rPr/>
      </w:pPr>
      <w:r>
        <w:rPr>
          <w:rFonts w:ascii="Amiri" w:hAnsi="Amiri" w:eastAsia="Amiri" w:cs="Amiri"/>
          <w:color w:val="111111"/>
          <w:sz w:val="28"/>
          <w:sz w:val="28"/>
          <w:szCs w:val="28"/>
          <w:rtl w:val="true"/>
          <w:lang w:bidi="ar-SA"/>
        </w:rPr>
        <w:t>تولد يوم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فرضت ، أي قدرت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فرضت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أراد الاقتصار عليها ، فزيد في صلاة الحضر ركعتان على سبيل التحتم وأقرت صلاة السفر على جواز الاقتصار</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يلاحظ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الوجهين صرف للدليل عن وجهه ، وهو تفسير بالرأي ، وهو أمر مرفوض من غير فرق بين تفسير كلام الله سبحانه أو كلام نبيه أو كلام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مسلم عن عائشة أنّ الصلاة أوّل ما فرضت ركعتين فأقرّت صلاة السفر وأتمّت صلاة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عائشة تتمّ في السفر؟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تأوّلت كما تأوّل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وسيوافيك الكلام في إتمام عائشة في السفر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مسلم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الصلاة على لسان نبيّكم صلى الله عليه وآله وسلم في الحضر أربعا وفي السفر ركعتين وفي الخوف ركعة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مسلم عن موسى بن سلمة الهذلي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 كيف أصلّي إذا كنت بمكة إذا لم أصلّ مع الإمام؟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 ، سنّة أبي القاسم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مسلم عن عيسى بن حفص بن عاصم بن عمر بن الخطاب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ابن عمر في طريق مكة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لنا الظهر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صحبت رسول الله في السفر فلم يزد على ركعتين حتّى قبضه الله ، وصحبت أبا بكر فلم يزد على ركعتين حتّى قبضه الله ، وصحبت عمر فلم يزد على ركعتين حتّى قبضه الله ، ثمّ صحبت عثمان فلم يزد على ركعتين حتّى قبضه الله ، فقد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أُسْوَةٌ حَسَنَةٌ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مسلم عن أنس انّ رسول الله صلى الله عليه وآله وسلم صلّى الظهر بالمدينة أربعا ، وصلّى العصر بذي الحليفة ركعتين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مسلم عن يحيى بن يزيد الهنائي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أنس بن مالك عن قصر الصلاة؟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وسلم إذا خرج مسيرة ثلاثة أميال أو ثلاثة فراسخ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الشاك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الحديث انّ مبدأ القصر بعد الخروج مسيرة ثلاثة أميال ، والمشهور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على سبيل الاشتراط وإنّما وقع بحسب الحاجة ، لأنّ الظاهر من أسفاره انّه ما كان يسافر سفرا طويلا فيخرج عند حضور فريضة مقصورة ويترك قصرها بقرب المدينة ويتمّها ، وإنّما كان يسافر بعيدا من وقت المقصورة فتدركه على ثلاثة أميال أو أكثر أو نحو ذلك فيصلّيها حينئذ ، والأحاديث المطلقة مع ظاهر القرآن متعاضدات على جواز القصر من حين يخرج من البلد فإنّه حينئذ يسمّى مسافرا</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مسلم عن جبير بن نفير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شرحبيل بن السمط إلى قرية على رأس سبعة عشر أو ثمانية عشر ميلا ، فصلّى ركعتين ، فقلت له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عمر صلّى بذي الحليفة ركعتين ، فقلت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أفعل كما رأيت رسول الله صلى الله عليه وآله وسلم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دالّ على أنّ رسول الله صلى الله عليه وآله وسلم يقصر في السفر دائما ، وانّما الاختلاف في أنّ مبدأ القصر هو الخروج عن البلد كما جرى عليه عمر أو بعد الخروج مسيرة ثمانية عشر 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قصر شرحبيل على رأس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أو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حجة فيه ، لأنّه تابعي فعل شيئا يخالف الجمهور ، أو يتأوّل على أنّها كانت في أثناء سفره لا انّها غايته ، وهذا التأويل ظاهر</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وعلى كلّ تقدير فما هو موضع الخلاف خارج عن إطار بحثنا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مسلم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 الله صلى الله عليه وآله وسلم من المدينة إلى مكة فصلّى ركعتين ركعتين حتّى رجع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أقام بمكة؟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قصر النبي في مكة مع إقامته فيها عشرة أيّام وإن كان يوافق بعض المذاهب لكنّه يخالف مذهب الإمام مالك ، كما يخالف مذهب الإمامية ، فإنّ نية العشرة قاطعة للسفر موجبة للإتمام ، ولعلّ الإقامة لم تكن عشرة كاملة بالضبط بل كانت عشرة عرفية وربما تنقص عن العشرة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الأحاديث التسعة نقلها مسلم في صحيحه ، وإليك بعض ما نقله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أبو داود عن عمران بن الحصين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غزوت مع رسول الله</w:t>
      </w:r>
    </w:p>
    <w:p>
      <w:pPr>
        <w:pStyle w:val="BookText"/>
        <w:rPr/>
      </w:pPr>
      <w:r>
        <w:rPr>
          <w:rFonts w:ascii="Amiri" w:hAnsi="Amiri" w:eastAsia="Amiri" w:cs="Amiri"/>
          <w:color w:val="111111"/>
          <w:sz w:val="28"/>
          <w:sz w:val="28"/>
          <w:szCs w:val="28"/>
          <w:rtl w:val="true"/>
          <w:lang w:bidi="ar-SA"/>
        </w:rPr>
        <w:t xml:space="preserve">وشهدت معه الفتح فأقام بمكة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لا يصلي إلاّ ركعتين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البلد صلّوا أربعا فانّا قوم سفر</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ويؤخذ من الحديث صدره ، وأمّا ما نسب إلى النبي أنّه أقام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لا يصلّي إلاّ ركعتين ، فهو معارض مع ما نقله أنس من أنّه أقام بمكة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انّ تأكيد النبي على القصر في مكة المكرمة طول إقامته فيها ـ مع أنّه كان بصدد تعليم أحكام الصلاة لأهل مكة الذين كانوا يدخلون في دين الله أفواجا ـ دليل على كون القصر عزيمة ، وإلاّ لأتمّ الصلاة ، لكونه أوفق في مقام التعليم ، لأجل وحدة الإمام مع صلاة المأموم في الكم والكيف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ابن ماجة في سننه عن عمر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السفر وصلاة الجمعة ركعتان ، والفطر والأضحى ركعتان تمام غير قصر على لسان محمد 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الطبراني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افترض رسول الله صلى الله عليه وآله وسلم ركعتين في السفر كما افترض في الحضر أربعا</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وهناك آثار مبثوثة في الكتب الفقهية ، وإليك نصّها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عن صفوان بن محرز انّه سأل ابن عمر عن الصلاة في السفر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فمن خالف السنّة كفر</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أتانا ونحن ضلال فعلّمنا ، فكان فيما علّمنا أنّ الله عزّ وجل أمرنا أن نصلّي ركعتين في السفر</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السفر ركعتان حتم لا يصلح غيرها</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عمر بن الخطاب عن النبي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المسافر ركعتان حتّى يئوب إلى أهله أو يموت</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إبراهيم انّ عمر بن الخطاب صلّى الظهر بمكة ركعتين فلما انصرف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مكة إنّا قوم سفر ، فمن كان منكم من أهل البلد فليكمل ، فأكمل أهل البلد</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الكنود عبد الله الأزدي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عمر عن صلاة السفر؟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نزلتا من السماء ، فإن شئتم فردّوهما</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والحديث يكشف عن وجود نزاع قائم على قدم وساق بين التابعين والصحابة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الصائب بن يزيد الكندي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فرضت الصلاة ركعتين ركعتين ثمّ زيد في صلاة الحضر وأقرّت صلاة السفر</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في السفر أربعا أعاد الصلاة</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سلمان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فرضت الصلاة ركعتين ركعتين ، فصلاّها رسول الله صلى الله عليه وآله وسلم بمكّة حتّى قدم المدينة فصلاّها بالمدينة ما شاء الله ، وزيد في صلاة الحضر </w:t>
      </w:r>
    </w:p>
    <w:p>
      <w:pPr>
        <w:pStyle w:val="BookText"/>
        <w:rPr/>
      </w:pPr>
      <w:r>
        <w:rPr>
          <w:rFonts w:ascii="Amiri" w:hAnsi="Amiri" w:eastAsia="Amiri" w:cs="Amiri"/>
          <w:color w:val="111111"/>
          <w:sz w:val="28"/>
          <w:sz w:val="28"/>
          <w:szCs w:val="28"/>
          <w:rtl w:val="true"/>
          <w:lang w:bidi="ar-SA"/>
        </w:rPr>
        <w:t>ركعتين وتركت الصلاة في السفر على حالها</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جعفر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بنا أنس بن مالك إلى الشام إلى عبد الملك ونحن أربعون رجلا من الأنصار ليفرض لنا ، فلمّا رجع وكنّا بفج الناقة صلّى بنا الظهر ركعتين ، ثم دخل فسطاطه وقام القوم يضيفون إلى ركعتيهم ركعتين أخريين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الوجوه فو الله ما أصابت السنّة ولا قبلت الرخصة ، فاشهد لسمعت رسول الله صلى الله عليه وآله وسلم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أقواما يتعمّقون في الدين ، يمرقون كما يمرق السهم من الرميّة </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ثمامة بن شراحيل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ابن عمر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صلاة المسافر؟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 ركعتين إلاّ صلاة المغرب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عزّ وجلّ فرض لكم على لسان نبيكم صلى الله عليه وآله وسلم الصلاة في الحضر أربعا</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حرب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عمر ، كيف صلاة السفر يا أبا عبد الرحمن؟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أنتم تتبعون سنّة نبيّكم صلى الله عليه وآله وسلم أخبرتكم ، وإمّا لا تتبعون سنّة نبيّكم فلا أخبركم؟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فخير ما اتّبع ، سنة نبيّنا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إذا خرج من المدينة لم يزد على ركعتين حتّى يرجع إليها</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سعيد بن المسيب ، عن النبي صلى الله عليه وآله وسلم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خياركم من قصّر في السفر وأفطر </w:t>
      </w:r>
      <w:r>
        <w:rPr>
          <w:rFonts w:eastAsia="Amiri" w:cs="Amiri" w:ascii="Amiri" w:hAnsi="Amiri"/>
          <w:color w:val="111111"/>
          <w:sz w:val="28"/>
          <w:szCs w:val="28"/>
          <w:rtl w:val="true"/>
          <w:lang w:bidi="ar-SA"/>
        </w:rPr>
        <w:t xml:space="preserve">». </w:t>
      </w:r>
      <w:r>
        <w:rPr>
          <w:rStyle w:val="FootnoteAnchor"/>
          <w:rtl w:val="true"/>
        </w:rPr>
        <w:footnoteReference w:id="676"/>
      </w:r>
      <w:bookmarkStart w:id="591" w:name="pg10144_71530"/>
    </w:p>
    <w:p>
      <w:pPr>
        <w:pStyle w:val="BookText"/>
        <w:rPr/>
      </w:pPr>
      <w:bookmarkEnd w:id="591"/>
      <w:r>
        <w:rPr>
          <w:rFonts w:ascii="Amiri" w:hAnsi="Amiri" w:eastAsia="Amiri" w:cs="Amiri"/>
          <w:color w:val="111111"/>
          <w:sz w:val="28"/>
          <w:sz w:val="28"/>
          <w:szCs w:val="28"/>
          <w:rtl w:val="true"/>
          <w:lang w:bidi="ar-SA"/>
        </w:rPr>
        <w:t xml:space="preserve">هذا ما وقفنا عليه من النصوص عن النبي الأعظم صلى الله عليه وآله وسلم وأصحابه والتابعين لهم بإحسان ، وقد أخذ بها لفيف من الصحابة وغيرهم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 وابنه ، وابن عباس ، وجابر ، وجبير بين مطعم ، والحسن ، والقاضي إسماعيل ، وحماد بن أبي سليمان ، وعمر بن عبد العزيز ، وقتادة ، والكوفيون</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أضف إلى ذلك اتّفاق أئمّة أهل البيت عليهم السلام ، وفقهاء الشيعة من عصر الإمام أمير المؤمنين عليه السلام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أترى مع هذه الأحاديث مجالا للقول بأنّ القصر في السفر رخصة لا 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الإتمام في السفر سائغا لكان رسول الله صلى الله عليه وآله وسلم يعرب عنه بقول أو بفعل ولو بإتيانه في العمر مرّة لبيان جوازه كما يفعل في غير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مسلم في صحيحه من حديث بريدة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وآله وسلم يتوضّأ عند كل صلاة فلمّا كان يوم الفتح صلّى صلوات بوضوء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صنعت شيئا لم تكن تصنعه؟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عمدا صنعته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لبيان الجواز</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ولو كان هناك ترخيص لما خفي على أكابر الصحابة حتّى نقدوا من أتمّها نقدا 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تعلم قيمة تبرير عمل المتمّين بأنّ الإتمام والقصر مسألة اجتهادية اختلف فيها العلماء</w:t>
      </w:r>
      <w:r>
        <w:rPr>
          <w:rFonts w:eastAsia="Amiri" w:cs="Amiri" w:ascii="Amiri" w:hAnsi="Amiri"/>
          <w:color w:val="111111"/>
          <w:sz w:val="28"/>
          <w:szCs w:val="28"/>
          <w:rtl w:val="true"/>
          <w:lang w:bidi="ar-SA"/>
        </w:rPr>
        <w:t xml:space="preserve">. </w:t>
      </w:r>
      <w:r>
        <w:rPr>
          <w:rStyle w:val="FootnoteAnchor"/>
          <w:rtl w:val="true"/>
        </w:rPr>
        <w:footnoteReference w:id="679"/>
      </w:r>
    </w:p>
    <w:p>
      <w:pPr>
        <w:pStyle w:val="Heading3"/>
        <w:numPr>
          <w:ilvl w:val="2"/>
          <w:numId w:val="1"/>
        </w:numPr>
        <w:rPr/>
      </w:pPr>
      <w:bookmarkStart w:id="592" w:name="__RefHeading___Toc1165811_1067777946"/>
      <w:bookmarkStart w:id="593" w:name="_Toc213"/>
      <w:bookmarkEnd w:id="592"/>
      <w:r>
        <w:rPr>
          <w:rtl w:val="true"/>
        </w:rPr>
        <w:t>قصر الصلاة بمنى</w:t>
      </w:r>
      <w:bookmarkEnd w:id="593"/>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تضافرت الروايات على أنّ الرسول صلى الله عليه وآله وسلم والخلفاء بعده وحتّى عثمان في سنين </w:t>
      </w:r>
    </w:p>
    <w:p>
      <w:pPr>
        <w:pStyle w:val="BookText"/>
        <w:rPr/>
      </w:pPr>
      <w:r>
        <w:rPr>
          <w:rFonts w:ascii="Amiri" w:hAnsi="Amiri" w:eastAsia="Amiri" w:cs="Amiri"/>
          <w:color w:val="111111"/>
          <w:sz w:val="28"/>
          <w:sz w:val="28"/>
          <w:szCs w:val="28"/>
          <w:rtl w:val="true"/>
          <w:lang w:bidi="ar-SA"/>
        </w:rPr>
        <w:t xml:space="preserve">من خلافته كانوا يقصرون في منى دون استثناء ، فلمّا أتمّ عثمان بعد ثمانية سنين قامت ضجة عليه ، ولما سمع عبد الله بن مسعود انّ الخليفة أتمّ الصلاة في منى استرجع ، أي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تقال تلك الكلمة إلاّ إذا ألمّت مصيبة ، وهذا يدلّ على أنّ عبد الله بن مسعود تلقّى فعل عثمان مصيبة في الدين ورزءا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والناظر في هذه الروايات التي سننقلها تباعا يذعن بأنّ متلقّى الصحابة هو كون القصر عزيمة والتمام غير مشروع ، وإلاّ فلو كان القصر رخصة أو سنّة لما أثارت حفيظة الصحابة والتابعين ضدّ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مسلم في صحيحه عن سالم بن عبد الله ، عن أبيه ، عن رسول الله صلى الله عليه وآله وسلم انّه صلّى صلاة المسافر بمنى </w:t>
      </w:r>
      <w:r>
        <w:rPr>
          <w:rStyle w:val="FootnoteAnchor"/>
          <w:rtl w:val="true"/>
        </w:rPr>
        <w:footnoteReference w:id="680"/>
      </w:r>
      <w:r>
        <w:rPr>
          <w:rFonts w:ascii="Amiri" w:hAnsi="Amiri" w:eastAsia="Amiri" w:cs="Amiri"/>
          <w:color w:val="111111"/>
          <w:sz w:val="28"/>
          <w:sz w:val="28"/>
          <w:szCs w:val="28"/>
          <w:rtl w:val="true"/>
          <w:lang w:bidi="ar-SA"/>
        </w:rPr>
        <w:t>وغيره ركعتين وأبو بكر وعمر وعثمان ركعتين صدرا من خلافته ثمّ أتمّها أربعا</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مسلم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صلى الله عليه وآله وسلم بمنى ركعتين ، وأبو بكر بعده ، وعمر بعد أبي بكر ، وعثمان صدرا من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عثمان صلّى بعد أربعا ، فكان ابن عمر إذا صلّى مع الإمام صلّى أربعا وإذا صلاّها وحده صلّى ركعتين</w:t>
      </w:r>
      <w:r>
        <w:rPr>
          <w:rFonts w:eastAsia="Amiri" w:cs="Amiri" w:ascii="Amiri" w:hAnsi="Amiri"/>
          <w:color w:val="111111"/>
          <w:sz w:val="28"/>
          <w:szCs w:val="28"/>
          <w:rtl w:val="true"/>
          <w:lang w:bidi="ar-SA"/>
        </w:rPr>
        <w:t xml:space="preserve">. </w:t>
      </w:r>
      <w:r>
        <w:rPr>
          <w:rStyle w:val="FootnoteAnchor"/>
          <w:rtl w:val="true"/>
        </w:rPr>
        <w:footnoteReference w:id="682"/>
      </w:r>
      <w:r>
        <w:rPr>
          <w:rFonts w:ascii="Amiri" w:hAnsi="Amiri" w:eastAsia="Amiri" w:cs="Amiri"/>
          <w:color w:val="111111"/>
          <w:sz w:val="28"/>
          <w:sz w:val="28"/>
          <w:szCs w:val="28"/>
          <w:rtl w:val="true"/>
          <w:lang w:bidi="ar-SA"/>
        </w:rPr>
        <w:t>وسيأتي انّه كان يعيدها في بيته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مسلم عن حفص بن عاصم ، عن ابن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النبي صلى الله عليه وآله وسلم بمنى صلاة المسافر وأبو بكر وعمر وعثمان ثمانية سنين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سنين ، قال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عمر يصلّي بمنى ركعتين ثمّ يأتي فراشه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 لو </w:t>
      </w:r>
    </w:p>
    <w:p>
      <w:pPr>
        <w:pStyle w:val="BookText"/>
        <w:rPr/>
      </w:pPr>
      <w:r>
        <w:rPr>
          <w:rFonts w:ascii="Amiri" w:hAnsi="Amiri" w:eastAsia="Amiri" w:cs="Amiri"/>
          <w:color w:val="111111"/>
          <w:sz w:val="28"/>
          <w:sz w:val="28"/>
          <w:szCs w:val="28"/>
          <w:rtl w:val="true"/>
          <w:lang w:bidi="ar-SA"/>
        </w:rPr>
        <w:t xml:space="preserve">صلّيت بعدها ركعتين؟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فعلت لأتمت الصلاة</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اخرج مسلم عن حارث بن وهب الخزاعي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رسول الله بمنى والناس أكثر ما كانوا ، فصلّى ركعتين في حجّة منى</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مسلم عن عبد الرحمن بن يزيد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عثمان بمنى أربع ركعات ، فقيل ذلك لعبد الله بن مسعود ، فاسترجع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رسول الله صلى الله عليه وآله وسلم بمنى ركعتين ، وصلّيت مع أبي بكر الصديق بمنى ركعتين ، وصلّيت مع عمر بن الخطاب بمنى ركعتين ، فليت حظي من أربع ركعات ، ركعتان متقبّلتان</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يقول النووي 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فليت حظي من أربع ركعات ، ركعتان متقبّلتان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معناه ليت عثمان صلّى ركعتين بدل الأربع كما كان النبي وأبو بكر وعمر وعثمان في صدر خلافته يفعلون</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الرواية صريحة في أنّ متلقّى عبد الله بن مسعود من فعل النبي هو كون القصر عزيمة ، ولذلك استرجع وأردفه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فليت حظي من أربع ركعات ، ركعتان متقبّلتان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النووي وغيره تأويل الأثر وتخفيف الوطأة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مقصوده كراهة مخالفة ما كان عليه رسول الله صلى الله عليه وآله وسلم وصاحباه ، ومع هذا فابن مسعود ـ رضي الله عنه ـ موافق على جواز الإتمام ، ولهذا كان يصلّي وراء عثمان متمّا ، ولو كان القصر عنده واجبا لما استجاز تركه وراء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 انّ ما ذكره تعسف ظاهر ، إذ لا معنى للاسترجاع ولا للتمنّي لو كان عمل الخليفة عملا مشروعا سوّغه الشرع وأبلغه النبي صلى الله عليه وآله وسلم غير انّه اختار النبي أحد فردي التخيير الأفضل مع عدم نفي العدل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عزي إلى عبد الله بن مسعود من أنّه أتمّ الصلاة في السفر عند ما صلّى مع عثمان فإنّما كان مراعاة سياسة مقطعية اتّباعا لما رآه عثمان خلافا لرأي نفسه في لزوم القصر ، قال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معاوية بن قرّة عن أشياخه ، انّ عبد الله صلّى أربعا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عبت على عثمان ثمّ صليت أربعا؟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شر</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ومنه يظهر حال عبد الله بن عمر ، قال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من طريق عبد الرزاق ، عن عبد الله بن عمر ، عن نافع ، عن ابن عمر انّه كان إذا صلّى مع الإمام بمنى أربع ركعات ، انصرف إلى منزله فصلّى فيه ركعتين أعادها</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وهؤلاء كانوا يرون رعاية شئون السياسة الزمنية خوفا من الشر ، وهي عندهم أولى من رعاية حفظ الأحكام كما نزلت من عند الله والوقوف أمام قبولها وتغييرها ، إلاّ أنّ بعض الصحابة يرى خلاف ذلك ، فهذا علي عليه السلام أبى أن يصلّي أربعا في منى رغم إصرار عثمان وبني أميّة ، حيث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بالناس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شئتم صلّيت لكم صلاة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ركعتين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صلاة أمير المؤمنين ـ يعنون عثمان ـ أربعا ، فأبى عثمان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9"/>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وإنّ بني أميّة قد اتّخذوا من أحدوثة عثمان سنّة مستمرة مقابل سنّة النبي صلى الله عليه وآله وسلم إلى الأبد وإن لم يكن لهم عذر شرعي للإتمام</w:t>
      </w:r>
      <w:r>
        <w:rPr>
          <w:rFonts w:eastAsia="Amiri" w:cs="Amiri" w:ascii="Amiri" w:hAnsi="Amiri"/>
          <w:color w:val="111111"/>
          <w:sz w:val="28"/>
          <w:szCs w:val="28"/>
          <w:rtl w:val="true"/>
          <w:lang w:bidi="ar-SA"/>
        </w:rPr>
        <w:t xml:space="preserve">. </w:t>
      </w:r>
      <w:bookmarkStart w:id="594" w:name="pg10144_71534"/>
    </w:p>
    <w:p>
      <w:pPr>
        <w:pStyle w:val="BookText"/>
        <w:rPr/>
      </w:pPr>
      <w:bookmarkEnd w:id="594"/>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الإمام أحمد بن حنبل بسنده عن عبد الله بن الزبير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علينا معاوية حاجّا قدمنا معه مكة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بنا الظهر ركعتين ، ثمّ انصرف إلى دار الندوة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نهض إليه مروان بن الحكم وعمر بن عثمان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عاب أحد ابن عمك بأقبح ما عبتَه به ،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 أنّه أتمّ الصلاة بمكة؟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ويحكما وهل كان غير ما صنعت؟ قد صلّيتهما مع رسول الله صلى الله عليه وآله وسلم ومع أبي بكر وعمر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ابن عمك قد كان أتمّها وإن خلافك إيّاه له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معاوية إلى العصر فصلاّها بنا أربعا</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إلى هنا تمّ ما يدلّ من الأحاديث والآثار على أنّ القصر في السفر عزيمة وانّ الإتمام أحدوثة حدثت بعد رحيل الرسول صلى الله عليه وآله وسلم اجتهادا أو اتباعا للمصالح المقطعية ، ولا محيص لفقيه ، أمام مداومة النبي صلى الله عليه وآله وسلم أوّلا ، وهذه الروايات والآثار ثانيا من الخضوع لها والإخبات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بقي علينا أن نستعرض أدلّة القول بأنّ القصر رخصة أو سنّة مؤكّدة لا عزيمة وهي أدلّة واهية للغاية لا يصحّ للفقيه أن يستند إليها إذا كان ملما باستنباط الحكم عن أدلّته</w:t>
      </w:r>
      <w:r>
        <w:rPr>
          <w:rFonts w:eastAsia="Amiri" w:cs="Amiri" w:ascii="Amiri" w:hAnsi="Amiri"/>
          <w:color w:val="111111"/>
          <w:sz w:val="28"/>
          <w:szCs w:val="28"/>
          <w:rtl w:val="true"/>
          <w:lang w:bidi="ar-SA"/>
        </w:rPr>
        <w:t>.</w:t>
      </w:r>
    </w:p>
    <w:p>
      <w:pPr>
        <w:pStyle w:val="Heading3"/>
        <w:numPr>
          <w:ilvl w:val="2"/>
          <w:numId w:val="1"/>
        </w:numPr>
        <w:rPr/>
      </w:pPr>
      <w:bookmarkStart w:id="595" w:name="__RefHeading___Toc1165813_1067777946"/>
      <w:bookmarkStart w:id="596" w:name="_Toc214"/>
      <w:bookmarkEnd w:id="595"/>
      <w:r>
        <w:rPr>
          <w:rtl w:val="true"/>
        </w:rPr>
        <w:t>أدلّة القائلين بأنّ القصر رخصة</w:t>
      </w:r>
      <w:bookmarkEnd w:id="596"/>
    </w:p>
    <w:p>
      <w:pPr>
        <w:pStyle w:val="BookText"/>
        <w:rPr/>
      </w:pPr>
      <w:r>
        <w:rPr>
          <w:rFonts w:ascii="Amiri" w:hAnsi="Amiri" w:eastAsia="Amiri" w:cs="Amiri"/>
          <w:color w:val="111111"/>
          <w:sz w:val="28"/>
          <w:sz w:val="28"/>
          <w:szCs w:val="28"/>
          <w:rtl w:val="true"/>
          <w:lang w:bidi="ar-SA"/>
        </w:rPr>
        <w:t>استدلّ القائلون بعد الكتاب العزيز بأمور نذكرها تباعا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الكتاب ، فقد مضى الكلام فيه حيث قلنا بأنّ الآية لا تدلّ على أحد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الرخصة أو العزيمة ، بل هي بصدد بيان رفع توهّم الحظر حيث كان قصر </w:t>
      </w:r>
    </w:p>
    <w:p>
      <w:pPr>
        <w:pStyle w:val="BookText"/>
        <w:rPr/>
      </w:pPr>
      <w:r>
        <w:rPr>
          <w:rFonts w:ascii="Amiri" w:hAnsi="Amiri" w:eastAsia="Amiri" w:cs="Amiri"/>
          <w:color w:val="111111"/>
          <w:sz w:val="28"/>
          <w:sz w:val="28"/>
          <w:szCs w:val="28"/>
          <w:rtl w:val="true"/>
          <w:lang w:bidi="ar-SA"/>
        </w:rPr>
        <w:t xml:space="preserve">الصلاة مظنّة توهم انّه إيجاد نقص في الصلاة فبيّن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جناح عليكم أن تقصروا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هذا من الدلالة على أنّ القصر 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المهم الروايات والآثار المروية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مسلم عن يعلى بن أميّة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عَلَيْكُمْ جُناحٌ أَنْ تَقْصُرُوا مِنَ الصَّلاةِ إِنْ خِفْتُمْ أَنْ يَفْتِنَكُمُ 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ممّا عجبت منه ، فسألت رسول الله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منّ الله بها عليكم فاقبلوا صدقته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وجه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المتصدّق عليه لا يجب عليه قبول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الشوكاني عن الاستدلال المذكور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بقبولها يدلّ على أنّه لا محيص عنها وهو المطلوب</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وكان للشوكاني أن يرد على الاستدلال بوجه آخر أيضا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قياس صدقة الله وهديته ، على صدقات الناس وهداياهم قياس مع الفارق ، وذلك لأنّ المهدى إليه أو المتصدّق عليه لا يجب عليه قبول الهدية أو الصدقة إذا كان المتصدّق إنسانا مثله ، وأمّا إذا كان المتصدّق هو الله سبحانه فيجب قبولها ، وذلك لأنّ صدقة الله أمر امتناني ، وامتناناته سبحانه ليست أمورا اعتباطية ، بل هي ناشئة من الحكمة البالغة الإلهية ، فحيث يعلم الله بأنّ المصالح الذاتية للبشر تقتضي ذلك الامتنان يمنّ بها على العباد ، فيصير القبول أمرا مفروضا عليهم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يظهر من أحاديث أئمّة أهل البيت عليهم السلام انّه يحرم رد صدقة الله ، حيث 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وجلّ تصدّق على مرضى أمّتي </w:t>
      </w:r>
    </w:p>
    <w:p>
      <w:pPr>
        <w:pStyle w:val="BookText"/>
        <w:rPr/>
      </w:pPr>
      <w:r>
        <w:rPr>
          <w:rFonts w:ascii="Amiri" w:hAnsi="Amiri" w:eastAsia="Amiri" w:cs="Amiri"/>
          <w:color w:val="111111"/>
          <w:sz w:val="28"/>
          <w:sz w:val="28"/>
          <w:szCs w:val="28"/>
          <w:rtl w:val="true"/>
          <w:lang w:bidi="ar-SA"/>
        </w:rPr>
        <w:t>ومسافريها بالتقصير والإفطار ، أيسرّ أحدكم إذا تصدق بصدقة أن ترد عليه؟</w:t>
      </w:r>
      <w:r>
        <w:rPr>
          <w:rFonts w:eastAsia="Amiri" w:cs="Amiri" w:ascii="Amiri" w:hAnsi="Amiri"/>
          <w:color w:val="111111"/>
          <w:sz w:val="28"/>
          <w:szCs w:val="28"/>
          <w:rtl w:val="true"/>
          <w:lang w:bidi="ar-SA"/>
        </w:rPr>
        <w:t xml:space="preserve">! ».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وكأنّ في رد الصدقة نوع إهانة للمتصدّق ، وفي المقام ازدراء بالتشريع الإلهي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الدارقطني والبيهقي واللفظ للأوّل عن عبد الرحمن بن أسود ،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النبي صلى الله عليه وآله وسلم في عمرة في رمضان فأفطر وصمت ، وقصّر وأتممت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بأبي وأمي ، أفطرت وصمت ، وقصّرت وأتممت؟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عائشة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أيضا النسائي والبيهقي بزيادة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عائشة اعتمرت مع رسول الله من المدينة إلى مكة حتّى إذا قدمت مكة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رسول الله أتممت وقصّرت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والاحتجاج بالرواية رهن صحّة السند أوّلا وإمكان الأخذ بالمضمون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السند ففيه العلاء بن زهير عن عبد الرحمن بن أسود بن يزيد النخعي ،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يروي عن الثقات ما لا يشبه حديث الإثبات ، فبطل الاحتجاج به فيما لم يوافق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اسناد حسن ، وعبد الرحمن قد أدرك عائشة ودخل عليها وهو مراهق وهو مع أبيه وقد سمع منها</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عليها وهو صغير ولم يسمع منها ، ومع هذا الاختلاف كيف يمكن الأخذ بقول راو لم يثبت سماعه من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السماع فقد سمع وهو صغير أو مراهق</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ذلك احتمل الدارقطني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مرسل كما نقله عنه </w:t>
      </w:r>
    </w:p>
    <w:p>
      <w:pPr>
        <w:pStyle w:val="BookText"/>
        <w:rPr/>
      </w:pPr>
      <w:r>
        <w:rPr>
          <w:rFonts w:ascii="Amiri" w:hAnsi="Amiri" w:eastAsia="Amiri" w:cs="Amiri"/>
          <w:color w:val="111111"/>
          <w:sz w:val="28"/>
          <w:sz w:val="28"/>
          <w:szCs w:val="28"/>
          <w:rtl w:val="true"/>
          <w:lang w:bidi="ar-SA"/>
        </w:rPr>
        <w:t xml:space="preserve">الشوكاني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نيل الأوطار </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والذي يزيد في الطين بلّة ، انّ الدارقطني تارة نقله عن عبد الرحمن عن أبيه عن عائشة ، وأخرى عن عبد الرحمن عن عائشة</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ونقل البيهقي عن أبي بكر النيسابوري انّه من قال عن أبيه في هذا الحديث فقد أخطأ</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هذا كلّه حول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المضمون فيلاحظ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جاء في حديث عائشة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رسول الله صلى الله عليه وآله وسلم في عمرة رمضان إلخ ، وهذا ما يخالف التأريخ القطعي في سيرة الرسول صلى الله عليه وآله وسلم ، فقد جاء في السيرة الحلبية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خلاف انّ عمرة النبي صلى الله عليه وآله وسلم لم تزد على أربع ، أي كلّهن في ذي القعدة مخالفا للمشركين ، فإنّهم كانوا يكرهون العمرة في أشهر الحج ويقولون هي من أفجر 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تلك الأربعة عمرة الحديبية التي كانت في ذي القعدة التي صدّه فيها المشركون عن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عمرته من العام المقبل وهي عمرة القضاء وكانت في ذي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عمرته صلى الله عليه وآله وسلم حين قسم غنائم حنين وكانت من الجعرّانة وكانت في ذي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عمرته صلى الله عليه وآله وسلم مع حجة الوداع فإنّه أحرم لخمس بقين من ذي القعدة ، وقد 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اعتمر رسول الله صلى الله عليه وآله وسلم ثلاثا سوى التي قرنها بحجة الوداع</w:t>
      </w:r>
      <w:r>
        <w:rPr>
          <w:rFonts w:eastAsia="Amiri" w:cs="Amiri" w:ascii="Amiri" w:hAnsi="Amiri"/>
          <w:color w:val="111111"/>
          <w:sz w:val="28"/>
          <w:szCs w:val="28"/>
          <w:rtl w:val="true"/>
          <w:lang w:bidi="ar-SA"/>
        </w:rPr>
        <w:t xml:space="preserve">. </w:t>
      </w:r>
      <w:r>
        <w:rPr>
          <w:rStyle w:val="FootnoteAnchor"/>
          <w:rtl w:val="true"/>
        </w:rPr>
        <w:footnoteReference w:id="697"/>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فكيف يمكن الأخذ بمضمون الحديث مع أنّه لم يكن للنبي مع </w:t>
      </w:r>
    </w:p>
    <w:p>
      <w:pPr>
        <w:pStyle w:val="BookText"/>
        <w:rPr/>
      </w:pPr>
      <w:r>
        <w:rPr>
          <w:rFonts w:ascii="Amiri" w:hAnsi="Amiri" w:eastAsia="Amiri" w:cs="Amiri"/>
          <w:color w:val="111111"/>
          <w:sz w:val="28"/>
          <w:sz w:val="28"/>
          <w:szCs w:val="28"/>
          <w:rtl w:val="true"/>
          <w:lang w:bidi="ar-SA"/>
        </w:rPr>
        <w:t>زوجته أيّة عمرة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البدر المنير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في متن هذا الحديث نكارة ، وهو كون عائشة خرجت معه في عمرة رمضان ، والمشهور انّه صلى الله عليه وآله وسلم لم يعتمر إلاّ أربع عمر ليس منهنّ شيء في رمضان بل كلّهن في ذي القعدة إلاّ التي مع حَجّته ، فكان إحرامها في ذي القعدة وفعلها في ذي الحجة ، وهذا هو المعروف في الصحيحين وغيرهما</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أتمّت عائشة وصامت مع أنّ النبي صلى الله عليه وآله وسلم وأصحابه قصّروا وأفطروا ولم يكن عملها عمل يوم واحد ، بل كانت على ما يروى عبر الأيام من المدينة المنورة إلى مكة المشرفة ، وكانت القوافل تقطع المسافة بين البلدين في حوالي عشرة أيام ، فهل يعقل أن تخالف أمّ المؤمنين النبيّ صلى الله عليه وآله وسلم والصحابة وهي بمرأى ومسمع من النبي صلى الله عليه وآله وسلم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قال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كذب على عائشة ، ولم تكن عائشة تصلّي بخلاف النبي صلى الله عليه وآله وسلم وسائر الصحابة ، وهي تشاهدهم يقصرون ثمّ تتم هي وحدها بلا 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وهي القائلة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فرضت الصلاة ركعتين فزيدت في صلاة الحضر وأقرّت صلاة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يظن بها انّها تزيد على فرض الله وتخالف رسول الله وأصحابه؟</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الدارقطني عن محمد بن منصور بن أبي الجهم ، حدّثنا نصر بن علي ، حدّثنا عبد الله بن داود ، عن المغيرة بن زياد الموصلي ، عن عطاء ،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وآله وسلم كان يتم الصلاة في السفر ويقصر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زياد الموصلي ليس بالقوي</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أبو داود الطيالسي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داود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طلحة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عطاء يحدث عن عائشة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قد فعل رسول الله صلى الله عليه وآله وسلم في السفر صام وأفطر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بناء على وحدة حكم الصلاة والصوم في السفر وإلاّ فالرواية أجنبيّة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ونقله الدارقطني بهذا الاسناد مع اختلاف طفيف في المتن ، ثمّ 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ضعيف</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يلاحظ على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السند لا يحتج به ، لما عرفت من أنّ المغيرة ليس بالقوي وطلحة ضعيف ، وعلى فرض صحّة الاحتجاج فلا يقاومان ما تضافر عن النبي صلى الله عليه وآله وسلم قولا وفعلا على القصر ، كما لا يقاوم ما تضافر عن الصحابة من أنّ النبي صلى الله عليه وآله وسلم كان يقصر طيلة عمره في السفر وقد مرت الروايات الدالّة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الدلالة فلأنّ عائشة تروي فعل النبي وانّه كان يتم ولكن من المحتمل انّ إتمامه كان في صورة عدم اجتماع شرائط القصر في سفره ، وقد قرر في محلّه انّ العمل لا يحتج به حتّى يعلم وجهه ، والعمل في تينك الروايتين مجمل جدّا ، لاحتمال أن يكون الإتمام لأجل الرخصة في السفر أو لعدم وجود شرائط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لابن حزم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كلاما جامعا حول هذه الروايات ،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 من طريق عبد الرحمن بن الأسود ، فانفرد به العلاء بن زهير الأزدي لم يروه غيره ، وهو مجهول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حديث عطاء ، فانفرد به المغيرة بن زياد لم يروه غيره ، وقال فيه أحمد بن </w:t>
      </w:r>
    </w:p>
    <w:p>
      <w:pPr>
        <w:pStyle w:val="BookText"/>
        <w:rPr/>
      </w:pPr>
      <w:r>
        <w:rPr>
          <w:rFonts w:ascii="Amiri" w:hAnsi="Amiri" w:eastAsia="Amiri" w:cs="Amiri"/>
          <w:color w:val="111111"/>
          <w:sz w:val="28"/>
          <w:sz w:val="28"/>
          <w:szCs w:val="28"/>
          <w:rtl w:val="true"/>
          <w:lang w:bidi="ar-SA"/>
        </w:rPr>
        <w:t xml:space="preserve">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ضعيف كلّ حديث أسنده فهو منكر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النووي في شرحه على صحيح مسلم وحيث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الصحابة ـ رضي الله عنهم ـ كانوا يسافرون مع رسول الله صلى الله عليه وآله وسلم ، فمنهم القاصر ومنهم المتمم ومنهم الصائم ومنهم المفطر لا يعيب بعضهم على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نقل ابن قدامة عن أنس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أصحاب رسول الله نسافر فيتمّ بعضنا ويقصر بعضنا ويصوم بعضنا ويفطر بعضنا فلا يعيب أحد على أحد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ذلك إجماع الصحابة رحمهم الله بدليل انّ فيهم من كان يتم الصلاة ولم ينكر الباقون عليه بدليل حديث أنس</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وقال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الثالثة على جواز الإتمام ما في صحيح مسلم وغيره ، انّ الصحابة كانوا يسافرون مع رسول الله فمنهم القاصر ومنهم المتم ، ومنهم الصائم ومنهم المفطر لا يعيب بعضهم على بعض</w:t>
      </w:r>
      <w:r>
        <w:rPr>
          <w:rFonts w:eastAsia="Amiri" w:cs="Amiri" w:ascii="Amiri" w:hAnsi="Amiri"/>
          <w:color w:val="111111"/>
          <w:sz w:val="28"/>
          <w:szCs w:val="28"/>
          <w:rtl w:val="true"/>
          <w:lang w:bidi="ar-SA"/>
        </w:rPr>
        <w:t xml:space="preserve">. </w:t>
      </w:r>
      <w:r>
        <w:rPr>
          <w:rStyle w:val="FootnoteAnchor"/>
          <w:rtl w:val="true"/>
        </w:rPr>
        <w:footnoteReference w:id="703"/>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قد أخرج مسلم في باب جواز الصوم والفطر في شهر رمضان للمسافر سبع روايات عن أبي سعيد الخدري وجابر بن عبد الله الأنصاري وأنس بن مالك ليس فيها أيّ أثر من القصر والإتمام ، بل الروايات تدور على الصوم والإفطار ، فلم يظهر لي مصدر ما نسب إلى أنس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فيتم بعضنا ويقصر بعضنا </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ونذكر نموذجا من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صوم رمضان في السفر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سافرنا مع رسول الله صلى الله عليه وآله وسلم في رمضان فلم يعب الصائم على المفطر ولا المفطر على الصائم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نجد في صحيح مسلم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فمنهم القاصر ومنهم المتم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 إلاّ أحاديث الصوم والإفطار</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ولنفرض صحّة ما عزي إلى صحيح مسلم لكن من أين ثبت انّ النبي اطّلع على فعلهم فأقرّهم عليه حتى يكون التقرير حجة علينا؟ وليس عمل الصحابي بمجرّده حجة ما لم يعلم كونه مستندا إلى قول النبي صلى الله عليه وآله وسلم وعمله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إجماع الصحابة في عصره ليس بحجّة والخلاف بينهم في ذلك مشهور بعد موته</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إلى هنا تمّ ما يمكن أن يكون دليلا لجواز الإتمام في السفر ، وقد عرفت أنّ الجميع سراب لا ماء فلا يمكن أن يحتج بها أمام الروايات والآثار الهائلة ، التي رويت بطرق مختلفة تنتهي إلى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ورويناه أيضا من طريق حذيفة وجابر وزيد بن ثابت وأبي هريرة وابن عمر كلّهم عن رسول الله بأسانيد في غاية الصحة</w:t>
      </w:r>
      <w:r>
        <w:rPr>
          <w:rFonts w:eastAsia="Amiri" w:cs="Amiri" w:ascii="Amiri" w:hAnsi="Amiri"/>
          <w:color w:val="111111"/>
          <w:sz w:val="28"/>
          <w:szCs w:val="28"/>
          <w:rtl w:val="true"/>
          <w:lang w:bidi="ar-SA"/>
        </w:rPr>
        <w:t xml:space="preserve">. </w:t>
      </w:r>
      <w:r>
        <w:rPr>
          <w:rStyle w:val="FootnoteAnchor"/>
          <w:rtl w:val="true"/>
        </w:rPr>
        <w:footnoteReference w:id="707"/>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هنا شيء آخر وهو التمسّك بعمل الصحابي والصحابية ، وإليك دراسته</w:t>
      </w:r>
      <w:r>
        <w:rPr>
          <w:rFonts w:eastAsia="Amiri" w:cs="Amiri" w:ascii="Amiri" w:hAnsi="Amiri"/>
          <w:color w:val="111111"/>
          <w:sz w:val="28"/>
          <w:szCs w:val="28"/>
          <w:rtl w:val="true"/>
          <w:lang w:bidi="ar-SA"/>
        </w:rPr>
        <w:t xml:space="preserve">. </w:t>
      </w:r>
      <w:bookmarkStart w:id="597" w:name="pg10144_71542"/>
    </w:p>
    <w:p>
      <w:pPr>
        <w:pStyle w:val="Heading3"/>
        <w:numPr>
          <w:ilvl w:val="2"/>
          <w:numId w:val="1"/>
        </w:numPr>
        <w:rPr/>
      </w:pPr>
      <w:bookmarkStart w:id="598" w:name="__RefHeading___Toc1165815_1067777946"/>
      <w:bookmarkStart w:id="599" w:name="_Toc215"/>
      <w:bookmarkEnd w:id="597"/>
      <w:bookmarkEnd w:id="598"/>
      <w:r>
        <w:rPr>
          <w:rtl w:val="true"/>
        </w:rPr>
        <w:t>الاحتجاج بفعل عثمان وعائشة</w:t>
      </w:r>
      <w:bookmarkEnd w:id="599"/>
    </w:p>
    <w:p>
      <w:pPr>
        <w:pStyle w:val="BookText"/>
        <w:rPr/>
      </w:pPr>
      <w:r>
        <w:rPr>
          <w:rFonts w:ascii="Amiri" w:hAnsi="Amiri" w:eastAsia="Amiri" w:cs="Amiri"/>
          <w:color w:val="111111"/>
          <w:sz w:val="28"/>
          <w:sz w:val="28"/>
          <w:szCs w:val="28"/>
          <w:rtl w:val="true"/>
          <w:lang w:bidi="ar-SA"/>
        </w:rPr>
        <w:t>وربما يحتجّ على جواز الإتمام بفعل عثمان الذي أتمّ في مكة وفي منى مع أنّه كان مسافرا ومهاجرا عن مكة ومتوطّنا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يلاحظ على هذا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 الصحابي ليس حجّة ما لم يستند إلى حديث صحيح عن رسول الله ، فإنّ الحجة هي فعل المعصوم لا فعل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انّه قامت الضجة ضد عثمان واستنكره كثير من الصحابة حتى استرجع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يدلّ على أنّ عثمان أتمّ من عند نفسه من دون دليل صالح ، ما أخرجه مسلم عن الزهري عن عروة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عائشة تتم في السفر؟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تأوّلت كما تأوّل عثمان</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ونقله ابن حزم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الزهري ، فقلت 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عمل عائشة ان تتم في السفر وقد علمت أنّ الله تعالى فرضها ركعتين ركعتين؟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تأوّلت من ذلك ما تأوّل عثمان من إتمام الصلاة بمنى</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فلو كان لعثمان دليل على جواز الإتمام لاحتجّ به ولم يلجأ إلى التأويل ، وهذا دليل على أنّ القصر في السفر متعيّن ولكنّه أتمّ بمسوّغ خاص هو أعلم به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قام غير واحد ممّن يحاول تبرير فعل الخليفة وأمّ المؤمنين بنحت أعذار لهما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العلماء في تأويلهما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فالصحيح الذي عليه المحقّقون أنّهما رأيا القصر جائزا والإتمام جائزا ، فأخذا بأحد الجائزين وهو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بتأويل ، فلو كان هناك دليل على جواز الإتمام لكان عليه أن يحتجّ به من دون تأويل ، ولذلك أوّلوا فعل الخليفة وأمّ المؤمنين بوجوه أخرى ، أعني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عثمان إمام المؤمنين وعائشة أمّهم فكأنّهما في منازلهما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عزب عن المؤوّل انّ النبي أولى منهما بذلك ، فلما ذا تداوم على القصر؟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عثمان تأهّل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ما لوحظ على الوجه السابق ، فإنّ النبي صلى الله عليه وآله وسلم سافر بأزواجه منهنّ مكية وقد قصّر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 ذلك من أجل الأعراب الذين حضروا معه لئلاّ يظنوا ان فرض الصلاة ركعتان أبدا حضرا وسفرا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لوحظ على السابق بأنّ هذا المعنى كان موجودا في زمن النبي ، بل اشتهر أمر الصلاة في زمن عثمان أكثر ممّا قيل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الوجوه التافهة التي لا يركن إليها الفقيه والتي نقلها الإمام النووي في شرحه وأبطل الكلّ إلاّ الوجه الأوّل ، وقد عرفت أنّه أيضا غير مبرر</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وبذلك يعلم أنّ فعل الصحابية عائشة لا يكون دليلا مع أنّها الرواية بأنّه سبحانه فرض الصلاة ركعتين ركعتين في الحضر والسفر فأقرّت صلاة السفر وزيد في صلاة الحضر</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إنّ لابن جرير الطبري كلاما حول فعل عائشة حيث روى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ضَرَبْتُمْ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عمر بن عبد الله بن محمد بن عبد الرحمن بن أبي بكر الصديق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عائشة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السفر أتموا صلاتكم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وسلم يصلّي في السفر ركعتين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كان في حرب وكان يخاف ، هل تخافون أنتم؟</w:t>
      </w:r>
      <w:r>
        <w:rPr>
          <w:rFonts w:eastAsia="Amiri" w:cs="Amiri" w:ascii="Amiri" w:hAnsi="Amiri"/>
          <w:color w:val="111111"/>
          <w:sz w:val="28"/>
          <w:szCs w:val="28"/>
          <w:rtl w:val="true"/>
          <w:lang w:bidi="ar-SA"/>
        </w:rPr>
        <w:t xml:space="preserve">! </w:t>
      </w:r>
      <w:r>
        <w:rPr>
          <w:rStyle w:val="FootnoteAnchor"/>
          <w:rtl w:val="true"/>
        </w:rPr>
        <w:footnoteReference w:id="712"/>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وعلّق عليه الشوكاني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في تأويل عائشة أنّها إنّما أتمّت في سفرها إلى البصرة لقتال علي عليه السلام والقصر عندها إنّما يكون في سفر طاعة ـ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وأمّا تأوّل عائشة فأحسن ما قيل فيه ما أخرجه البيهقي بإسناد صحيح من طريق هشام بن عروة عن أبيه أنّها كانت تصلّي في السفر أربعا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صليت ركعتين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أختي إنّه لا يشق علي ، وهو دالّ على أنّها تؤوّل أنّ القصر رخصة وانّ الإتمام لمن لا يشق عليه أفضل</w:t>
      </w:r>
      <w:r>
        <w:rPr>
          <w:rFonts w:eastAsia="Amiri" w:cs="Amiri" w:ascii="Amiri" w:hAnsi="Amiri"/>
          <w:color w:val="111111"/>
          <w:sz w:val="28"/>
          <w:szCs w:val="28"/>
          <w:rtl w:val="true"/>
          <w:lang w:bidi="ar-SA"/>
        </w:rPr>
        <w:t xml:space="preserve">. </w:t>
      </w:r>
      <w:r>
        <w:rPr>
          <w:rStyle w:val="FootnoteAnchor"/>
          <w:rtl w:val="true"/>
        </w:rPr>
        <w:footnoteReference w:id="713"/>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0" w:name="pg10144_71546"/>
      <w:bookmarkStart w:id="601" w:name="pg10144_71546"/>
      <w:bookmarkEnd w:id="601"/>
    </w:p>
    <w:p>
      <w:pPr>
        <w:pStyle w:val="Heading2"/>
        <w:numPr>
          <w:ilvl w:val="1"/>
          <w:numId w:val="1"/>
        </w:numPr>
        <w:rPr/>
      </w:pPr>
      <w:bookmarkStart w:id="602" w:name="pg10144_71546"/>
      <w:bookmarkStart w:id="603" w:name="__RefHeading___Toc1165817_1067777946"/>
      <w:bookmarkStart w:id="604" w:name="_Toc216"/>
      <w:bookmarkEnd w:id="602"/>
      <w:bookmarkEnd w:id="603"/>
      <w:r>
        <w:rPr/>
        <w:t>9</w:t>
      </w:r>
      <w:r>
        <w:rPr>
          <w:rtl w:val="true"/>
        </w:rPr>
        <w:t xml:space="preserve">. </w:t>
      </w:r>
      <w:r>
        <w:rPr>
          <w:rtl w:val="true"/>
        </w:rPr>
        <w:t>إفطار المسافر في شهر رمضان</w:t>
      </w:r>
      <w:bookmarkEnd w:id="604"/>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5" w:name="__RefHeading___Toc1165819_1067777946"/>
      <w:bookmarkStart w:id="606" w:name="_Toc217"/>
      <w:bookmarkEnd w:id="605"/>
      <w:r>
        <w:rPr>
          <w:rtl w:val="true"/>
        </w:rPr>
        <w:t>اشارة</w:t>
      </w:r>
      <w:bookmarkEnd w:id="606"/>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7" w:name="pg10144_71548"/>
      <w:bookmarkStart w:id="608" w:name="pg10144_71548"/>
      <w:bookmarkEnd w:id="608"/>
    </w:p>
    <w:p>
      <w:pPr>
        <w:pStyle w:val="Heading3"/>
        <w:numPr>
          <w:ilvl w:val="2"/>
          <w:numId w:val="1"/>
        </w:numPr>
        <w:rPr/>
      </w:pPr>
      <w:bookmarkStart w:id="609" w:name="pg10144_71548"/>
      <w:bookmarkStart w:id="610" w:name="__RefHeading___Toc1165821_1067777946"/>
      <w:bookmarkStart w:id="611" w:name="_Toc218"/>
      <w:bookmarkEnd w:id="609"/>
      <w:bookmarkEnd w:id="610"/>
      <w:r>
        <w:rPr>
          <w:rtl w:val="true"/>
        </w:rPr>
        <w:t>الإفطار في السفر</w:t>
      </w:r>
      <w:bookmarkEnd w:id="611"/>
    </w:p>
    <w:p>
      <w:pPr>
        <w:pStyle w:val="Heading4"/>
        <w:numPr>
          <w:ilvl w:val="3"/>
          <w:numId w:val="1"/>
        </w:numPr>
        <w:rPr/>
      </w:pPr>
      <w:bookmarkStart w:id="612" w:name="__RefHeading___Toc1165823_1067777946"/>
      <w:bookmarkStart w:id="613" w:name="_Toc219"/>
      <w:bookmarkEnd w:id="612"/>
      <w:r>
        <w:rPr>
          <w:rtl w:val="true"/>
        </w:rPr>
        <w:t>اشارة</w:t>
      </w:r>
      <w:bookmarkEnd w:id="613"/>
    </w:p>
    <w:p>
      <w:pPr>
        <w:pStyle w:val="BookText"/>
        <w:rPr/>
      </w:pPr>
      <w:r>
        <w:rPr>
          <w:rFonts w:ascii="Amiri" w:hAnsi="Amiri" w:eastAsia="Amiri" w:cs="Amiri"/>
          <w:color w:val="111111"/>
          <w:sz w:val="28"/>
          <w:sz w:val="28"/>
          <w:szCs w:val="28"/>
          <w:rtl w:val="true"/>
          <w:lang w:bidi="ar-SA"/>
        </w:rPr>
        <w:t>اتّفقت كلمة الفقهاء على مشروعية الإفطار جوازا أو وجوبا في السفر تبعا للذكر الحكيم والسنّة المتواترة إلاّ انّهم اختلفوا في كونه عزيمة أو رخصة ، نظير الخلاف في كون القصر فيه جائزا أو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ذهبت الإمامية تبعا لأئمّة أهل البيت عليهم السلام والظاهرية إلى كون الإفطار عزيمة ، واختاره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عوف وعمر وابنه عبد الله وأبو هريرة وعائشة وابن عباس ، ومن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علي بن أبي طالب عليهم السلام وابنه محمد الباقر عليه السلام وسعيد بن المسيب وعطاء وعروة بن الزبير وشعبة والزهري والقاسم بن محمد بن أبي بكر ويونس بن عبيد وأصحابه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جمهور أهل السنّة وفيهم فقهاء المذاهب الأربعة إلى كون الإفطار رخصة وإن اختلفوا في أفضلية الإفطار والصوم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في السفر أفضل من الإفطار ، وقال مالك والثوري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في السفر أحبّ إلينا لمن قوي عليه ، 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صام في السفر أجزأه</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وقال السرخسي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أداء الصوم في السفر يجوز في قول جمهور الفقهاء ، وهذا قول أكثر الصحابة ، وعلى قول أصحاب الظواهر لا يجوز ـ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الصوم في السفر أفضل من الإفطار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 أفضل ، لأنّ ظاهر ما روينا من آثار يدلّ على أنّ الصوم في السفر لا يجوز ، فإن ترك هذا الظاهر في حقّ الجواز </w:t>
      </w:r>
      <w:r>
        <w:rPr>
          <w:rStyle w:val="FootnoteAnchor"/>
          <w:rtl w:val="true"/>
        </w:rPr>
        <w:footnoteReference w:id="716"/>
      </w:r>
      <w:r>
        <w:rPr>
          <w:rFonts w:ascii="Amiri" w:hAnsi="Amiri" w:eastAsia="Amiri" w:cs="Amiri"/>
          <w:color w:val="111111"/>
          <w:sz w:val="28"/>
          <w:sz w:val="28"/>
          <w:szCs w:val="28"/>
          <w:rtl w:val="true"/>
          <w:lang w:bidi="ar-SA"/>
        </w:rPr>
        <w:t xml:space="preserve">بقي معتبرا في أنّ الفطر أفضل ، وقاس بالصلاة فإنّ الاقتصار على الركعتين في السفر أفضل من الإتمام فكذلك الصوم لأنّ السفر يؤثر فيهما ، قال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وضع عن المسافر شطر الصلاة والصوم </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وقال ابن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المسافر حكم المريض في إباحة الفطر وكراهية الصوم وإجزائه إذا فعله ، وإباحة الفطر ثابتة بالنص والإجماع ، وأكثر أهل العلم على أنّه إن صام أجزأه ـ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والفطر في السفر أفضل</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وقال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العلماء في الأفضل من الفطر أو الصوم في السفر ، فقال مالك والشافعي في بعض ما روي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أفضل لمن قوي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مذهب مالك التخيير وكذلك مذهب الشافعي ، قال الشافعي ومن 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مخيّر ولم يفضّل وكذلك ابن عليّة</w:t>
      </w:r>
      <w:r>
        <w:rPr>
          <w:rFonts w:eastAsia="Amiri" w:cs="Amiri" w:ascii="Amiri" w:hAnsi="Amiri"/>
          <w:color w:val="111111"/>
          <w:sz w:val="28"/>
          <w:szCs w:val="28"/>
          <w:rtl w:val="true"/>
          <w:lang w:bidi="ar-SA"/>
        </w:rPr>
        <w:t xml:space="preserve">. </w:t>
      </w:r>
      <w:r>
        <w:rPr>
          <w:rStyle w:val="FootnoteAnchor"/>
          <w:rtl w:val="true"/>
        </w:rPr>
        <w:footnoteReference w:id="719"/>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النقول وغيرها صريحة في اتّفاق الجمهور على جواز الإفطار في السفر لا على وجوبه مع اعتراف الشافعي بأنّ ظواهر الأدلّة هو المنع عن الصوم حيث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ظاهر ما روينا من الآثار يدلّ على أنّ الصوم في السفر لا يجوز </w:t>
      </w:r>
      <w:r>
        <w:rPr>
          <w:rFonts w:eastAsia="Amiri" w:cs="Amiri" w:ascii="Amiri" w:hAnsi="Amiri"/>
          <w:color w:val="111111"/>
          <w:sz w:val="28"/>
          <w:szCs w:val="28"/>
          <w:rtl w:val="true"/>
          <w:lang w:bidi="ar-SA"/>
        </w:rPr>
        <w:t xml:space="preserve">». </w:t>
      </w:r>
      <w:r>
        <w:rPr>
          <w:rStyle w:val="FootnoteAnchor"/>
          <w:rtl w:val="true"/>
        </w:rPr>
        <w:footnoteReference w:id="720"/>
      </w:r>
      <w:r>
        <w:rPr>
          <w:rFonts w:ascii="Amiri" w:hAnsi="Amiri" w:eastAsia="Amiri" w:cs="Amiri"/>
          <w:color w:val="111111"/>
          <w:sz w:val="28"/>
          <w:sz w:val="28"/>
          <w:szCs w:val="28"/>
          <w:rtl w:val="true"/>
          <w:lang w:bidi="ar-SA"/>
        </w:rPr>
        <w:t>وإن كان ما نقله القرطبي وغيره عنه يخالفه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تقدير ، فالمهم هو بيان ما يستفاد من الأدلّة من كون الإفطار عزيمة أو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وسيتضح إليك انّ الإفطار عزيمة يدلّ عليها الكتاب والسنّة</w:t>
      </w:r>
      <w:r>
        <w:rPr>
          <w:rFonts w:eastAsia="Amiri" w:cs="Amiri" w:ascii="Amiri" w:hAnsi="Amiri"/>
          <w:color w:val="111111"/>
          <w:sz w:val="28"/>
          <w:szCs w:val="28"/>
          <w:rtl w:val="true"/>
          <w:lang w:bidi="ar-SA"/>
        </w:rPr>
        <w:t xml:space="preserve">. </w:t>
      </w:r>
      <w:bookmarkStart w:id="614" w:name="pg10144_71551"/>
    </w:p>
    <w:p>
      <w:pPr>
        <w:pStyle w:val="Heading4"/>
        <w:numPr>
          <w:ilvl w:val="3"/>
          <w:numId w:val="1"/>
        </w:numPr>
        <w:rPr/>
      </w:pPr>
      <w:bookmarkStart w:id="615" w:name="__RefHeading___Toc1165825_1067777946"/>
      <w:bookmarkStart w:id="616" w:name="_Toc220"/>
      <w:bookmarkEnd w:id="614"/>
      <w:bookmarkEnd w:id="615"/>
      <w:r>
        <w:rPr/>
        <w:t>1</w:t>
      </w:r>
      <w:r>
        <w:rPr>
          <w:rtl w:val="true"/>
        </w:rPr>
        <w:t xml:space="preserve">. </w:t>
      </w:r>
      <w:r>
        <w:rPr>
          <w:rtl w:val="true"/>
        </w:rPr>
        <w:t>الكتاب وصوم رمضان في السفر</w:t>
      </w:r>
      <w:bookmarkEnd w:id="616"/>
    </w:p>
    <w:p>
      <w:pPr>
        <w:pStyle w:val="Heading5"/>
        <w:numPr>
          <w:ilvl w:val="4"/>
          <w:numId w:val="1"/>
        </w:numPr>
        <w:rPr/>
      </w:pPr>
      <w:bookmarkStart w:id="617" w:name="__RefHeading___Toc1165827_1067777946"/>
      <w:bookmarkStart w:id="618" w:name="_Toc221"/>
      <w:bookmarkEnd w:id="617"/>
      <w:r>
        <w:rPr>
          <w:rtl w:val="true"/>
        </w:rPr>
        <w:t>اشارة</w:t>
      </w:r>
      <w:bookmarkEnd w:id="618"/>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كُتِبَ عَلَيْكُمُ الصِّيامُ كَما كُتِبَ عَلَى الَّذِينَ مِنْ قَبْلِكُمْ لَعَلَّكُمْ تَتَّقُونَ </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أَيَّاماً مَعْدُوداتٍ فَمَنْ كانَ مِنْكُمْ مَرِيضاً أَوْ عَلى سَفَرٍ فَعِدَّةٌ مِنْ أَيَّامٍ أُخَرَ وَعَلَى الَّذِينَ يُطِيقُونَهُ فِدْيَةٌ طَعامُ مِسْكِينٍ فَمَنْ تَطَوَّعَ خَيْراً فَهُوَ خَيْرٌ لَهُ وَأَنْ تَصُومُوا خَيْرٌ لَكُمْ إِنْ كُنْتُمْ تَعْلَمُونَ </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هُدىً لِلنَّاسِ وَبَيِّناتٍ مِنَ الْهُدى وَالْفُرْقانِ فَمَنْ شَهِدَ مِنْكُمُ الشَّهْرَ فَلْيَصُمْهُ وَمَنْ كانَ مَرِيضاً أَوْ عَلى سَفَرٍ فَعِدَّةٌ مِنْ أَيَّامٍ أُخَرَ يُرِيدُ اللهُ بِكُمُ الْيُسْرَ وَلا يُرِيدُ بِكُمُ الْعُسْرَ وَلِتُكْمِلُوا الْعِدَّةَ وَلِتُكَبِّرُوا اللهَ عَلى ما هَداكُمْ وَلَعَلَّكُمْ تَشْكُرُونَ </w:t>
      </w:r>
      <w:r>
        <w:rPr>
          <w:rFonts w:eastAsia="Amiri" w:cs="Amiri" w:ascii="Amiri" w:hAnsi="Amiri"/>
          <w:color w:val="111111"/>
          <w:sz w:val="28"/>
          <w:szCs w:val="28"/>
          <w:rtl w:val="true"/>
          <w:lang w:bidi="ar-SA"/>
        </w:rPr>
        <w:t xml:space="preserve">). </w:t>
      </w:r>
      <w:r>
        <w:rPr>
          <w:rStyle w:val="FootnoteAnchor"/>
          <w:rtl w:val="true"/>
        </w:rPr>
        <w:footnoteReference w:id="723"/>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الآيات المباركة تتضمّن أحكام الطوائف الأربع بعد التأكيد على أنّ الصوم ممّا كتب على المؤمنين كما كتب على الذين من قبلهم والكتابة آية الفرض </w:t>
      </w:r>
      <w:bookmarkStart w:id="619" w:name="pg10144_71552"/>
    </w:p>
    <w:p>
      <w:pPr>
        <w:pStyle w:val="BookText"/>
        <w:rPr/>
      </w:pPr>
      <w:bookmarkEnd w:id="619"/>
      <w:r>
        <w:rPr>
          <w:rFonts w:ascii="Amiri" w:hAnsi="Amiri" w:eastAsia="Amiri" w:cs="Amiri"/>
          <w:color w:val="111111"/>
          <w:sz w:val="28"/>
          <w:sz w:val="28"/>
          <w:szCs w:val="28"/>
          <w:rtl w:val="true"/>
          <w:lang w:bidi="ar-SA"/>
        </w:rPr>
        <w:t xml:space="preserve">والوجوب غالبا ، وليس للمكلّف تركه ، فالله سبحانه يخاطب قاطبة المؤمنين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كُتِبَ عَلَيْكُمُ الصِّيامُ كَما كُتِبَ عَلَى الَّذِينَ مِنْ قَبْلِكُمْ لَعَلَّكُمْ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فالصيام مكتوب على الإنسان بأشكال مختلفة من غير فرق بين المصحّ والمريض والمسافر والمطيق ، لكن يختلف امتثاله حسب اختلاف أحوال المكلّف ، لأنّه ينقسم حسب العوارض إلى الأصناف الأربعة ، ولكلّ صنف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كلّ الفقيه ما يكون بصدد فهم القرآن والسنّة سواء أوافق مذهب إمامه الذي يقلّده أم خالف ، غير انّ كثيرا من المفسرين في تفسير هذه الآيات حاولوا أن يطبقوها على مذهب إمامهم من دون أن يمعنوا النظر في مفردات الآية وجملها حتّى يخرجوا بنتيجة واحدة من دون اختلاف وقد عرفت 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المتقدّمة تبيّن أحكام الأصناف الأربعة التي عرفت عناوينها ، وإليك بيان ما يستفاد من الآيات في حقّ هؤلاء</w:t>
      </w:r>
      <w:r>
        <w:rPr>
          <w:rFonts w:eastAsia="Amiri" w:cs="Amiri" w:ascii="Amiri" w:hAnsi="Amiri"/>
          <w:color w:val="111111"/>
          <w:sz w:val="28"/>
          <w:szCs w:val="28"/>
          <w:rtl w:val="true"/>
          <w:lang w:bidi="ar-SA"/>
        </w:rPr>
        <w:t>.</w:t>
      </w:r>
    </w:p>
    <w:p>
      <w:pPr>
        <w:pStyle w:val="Heading5"/>
        <w:numPr>
          <w:ilvl w:val="4"/>
          <w:numId w:val="1"/>
        </w:numPr>
        <w:rPr/>
      </w:pPr>
      <w:bookmarkStart w:id="620" w:name="__RefHeading___Toc1165829_1067777946"/>
      <w:bookmarkStart w:id="621" w:name="_Toc222"/>
      <w:bookmarkEnd w:id="620"/>
      <w:r>
        <w:rPr/>
        <w:t>1</w:t>
      </w:r>
      <w:r>
        <w:rPr>
          <w:rtl w:val="true"/>
        </w:rPr>
        <w:t xml:space="preserve">. </w:t>
      </w:r>
      <w:r>
        <w:rPr>
          <w:rtl w:val="true"/>
        </w:rPr>
        <w:t>الصحيح المعافى</w:t>
      </w:r>
      <w:bookmarkEnd w:id="621"/>
    </w:p>
    <w:p>
      <w:pPr>
        <w:pStyle w:val="BookText"/>
        <w:rPr/>
      </w:pPr>
      <w:r>
        <w:rPr>
          <w:rFonts w:ascii="Amiri" w:hAnsi="Amiri" w:eastAsia="Amiri" w:cs="Amiri"/>
          <w:color w:val="111111"/>
          <w:sz w:val="28"/>
          <w:sz w:val="28"/>
          <w:szCs w:val="28"/>
          <w:rtl w:val="true"/>
          <w:lang w:bidi="ar-SA"/>
        </w:rPr>
        <w:t xml:space="preserve">إنّ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لزوم الصوم لمن شهد الشهر ، من غير فرق بين تفسير شهود الشهر بالحضور في البلد وعدم السفر ، أو برؤية الهلال ، فليس للشاهد إلاّ تكليف واحد وهو صوم الشهر كلّه إذا اجتمعت فيه الشرائط</w:t>
      </w:r>
      <w:r>
        <w:rPr>
          <w:rFonts w:eastAsia="Amiri" w:cs="Amiri" w:ascii="Amiri" w:hAnsi="Amiri"/>
          <w:color w:val="111111"/>
          <w:sz w:val="28"/>
          <w:szCs w:val="28"/>
          <w:rtl w:val="true"/>
          <w:lang w:bidi="ar-SA"/>
        </w:rPr>
        <w:t>.</w:t>
      </w:r>
    </w:p>
    <w:p>
      <w:pPr>
        <w:pStyle w:val="Heading5"/>
        <w:numPr>
          <w:ilvl w:val="4"/>
          <w:numId w:val="1"/>
        </w:numPr>
        <w:rPr/>
      </w:pPr>
      <w:bookmarkStart w:id="622" w:name="__RefHeading___Toc1165831_1067777946"/>
      <w:bookmarkStart w:id="623" w:name="_Toc223"/>
      <w:bookmarkEnd w:id="622"/>
      <w:r>
        <w:rPr/>
        <w:t>2</w:t>
      </w:r>
      <w:r>
        <w:rPr>
          <w:rtl w:val="true"/>
        </w:rPr>
        <w:t xml:space="preserve">. </w:t>
      </w:r>
      <w:r>
        <w:rPr>
          <w:rtl w:val="true"/>
        </w:rPr>
        <w:t>المريض</w:t>
      </w:r>
      <w:bookmarkEnd w:id="623"/>
    </w:p>
    <w:p>
      <w:pPr>
        <w:pStyle w:val="Heading5"/>
        <w:numPr>
          <w:ilvl w:val="4"/>
          <w:numId w:val="1"/>
        </w:numPr>
        <w:rPr/>
      </w:pPr>
      <w:bookmarkStart w:id="624" w:name="__RefHeading___Toc1165833_1067777946"/>
      <w:bookmarkStart w:id="625" w:name="_Toc224"/>
      <w:bookmarkEnd w:id="624"/>
      <w:r>
        <w:rPr/>
        <w:t>3</w:t>
      </w:r>
      <w:r>
        <w:rPr>
          <w:rtl w:val="true"/>
        </w:rPr>
        <w:t xml:space="preserve">. </w:t>
      </w:r>
      <w:r>
        <w:rPr>
          <w:rtl w:val="true"/>
        </w:rPr>
        <w:t>المسافر</w:t>
      </w:r>
      <w:bookmarkEnd w:id="625"/>
    </w:p>
    <w:p>
      <w:pPr>
        <w:pStyle w:val="Heading6"/>
        <w:numPr>
          <w:ilvl w:val="5"/>
          <w:numId w:val="1"/>
        </w:numPr>
        <w:rPr/>
      </w:pPr>
      <w:bookmarkStart w:id="626" w:name="__RefHeading___Toc1165835_1067777946"/>
      <w:bookmarkStart w:id="627" w:name="_Toc225"/>
      <w:bookmarkEnd w:id="626"/>
      <w:r>
        <w:rPr>
          <w:rtl w:val="true"/>
        </w:rPr>
        <w:t>اشارة</w:t>
      </w:r>
      <w:bookmarkEnd w:id="627"/>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بيّن سبحانه حكم المريض والمسافر بقوله في موردين </w:t>
      </w:r>
      <w:bookmarkStart w:id="628" w:name="pg10144_71553"/>
    </w:p>
    <w:p>
      <w:pPr>
        <w:pStyle w:val="BookText"/>
        <w:rPr/>
      </w:pPr>
      <w:bookmarkEnd w:id="628"/>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مِنْكُمْ مَرِيضاً أَوْ عَلى سَفَرٍ فَعِدَّةٌ مِنْ أَيَّامٍ أُخَرَ </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مَرِيضاً أَوْ عَلى سَفَرٍ فَعِدَّةٌ مِنْ أَيَّامٍ أُخَرَ </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والمقصود فهم ما تتضمّنه الجملة في الموردين من الحكم في حقّ المريض والمسافر ، فهل هو ظاهر في كون الإفطار عزيمة أو رخصة؟</w:t>
      </w:r>
    </w:p>
    <w:p>
      <w:pPr>
        <w:pStyle w:val="BookText"/>
        <w:rPr/>
      </w:pPr>
      <w:r>
        <w:rPr>
          <w:rFonts w:ascii="Amiri" w:hAnsi="Amiri" w:eastAsia="Amiri" w:cs="Amiri"/>
          <w:color w:val="111111"/>
          <w:sz w:val="28"/>
          <w:sz w:val="28"/>
          <w:szCs w:val="28"/>
          <w:rtl w:val="true"/>
          <w:lang w:bidi="ar-SA"/>
        </w:rPr>
        <w:t xml:space="preserve">والإمعان في الآية يثبت انّ الإفطار عزيمة ، وذلك بوجوه أربعة </w:t>
      </w:r>
      <w:r>
        <w:rPr>
          <w:rFonts w:eastAsia="Amiri" w:cs="Amiri" w:ascii="Amiri" w:hAnsi="Amiri"/>
          <w:color w:val="111111"/>
          <w:sz w:val="28"/>
          <w:szCs w:val="28"/>
          <w:rtl w:val="true"/>
          <w:lang w:bidi="ar-SA"/>
        </w:rPr>
        <w:t>:</w:t>
      </w:r>
    </w:p>
    <w:p>
      <w:pPr>
        <w:pStyle w:val="Heading6"/>
        <w:numPr>
          <w:ilvl w:val="5"/>
          <w:numId w:val="1"/>
        </w:numPr>
        <w:rPr/>
      </w:pPr>
      <w:bookmarkStart w:id="629" w:name="__RefHeading___Toc1165837_1067777946"/>
      <w:bookmarkStart w:id="630" w:name="_Toc226"/>
      <w:bookmarkEnd w:id="629"/>
      <w:r>
        <w:rPr>
          <w:rtl w:val="true"/>
        </w:rPr>
        <w:t xml:space="preserve">الأوّل </w:t>
      </w:r>
      <w:r>
        <w:rPr>
          <w:rtl w:val="true"/>
        </w:rPr>
        <w:t xml:space="preserve">: </w:t>
      </w:r>
      <w:r>
        <w:rPr>
          <w:rtl w:val="true"/>
        </w:rPr>
        <w:t>وجوب الصيام في العدّة ، آية لزوم الإفطار</w:t>
      </w:r>
      <w:bookmarkEnd w:id="630"/>
    </w:p>
    <w:p>
      <w:pPr>
        <w:pStyle w:val="BookText"/>
        <w:rPr/>
      </w:pPr>
      <w:r>
        <w:rPr>
          <w:rFonts w:ascii="Amiri" w:hAnsi="Amiri" w:eastAsia="Amiri" w:cs="Amiri"/>
          <w:color w:val="111111"/>
          <w:sz w:val="28"/>
          <w:sz w:val="28"/>
          <w:szCs w:val="28"/>
          <w:rtl w:val="true"/>
          <w:lang w:bidi="ar-SA"/>
        </w:rPr>
        <w:t xml:space="preserve">إنّ معنى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فَعِدَّةٌ مِنْ أَيَّامٍ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صيام عدّة أيام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صيام تلك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هو الظاهر من أكثر المفسرين حيث يذكرون بعد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فَعِدَّةٌ مِنْ أَيَّامٍ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صوم أيّام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فالمتبادر من الآية هو انّه يلزمه صيام تلك الأيّام ، أو على ذمّته صيامها ، هذا من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جانب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وجب صيام تلك الأيام مطلقا ، يكون الإفطار في شهر رمضان واجبا ، وإلاّ فلو جاز صومه ، لما وجب صيام تلك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الإطلاق فإيجاب صيامها كذلك ، آية وجوب الإفطار في شهر رمضان</w:t>
      </w:r>
      <w:r>
        <w:rPr>
          <w:rFonts w:eastAsia="Amiri" w:cs="Amiri" w:ascii="Amiri" w:hAnsi="Amiri"/>
          <w:color w:val="111111"/>
          <w:sz w:val="28"/>
          <w:szCs w:val="28"/>
          <w:rtl w:val="true"/>
          <w:lang w:bidi="ar-SA"/>
        </w:rPr>
        <w:t>.</w:t>
      </w:r>
    </w:p>
    <w:p>
      <w:pPr>
        <w:pStyle w:val="Heading6"/>
        <w:numPr>
          <w:ilvl w:val="5"/>
          <w:numId w:val="1"/>
        </w:numPr>
        <w:rPr/>
      </w:pPr>
      <w:bookmarkStart w:id="631" w:name="__RefHeading___Toc1165839_1067777946"/>
      <w:bookmarkStart w:id="632" w:name="_Toc227"/>
      <w:bookmarkEnd w:id="631"/>
      <w:r>
        <w:rPr>
          <w:rtl w:val="true"/>
        </w:rPr>
        <w:t xml:space="preserve">الثاني </w:t>
      </w:r>
      <w:r>
        <w:rPr>
          <w:rtl w:val="true"/>
        </w:rPr>
        <w:t xml:space="preserve">: </w:t>
      </w:r>
      <w:r>
        <w:rPr>
          <w:rtl w:val="true"/>
        </w:rPr>
        <w:t>التقابل بين الجملتين يدلّ على حرمة الصوم</w:t>
      </w:r>
      <w:bookmarkEnd w:id="632"/>
    </w:p>
    <w:p>
      <w:pPr>
        <w:pStyle w:val="BookText"/>
        <w:rPr/>
      </w:pPr>
      <w:r>
        <w:rPr>
          <w:rFonts w:ascii="Amiri" w:hAnsi="Amiri" w:eastAsia="Amiri" w:cs="Amiri"/>
          <w:color w:val="111111"/>
          <w:sz w:val="28"/>
          <w:sz w:val="28"/>
          <w:szCs w:val="28"/>
          <w:rtl w:val="true"/>
          <w:lang w:bidi="ar-SA"/>
        </w:rPr>
        <w:t xml:space="preserve">إذا كانت في الكلام جملتان متقابلتان فإبهام إحداهما يرتفع بظهور الأخرى ، وهذا ممّا لا سترة عليه ، وعلى ضوء هذا نرفع إبهام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بالجملة الأخرى التي تقابله فنقول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سبحانه في من شهد الشهر </w:t>
      </w:r>
      <w:r>
        <w:rPr>
          <w:rFonts w:eastAsia="Amiri" w:cs="Amiri" w:ascii="Amiri" w:hAnsi="Amiri"/>
          <w:color w:val="111111"/>
          <w:sz w:val="28"/>
          <w:szCs w:val="28"/>
          <w:rtl w:val="true"/>
          <w:lang w:bidi="ar-SA"/>
        </w:rPr>
        <w:t xml:space="preserve">: </w:t>
      </w:r>
      <w:bookmarkStart w:id="633" w:name="pg10144_71554"/>
    </w:p>
    <w:p>
      <w:pPr>
        <w:pStyle w:val="BookText"/>
        <w:rPr/>
      </w:pPr>
      <w:bookmarkEnd w:id="63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من لم يشهد الشهر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سَفَرٍ فَعِدَّةٌ مِنْ أَيَّامٍ 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معنى الجملة الأولى انّ الشاهد يصوم ، يكون معنى الجملة الثانية ـ بحكم التقابل ـ انّ غير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يصوم ، فإذا كان الأمر في الجملة الأولى ظاهرا في الوجوب يكون النهي في الثانية ظاهرا في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عبيد بن زرارة ، عن الإمام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أبينها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شهد الشهر فليصمه ومن سافر فلا يصمه </w:t>
      </w:r>
      <w:r>
        <w:rPr>
          <w:rFonts w:eastAsia="Amiri" w:cs="Amiri" w:ascii="Amiri" w:hAnsi="Amiri"/>
          <w:color w:val="111111"/>
          <w:sz w:val="28"/>
          <w:szCs w:val="28"/>
          <w:rtl w:val="true"/>
          <w:lang w:bidi="ar-SA"/>
        </w:rPr>
        <w:t xml:space="preserve">». </w:t>
      </w:r>
      <w:r>
        <w:rPr>
          <w:rStyle w:val="FootnoteAnchor"/>
          <w:rtl w:val="true"/>
        </w:rPr>
        <w:footnoteReference w:id="726"/>
      </w:r>
    </w:p>
    <w:p>
      <w:pPr>
        <w:pStyle w:val="Heading6"/>
        <w:numPr>
          <w:ilvl w:val="5"/>
          <w:numId w:val="1"/>
        </w:numPr>
        <w:rPr/>
      </w:pPr>
      <w:bookmarkStart w:id="634" w:name="__RefHeading___Toc1165841_1067777946"/>
      <w:bookmarkStart w:id="635" w:name="_Toc228"/>
      <w:bookmarkEnd w:id="634"/>
      <w:r>
        <w:rPr>
          <w:rtl w:val="true"/>
        </w:rPr>
        <w:t xml:space="preserve">الثالث  </w:t>
      </w:r>
      <w:r>
        <w:rPr>
          <w:rtl w:val="true"/>
        </w:rPr>
        <w:t xml:space="preserve">: </w:t>
      </w:r>
      <w:r>
        <w:rPr>
          <w:rtl w:val="true"/>
        </w:rPr>
        <w:t>المكتوب عليهما من أوّل الأمر هو صيام العدّة</w:t>
      </w:r>
      <w:bookmarkEnd w:id="635"/>
    </w:p>
    <w:p>
      <w:pPr>
        <w:pStyle w:val="Heading6"/>
        <w:numPr>
          <w:ilvl w:val="5"/>
          <w:numId w:val="1"/>
        </w:numPr>
        <w:rPr/>
      </w:pPr>
      <w:bookmarkStart w:id="636" w:name="__RefHeading___Toc1165843_1067777946"/>
      <w:bookmarkStart w:id="637" w:name="_Toc229"/>
      <w:bookmarkEnd w:id="636"/>
      <w:r>
        <w:rPr>
          <w:rtl w:val="true"/>
        </w:rPr>
        <w:t>اشارة</w:t>
      </w:r>
      <w:bookmarkEnd w:id="637"/>
    </w:p>
    <w:p>
      <w:pPr>
        <w:pStyle w:val="BookText"/>
        <w:rPr/>
      </w:pPr>
      <w:r>
        <w:rPr>
          <w:rFonts w:ascii="IRNazanin" w:hAnsi="IRNazanin" w:eastAsia="IRNazanin"/>
          <w:color w:val="111111"/>
          <w:sz w:val="28"/>
          <w:sz w:val="28"/>
          <w:szCs w:val="28"/>
          <w:rtl w:val="true"/>
          <w:lang w:bidi="fa-IR"/>
        </w:rPr>
        <w:t xml:space="preserve">الثالث </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المكتوب عليهما من أوّل الأمر هو صيام العدّة</w:t>
      </w:r>
    </w:p>
    <w:p>
      <w:pPr>
        <w:pStyle w:val="BookText"/>
        <w:rPr/>
      </w:pPr>
      <w:r>
        <w:rPr>
          <w:rFonts w:ascii="Amiri" w:hAnsi="Amiri" w:eastAsia="Amiri" w:cs="Amiri"/>
          <w:color w:val="111111"/>
          <w:sz w:val="28"/>
          <w:sz w:val="28"/>
          <w:szCs w:val="28"/>
          <w:rtl w:val="true"/>
          <w:lang w:bidi="ar-SA"/>
        </w:rPr>
        <w:t xml:space="preserve">إنّ ظاهر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مِنْكُمْ مَرِيضاً أَوْ عَلى سَفَرٍ فَعِدَّةٌ مِنْ أَيَّامٍ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المكتوب على الصنفين من أوّل الأمر هو الصيام في أيّام أخر ، فإذا كان الصيام واجبا على عامة المكلّفين وكان المكتوب عليهم من أوّل الأمر هو الصيام في أيام أخر ، فصيامهم في شهر رمضان يكون بدعة وتشريعا محرّما ، لاتّفاق الأمّة على عدم وجوب صومين طول السنة</w:t>
      </w:r>
      <w:r>
        <w:rPr>
          <w:rFonts w:eastAsia="Amiri" w:cs="Amiri" w:ascii="Amiri" w:hAnsi="Amiri"/>
          <w:color w:val="111111"/>
          <w:sz w:val="28"/>
          <w:szCs w:val="28"/>
          <w:rtl w:val="true"/>
          <w:lang w:bidi="ar-SA"/>
        </w:rPr>
        <w:t>.</w:t>
      </w:r>
    </w:p>
    <w:p>
      <w:pPr>
        <w:pStyle w:val="Heading6"/>
        <w:numPr>
          <w:ilvl w:val="5"/>
          <w:numId w:val="1"/>
        </w:numPr>
        <w:rPr/>
      </w:pPr>
      <w:bookmarkStart w:id="638" w:name="__RefHeading___Toc1165845_1067777946"/>
      <w:bookmarkStart w:id="639" w:name="_Toc230"/>
      <w:bookmarkEnd w:id="638"/>
      <w:r>
        <w:rPr>
          <w:rtl w:val="true"/>
        </w:rPr>
        <w:t>كلمات بعض المفسرين تدعم موقفنا</w:t>
      </w:r>
      <w:bookmarkEnd w:id="639"/>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لفيفا من المفسرين عند تفسير الآية ـ حرفيّا ـ فسروا الآية على غرار ما ذكرنا ، لكن عند ما وصلوا إلى بيان حكم الإفطار من العزيمة والرخصة ، صدّهم </w:t>
      </w:r>
      <w:bookmarkStart w:id="640" w:name="pg10144_71555"/>
    </w:p>
    <w:p>
      <w:pPr>
        <w:pStyle w:val="BookText"/>
        <w:rPr/>
      </w:pPr>
      <w:bookmarkEnd w:id="640"/>
      <w:r>
        <w:rPr>
          <w:rFonts w:ascii="Amiri" w:hAnsi="Amiri" w:eastAsia="Amiri" w:cs="Amiri"/>
          <w:color w:val="111111"/>
          <w:sz w:val="28"/>
          <w:sz w:val="28"/>
          <w:szCs w:val="28"/>
          <w:rtl w:val="true"/>
          <w:lang w:bidi="ar-SA"/>
        </w:rPr>
        <w:t>فتوى إمامهم عن الإصحار بالحقيقة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منكم مريضا ممن كلّف صومه أو كان صحيحا غير مريض وكان على سفر فعدّة من أيام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صوم عدّة الأيام التي أفطرها في مرضه أو في سفره من أيام أخر ، يعني من أيّام أخر غير أيّام مرضه أو سفره</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فظاهر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فعليه صوم عدّة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يلزم عليهما صوم تلك العدة ، ومع لزوم القضاء مطلقا كيف يكون مخيّرا بين الإفطار والصيام؟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مِنْكُمْ مَرِيضاً أَوْ عَلى سَفَرٍ فَعِدَّةٌ مِنْ أَيَّامٍ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المريض والمسافر لا يصومان في حال المرض والسفر ، لما في ذلك من المشقة عليهما ، بل يفطران ويقضيان بعدة ذلك من أيام أخر</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وفي الوقت نفسه هو يقول بعد 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 الله صيامه على المقيم الصحيح ورخّص فيه للمريض والمسافر</w:t>
      </w:r>
      <w:r>
        <w:rPr>
          <w:rFonts w:eastAsia="Amiri" w:cs="Amiri" w:ascii="Amiri" w:hAnsi="Amiri"/>
          <w:color w:val="111111"/>
          <w:sz w:val="28"/>
          <w:szCs w:val="28"/>
          <w:rtl w:val="true"/>
          <w:lang w:bidi="ar-SA"/>
        </w:rPr>
        <w:t xml:space="preserve">. </w:t>
      </w:r>
      <w:r>
        <w:rPr>
          <w:rStyle w:val="FootnoteAnchor"/>
          <w:rtl w:val="true"/>
        </w:rPr>
        <w:footnoteReference w:id="730"/>
      </w:r>
      <w:r>
        <w:rPr>
          <w:rFonts w:ascii="Amiri" w:hAnsi="Amiri" w:eastAsia="Amiri" w:cs="Amiri"/>
          <w:color w:val="111111"/>
          <w:sz w:val="28"/>
          <w:sz w:val="28"/>
          <w:szCs w:val="28"/>
          <w:rtl w:val="true"/>
          <w:lang w:bidi="ar-SA"/>
        </w:rPr>
        <w:t xml:space="preserve">فأين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يصومان في حال المرض والسفر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ويرخّص فيه للمريض والمسافر؟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فالتعبير الأوّل تعبير عن ظهور الآية جرى على قلمه بصورة عفوية من دون أن يلتفت إلى مذهب إمامه ، والجملة الثانية صدرت منه ـ غفلة عمّا ذكره ـ لدعم رأي إمام مذهبه</w:t>
      </w:r>
      <w:r>
        <w:rPr>
          <w:rFonts w:eastAsia="Amiri" w:cs="Amiri" w:ascii="Amiri" w:hAnsi="Amiri"/>
          <w:color w:val="111111"/>
          <w:sz w:val="28"/>
          <w:szCs w:val="28"/>
          <w:rtl w:val="true"/>
          <w:lang w:bidi="ar-SA"/>
        </w:rPr>
        <w:t>.</w:t>
      </w:r>
    </w:p>
    <w:p>
      <w:pPr>
        <w:pStyle w:val="Heading6"/>
        <w:numPr>
          <w:ilvl w:val="5"/>
          <w:numId w:val="1"/>
        </w:numPr>
        <w:rPr/>
      </w:pPr>
      <w:bookmarkStart w:id="641" w:name="__RefHeading___Toc1165847_1067777946"/>
      <w:bookmarkStart w:id="642" w:name="_Toc231"/>
      <w:bookmarkEnd w:id="641"/>
      <w:r>
        <w:rPr>
          <w:rtl w:val="true"/>
        </w:rPr>
        <w:t xml:space="preserve">تقدير </w:t>
      </w:r>
      <w:r>
        <w:rPr>
          <w:rtl w:val="true"/>
        </w:rPr>
        <w:t xml:space="preserve">« </w:t>
      </w:r>
      <w:r>
        <w:rPr>
          <w:rtl w:val="true"/>
        </w:rPr>
        <w:t xml:space="preserve">فأفطر </w:t>
      </w:r>
      <w:r>
        <w:rPr>
          <w:rtl w:val="true"/>
        </w:rPr>
        <w:t xml:space="preserve">» </w:t>
      </w:r>
      <w:r>
        <w:rPr>
          <w:rtl w:val="true"/>
        </w:rPr>
        <w:t>لتطبيق الآية على المذهب</w:t>
      </w:r>
      <w:bookmarkEnd w:id="642"/>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بعض المفسرين لما أدرك ظهور الآية في لزوم الإفطار وصيام أيّام أخر </w:t>
      </w:r>
    </w:p>
    <w:p>
      <w:pPr>
        <w:pStyle w:val="BookText"/>
        <w:rPr/>
      </w:pPr>
      <w:r>
        <w:rPr>
          <w:rFonts w:ascii="Amiri" w:hAnsi="Amiri" w:eastAsia="Amiri" w:cs="Amiri"/>
          <w:color w:val="111111"/>
          <w:sz w:val="28"/>
          <w:sz w:val="28"/>
          <w:szCs w:val="28"/>
          <w:rtl w:val="true"/>
          <w:lang w:bidi="ar-SA"/>
        </w:rPr>
        <w:t xml:space="preserve">مكان الأيّام التي أفطر فيها ، حاول أن يطبّق الآية على مذهب الترخيص فقدّر 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على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فعدّة من أيّام أخر ، وكأنّ الصيام كتب عليهم أيضا في شهر رمضان لكن لهم الخيار ، فإذا أفطروا يجب عليهم صيام العدة وإن لم يفطروا فلا ، وليس هذا إلاّ لغاية تطبيق الآية على المذهب دون تفسير الآية برأسها ، وها نحن نذكر نماذج من كلماتهم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الإمام الرازي ممّن ذكر دليل القائل بكون الإفطار عزيمة لا رخصة ومع ذلك اختار المذهب الآخر بحجّة انّ في الآية تقديرا أعني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انّ القضاء يجب بالإفطار لا بالمرض والسفر ،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قوم من علماء الصحابة إلى أنّه يجب على المريض والمسافر أن يفطر أو يصوم عدّة من أيّام أخر وهو قول ابن عباس وابن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أكثر الفقهاء إلى أنّ الإفطار رخصة ، فإن شاء أفطر وإن شاء صام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الجمهور بوجوه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الآية إضمارا ، لأنّ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فأفطر فعدة من أيّام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الواحدي في كتاب البسيط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إنّما يجب بالإفطار لا بالمرض والسفر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داود في سننه عن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حمزة الأسلمي سأل النبي صلى الله عليه وآله وسلم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هل أصوم على السفر؟ فقال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إن شئت وأفطر إن شئت</w:t>
      </w:r>
      <w:r>
        <w:rPr>
          <w:rFonts w:eastAsia="Amiri" w:cs="Amiri" w:ascii="Amiri" w:hAnsi="Amiri"/>
          <w:color w:val="111111"/>
          <w:sz w:val="28"/>
          <w:szCs w:val="28"/>
          <w:rtl w:val="true"/>
          <w:lang w:bidi="ar-SA"/>
        </w:rPr>
        <w:t xml:space="preserve">. </w:t>
      </w:r>
      <w:r>
        <w:rPr>
          <w:rStyle w:val="FootnoteAnchor"/>
          <w:rtl w:val="true"/>
        </w:rPr>
        <w:footnoteReference w:id="731"/>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على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الإضمار على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دليل على </w:t>
      </w:r>
    </w:p>
    <w:p>
      <w:pPr>
        <w:pStyle w:val="BookText"/>
        <w:rPr/>
      </w:pPr>
      <w:r>
        <w:rPr>
          <w:rFonts w:ascii="Amiri" w:hAnsi="Amiri" w:eastAsia="Amiri" w:cs="Amiri"/>
          <w:color w:val="111111"/>
          <w:sz w:val="28"/>
          <w:sz w:val="28"/>
          <w:szCs w:val="28"/>
          <w:rtl w:val="true"/>
          <w:lang w:bidi="ar-SA"/>
        </w:rPr>
        <w:t>تقديره سوى تطبيق الآية على المذهب الفقهي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ادّعاء بلا دليل ، وظاهر الآية والروايات التي ستوافيك انّ السفر لا يجتمع مع الصوم سواء أفطر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فسيوافيك حال الرواية ، فانتظر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صاحب المنار في تطبيق الآية على فتوى مذهب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مِنْكُمْ مَرِيضاً أَوْ عَلى سَفَرٍ فَعِدَّةٌ مِنْ أَيَّامٍ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صيام عدّة من أيّام أخر غير تلك الأيّام المعدودات ، فالواجب عليه القضاء ـ إذا أفطر ـ بعدد الأيام التي لم يصمها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ساق صاحب المنار إلى تقدير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وقوفه على دلالة الآية على لزوم الإفطار وانّ الواجب عليه هو صوم عدّة أيّام أخر ، فحاول بتقدير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يصرف الآية عن ظهورها ويجعلها ظاهرة في التخيير بين صيام رمضان وصيام عدّة أيّام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انّه يصرّح في موضع آخر من كلامه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ومعنى كلامه عندئذ انّه صرف للآية عن ظاهرها بلا دليل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السلف في هذه المسألة فقالت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 الصوم عن الفرض ، بل من صام في السفر وجب عليه قضاؤه في الحضر ، لظاهر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فَعِدَّةٌ مِنْ أَيَّامٍ أُخَرَ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ظاهره فعليه عدّة أو فالواجب عدة ، وتأوّله الجمهور بأنّ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فأفطر فعدة</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ولا ينقضي تعجّبي منه ، حيث إنّه يصفه بأنّه تأويل ـ ومع ذلك يصرّ على صحة فتوى الجمهور ، ومع أنّه يندّد في ثنايا تفسيره بجملة من المقلّدين لأئمّة مذاهبهم حيث يؤوّلون ظواهر الآية تطبيقا لها لفتوى مذهب إمامهم ، ويقول في مسألة الطلاق ثلاثا ـ التي اختار فيها تبعا لظاهر القرآن بأنّه لا يقع إلاّ مرة واحدة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مجادلة المقلّدين أو إرجاع القضاة والمفتين عن مذاهبهم فإنّ أكثرهم يطّلع على هذه النصوص في كتب الحديث وغيرها ولا يبالي بها ، لأنّ العمل عندهم على أقوال كتبهم دون كتاب الله وسنّة رسوله</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وقد ردّ غير واحد من علماء الإمامية على من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إثبات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الآية دلالة على أنّ المسافر والمريض يجب عليهما الإفطار ، لأنّه تعالى أوجب عليهما القضاء مطلقا ، وكلّ من أوجب عليه القضاء بنفس السفر والمرض ، أوجب 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قدّروا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على خلاف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وبوجوب الإفطار في السفر 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أسماء عدّة من الصحابة والتابعين القائلين بوجوب الإفطار الذين ذكرنا أسماءهم في صدر البحث </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يقول 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مِنْكُمْ مَرِيضاً أَوْ عَلى سَفَرٍ فَعِدَّةٌ مِنْ أَيَّامٍ أُخَرَ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للتفريع ، والجملة متفرعة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معدودات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الصيام مكتوب مفروض عليهم فيها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قدّر القائلون بالرخصة في الآية تقديرا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w:t>
      </w:r>
      <w:bookmarkStart w:id="643" w:name="pg10144_71559"/>
    </w:p>
    <w:p>
      <w:pPr>
        <w:pStyle w:val="BookText"/>
        <w:rPr/>
      </w:pPr>
      <w:bookmarkEnd w:id="643"/>
      <w:r>
        <w:rPr>
          <w:rFonts w:ascii="Amiri" w:hAnsi="Amiri" w:eastAsia="Amiri" w:cs="Amiri"/>
          <w:color w:val="111111"/>
          <w:sz w:val="28"/>
          <w:sz w:val="28"/>
          <w:szCs w:val="28"/>
          <w:rtl w:val="true"/>
          <w:lang w:bidi="ar-SA"/>
        </w:rPr>
        <w:t>فمن كان مريضا أو على سفر فأفطر فعدّة من أيّام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التقدير كما صرّحوا به خلاف الظاهر لا يصار إليه إلاّ بقرينة ، ولا قرينة من نفس الكلام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الكلام على تقدير تسليم التقدير لا يدلّ على الرخصة ، فإنّ المقام كما ذكروه مقام تشريع وغاية ما يدلّ عليه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كان مريضا أو على سفر فأفطر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 انّ الإفطار لا يقع معصية ، بل جائزا بالجواز بالمعنى الأعم من الوجوب والاستحباب والإباحة ، وأمّا كونه جائزا بالمعنى الأخصّ فلا دليل عليه من الكلام البتة ، بل الدليل على خلافه ، فان بناء الكلام على عدم بيان ما يجب بيانه في مقام التشريع لا يليق بالمشرّع الحكيم وهو ظاهر</w:t>
      </w:r>
      <w:r>
        <w:rPr>
          <w:rFonts w:eastAsia="Amiri" w:cs="Amiri" w:ascii="Amiri" w:hAnsi="Amiri"/>
          <w:color w:val="111111"/>
          <w:sz w:val="28"/>
          <w:szCs w:val="28"/>
          <w:rtl w:val="true"/>
          <w:lang w:bidi="ar-SA"/>
        </w:rPr>
        <w:t xml:space="preserve">. </w:t>
      </w:r>
      <w:r>
        <w:rPr>
          <w:rStyle w:val="FootnoteAnchor"/>
          <w:rtl w:val="true"/>
        </w:rPr>
        <w:footnoteReference w:id="735"/>
      </w:r>
    </w:p>
    <w:p>
      <w:pPr>
        <w:pStyle w:val="Heading6"/>
        <w:numPr>
          <w:ilvl w:val="5"/>
          <w:numId w:val="1"/>
        </w:numPr>
        <w:rPr/>
      </w:pPr>
      <w:bookmarkStart w:id="644" w:name="__RefHeading___Toc1165849_1067777946"/>
      <w:bookmarkStart w:id="645" w:name="_Toc232"/>
      <w:bookmarkEnd w:id="644"/>
      <w:r>
        <w:rPr>
          <w:rtl w:val="true"/>
        </w:rPr>
        <w:t xml:space="preserve">الرابع </w:t>
      </w:r>
      <w:r>
        <w:rPr>
          <w:rtl w:val="true"/>
        </w:rPr>
        <w:t xml:space="preserve">: </w:t>
      </w:r>
      <w:r>
        <w:rPr>
          <w:rtl w:val="true"/>
        </w:rPr>
        <w:t>ذكر المريض والمسافر في سياق واحد</w:t>
      </w:r>
      <w:bookmarkEnd w:id="645"/>
    </w:p>
    <w:p>
      <w:pPr>
        <w:pStyle w:val="BookText"/>
        <w:rPr/>
      </w:pPr>
      <w:r>
        <w:rPr>
          <w:rFonts w:ascii="Amiri" w:hAnsi="Amiri" w:eastAsia="Amiri" w:cs="Amiri"/>
          <w:color w:val="111111"/>
          <w:sz w:val="28"/>
          <w:sz w:val="28"/>
          <w:szCs w:val="28"/>
          <w:rtl w:val="true"/>
          <w:lang w:bidi="ar-SA"/>
        </w:rPr>
        <w:t xml:space="preserve">إنّ الآية ذكرت المريض والمسافر في سياق واحد وحكم عليهما بحكم واحد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فَعِدَّةٌ مِنْ أَيَّامٍ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الرخصة في حقّ المسافر فقط ، أو تعمّ المسافر والمريض؟</w:t>
      </w:r>
    </w:p>
    <w:p>
      <w:pPr>
        <w:pStyle w:val="BookText"/>
        <w:rPr/>
      </w:pPr>
      <w:r>
        <w:rPr>
          <w:rFonts w:ascii="Amiri" w:hAnsi="Amiri" w:eastAsia="Amiri" w:cs="Amiri"/>
          <w:color w:val="111111"/>
          <w:sz w:val="28"/>
          <w:sz w:val="28"/>
          <w:szCs w:val="28"/>
          <w:rtl w:val="true"/>
          <w:lang w:bidi="ar-SA"/>
        </w:rPr>
        <w:t>فالأوّل يستلزم التفكيك ، فان ظاهر الآية انّ الصنفين في الحكم على غرار واحد لا يختلفان ، فالحكم بجواز الإفطار في المسافر دون المريض لا يناسب ظاهر الآية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فهل يصحّ لفقيه أن يفتي بالترخيص في المريض إذا كان الصوم ضارا أو شاقا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الإضرار بالنفس حرام في الشريعة المقدسة كما أنّ </w:t>
      </w:r>
      <w:bookmarkStart w:id="646" w:name="pg10144_71560"/>
    </w:p>
    <w:p>
      <w:pPr>
        <w:pStyle w:val="BookText"/>
        <w:rPr/>
      </w:pPr>
      <w:bookmarkEnd w:id="646"/>
      <w:r>
        <w:rPr>
          <w:rFonts w:ascii="Amiri" w:hAnsi="Amiri" w:eastAsia="Amiri" w:cs="Amiri"/>
          <w:color w:val="111111"/>
          <w:sz w:val="28"/>
          <w:sz w:val="28"/>
          <w:szCs w:val="28"/>
          <w:rtl w:val="true"/>
          <w:lang w:bidi="ar-SA"/>
        </w:rPr>
        <w:t xml:space="preserve">الإحراج في امتثال الفرائض ليس مكتوبا ولا مجعولا في الشرع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إلى هنا تبين حكم المسافر والمريض ، وإليك حكم الصنف الرابع</w:t>
      </w:r>
      <w:r>
        <w:rPr>
          <w:rFonts w:eastAsia="Amiri" w:cs="Amiri" w:ascii="Amiri" w:hAnsi="Amiri"/>
          <w:color w:val="111111"/>
          <w:sz w:val="28"/>
          <w:szCs w:val="28"/>
          <w:rtl w:val="true"/>
          <w:lang w:bidi="ar-SA"/>
        </w:rPr>
        <w:t>.</w:t>
      </w:r>
    </w:p>
    <w:p>
      <w:pPr>
        <w:pStyle w:val="Heading5"/>
        <w:numPr>
          <w:ilvl w:val="4"/>
          <w:numId w:val="1"/>
        </w:numPr>
        <w:rPr/>
      </w:pPr>
      <w:bookmarkStart w:id="647" w:name="__RefHeading___Toc1165851_1067777946"/>
      <w:bookmarkStart w:id="648" w:name="_Toc233"/>
      <w:bookmarkEnd w:id="647"/>
      <w:r>
        <w:rPr/>
        <w:t>4</w:t>
      </w:r>
      <w:r>
        <w:rPr>
          <w:rtl w:val="true"/>
        </w:rPr>
        <w:t xml:space="preserve">. </w:t>
      </w:r>
      <w:r>
        <w:rPr>
          <w:rtl w:val="true"/>
        </w:rPr>
        <w:t>المطيق</w:t>
      </w:r>
      <w:bookmarkEnd w:id="648"/>
    </w:p>
    <w:p>
      <w:pPr>
        <w:pStyle w:val="Heading6"/>
        <w:numPr>
          <w:ilvl w:val="5"/>
          <w:numId w:val="1"/>
        </w:numPr>
        <w:rPr/>
      </w:pPr>
      <w:bookmarkStart w:id="649" w:name="__RefHeading___Toc1165853_1067777946"/>
      <w:bookmarkStart w:id="650" w:name="_Toc234"/>
      <w:bookmarkEnd w:id="649"/>
      <w:r>
        <w:rPr>
          <w:rtl w:val="true"/>
        </w:rPr>
        <w:t>اشارة</w:t>
      </w:r>
      <w:bookmarkEnd w:id="650"/>
    </w:p>
    <w:p>
      <w:pPr>
        <w:pStyle w:val="BookText"/>
        <w:rPr/>
      </w:pPr>
      <w:r>
        <w:rPr>
          <w:rFonts w:ascii="Amiri" w:hAnsi="Amiri" w:eastAsia="Amiri" w:cs="Amiri"/>
          <w:color w:val="111111"/>
          <w:sz w:val="28"/>
          <w:sz w:val="28"/>
          <w:szCs w:val="28"/>
          <w:rtl w:val="true"/>
          <w:lang w:bidi="ar-SA"/>
        </w:rPr>
        <w:t xml:space="preserve">هذا هو الصنف الرابع الذي يبيّن سبحانه حكمه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الَّذِينَ يُطِيقُونَهُ فِدْيَةٌ طَعامُ مِسْكِينٍ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هو الشيخ الكبير والشيخة الكبيرة اللّذين لا يستطيعان أن يصوما أو لا يستطيعان إلاّ بمشقة كبيرة ، والظاهر هو الثاني ، لأنّ الإطاقة في اللغة أدنى درجات المكنة والقدرة على الشيء ، فلا تقول العرب أطاق إلاّ إذا كانت قدرته عليه في نهاية الضعف بحيث يتحمّل به مشقة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تقدير فالواجب عليه فدية طعام ، وقد اختلفوا في مقدار الفدية على نحو مذكور في الفقه ، فمنهم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صاع وهم أهل الرأي ، 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عن كلّ يوم ، وهو المذهب المنصور عند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الاكتفاء بهذا المقدار أمر جائز ، غير انّ من قدر على الزائد من هذا المقدار فهو خير ، كما يقول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تَطَوَّعَ خَيْراً فَهُوَ خَيْرٌ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أطعم أكثر من مسكين فهو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هنا تفسيرين آخرين للتطوّع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الجملة ناظرة إلى المطيق والمقصود من جمع بين الصوم والصدقة فهو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بأنّه بعيد عن ظاهر الآية ، فإنّ المفروض انّ الشيخ لا يطيق الصوم إلاّ ببذل عامة جهده وطاقته فهل يستحبّ له الجمع بين الصوم والصدقة؟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انّ المستطيع يجب عليه الصوم وحده ولا يستحب له الفدية ولكن الشيخ الكبير يستحب له مع الصوم ، الفدية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الجملة ناظرة إلى أصحاب الأعذار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والمسافر ، والمقصود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زادا على تلك الأيام المعدودات فهو خير له ، لأنّ فائدته وثوابه له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هذا ، لأنّها تفريع على حصر الفرضية في الأيام المعدودات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يلاحظ عليه بأنّه كيف تكون الجملة ناظرة إلى أصحاب الأعذار ـ مع توسط حكم الصنف الرابع بينهما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مِنْكُمْ مَرِيضاً أَوْ عَلى سَفَرٍ فَعِدَّةٌ مِنْ أَيَّامٍ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الَّذِينَ يُطِيقُونَهُ فِدْيَةٌ طَعامُ 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تَطَوَّعَ خَيْراً فَهُوَ خَيْرٌ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انّه يرجع إلى الصنف الرابع ، والجملة تفريع على حصر الفرض في طعام مسكين ، والمقصود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تطوّع بزيادة إطعام المسكين فهو خير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حكم الأصناف الأربعة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تفسير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تَصُومُوا خَيْرٌ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bookmarkStart w:id="651" w:name="pg10144_71562"/>
    </w:p>
    <w:p>
      <w:pPr>
        <w:pStyle w:val="Heading6"/>
        <w:numPr>
          <w:ilvl w:val="5"/>
          <w:numId w:val="1"/>
        </w:numPr>
        <w:rPr/>
      </w:pPr>
      <w:bookmarkStart w:id="652" w:name="__RefHeading___Toc1165855_1067777946"/>
      <w:bookmarkStart w:id="653" w:name="_Toc235"/>
      <w:bookmarkEnd w:id="651"/>
      <w:bookmarkEnd w:id="652"/>
      <w:r>
        <w:rPr>
          <w:rtl w:val="true"/>
        </w:rPr>
        <w:t xml:space="preserve">من هو المخاطب في قوله </w:t>
      </w:r>
      <w:r>
        <w:rPr>
          <w:rtl w:val="true"/>
        </w:rPr>
        <w:t xml:space="preserve">( </w:t>
      </w:r>
      <w:r>
        <w:rPr>
          <w:rtl w:val="true"/>
        </w:rPr>
        <w:t xml:space="preserve">وَأَنْ تَصُومُوا خَيْرٌ لَكُمْ </w:t>
      </w:r>
      <w:r>
        <w:rPr>
          <w:rtl w:val="true"/>
        </w:rPr>
        <w:t>)</w:t>
      </w:r>
      <w:r>
        <w:rPr>
          <w:rtl w:val="true"/>
        </w:rPr>
        <w:t>؟</w:t>
      </w:r>
      <w:bookmarkEnd w:id="653"/>
    </w:p>
    <w:p>
      <w:pPr>
        <w:pStyle w:val="BookText"/>
        <w:rPr/>
      </w:pPr>
      <w:r>
        <w:rPr>
          <w:rFonts w:ascii="Amiri" w:hAnsi="Amiri" w:eastAsia="Amiri" w:cs="Amiri"/>
          <w:color w:val="111111"/>
          <w:sz w:val="28"/>
          <w:sz w:val="28"/>
          <w:szCs w:val="28"/>
          <w:rtl w:val="true"/>
          <w:lang w:bidi="ar-SA"/>
        </w:rPr>
        <w:t xml:space="preserve">ثمّ إنّه سبحانه بعد ما بيّن أحكام الأصناف الأربعة خاطب عامة المؤمنين مرّة أخرى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تَصُومُوا خَيْرٌ لَكُمْ إِنْ كُنْتُمْ تَعْلَمُونَ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الخطاب على غرار الخطاب السابق ، أعني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كُتِبَ عَلَيْكُمُ الصِّيامُ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الخطابين انّ الخطاب السابق خطاب قبل التفصيل ودعوة إلى الصوم والخطاب اللاحق خطاب بعد تفصيل أحكام الأصناف الأربعة ، فتكون النتيجة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تصوموا أيّها المكلّفون على النحو المذكور في الآية خير لكم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الشاهد ، ويفطر المريض والمسافر ويصوم في أيّام أخر ويفدي المطيق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يقول بالرخصة في المريض والمسافر أو في خصوص المسافر يتخذ ذلك ذريعة للرخصة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الخطاب فيها لأهل الرخص ، وانّ الصيام في رمضان خير لهم من الترخّص بالإفطار </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يلاحظ عليه بأنّ التفسير نابع من محاولة إخضاع الآية على المذهب الفقهي ، وهو التخيير بين الصوم والإفطار ، ولكنّه غير تام لوجهين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صرف الخطاب العام إلى الصنف الخاص ، تفسير بلا دليل ومن شعب التفسير بالرأي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كان الخطاب لأهل الرخص كان اللازم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يصوم المسافر خير من الإفطار ويبيّن الحكم باللفظ الغائب ، لا بالخطاب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ـ كما مرّ ـ أنّه تأكيد على امتثال الفريضة وانّ الصوم خير ، فله أثره الجميل في النفس فان التنزّه عن الاسترسال في استيفاء اللذائذ الجسمانية ، وكبح جماح الشهوات يورث التقوى والتجافي عن الإخلاد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ولغاية الإيضاح نقول إنّ الآية الثانية ، تتشكل من أربع فقرأت بعد بيان انّ الواجب لا يتجاوز عن كونه أيّاما معدودات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مِنْكُمْ مَرِيضاً أَوْ عَلى سَفَرٍ فَعِدَّةٌ مِنْ أَيَّامٍ 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الَّذِينَ يُطِيقُونَهُ فِدْيَةٌ طَعامُ مِسْكِينٍ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تَطَوَّعَ خَيْراً فَهُوَ خَيْرٌ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تَصُومُوا خَيْرٌ لَكُمْ إِنْ كُنْتُمْ تَعْلَمُونَ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وجاءت الفقرات الثلاث الأول بصيغة الغائب بخلاف الأخيرة فجاءت بصيغة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دليل على أنّه منقطع عن المقاطع الثلاثة وتأكيد للخطاب الأوّل بعد التفصيل أعني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كُتِبَ عَلَيْكُمُ الصِّيامُ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سبحانه ذكر في الآية الثالثة جملا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اللهُ بِكُمُ الْيُسْرَ وَلا يُرِيدُ بِكُمُ الْعُسْرَ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بيان لحكمة رفع الصيام عن الأصناف الثلاثة ، أي أمروا بالإفطار لأجل اليسر ودفع العسر ، من غير فرق بين المريض والمسافر ومن يشق عليه </w:t>
      </w:r>
    </w:p>
    <w:p>
      <w:pPr>
        <w:pStyle w:val="BookText"/>
        <w:rPr/>
      </w:pPr>
      <w:r>
        <w:rPr>
          <w:rFonts w:ascii="Amiri" w:hAnsi="Amiri" w:eastAsia="Amiri" w:cs="Amiri"/>
          <w:color w:val="111111"/>
          <w:sz w:val="28"/>
          <w:sz w:val="28"/>
          <w:szCs w:val="28"/>
          <w:rtl w:val="true"/>
          <w:lang w:bidi="ar-SA"/>
        </w:rPr>
        <w:t>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وَلِتُكْمِلُوا الْعِدَّةَ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راجع إلى قضاء المريض والمسافر ، أي أنّ الموضوع عنهما هو حكم الصيام في شهر رمضان ، وأمّا القضاء بعدد الأيّام المعدودات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وَلِتُكَبِّرُوا اللهَ عَلى ما هَداكُمْ وَلَعَلَّكُمْ تَشْكُرُونَ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الجملة غاية أصل الصيام حيث إنّه سبحانه يطلب من عباده ، تكبيرة في مقابل هدايتهم حتّى يكونوا شاكرين لنعمه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تفسير الآيات الثلاث حسب ما يوحيه ظاهرها</w:t>
      </w:r>
      <w:r>
        <w:rPr>
          <w:rFonts w:eastAsia="Amiri" w:cs="Amiri" w:ascii="Amiri" w:hAnsi="Amiri"/>
          <w:color w:val="111111"/>
          <w:sz w:val="28"/>
          <w:szCs w:val="28"/>
          <w:rtl w:val="true"/>
          <w:lang w:bidi="ar-SA"/>
        </w:rPr>
        <w:t xml:space="preserve">. </w:t>
      </w:r>
      <w:bookmarkStart w:id="654" w:name="pg10144_71565"/>
    </w:p>
    <w:p>
      <w:pPr>
        <w:pStyle w:val="Heading4"/>
        <w:numPr>
          <w:ilvl w:val="3"/>
          <w:numId w:val="1"/>
        </w:numPr>
        <w:rPr/>
      </w:pPr>
      <w:bookmarkStart w:id="655" w:name="__RefHeading___Toc1165857_1067777946"/>
      <w:bookmarkStart w:id="656" w:name="_Toc236"/>
      <w:bookmarkEnd w:id="654"/>
      <w:bookmarkEnd w:id="655"/>
      <w:r>
        <w:rPr/>
        <w:t>2</w:t>
      </w:r>
      <w:r>
        <w:rPr>
          <w:rtl w:val="true"/>
        </w:rPr>
        <w:t xml:space="preserve">. </w:t>
      </w:r>
      <w:r>
        <w:rPr>
          <w:rtl w:val="true"/>
        </w:rPr>
        <w:t>السنّة وصوم رمضان في السفر</w:t>
      </w:r>
      <w:bookmarkEnd w:id="656"/>
    </w:p>
    <w:p>
      <w:pPr>
        <w:pStyle w:val="BookText"/>
        <w:rPr/>
      </w:pPr>
      <w:r>
        <w:rPr>
          <w:rFonts w:ascii="Amiri" w:hAnsi="Amiri" w:eastAsia="Amiri" w:cs="Amiri"/>
          <w:color w:val="111111"/>
          <w:sz w:val="28"/>
          <w:sz w:val="28"/>
          <w:szCs w:val="28"/>
          <w:rtl w:val="true"/>
          <w:lang w:bidi="ar-SA"/>
        </w:rPr>
        <w:t xml:space="preserve">قد عرفت قضاء الكتاب في مورد الصوم في السفر وانّ الواجب هو الإفطار والقضاء في أيّام أخر حسب ما أفطر ، فلنرجع إلى السنّة ولندرس الروايات الواردة ، وسيوافيك انّها تعاضد القرآن الكريم ولا تخالفه قيد شعرة بشرط الإمعان في مضامينها وأسنادها ، أمّا ما ورد عن طريق أئمّة أهل البيت عليهم السلام فهو متضافر لا يسعنا نقلها في المقام وإنّما نتبرّك بذكر بعضها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الكليني بسنده عن الزهري ، عن علي بن الحسين عليهما السلام في حديث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صوم السفر والمرض فإنّ العامة قد اختلفت في ذلك ، فقال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يصوم ،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صام وإن شاء أفطر ، وأمّا نحن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يفطر في الحالين جميعا ، فإن صام في حال السفر أو في حال المرض فعليه القضاء ، فان 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مِنْكُمْ مَرِيضاً أَوْ عَلى سَفَرٍ فَعِدَّةٌ مِنْ أَيَّامٍ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تفسير الصيام </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الكليني بسنده عن زرارة ، عن أبي جعفر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سمّى رسول </w:t>
      </w:r>
    </w:p>
    <w:p>
      <w:pPr>
        <w:pStyle w:val="BookText"/>
        <w:rPr/>
      </w:pPr>
      <w:r>
        <w:rPr>
          <w:rFonts w:ascii="Amiri" w:hAnsi="Amiri" w:eastAsia="Amiri" w:cs="Amiri"/>
          <w:color w:val="111111"/>
          <w:sz w:val="28"/>
          <w:sz w:val="28"/>
          <w:szCs w:val="28"/>
          <w:rtl w:val="true"/>
          <w:lang w:bidi="ar-SA"/>
        </w:rPr>
        <w:t xml:space="preserve">الله صلى الله عليه وآله وسلم قوما صاموا حين أفطر وقصّر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العصاة إلى يوم القيامة ، وانّا لنعرف أبناءهم وأبناء أبنائهم إلى يومنا هذا </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الكليني عن عبيد بن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شهد الشهر فليصمه ، وإن سافر فلا يصمه </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الكليني عن ابن أبي عمير ، عن بعض أصحابه ،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وجلّ تصدّق على مرضى أمّتي ومسافريها بالتقصير والإفطار ، أيسرّ أحدكم إذا تصدّق بصدقة ان ترد عليه </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الكليني عن عيص بن القاسم ، عن أبي عبد 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 الرجل في شهر رمضان مسافرا أفطر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صلى الله عليه وآله وسلم خرج من المدينة إلى مكة في شهر رمضان ومعه الناس وفيهم المشاة ، فلمّا انتهى إلى كراع الغميم دعا بقدح من ماء فيما بين الظهر والعصر فشرب وأفطر ثمّ أفطر الناس معه ، وثمّ أناس على صومهم فسمّاهم العصاة ، وإنّما يؤخذ بآخر أمر رسول الله 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742"/>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بعض ما روي عن أئمّة أهل البيت عليهم السلام ذكرناه ليكون نموذجا لما لم نذكر ، واقتصرنا بالقليل من الكثير ، ومن المعلوم أنّ أئمّة أهل البيت عليهم السلام أحد </w:t>
      </w:r>
    </w:p>
    <w:p>
      <w:pPr>
        <w:pStyle w:val="BookText"/>
        <w:rPr/>
      </w:pPr>
      <w:r>
        <w:rPr>
          <w:rFonts w:ascii="Amiri" w:hAnsi="Amiri" w:eastAsia="Amiri" w:cs="Amiri"/>
          <w:color w:val="111111"/>
          <w:sz w:val="28"/>
          <w:sz w:val="28"/>
          <w:szCs w:val="28"/>
          <w:rtl w:val="true"/>
          <w:lang w:bidi="ar-SA"/>
        </w:rPr>
        <w:t>الثقلين اللّذين تركهما الرسول بين الأمّة لصيانتها عن الضلالة فلا يعادل قولهم قول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حسن الحظ انّ روايات أهل السنّة توافق ما روي عن أئمّة أهل البيت عليهم السلام ، ونذكر منها 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الشيخان في صحيحيهما عن جابر بن عبد الله الأنصاري ، كان رسول الله في سفر فرأى زحاما ورجلا قد ظلّل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البر الصوم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لفظ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البر أن تصوموا في السفر</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إنّ البر في مصطلح القرآن هو العمل الحسن الذي يقابله الإثم ، يقول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وَتَعاوَنُوا عَلَى الْبِرِّ وَالتَّقْوى وَلا تَعاوَنُوا عَلَى الْإِثْمِ وَالْعُدْوانِ </w:t>
      </w:r>
      <w:r>
        <w:rPr>
          <w:rFonts w:eastAsia="Amiri" w:cs="Amiri" w:ascii="Amiri" w:hAnsi="Amiri"/>
          <w:color w:val="111111"/>
          <w:sz w:val="28"/>
          <w:szCs w:val="28"/>
          <w:rtl w:val="true"/>
          <w:lang w:bidi="ar-SA"/>
        </w:rPr>
        <w:t xml:space="preserve">) </w:t>
      </w:r>
      <w:r>
        <w:rPr>
          <w:rStyle w:val="FootnoteAnchor"/>
          <w:rtl w:val="true"/>
        </w:rPr>
        <w:footnoteReference w:id="744"/>
      </w:r>
      <w:r>
        <w:rPr>
          <w:rFonts w:ascii="Amiri" w:hAnsi="Amiri" w:eastAsia="Amiri" w:cs="Amiri"/>
          <w:color w:val="111111"/>
          <w:sz w:val="28"/>
          <w:sz w:val="28"/>
          <w:szCs w:val="28"/>
          <w:rtl w:val="true"/>
          <w:lang w:bidi="ar-SA"/>
        </w:rPr>
        <w:t>فإذا لم يكن الصوم في السفر برا فهو إثم ، وحكم الإثم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صلى الله عليه وآله وسلم وإن ورد فيمن وقع في حرج شديد ، لكن النبي صلى الله عليه وآله وسلم ضرب قاعدة كلية لمطلق الصائم في السفر ، سواء أكان عليه حرج أم لا ، بشهادة انّه لو كان الموضوع هو الصوم الحرجي لكان عليه التركيز عليه ويقول ليس من البر الصوم الحرجي أو يستشهد بقوله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منع عليه السلام في مثل حال ذلك الرجل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باطل لا يجوز ، لأنّ تلك الحال محرّم ، البلوغ إليها باختيار المرء </w:t>
      </w:r>
    </w:p>
    <w:p>
      <w:pPr>
        <w:pStyle w:val="BookText"/>
        <w:rPr/>
      </w:pPr>
      <w:r>
        <w:rPr>
          <w:rFonts w:ascii="Amiri" w:hAnsi="Amiri" w:eastAsia="Amiri" w:cs="Amiri"/>
          <w:color w:val="111111"/>
          <w:sz w:val="28"/>
          <w:sz w:val="28"/>
          <w:szCs w:val="28"/>
          <w:rtl w:val="true"/>
          <w:lang w:bidi="ar-SA"/>
        </w:rPr>
        <w:t>للصوم في الحضر كما هو في السفر ، فتخصيص النبي صلى الله عليه وآله وسلم بالمنع من الصيام في السفر إبطال لهذه الدعوى المفتراة عليه صلى الله عليه وآله وسلم وواجب أخذ كلامه عليه السلام على عمومه</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مسلم عن جابر بن عبد الله انّ رسول الله صلى الله عليه وآله وسلم خرج عام الفتح إلى مكة في رمضان فصام حتى بلغ كراع الغميم فصام الناس ، ثمّ دعا بقدح من ماء فرفعه حتّى نظر الناس إليه ثمّ شرب ، فقيل له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الناس قد صام؟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العصاة ، أولئك العصاة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من العصيان هو مخالفة أمر رسول الله صلى الله عليه وآله وسلم يقول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يَعْصِ اللهَ وَرَسُولَهُ فَقَدْ ضَلَّ ضَلالاً مُبِيناً </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والعجب ممّن يريد احياء مذهب إمامه يحمل الحديث على أنّ أمره صلى الله عليه وآله وسلم كان أمرا استحبابيا ، لكنّه بمعزل من الواقع ، فأين الاستحباب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العصاة ، أولئك العصاة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ابن ماجة عن عبد الرحمن بن عوف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صائم رمضان في السفر كالمفطر في الحضر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ودلالة الحديث على كون الإفطار عزيمة واضحة ، فإنّ الإفطار في السفر إذا كان إثما وحراما فيكون النازل منزلته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 في نفس هذا الشهر إثما وحراما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ابن ماجة عن أنس بن مالك ، عن رجل من بني عبد الأشهل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أغارت علينا خيل رسول الله صلى الله عليه وآله وسلم فأتيت رسول الله صلى الله عليه وآله وسلم وهو يتغدّى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ادن فكل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صائم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اجلس أحدّثك عن الصوم أو الصيام ، إنّ الله عزّ وجلّ وضع عن المسافر شطر الصلاة ، وعن المسافر والحامل والمرضع ، الصوم أو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قالهما النبي صلى الله عليه وآله وسلم كلتاهما أو إحداهما ، فيا لهف نفسي فهلاّ كنت طعمت من طعام رسول الله 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أبو داود انّ دحية بن خليفة خرج من قرية من دمشق إلى قدر قرية عقبة من الفسطاط ، وذلك ثلاثة أميال في رمضان ، ثمّ إنّه أفطر وأفطر معه أناس وكره آخرون أن يفطروا ، فلمّا رجع إلى قريته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رأيت اليوم أمرا ما كنت أظن أنّي أراه ، انّ قوما رغبوا عن هدى رسول الله صلى الله عليه وآله وسلم يقول ذلك للذين صاموا ثمّ قال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اقبضني إليك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بعض ما يستدلّ به على كون الإفطار عزيمة ، وقد تركنا البعض الآخر لما استوفينا البحث في نقل الروايات الواردة في الصحاح والسنن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البدعة </w:t>
      </w:r>
      <w:r>
        <w:rPr>
          <w:rFonts w:eastAsia="Amiri" w:cs="Amiri" w:ascii="Amiri" w:hAnsi="Amiri"/>
          <w:color w:val="111111"/>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 فمن أراد التبسط فليرجع إليه</w:t>
      </w:r>
      <w:r>
        <w:rPr>
          <w:rFonts w:eastAsia="Amiri" w:cs="Amiri" w:ascii="Amiri" w:hAnsi="Amiri"/>
          <w:color w:val="111111"/>
          <w:sz w:val="28"/>
          <w:szCs w:val="28"/>
          <w:rtl w:val="true"/>
          <w:lang w:bidi="ar-SA"/>
        </w:rPr>
        <w:t xml:space="preserve">. </w:t>
      </w:r>
      <w:bookmarkStart w:id="657" w:name="pg10144_71570"/>
    </w:p>
    <w:p>
      <w:pPr>
        <w:pStyle w:val="Heading4"/>
        <w:numPr>
          <w:ilvl w:val="3"/>
          <w:numId w:val="1"/>
        </w:numPr>
        <w:rPr/>
      </w:pPr>
      <w:bookmarkStart w:id="658" w:name="__RefHeading___Toc1165859_1067777946"/>
      <w:bookmarkStart w:id="659" w:name="_Toc237"/>
      <w:bookmarkEnd w:id="657"/>
      <w:bookmarkEnd w:id="658"/>
      <w:r>
        <w:rPr/>
        <w:t>3</w:t>
      </w:r>
      <w:r>
        <w:rPr>
          <w:rtl w:val="true"/>
        </w:rPr>
        <w:t xml:space="preserve">. </w:t>
      </w:r>
      <w:r>
        <w:rPr>
          <w:rtl w:val="true"/>
        </w:rPr>
        <w:t>ما اتّخذ ذريعة لجواز الصوم في السفر</w:t>
      </w:r>
      <w:bookmarkEnd w:id="659"/>
    </w:p>
    <w:p>
      <w:pPr>
        <w:pStyle w:val="Heading5"/>
        <w:numPr>
          <w:ilvl w:val="4"/>
          <w:numId w:val="1"/>
        </w:numPr>
        <w:rPr/>
      </w:pPr>
      <w:bookmarkStart w:id="660" w:name="__RefHeading___Toc1165861_1067777946"/>
      <w:bookmarkStart w:id="661" w:name="_Toc238"/>
      <w:bookmarkEnd w:id="660"/>
      <w:r>
        <w:rPr>
          <w:rtl w:val="true"/>
        </w:rPr>
        <w:t>اشارة</w:t>
      </w:r>
      <w:bookmarkEnd w:id="661"/>
    </w:p>
    <w:p>
      <w:pPr>
        <w:pStyle w:val="BookText"/>
        <w:rPr/>
      </w:pPr>
      <w:r>
        <w:rPr>
          <w:rFonts w:ascii="Amiri" w:hAnsi="Amiri" w:eastAsia="Amiri" w:cs="Amiri"/>
          <w:color w:val="111111"/>
          <w:sz w:val="28"/>
          <w:sz w:val="28"/>
          <w:szCs w:val="28"/>
          <w:rtl w:val="true"/>
          <w:lang w:bidi="ar-SA"/>
        </w:rPr>
        <w:t>إنّ هنا روايات يتمسّك بها على أنّ الإفطار رخصة وانّ المكلّف مخيّر بينه وبين الصيام وقبل الخوض في المقام نلفت نظر القارئ إلى أمور ثلاثة يظهر بالإمعان فيها حال بعض ما روي في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البحث مركّز على حكم صيام شهر رمضان في السفر ، وانّ الإفطار عزيمة أو رخصة وامّا صيام غيره في السفر فخارج عن موضوع البحث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النبي صلى الله عليه وآله وسلم أمر بالإفطار في عام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الثامنة من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الحكم قبله على الجواز ، فلو دلّ حديث عليه فإنّما يصحّ الاستدلال به إذا ورد بعد عام الفتح ، وإلاّ فالجواز قبل الفتح ليس موردا للنقاش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افترضنا دلالة الروايات على التخيير فتقع المعارضة بين الآمرة بالإفطار والحاكمة على التخيير ، فلا بدّ من الرجوع إلى المرجّحات فما وافق الكتاب فهو الحجّة دون ما خالف</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ضوء هذه الأمور ندرس الروايات المجوّزة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المجوّزة على أصناف </w:t>
      </w:r>
      <w:r>
        <w:rPr>
          <w:rFonts w:eastAsia="Amiri" w:cs="Amiri" w:ascii="Amiri" w:hAnsi="Amiri"/>
          <w:color w:val="111111"/>
          <w:sz w:val="28"/>
          <w:szCs w:val="28"/>
          <w:rtl w:val="true"/>
          <w:lang w:bidi="ar-SA"/>
        </w:rPr>
        <w:t xml:space="preserve">: </w:t>
      </w:r>
      <w:bookmarkStart w:id="662" w:name="pg10144_71571"/>
    </w:p>
    <w:p>
      <w:pPr>
        <w:pStyle w:val="Heading5"/>
        <w:numPr>
          <w:ilvl w:val="4"/>
          <w:numId w:val="1"/>
        </w:numPr>
        <w:rPr/>
      </w:pPr>
      <w:bookmarkStart w:id="663" w:name="__RefHeading___Toc1165863_1067777946"/>
      <w:bookmarkStart w:id="664" w:name="_Toc239"/>
      <w:bookmarkEnd w:id="662"/>
      <w:bookmarkEnd w:id="663"/>
      <w:r>
        <w:rPr>
          <w:rtl w:val="true"/>
        </w:rPr>
        <w:t>أ</w:t>
      </w:r>
      <w:r>
        <w:rPr>
          <w:rtl w:val="true"/>
        </w:rPr>
        <w:t xml:space="preserve">. </w:t>
      </w:r>
      <w:r>
        <w:rPr>
          <w:rtl w:val="true"/>
        </w:rPr>
        <w:t>ما ليس صريحا في شهر رمضان</w:t>
      </w:r>
      <w:bookmarkEnd w:id="6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البخاري عن عائشة انّ حمزة بن عمرو الأسلمي قال للنبي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أصوم في السفر ـ وكان كثير الصيام ـ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شئت فصم ، وإن شئت فأفطر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كثير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أن يكون قرينة على أنّ السؤال كان عن الصوم المندوب ، ولو لم يكن قرينة فالحديث ليس صريحا في صيام شهر رمضان ، وما لم يكن كذلك لا يحتجّ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أخرجه البخاري بسنده عن أبي الدرداء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النبي صلى الله عليه وآله وسلم في بعض أسفاره في يوم حار حتّى يضع الرجل يده على رأسه من شدة الحرّ وما فينا صائم إلاّ ما كان من النبي صلى الله عليه وآله وسلم وابن رواحة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في الرواية السابقة من عدم ظهور الرواية في صوم شهر رمضان ، ومعه لا يحتجّ به ، مع أنّه يحتمل أن يكون صومه قبل عام الفتح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البخاري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نسافر مع النبي صلى الله عليه وآله وسلم فلم يعب الصائم على المفطر ولا المفطر على الصائم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صريحا في شهر رمضان ـ مضافا ـ إلى سكوت الصحابة ليس حجّة شرعية وليس بعد نبوة النبي صلى الله عليه وآله وسلم نبوة تشريعية حتّى يكون تقريرهم حجّة</w:t>
      </w:r>
      <w:r>
        <w:rPr>
          <w:rFonts w:eastAsia="Amiri" w:cs="Amiri" w:ascii="Amiri" w:hAnsi="Amiri"/>
          <w:color w:val="111111"/>
          <w:sz w:val="28"/>
          <w:szCs w:val="28"/>
          <w:rtl w:val="true"/>
          <w:lang w:bidi="ar-SA"/>
        </w:rPr>
        <w:t xml:space="preserve">. </w:t>
      </w:r>
      <w:bookmarkStart w:id="665" w:name="pg10144_71572"/>
    </w:p>
    <w:p>
      <w:pPr>
        <w:pStyle w:val="BookText"/>
        <w:rPr/>
      </w:pPr>
      <w:bookmarkEnd w:id="665"/>
      <w:r>
        <w:rPr>
          <w:rFonts w:ascii="Amiri" w:hAnsi="Amiri" w:eastAsia="Amiri" w:cs="Amiri"/>
          <w:color w:val="111111"/>
          <w:sz w:val="28"/>
          <w:sz w:val="28"/>
          <w:szCs w:val="28"/>
          <w:rtl w:val="true"/>
          <w:lang w:bidi="ar-SA"/>
        </w:rPr>
        <w:t xml:space="preserve">على أنّه يحتمل أن يكون ذلك قبل يوم الفتح ، وقد عرفت أنّ النبي صلى الله عليه وآله وسلم ندّد بمن لم يفطر في ذلك اليوم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العصاة ، أولئك العصاة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مسلم بسنده عن طاوس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تعب على من صام ولا على من أفطر ، فقد صام رسول الله صلى الله عليه وآله وسلم في السفر وأفطر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وليس الحديث صريحا في شهر رمضان ولا ظاهرا فيه ، على أنّه يمكن أن يكون قبل الفتح ، ومنه يظهر ما نقله مسلم في صحيحه </w:t>
      </w:r>
      <w:r>
        <w:rPr>
          <w:rStyle w:val="FootnoteAnchor"/>
          <w:rtl w:val="true"/>
        </w:rPr>
        <w:footnoteReference w:id="749"/>
      </w:r>
      <w:r>
        <w:rPr>
          <w:rFonts w:ascii="Amiri" w:hAnsi="Amiri" w:eastAsia="Amiri" w:cs="Amiri"/>
          <w:color w:val="111111"/>
          <w:sz w:val="28"/>
          <w:sz w:val="28"/>
          <w:szCs w:val="28"/>
          <w:rtl w:val="true"/>
          <w:lang w:bidi="ar-SA"/>
        </w:rPr>
        <w:t xml:space="preserve">وما ذكره ابن حزم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 xml:space="preserve">. </w:t>
      </w:r>
      <w:r>
        <w:rPr>
          <w:rStyle w:val="FootnoteAnchor"/>
          <w:rtl w:val="true"/>
        </w:rPr>
        <w:footnoteReference w:id="750"/>
      </w:r>
    </w:p>
    <w:p>
      <w:pPr>
        <w:pStyle w:val="Heading5"/>
        <w:numPr>
          <w:ilvl w:val="4"/>
          <w:numId w:val="1"/>
        </w:numPr>
        <w:rPr/>
      </w:pPr>
      <w:bookmarkStart w:id="666" w:name="__RefHeading___Toc1165865_1067777946"/>
      <w:bookmarkStart w:id="667" w:name="_Toc240"/>
      <w:bookmarkEnd w:id="666"/>
      <w:r>
        <w:rPr>
          <w:rtl w:val="true"/>
        </w:rPr>
        <w:t xml:space="preserve">ب </w:t>
      </w:r>
      <w:r>
        <w:rPr>
          <w:rtl w:val="true"/>
        </w:rPr>
        <w:t xml:space="preserve">: </w:t>
      </w:r>
      <w:r>
        <w:rPr>
          <w:rtl w:val="true"/>
        </w:rPr>
        <w:t>ما هو صريح في شهر رمضان وليس صريحا في ما بعد الفتح</w:t>
      </w:r>
      <w:bookmarkEnd w:id="66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مسلم في صحيحه عن أبي سعيد ـ رضي الله عنه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نسافر مع رسول الله صلى الله عليه وآله وسلم رمضان فما يعاب على الصائم صومه ولا على المفطر إفطاره</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عن أنس ـ رضي الله عنه ـ عن صوم رمضان في السفر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سافرنا مع رسول الله صلى الله عليه وآله وسلم في رمضان فلم يعب الصائم على المفطر ولا المفطر على الصائم</w:t>
      </w:r>
      <w:r>
        <w:rPr>
          <w:rFonts w:eastAsia="Amiri" w:cs="Amiri" w:ascii="Amiri" w:hAnsi="Amiri"/>
          <w:color w:val="111111"/>
          <w:sz w:val="28"/>
          <w:szCs w:val="28"/>
          <w:rtl w:val="true"/>
          <w:lang w:bidi="ar-SA"/>
        </w:rPr>
        <w:t xml:space="preserve">. </w:t>
      </w:r>
      <w:r>
        <w:rPr>
          <w:rStyle w:val="FootnoteAnchor"/>
          <w:rtl w:val="true"/>
        </w:rPr>
        <w:footnoteReference w:id="752"/>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سافر رسول الله صلى الله عليه وآله وسلم مرّة في شهر رمضان في غزوة بدر ، وأخرى في عام الفتح ، فلعلّ الحديثين ناظران إلى سفره صلى الله عليه وآله وسلم في شهر رمضان في غزوة بدر ، وإلاّ فهو صلى الله عليه وآله وسلم قد ندّد بمن تخلّف وصام في رمضان عام الفتح وسمّاهم </w:t>
      </w:r>
      <w:bookmarkStart w:id="668" w:name="pg10144_71573"/>
    </w:p>
    <w:p>
      <w:pPr>
        <w:pStyle w:val="BookText"/>
        <w:rPr/>
      </w:pPr>
      <w:bookmarkEnd w:id="668"/>
      <w:r>
        <w:rPr>
          <w:rFonts w:ascii="Amiri" w:hAnsi="Amiri" w:eastAsia="Amiri" w:cs="Amiri"/>
          <w:color w:val="111111"/>
          <w:sz w:val="28"/>
          <w:sz w:val="28"/>
          <w:szCs w:val="28"/>
          <w:rtl w:val="true"/>
          <w:lang w:bidi="ar-SA"/>
        </w:rPr>
        <w:t>عصاة ، والحديثان شاهدان على أنّ ما دلّ على الجواز ، فإنّما يرجع إلى ما قبل الفتح لا فيه ولا بعده</w:t>
      </w:r>
      <w:r>
        <w:rPr>
          <w:rFonts w:eastAsia="Amiri" w:cs="Amiri" w:ascii="Amiri" w:hAnsi="Amiri"/>
          <w:color w:val="111111"/>
          <w:sz w:val="28"/>
          <w:szCs w:val="28"/>
          <w:rtl w:val="true"/>
          <w:lang w:bidi="ar-SA"/>
        </w:rPr>
        <w:t>.</w:t>
      </w:r>
    </w:p>
    <w:p>
      <w:pPr>
        <w:pStyle w:val="Heading5"/>
        <w:numPr>
          <w:ilvl w:val="4"/>
          <w:numId w:val="1"/>
        </w:numPr>
        <w:rPr/>
      </w:pPr>
      <w:bookmarkStart w:id="669" w:name="__RefHeading___Toc1165867_1067777946"/>
      <w:bookmarkStart w:id="670" w:name="_Toc241"/>
      <w:bookmarkEnd w:id="669"/>
      <w:r>
        <w:rPr>
          <w:rtl w:val="true"/>
        </w:rPr>
        <w:t xml:space="preserve">ج </w:t>
      </w:r>
      <w:r>
        <w:rPr>
          <w:rtl w:val="true"/>
        </w:rPr>
        <w:t xml:space="preserve">: </w:t>
      </w:r>
      <w:r>
        <w:rPr>
          <w:rtl w:val="true"/>
        </w:rPr>
        <w:t>ما هو ضعيف سندا لا يحتجّ به</w:t>
      </w:r>
      <w:bookmarkEnd w:id="670"/>
    </w:p>
    <w:p>
      <w:pPr>
        <w:pStyle w:val="BookText"/>
        <w:rPr/>
      </w:pPr>
      <w:r>
        <w:rPr>
          <w:rFonts w:ascii="Amiri" w:hAnsi="Amiri" w:eastAsia="Amiri" w:cs="Amiri"/>
          <w:color w:val="111111"/>
          <w:sz w:val="28"/>
          <w:sz w:val="28"/>
          <w:szCs w:val="28"/>
          <w:rtl w:val="true"/>
          <w:lang w:bidi="ar-SA"/>
        </w:rPr>
        <w:t xml:space="preserve">وهناك روايات ضعاف لا يحتج بها ، نذكر منها نموذجين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روي عن العطريف بن هارون 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رجلين سافرا فصام أحدهما وأفطر الآخر ، فذكرا ذلك لرسول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كلاكما أصاب</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روي مرسلا عن أبي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وآله وسلم أمر أن ينادى في الناس من شاء صام ومن شاء أفطر</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والرواية مرسلة لا يحتجّ به</w:t>
      </w:r>
      <w:r>
        <w:rPr>
          <w:rFonts w:eastAsia="Amiri" w:cs="Amiri" w:ascii="Amiri" w:hAnsi="Amiri"/>
          <w:color w:val="111111"/>
          <w:sz w:val="28"/>
          <w:szCs w:val="28"/>
          <w:rtl w:val="true"/>
          <w:lang w:bidi="ar-SA"/>
        </w:rPr>
        <w:t xml:space="preserve">.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كما أنّ ما رواه ابن حزم عن عائشة </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كانت تصوم في السفر وتتم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 منها لا يحتجّ به إذا صامت في شهر رمضان بعد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الروايات بين ما هي غير صريحة في كون الصيام كان صيام شهر رمضان أو صريح في كونه في شهر رمضان لكن ليس صريحا فيما بعد الفتح وبين ما هي ضعيفة سندا لا يحتج بها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افترضنا دلالة هذه الروايات على الرخصة فتقع المعارضة بينها وبين ما دلّت بصراحتها على أنّ الإفطار عزيمة وعندئذ يقع التعارض بينهما فتصل النوبة إلى المرجّحات ، وأولى المرجّحات هو موافقة الكتاب ، ومن المعلوم انّ الطائفة الأولى توافق الكتاب وقد عرفت دلالة الكتاب على أنّ الإفطار عزيمة</w:t>
      </w:r>
      <w:r>
        <w:rPr>
          <w:rFonts w:eastAsia="Amiri" w:cs="Amiri" w:ascii="Amiri" w:hAnsi="Amiri"/>
          <w:color w:val="111111"/>
          <w:sz w:val="28"/>
          <w:szCs w:val="28"/>
          <w:rtl w:val="true"/>
          <w:lang w:bidi="ar-SA"/>
        </w:rPr>
        <w:t xml:space="preserve">. </w:t>
      </w:r>
      <w:bookmarkStart w:id="671" w:name="pg10144_71574"/>
    </w:p>
    <w:p>
      <w:pPr>
        <w:pStyle w:val="Heading2"/>
        <w:numPr>
          <w:ilvl w:val="1"/>
          <w:numId w:val="1"/>
        </w:numPr>
        <w:rPr/>
      </w:pPr>
      <w:bookmarkStart w:id="672" w:name="__RefHeading___Toc1165869_1067777946"/>
      <w:bookmarkStart w:id="673" w:name="_Toc242"/>
      <w:bookmarkEnd w:id="671"/>
      <w:bookmarkEnd w:id="672"/>
      <w:r>
        <w:rPr/>
        <w:t>10</w:t>
      </w:r>
      <w:r>
        <w:rPr>
          <w:rtl w:val="true"/>
        </w:rPr>
        <w:t xml:space="preserve">. </w:t>
      </w:r>
      <w:r>
        <w:rPr>
          <w:rtl w:val="true"/>
        </w:rPr>
        <w:t>صلاة التراويح</w:t>
      </w:r>
      <w:bookmarkEnd w:id="673"/>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4" w:name="__RefHeading___Toc1165871_1067777946"/>
      <w:bookmarkStart w:id="675" w:name="_Toc243"/>
      <w:bookmarkEnd w:id="674"/>
      <w:r>
        <w:rPr>
          <w:rtl w:val="true"/>
        </w:rPr>
        <w:t>اشارة</w:t>
      </w:r>
      <w:bookmarkEnd w:id="675"/>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6" w:name="pg10144_71576"/>
      <w:bookmarkStart w:id="677" w:name="pg10144_71576"/>
      <w:bookmarkEnd w:id="677"/>
    </w:p>
    <w:p>
      <w:pPr>
        <w:pStyle w:val="BookText"/>
        <w:rPr/>
      </w:pPr>
      <w:bookmarkStart w:id="678" w:name="pg10144_71576"/>
      <w:bookmarkEnd w:id="678"/>
      <w:r>
        <w:rPr>
          <w:rFonts w:ascii="Amiri" w:hAnsi="Amiri" w:eastAsia="Amiri" w:cs="Amiri"/>
          <w:color w:val="111111"/>
          <w:sz w:val="28"/>
          <w:sz w:val="28"/>
          <w:szCs w:val="28"/>
          <w:rtl w:val="true"/>
          <w:lang w:bidi="ar-SA"/>
        </w:rPr>
        <w:t>صلاة التراويح</w:t>
      </w:r>
    </w:p>
    <w:p>
      <w:pPr>
        <w:pStyle w:val="BookText"/>
        <w:rPr/>
      </w:pPr>
      <w:r>
        <w:rPr>
          <w:rFonts w:ascii="Amiri" w:hAnsi="Amiri" w:eastAsia="Amiri" w:cs="Amiri"/>
          <w:color w:val="111111"/>
          <w:sz w:val="28"/>
          <w:sz w:val="28"/>
          <w:szCs w:val="28"/>
          <w:rtl w:val="true"/>
          <w:lang w:bidi="ar-SA"/>
        </w:rPr>
        <w:t xml:space="preserve">إنّ التهجّد في ليالي شهر رمضان سنّة مؤكّدة ، ورد في حديث الرسول صلى الله عليه وآله وسلم وأئمّة أهل البيت عليهم السلام حسب ما يوافيك بيانه ، والتهجّد فيها بنوافلها من أفضل المسنونات والمندوبات ، وقد سنّها رسول الله صلى الله عليه وآله وسلم ، والهدف الذي يستعقبه هذا المقال هو البحث في جواز إقامتها جماعة وعدمه ، ويتجلّى ما هو الحقّ ضمن أمور </w:t>
      </w:r>
      <w:r>
        <w:rPr>
          <w:rFonts w:eastAsia="Amiri" w:cs="Amiri" w:ascii="Amiri" w:hAnsi="Amiri"/>
          <w:color w:val="111111"/>
          <w:sz w:val="28"/>
          <w:szCs w:val="28"/>
          <w:rtl w:val="true"/>
          <w:lang w:bidi="ar-SA"/>
        </w:rPr>
        <w:t>:</w:t>
      </w:r>
    </w:p>
    <w:p>
      <w:pPr>
        <w:pStyle w:val="Heading3"/>
        <w:numPr>
          <w:ilvl w:val="2"/>
          <w:numId w:val="1"/>
        </w:numPr>
        <w:rPr/>
      </w:pPr>
      <w:bookmarkStart w:id="679" w:name="__RefHeading___Toc1165873_1067777946"/>
      <w:bookmarkStart w:id="680" w:name="_Toc244"/>
      <w:bookmarkEnd w:id="679"/>
      <w:r>
        <w:rPr/>
        <w:t>1</w:t>
      </w:r>
      <w:r>
        <w:rPr>
          <w:rtl w:val="true"/>
        </w:rPr>
        <w:t xml:space="preserve">. </w:t>
      </w:r>
      <w:r>
        <w:rPr>
          <w:rtl w:val="true"/>
        </w:rPr>
        <w:t>التراويح لغة واصطلاحا</w:t>
      </w:r>
      <w:bookmarkEnd w:id="680"/>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التراويح جمع ترويحة ، وهي مأخوذة من الراحة بمعنى زوال المشقة والتعب ، والترويحة في الأصل اسم للجلسة مطلقة ، وسمّيت الجلسة التي بعد أربع ركعات في ليالي رمضان بالترويحة ، لاستراحة القوم بعد كلّ أربع ركعات ، وهي المرّة الواحدة من الراحة ، مثل تسليمة من السّلام</w:t>
      </w:r>
      <w:r>
        <w:rPr>
          <w:rFonts w:eastAsia="Amiri" w:cs="Amiri" w:ascii="Amiri" w:hAnsi="Amiri"/>
          <w:color w:val="111111"/>
          <w:sz w:val="28"/>
          <w:szCs w:val="28"/>
          <w:rtl w:val="true"/>
          <w:lang w:bidi="ar-SA"/>
        </w:rPr>
        <w:t xml:space="preserve">. </w:t>
      </w:r>
      <w:r>
        <w:rPr>
          <w:rStyle w:val="FootnoteAnchor"/>
          <w:rtl w:val="true"/>
        </w:rPr>
        <w:footnoteReference w:id="757"/>
      </w:r>
      <w:bookmarkStart w:id="681" w:name="pg10144_71577"/>
    </w:p>
    <w:p>
      <w:pPr>
        <w:pStyle w:val="Heading3"/>
        <w:numPr>
          <w:ilvl w:val="2"/>
          <w:numId w:val="1"/>
        </w:numPr>
        <w:rPr/>
      </w:pPr>
      <w:bookmarkStart w:id="682" w:name="__RefHeading___Toc1165875_1067777946"/>
      <w:bookmarkStart w:id="683" w:name="_Toc245"/>
      <w:bookmarkEnd w:id="681"/>
      <w:bookmarkEnd w:id="682"/>
      <w:r>
        <w:rPr/>
        <w:t>2</w:t>
      </w:r>
      <w:r>
        <w:rPr>
          <w:rtl w:val="true"/>
        </w:rPr>
        <w:t xml:space="preserve">. </w:t>
      </w:r>
      <w:r>
        <w:rPr>
          <w:rtl w:val="true"/>
        </w:rPr>
        <w:t>قيام ليالي رمضان بالتطوع</w:t>
      </w:r>
      <w:bookmarkEnd w:id="683"/>
    </w:p>
    <w:p>
      <w:pPr>
        <w:pStyle w:val="Heading4"/>
        <w:numPr>
          <w:ilvl w:val="3"/>
          <w:numId w:val="1"/>
        </w:numPr>
        <w:rPr/>
      </w:pPr>
      <w:bookmarkStart w:id="684" w:name="__RefHeading___Toc1165877_1067777946"/>
      <w:bookmarkStart w:id="685" w:name="_Toc246"/>
      <w:bookmarkEnd w:id="684"/>
      <w:r>
        <w:rPr>
          <w:rtl w:val="true"/>
        </w:rPr>
        <w:t>سنّة مؤكّدة</w:t>
      </w:r>
      <w:bookmarkEnd w:id="685"/>
    </w:p>
    <w:p>
      <w:pPr>
        <w:pStyle w:val="BookText"/>
        <w:rPr/>
      </w:pPr>
      <w:r>
        <w:rPr>
          <w:rFonts w:ascii="Amiri" w:hAnsi="Amiri" w:eastAsia="Amiri" w:cs="Amiri"/>
          <w:color w:val="111111"/>
          <w:sz w:val="28"/>
          <w:sz w:val="28"/>
          <w:szCs w:val="28"/>
          <w:rtl w:val="true"/>
          <w:lang w:bidi="ar-SA"/>
        </w:rPr>
        <w:t xml:space="preserve">أنّ قيام ليالي شهر رمضان سنّة مؤكدة </w:t>
      </w:r>
      <w:r>
        <w:rPr>
          <w:rStyle w:val="FootnoteAnchor"/>
          <w:rtl w:val="true"/>
        </w:rPr>
        <w:footnoteReference w:id="758"/>
      </w:r>
      <w:r>
        <w:rPr>
          <w:rFonts w:ascii="Amiri" w:hAnsi="Amiri" w:eastAsia="Amiri" w:cs="Amiri"/>
          <w:color w:val="111111"/>
          <w:sz w:val="28"/>
          <w:sz w:val="28"/>
          <w:szCs w:val="28"/>
          <w:rtl w:val="true"/>
          <w:lang w:bidi="ar-SA"/>
        </w:rPr>
        <w:t>حثّ عليه رسول الله صلى الله عليه وآله وسلم في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البخاري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لرمضان من قامه إيمانا واحتسابا غفر له ما تقدّم من ذنبه</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مسلم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رمضان إيمانا واحتسابا غفر له ما تقدّم من ذنبه ، ومن قام ليلة القدر إيمانا واحتسابا غفر له ما تقدّم من ذنبه</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الشيخ الطوسي بإسناده عن أبي الورد ، عن أبي جعفر الباقر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 رسول الله صلى الله عليه وآله وسلم الناس في آخر جمعة من شعبان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انّه قد أظلّكم شهر ، فيه ليلة خير من ألف شهر ، وهو شهر </w:t>
      </w:r>
    </w:p>
    <w:p>
      <w:pPr>
        <w:pStyle w:val="BookText"/>
        <w:rPr/>
      </w:pPr>
      <w:r>
        <w:rPr>
          <w:rFonts w:ascii="Amiri" w:hAnsi="Amiri" w:eastAsia="Amiri" w:cs="Amiri"/>
          <w:color w:val="111111"/>
          <w:sz w:val="28"/>
          <w:sz w:val="28"/>
          <w:szCs w:val="28"/>
          <w:rtl w:val="true"/>
          <w:lang w:bidi="ar-SA"/>
        </w:rPr>
        <w:t>رمضان ، فرض الله صيامه ، وجعل قيام ليلة فيه بتطوع صلاة ، كمن تطوع بصلاة سبعين ليلة فيما سواه من الشهور ، وجعل لمن تطوع فيه بخصلة من خصال الخير والبر ، كأجر من أدّى فريضة من فرائض الله عزّ وجلّ ، ومن أدّى فيه فريضة من فرائض الله عزّ وجلّ كان كمن أدّى سبعين فريضة من فرائض الله فيما سواه من الشهور</w:t>
      </w:r>
      <w:r>
        <w:rPr>
          <w:rFonts w:eastAsia="Amiri" w:cs="Amiri" w:ascii="Amiri" w:hAnsi="Amiri"/>
          <w:color w:val="111111"/>
          <w:sz w:val="28"/>
          <w:szCs w:val="28"/>
          <w:rtl w:val="true"/>
          <w:lang w:bidi="ar-SA"/>
        </w:rPr>
        <w:t xml:space="preserve">. ». </w:t>
      </w:r>
      <w:r>
        <w:rPr>
          <w:rStyle w:val="FootnoteAnchor"/>
          <w:rtl w:val="true"/>
        </w:rPr>
        <w:footnoteReference w:id="76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الشيخ عن يونس بن عبد الرحمن ، عن محمد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فسأل هل يزاد في شهر رمضان في صلاة النوافل؟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قد كان رسول الله صلى الله عليه وآله وسلم يصلّي بعد العتمة في مصلاّه فيكثر </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الشيخ عن علي بن أبي حمزة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عبد الله عليه السلام فقال له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الصلاة في رمضان؟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لرمضان لحرمة وحقا لا يشبهه شيء من الشهور ، صلّ ما استطعت في رمضان تطوعا بالليل والنهار ، وإن استطعت في كلّ يوم وليلة ألف ركعة فصلّ انّ عليا عليه السلام كان في آخر عمره يصلّي في كلّ يوم وليلة ألف ركعة ، فصلّ يا أبا محمد زيادة في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جعلت فداك؟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عشرين ليلة تمضي في كلّ ليلة عشرين ركعة ، ثماني ركعات قبل العتمة واثنتي عشرة بعدها سوى ما كنت تصلي قبل ذلك ، فإذا دخل العشر الأواخر فصلّ ثلاثين ركعة كلّ ليلة ، ثمان قبل العتمة واثنتين وعشرين بعد العتمة سوى ما كنت تفعل قبل ذلك </w:t>
      </w:r>
      <w:r>
        <w:rPr>
          <w:rFonts w:eastAsia="Amiri" w:cs="Amiri" w:ascii="Amiri" w:hAnsi="Amiri"/>
          <w:color w:val="111111"/>
          <w:sz w:val="28"/>
          <w:szCs w:val="28"/>
          <w:rtl w:val="true"/>
          <w:lang w:bidi="ar-SA"/>
        </w:rPr>
        <w:t xml:space="preserve">». </w:t>
      </w:r>
      <w:r>
        <w:rPr>
          <w:rStyle w:val="FootnoteAnchor"/>
          <w:rtl w:val="true"/>
        </w:rPr>
        <w:footnoteReference w:id="763"/>
      </w:r>
      <w:bookmarkStart w:id="686" w:name="pg10144_71579"/>
    </w:p>
    <w:p>
      <w:pPr>
        <w:pStyle w:val="Heading3"/>
        <w:numPr>
          <w:ilvl w:val="2"/>
          <w:numId w:val="1"/>
        </w:numPr>
        <w:rPr/>
      </w:pPr>
      <w:bookmarkStart w:id="687" w:name="__RefHeading___Toc1165879_1067777946"/>
      <w:bookmarkStart w:id="688" w:name="_Toc247"/>
      <w:bookmarkEnd w:id="686"/>
      <w:bookmarkEnd w:id="687"/>
      <w:r>
        <w:rPr/>
        <w:t>3</w:t>
      </w:r>
      <w:r>
        <w:rPr>
          <w:rtl w:val="true"/>
        </w:rPr>
        <w:t xml:space="preserve">. </w:t>
      </w:r>
      <w:r>
        <w:rPr>
          <w:rtl w:val="true"/>
        </w:rPr>
        <w:t>خير صلاة المرء في بيته إلاّ المكتوبة</w:t>
      </w:r>
      <w:bookmarkEnd w:id="688"/>
    </w:p>
    <w:p>
      <w:pPr>
        <w:pStyle w:val="BookText"/>
        <w:rPr/>
      </w:pPr>
      <w:r>
        <w:rPr>
          <w:rFonts w:ascii="Amiri" w:hAnsi="Amiri" w:eastAsia="Amiri" w:cs="Amiri"/>
          <w:color w:val="111111"/>
          <w:sz w:val="28"/>
          <w:sz w:val="28"/>
          <w:szCs w:val="28"/>
          <w:rtl w:val="true"/>
          <w:lang w:bidi="ar-SA"/>
        </w:rPr>
        <w:t xml:space="preserve">أخرج أصحاب الصحاح والسنن عن النبي صلى الله عليه وآله وسلم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صلاة المرء في بيته إلاّ الصلاة المكتوبة ، وانّ للمرء أن يجعل للبيت نصيبا من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اخرج مسلم عن ابن عمر ، عن النبي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اجعلوا من صلاتكم في بيوتكم ولا تتّخذوها قبورا </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أيضا عنه عن النبي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صلّوا في بيوتكم ولا تتّخذوها قبورا </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أيضا عن جابر قال ، 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قضى أحدكم الصلاة في مسجده فليجعل لبيته نصيبا من صلاته ، فان الله جاعل في بيته من صلاته خيرا </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مسلم عن أبي موسى ، عن النبي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البيت الذي يذكر الله فيه والبيت الذي لا يذكر الله فيه مثل الحي والميت </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مسلم عن زيد بن ثابت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احتجر رسول الله صلى الله عليه وآله وسلم حجيرة بخصفة أو حصير فخرج رسول الله يصلّي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فتتبع إليه رجال وجاءوا </w:t>
      </w:r>
    </w:p>
    <w:p>
      <w:pPr>
        <w:pStyle w:val="BookText"/>
        <w:rPr/>
      </w:pPr>
      <w:r>
        <w:rPr>
          <w:rFonts w:ascii="Amiri" w:hAnsi="Amiri" w:eastAsia="Amiri" w:cs="Amiri"/>
          <w:color w:val="111111"/>
          <w:sz w:val="28"/>
          <w:sz w:val="28"/>
          <w:szCs w:val="28"/>
          <w:rtl w:val="true"/>
          <w:lang w:bidi="ar-SA"/>
        </w:rPr>
        <w:t xml:space="preserve">يصلون بصلاته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جاءوا ليلة فحضروا وابطأ رسول الله صلى الله عليه وآله وسلم عنهم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يخرج إليهم ، فرفعوا أصواتهم وحصبوا الباب ، فخرج إليهم رسول الله صلى الله عليه وآله وسلم مغضبا ، فقال لهم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بكم صنيعكم حتى ظننت انّه سيكتب عليكم ، فعليكم بالصلاة في بيوتكم ، فان خير صلاة المرء في بيته إلاّ الصلاة المكتوبة</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أبو داود عن زيد بن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احتجر رسول الله صلى الله عليه وآله وسلم في المسجد حجرة ، فكان رسول الله صلى الله عليه وآله وسلم يخرج من الليل فيصلّي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فصلّوا معه بصلاته ـ يعني رجالا ـ وكانوا يأتونه كلّ ليلة ، حتّى إذا كان ليلة من الليالي لم يخرج إليهم رسول الله صلى الله عليه وآله وسلم فتنحنحوا ورفعوا أصواتهم وحصّبوا بابه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إليهم رسول الله صلى الله عليه وآله وسلم مغضبا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ما زال بكم صنيعكم حتّى ظننت أن ستكتب عليكم ، فعليكم بالصلاة في بيوتكم ، فان خير صلاة المرء في بيته إلاّ الصلاة المكتوبة</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النسائي عن عبد الله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في بيوتكم ولا تتّخذوها قبورا</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وقد شبّه النبي البيت الذي لا يصلّى فيه بالقبر الذي لا يتعبّد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النسائي عن سعد بن إسحاق بن كعب بن عجرة ، عن أبيه ،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رسول الله صلاة المغرب في مسجد بني الأشهل ، فلمّا صلّى قام ناس يتنفّلون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بهذه الصلاة في البيوت</w:t>
      </w:r>
      <w:r>
        <w:rPr>
          <w:rFonts w:eastAsia="Amiri" w:cs="Amiri" w:ascii="Amiri" w:hAnsi="Amiri"/>
          <w:color w:val="111111"/>
          <w:sz w:val="28"/>
          <w:szCs w:val="28"/>
          <w:rtl w:val="true"/>
          <w:lang w:bidi="ar-SA"/>
        </w:rPr>
        <w:t xml:space="preserve">.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وعلى ضوء هذا الإيصاء من النبي صلى الله عليه وآله وسلم والسنّة التي أوصى بها غير مرة ، تخرج إقامة صلاة التراويح في شهر رمضان في المساجد مطلقا ـ سواء أقيمت جماعة أو فرادى ـ على خلاف السنّة وعلى خلاف إيصائه صلى الله عليه وآله وسلم غير مرّة ، إذ بذلك تضحى بيوت المسلمين كالقبور حيث لا يصلّى فيها ولا يتعبّد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أدري لما ذا تركت هذه السنّة عبر القرون مع إصرار النبي صلى الله عليه وآله وسلم على إقامة النوافل في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ابن حزم انّه اعترف بأفضلية كلّ تطوع في البيوت ولكن استثنى ما صلّى جماعة في المسجد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وصلاة التطوّع في الجماعة أفضل منها منفردا ، وكلّ تطوع فهو في البيوت أفضل منه في المساجد إلاّ ما صلّى منه جماعة في المسجد فهو أفضل</w:t>
      </w:r>
      <w:r>
        <w:rPr>
          <w:rFonts w:eastAsia="Amiri" w:cs="Amiri" w:ascii="Amiri" w:hAnsi="Amiri"/>
          <w:color w:val="111111"/>
          <w:sz w:val="28"/>
          <w:szCs w:val="28"/>
          <w:rtl w:val="true"/>
          <w:lang w:bidi="ar-SA"/>
        </w:rPr>
        <w:t xml:space="preserve">. </w:t>
      </w:r>
      <w:r>
        <w:rPr>
          <w:rStyle w:val="FootnoteAnchor"/>
          <w:rtl w:val="true"/>
        </w:rPr>
        <w:footnoteReference w:id="772"/>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على القارئ الكريم انّ ما استثناه ابن حزم اجتهاد في مقابل النصّ ، فان كلام الرسول صلى الله عليه وآله وسلم مطلق يعمّ حالتي الفرادى والجماعة ، وقد مرّ في رواية سعد بن إسحاق انّ رسول الله صلى الله عليه وآله وسلم صلّى صلاة المغرب في مسجد بني عبد الأشهل فلما صلّى ، قام ناس يتنفّلون ، فقال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بهذه الصلاة في البيوت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التنفّل مع الجماعة في المسجد أفضل من التنفّل في البيوت ، لأرشدهم النبي إلى ما هو الأفضل مع أنّه قال بضرس قاطع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بهذه الصلاة في البيوت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اتركوا التنفّل في المسجد مطلقا فرادى وجماعة وعليكم بها في البيوت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نقل المعلّق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 في المقام ، يدعم ما ذكرنا ، قال ما هذا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حزم ما كان عليه السلام ؛ ليدع الأفضل ، وهذا في هذه الوجهة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الجماعة أفضل للمتطوع ، وقد علم كلّ عالم انّ عامة تنفّل رسول الله صلى الله عليه وآله وسلم كان منفردا فعلى ما أصل ابن حزم ، كيف كان يدع الأفضل ، فعلمنا انّ صلاة الجماعة تفضل بخمسة وعشرين درجة إذا كانت فريضة لا تطوعا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نقد وجيه ، وهو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ابن ماجة عن عبد الله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صلى الله عليه وآله وسلم أيّما أفضل الصلاة في بيتي أو الصلاة في المسجد؟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إلى بيتي ما أقربه إلى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أصلّي في بيتي أحبّ إليّ من أن أصلّي في المسجد إلاّ أن تكون صلاة مكتوبة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المعلّق في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صحيح ورجاله 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ابن ماجة عن أبي سعيد الخدري عن النبي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قضى أحدكم صلاته فليجعل لبيته نصيبا ، فان الله جاعل في بيته من صلاته خيرا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ينافي ما ذكرنا ما رواه الترمذي مرسلا عن حذيفة انّ النبي صلى الله عليه وآله وسلم صلّى المغرب ، فما زال يصلّي في المسجد حتى صلّى العشاء الآخرة</w:t>
      </w:r>
      <w:r>
        <w:rPr>
          <w:rFonts w:eastAsia="Amiri" w:cs="Amiri" w:ascii="Amiri" w:hAnsi="Amiri"/>
          <w:color w:val="111111"/>
          <w:sz w:val="28"/>
          <w:szCs w:val="28"/>
          <w:rtl w:val="true"/>
          <w:lang w:bidi="ar-SA"/>
        </w:rPr>
        <w:t xml:space="preserve">. </w:t>
      </w:r>
      <w:r>
        <w:rPr>
          <w:rStyle w:val="FootnoteAnchor"/>
          <w:rtl w:val="true"/>
        </w:rPr>
        <w:footnoteReference w:id="773"/>
      </w:r>
      <w:r>
        <w:rPr>
          <w:rFonts w:ascii="Amiri" w:hAnsi="Amiri" w:eastAsia="Amiri" w:cs="Amiri"/>
          <w:color w:val="111111"/>
          <w:sz w:val="28"/>
          <w:sz w:val="28"/>
          <w:szCs w:val="28"/>
          <w:rtl w:val="true"/>
          <w:lang w:bidi="ar-SA"/>
        </w:rPr>
        <w:t xml:space="preserve">وذلك لأنّ </w:t>
      </w:r>
    </w:p>
    <w:p>
      <w:pPr>
        <w:pStyle w:val="BookText"/>
        <w:rPr/>
      </w:pPr>
      <w:r>
        <w:rPr>
          <w:rFonts w:ascii="Amiri" w:hAnsi="Amiri" w:eastAsia="Amiri" w:cs="Amiri"/>
          <w:color w:val="111111"/>
          <w:sz w:val="28"/>
          <w:sz w:val="28"/>
          <w:szCs w:val="28"/>
          <w:rtl w:val="true"/>
          <w:lang w:bidi="ar-SA"/>
        </w:rPr>
        <w:t>الحديث محمول على وجود عذر خاص للنبي صلى الله عليه وآله وسلم للتنفّل في المسجد بعد المغرب ، وقد اتّفق للنبي التنفّل في المسجد في بعض الليالي ، وكان كلّها استثناء من القاعدة لأجل عذر خاص ، كضيق في البيت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فخرجنا بالنتيجة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التنفّل في المساجد حتّى إقامة نوافل شهر رمضان فيها جماعة أو فرادى على خلاف السنّة النبوية ، فعلى المسلمين إقامتها في البيوت لا في المساجد</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فلنرجع إلى حكم إقامة نوافل شهر رمضان جماعة والتي يطلق عليها صلاة التراويح فنقول </w:t>
      </w:r>
      <w:r>
        <w:rPr>
          <w:rFonts w:eastAsia="Amiri" w:cs="Amiri" w:ascii="Amiri" w:hAnsi="Amiri"/>
          <w:color w:val="111111"/>
          <w:sz w:val="28"/>
          <w:szCs w:val="28"/>
          <w:rtl w:val="true"/>
          <w:lang w:bidi="ar-SA"/>
        </w:rPr>
        <w:t xml:space="preserve">: </w:t>
      </w:r>
      <w:bookmarkStart w:id="689" w:name="pg10144_71584"/>
    </w:p>
    <w:p>
      <w:pPr>
        <w:pStyle w:val="Heading3"/>
        <w:numPr>
          <w:ilvl w:val="2"/>
          <w:numId w:val="1"/>
        </w:numPr>
        <w:rPr/>
      </w:pPr>
      <w:bookmarkStart w:id="690" w:name="__RefHeading___Toc1165881_1067777946"/>
      <w:bookmarkStart w:id="691" w:name="_Toc248"/>
      <w:bookmarkEnd w:id="689"/>
      <w:bookmarkEnd w:id="690"/>
      <w:r>
        <w:rPr/>
        <w:t>4</w:t>
      </w:r>
      <w:r>
        <w:rPr>
          <w:rtl w:val="true"/>
        </w:rPr>
        <w:t xml:space="preserve">. </w:t>
      </w:r>
      <w:r>
        <w:rPr>
          <w:rtl w:val="true"/>
        </w:rPr>
        <w:t>صلاة التراويح جماعة عند الإماميّة</w:t>
      </w:r>
      <w:bookmarkEnd w:id="691"/>
    </w:p>
    <w:p>
      <w:pPr>
        <w:pStyle w:val="BookText"/>
        <w:rPr/>
      </w:pPr>
      <w:r>
        <w:rPr>
          <w:rFonts w:ascii="Amiri" w:hAnsi="Amiri" w:eastAsia="Amiri" w:cs="Amiri"/>
          <w:color w:val="111111"/>
          <w:sz w:val="28"/>
          <w:sz w:val="28"/>
          <w:szCs w:val="28"/>
          <w:rtl w:val="true"/>
          <w:lang w:bidi="ar-SA"/>
        </w:rPr>
        <w:t>اتّفقت الشيعة الإمامية تبعا لأئمّة أهل البيت عليهم السلام على أنّ نوافل شهر رمضان تقام 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إقامتها جماعة بدعة حدثت بعد رسول الله بمقياس ما أنزل الله به من سلطان</w:t>
      </w:r>
      <w:r>
        <w:rPr>
          <w:rFonts w:eastAsia="Amiri" w:cs="Amiri" w:ascii="Amiri" w:hAnsi="Amiri"/>
          <w:color w:val="111111"/>
          <w:sz w:val="28"/>
          <w:szCs w:val="28"/>
          <w:rtl w:val="true"/>
          <w:lang w:bidi="ar-SA"/>
        </w:rPr>
        <w:t xml:space="preserve">.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نوافل شهر رمضان تصلى انفرادا والجماعة فيها بدعة</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تجوز الجماعة في هذه الصلاة عند علمائنا أجمع</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علماؤنا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في نافلة شهر رمضان بدعة</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ترى هذه الكلمة ـ أي انّ إقامة النوافل في شهر رمضان بدعة ـ في عامّة الكتب الفقهية للشيعة الإمامية ولم يختلف فيه اثنان</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تضافرت الأحاديث عن أئمة أهل البيت عليهم السلام على أنّها بدعة محدثة حدثت بعد الرسول ، ونذكر بعض ما أثر عنهم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الشيخ الطوسي في التهذيب عن عمّار ، 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الصلاة في رمضان في المساجد؟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قدم أمير المؤمنين عليه السلام الكوفة أمر الحسن بن علي عليهما السلام أن ينادي في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في شهر رمضان في المساجد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فنادى في الناس الحسن بن علي عليهما السلام بما أمره به أمير المؤمنين عليه السلام ، فلمّا سمع الناس مقالة الحسن بن علي صاحوا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عمراه ، وا عمراه ، فلمّا رجع الحسن إلى أمير المؤمنين عليه السلام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الصوت؟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يصيحون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عمراه ، وا عمراه ، 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لهم صلّوا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لما أنكر ، أنكر الاجتماع ولم ينكر نفس الصلاة ، فلمّا رأى أنّ الأمر يفسد عليه ويفتتن الناس ، أجاز وأمرهم بالصلاة على عادتهم</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الكليني عن زرارة ومحمد بن مسلم والفضيل سألوا أبا جعفر الباقر عليه السلام وأبا عبد الله الصادق عليه السلام عن الصلاة في شهر رمضان نافلة بالليل جماعة؟ فقالا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صلى الله عليه وآله وسلم كان إذا صلّى العشاء الآخرة انصرف إلى منزله ثمّ يخرج من آخر الليل إلى المسجد فيقوم فيصلّي ، فخرج في أوّل ليلة من شهر رمضان ليصلّي كما كان يصلّي ، فاصطف الناس خلفه فهرب منهم إلى بيته وتركهم ، ففعلوا ذلك ثلاث ليال ، فقام صلى الله عليه وآله وسلم في اليوم الرابع على منبره ،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الصلاة بالليل في شهر رمضان من النافلة في جماعة بدعة ، وصلاة الضحى بدعة ، ألا فلا تجتمعوا ليلا في شهر رمضان لصلاة الليل ولا تصلّوا صلاة الضحى ، فإنّ تلك معصية ألا فإنّ كل بدعة ضلالة ، وكلّ ضلالة سبيلها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في سنّة ، خير من كثير في بدعة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وأخرجه الشيخ في التهذيب</w:t>
      </w:r>
      <w:r>
        <w:rPr>
          <w:rFonts w:eastAsia="Amiri" w:cs="Amiri" w:ascii="Amiri" w:hAnsi="Amiri"/>
          <w:color w:val="111111"/>
          <w:sz w:val="28"/>
          <w:szCs w:val="28"/>
          <w:rtl w:val="true"/>
          <w:lang w:bidi="ar-SA"/>
        </w:rPr>
        <w:t xml:space="preserve">. </w:t>
      </w:r>
      <w:r>
        <w:rPr>
          <w:rStyle w:val="FootnoteAnchor"/>
          <w:rtl w:val="true"/>
        </w:rPr>
        <w:footnoteReference w:id="7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الكليني عن عبيد بن زرارة ، عن الصادق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صلى الله عليه وآله وسلم يزيد في صلاته في شهر رمضان إذا صلّى العتمة ، صلّى بعدها ، فيقوم الناس خلفه فيدخل ويدعهم ، ثمّ يخرج أيضا فيجيئون فيقومون خلفه ، فيدعهم ويدخل مرارا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وحصيلة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 الله عليه وآله وسلم ينهاهم بتركهم ودخوله البيت مرّة بعد أخرى ، غير انّ القوم لأجل رغبتهم إلى التنفّل جماعة وراء النبي ، حال بينهم وبين ما يصبو إليه النبي من تركهم ودخول البيت ، فلمّا رأى أنّهم يصرّون على ذلك قام في اليوم الرابع على منبره فحمد الله وأثنى عليه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إنّ الصلاة بالليل في شهر رمضان من النافلة في جماعة بدعة ، وصلاة الضحى بدعة ، ألا فلا تجتمعوا ليلا في شهر رمضان لصلاة الليل ولا تصلّوا صلاة الضحى ، فان تلك معصية ألا فإنّ كلّ بدعة ضلالة ، وكلّ ضلالة سبيلها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قليل في سنّة خير من كثير في بدعة </w:t>
      </w:r>
      <w:r>
        <w:rPr>
          <w:rFonts w:eastAsia="Amiri" w:cs="Amiri" w:ascii="Amiri" w:hAnsi="Amiri"/>
          <w:color w:val="111111"/>
          <w:sz w:val="28"/>
          <w:szCs w:val="28"/>
          <w:rtl w:val="true"/>
          <w:lang w:bidi="ar-SA"/>
        </w:rPr>
        <w:t xml:space="preserve">». </w:t>
      </w:r>
      <w:r>
        <w:rPr>
          <w:rStyle w:val="FootnoteAnchor"/>
          <w:rtl w:val="true"/>
        </w:rPr>
        <w:footnoteReference w:id="780"/>
      </w:r>
      <w:bookmarkStart w:id="692" w:name="pg10144_71587"/>
    </w:p>
    <w:p>
      <w:pPr>
        <w:pStyle w:val="Heading3"/>
        <w:numPr>
          <w:ilvl w:val="2"/>
          <w:numId w:val="1"/>
        </w:numPr>
        <w:rPr/>
      </w:pPr>
      <w:bookmarkStart w:id="693" w:name="__RefHeading___Toc1165883_1067777946"/>
      <w:bookmarkStart w:id="694" w:name="_Toc249"/>
      <w:bookmarkEnd w:id="692"/>
      <w:bookmarkEnd w:id="693"/>
      <w:r>
        <w:rPr/>
        <w:t>5</w:t>
      </w:r>
      <w:r>
        <w:rPr>
          <w:rtl w:val="true"/>
        </w:rPr>
        <w:t xml:space="preserve">. </w:t>
      </w:r>
      <w:r>
        <w:rPr>
          <w:rtl w:val="true"/>
        </w:rPr>
        <w:t>صلاة التراويح جماعة عند أهل السنّة</w:t>
      </w:r>
      <w:bookmarkEnd w:id="694"/>
    </w:p>
    <w:p>
      <w:pPr>
        <w:pStyle w:val="BookText"/>
        <w:rPr/>
      </w:pPr>
      <w:r>
        <w:rPr>
          <w:rFonts w:ascii="Amiri" w:hAnsi="Amiri" w:eastAsia="Amiri" w:cs="Amiri"/>
          <w:color w:val="111111"/>
          <w:sz w:val="28"/>
          <w:sz w:val="28"/>
          <w:szCs w:val="28"/>
          <w:rtl w:val="true"/>
          <w:lang w:bidi="ar-SA"/>
        </w:rPr>
        <w:t xml:space="preserve">المشهور عند أهل السنّة هو جواز إقامتها جماعة وعليه عملهم عبر القرون إلاّ أنّهم اختلفوا فيما هو الأفضل من الجماعة والانفراد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المنفرد أحبّ إليّ منه</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واختلف أصحاب الشافعي في ذلك على قولين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العباس وأبو إسحاق وعامّة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التراويح في الجماعة أفضل بكلّ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الثاني منهم من قال بظاهر كلام الشافعي وانّ صلاة التراويح على الانفراد أفضل منها في الجماعة بشرطين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تختل الجماعة بتأخّره عن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يطيل القيام والقراءة فيصلّي منفردا ويفرد أكثر ممّا يفرد إمامه</w:t>
      </w:r>
      <w:r>
        <w:rPr>
          <w:rFonts w:eastAsia="Amiri" w:cs="Amiri" w:ascii="Amiri" w:hAnsi="Amiri"/>
          <w:color w:val="111111"/>
          <w:sz w:val="28"/>
          <w:szCs w:val="28"/>
          <w:rtl w:val="true"/>
          <w:lang w:bidi="ar-SA"/>
        </w:rPr>
        <w:t xml:space="preserve">. </w:t>
      </w:r>
      <w:r>
        <w:rPr>
          <w:rStyle w:val="FootnoteAnchor"/>
          <w:rtl w:val="true"/>
        </w:rPr>
        <w:footnoteReference w:id="782"/>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العلماء على استحبابها واختلفوا في أنّ الأفضل صلاتها في بيته منفردا أم في جماعة في المسجد ، فقال الشافعي وجمهور أصحابه وأبو حنيفة وأحمد وبعض المالكية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الأفضل صلاتها جماعة ، كما فعله عمر بن الخطاب </w:t>
      </w:r>
    </w:p>
    <w:p>
      <w:pPr>
        <w:pStyle w:val="BookText"/>
        <w:rPr/>
      </w:pPr>
      <w:r>
        <w:rPr>
          <w:rFonts w:ascii="Amiri" w:hAnsi="Amiri" w:eastAsia="Amiri" w:cs="Amiri"/>
          <w:color w:val="111111"/>
          <w:sz w:val="28"/>
          <w:sz w:val="28"/>
          <w:szCs w:val="28"/>
          <w:rtl w:val="true"/>
          <w:lang w:bidi="ar-SA"/>
        </w:rPr>
        <w:t xml:space="preserve">والصحابة واستمر عمل المسلمين عليه ، لأنّه من الشعائر الظاهرة وأشبه بصلاة العيد ، وبالغ الطحاوي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صلاة التراويح في الجماعة واجبة على الكفاية ، وقال مالك وأبو يوسف وبعض الشافعية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الأفضل فرادى في البيت لقوله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الصلاة ، صلاة المرء في بيته إلاّ المكتوبة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وقال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العترة إنّ التجميع فيها بدعة</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وقد فصل عبد الرحمن الجزيري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على المذاهب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الأقوال على النحو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المالكية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في صلاة التراويح مستحبة أمّا باقي النوافل ، فان صلاتها جماعة تارة يكون مكروها ، وتارة يكون جائزا ، فيكون مكروها إذا صلّيت بالمسجد ، وصلّيت بجماعة كثيرين ، أو كانت بمكان يكثر تردد الناس عليه ، وتكون جائزة إذا كانت بجماعة قليلة ، ووقعت في المنزل ونحوه في الأمكنة التي لا يتردد عليها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الجماعة سنّة كفاية في صلاة التراويح والجنازة ، وتكون مكروهة في صلاة النوافل مطلقا والوتر في غير رمضان ، وإنّما تكره الجماعة في ذلك إذا زاد المقتدون عن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الجماعة في وتر رمضان ففيها قولان مصححان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مستحبة فيه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غير مستحبة ولكنّها جائزة ، وهذا القول أرجح</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الجماعة في صلاة العيدين والاستسقاء والكسوف </w:t>
      </w:r>
    </w:p>
    <w:p>
      <w:pPr>
        <w:pStyle w:val="BookText"/>
        <w:rPr/>
      </w:pPr>
      <w:r>
        <w:rPr>
          <w:rFonts w:ascii="Amiri" w:hAnsi="Amiri" w:eastAsia="Amiri" w:cs="Amiri"/>
          <w:color w:val="111111"/>
          <w:sz w:val="28"/>
          <w:sz w:val="28"/>
          <w:szCs w:val="28"/>
          <w:rtl w:val="true"/>
          <w:lang w:bidi="ar-SA"/>
        </w:rPr>
        <w:t>والتراويح ووتر رمضان فهي مندوبة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الحنابلة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النوافل فمنها ما تسنّ فيه الجماعة وذلك كصلاة الاستسقاء والتراويح والعيدين ، ومنها ما تباح فيه الجماعة كصلاة التهجد ورواتب الصلاة المفروضة</w:t>
      </w:r>
      <w:r>
        <w:rPr>
          <w:rFonts w:eastAsia="Amiri" w:cs="Amiri" w:ascii="Amiri" w:hAnsi="Amiri"/>
          <w:color w:val="111111"/>
          <w:sz w:val="28"/>
          <w:szCs w:val="28"/>
          <w:rtl w:val="true"/>
          <w:lang w:bidi="ar-SA"/>
        </w:rPr>
        <w:t xml:space="preserve">. </w:t>
      </w:r>
      <w:r>
        <w:rPr>
          <w:rStyle w:val="FootnoteAnchor"/>
          <w:rtl w:val="true"/>
        </w:rPr>
        <w:footnoteReference w:id="785"/>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أقوال أهل السنّة وآراؤهم</w:t>
      </w:r>
      <w:r>
        <w:rPr>
          <w:rFonts w:eastAsia="Amiri" w:cs="Amiri" w:ascii="Amiri" w:hAnsi="Amiri"/>
          <w:color w:val="111111"/>
          <w:sz w:val="28"/>
          <w:szCs w:val="28"/>
          <w:rtl w:val="true"/>
          <w:lang w:bidi="ar-SA"/>
        </w:rPr>
        <w:t xml:space="preserve">. </w:t>
      </w:r>
      <w:bookmarkStart w:id="695" w:name="pg10144_71590"/>
    </w:p>
    <w:p>
      <w:pPr>
        <w:pStyle w:val="Heading3"/>
        <w:numPr>
          <w:ilvl w:val="2"/>
          <w:numId w:val="1"/>
        </w:numPr>
        <w:rPr/>
      </w:pPr>
      <w:bookmarkStart w:id="696" w:name="__RefHeading___Toc1165885_1067777946"/>
      <w:bookmarkStart w:id="697" w:name="_Toc250"/>
      <w:bookmarkEnd w:id="695"/>
      <w:bookmarkEnd w:id="696"/>
      <w:r>
        <w:rPr/>
        <w:t>6</w:t>
      </w:r>
      <w:r>
        <w:rPr>
          <w:rtl w:val="true"/>
        </w:rPr>
        <w:t xml:space="preserve">. </w:t>
      </w:r>
      <w:r>
        <w:rPr>
          <w:rtl w:val="true"/>
        </w:rPr>
        <w:t>صلاة التراويح جماعة في حديث الرسول صلى الله عليه وآله وسلم</w:t>
      </w:r>
      <w:bookmarkEnd w:id="697"/>
    </w:p>
    <w:p>
      <w:pPr>
        <w:pStyle w:val="Heading4"/>
        <w:numPr>
          <w:ilvl w:val="3"/>
          <w:numId w:val="1"/>
        </w:numPr>
        <w:rPr/>
      </w:pPr>
      <w:bookmarkStart w:id="698" w:name="__RefHeading___Toc1165887_1067777946"/>
      <w:bookmarkStart w:id="699" w:name="_Toc251"/>
      <w:bookmarkEnd w:id="698"/>
      <w:r>
        <w:rPr>
          <w:rtl w:val="true"/>
        </w:rPr>
        <w:t>اشارة</w:t>
      </w:r>
      <w:bookmarkEnd w:id="699"/>
    </w:p>
    <w:p>
      <w:pPr>
        <w:pStyle w:val="BookText"/>
        <w:rPr/>
      </w:pPr>
      <w:r>
        <w:rPr>
          <w:rFonts w:ascii="Amiri" w:hAnsi="Amiri" w:eastAsia="Amiri" w:cs="Amiri"/>
          <w:color w:val="111111"/>
          <w:sz w:val="28"/>
          <w:sz w:val="28"/>
          <w:szCs w:val="28"/>
          <w:rtl w:val="true"/>
          <w:lang w:bidi="ar-SA"/>
        </w:rPr>
        <w:t>سيوافيك في الفصل التالي انّ ظاهر الروايات وكلام الخليفة عمر بن الخطاب وما حوله من كلمات الشرّاح انّ إقامة نوافل رمضان جماعة تستمد مشروعيتها من عمل الخليفة لا من عمل النبي ، لكن هناك من يقول بأنّ إقامتها جماعة تستمدّ مشروعيتها من إقامة المسلمين لها وراء النبي في بعض ليالي شهر رمضان وإن كان لا يتجاوز عن ليلة أو ثلاث ليال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الدالّة على ذلك مختلفة وفيها شذوذ نشير إليها تباعا</w:t>
      </w:r>
      <w:r>
        <w:rPr>
          <w:rFonts w:eastAsia="Amiri" w:cs="Amiri" w:ascii="Amiri" w:hAnsi="Amiri"/>
          <w:color w:val="111111"/>
          <w:sz w:val="28"/>
          <w:szCs w:val="28"/>
          <w:rtl w:val="true"/>
          <w:lang w:bidi="ar-SA"/>
        </w:rPr>
        <w:t>.</w:t>
      </w:r>
    </w:p>
    <w:p>
      <w:pPr>
        <w:pStyle w:val="Heading4"/>
        <w:numPr>
          <w:ilvl w:val="3"/>
          <w:numId w:val="1"/>
        </w:numPr>
        <w:rPr/>
      </w:pPr>
      <w:bookmarkStart w:id="700" w:name="__RefHeading___Toc1165889_1067777946"/>
      <w:bookmarkStart w:id="701" w:name="_Toc252"/>
      <w:bookmarkEnd w:id="700"/>
      <w:r>
        <w:rPr/>
        <w:t>1</w:t>
      </w:r>
      <w:r>
        <w:rPr>
          <w:rtl w:val="true"/>
        </w:rPr>
        <w:t xml:space="preserve">. </w:t>
      </w:r>
      <w:r>
        <w:rPr>
          <w:rtl w:val="true"/>
        </w:rPr>
        <w:t>إقامتها ليلة واحدة</w:t>
      </w:r>
      <w:bookmarkEnd w:id="701"/>
    </w:p>
    <w:p>
      <w:pPr>
        <w:pStyle w:val="Heading5"/>
        <w:numPr>
          <w:ilvl w:val="4"/>
          <w:numId w:val="1"/>
        </w:numPr>
        <w:rPr/>
      </w:pPr>
      <w:bookmarkStart w:id="702" w:name="__RefHeading___Toc1165891_1067777946"/>
      <w:bookmarkStart w:id="703" w:name="_Toc253"/>
      <w:bookmarkEnd w:id="702"/>
      <w:r>
        <w:rPr>
          <w:rtl w:val="true"/>
        </w:rPr>
        <w:t>اشارة</w:t>
      </w:r>
      <w:bookmarkEnd w:id="703"/>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مسلم عن زيد بن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احتجر رسول الله حجيرة بخصفة أو حصير فخرج رسول الله صلى الله عليه وآله وسلم يصلّي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فتتبع إليه رجال وجاءوا يصلّون بصلاته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جاءوا ليلة فحضروا وأبطأ رسول الله صلى الله عليه وآله وسلم عنهم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يخرج إليهم فرفعوا أصواتهم وحصبوا الباب ، فخرج إليهم رسول الله صلى الله عليه وآله وسلم مغضبا ، فقال لهم رسول الله صلى الله عليه وآله وسلم ما زال بكم صنيعكم حتّى ظننت انّه سيكتب عليكم ، فعليكم بالصلاة في بيوتكم ، فان خير صلاة المرء في بيته إلاّ الصلاة المكتوبة</w:t>
      </w:r>
      <w:r>
        <w:rPr>
          <w:rFonts w:eastAsia="Amiri" w:cs="Amiri" w:ascii="Amiri" w:hAnsi="Amiri"/>
          <w:color w:val="111111"/>
          <w:sz w:val="28"/>
          <w:szCs w:val="28"/>
          <w:rtl w:val="true"/>
          <w:lang w:bidi="ar-SA"/>
        </w:rPr>
        <w:t xml:space="preserve">. </w:t>
      </w:r>
      <w:r>
        <w:rPr>
          <w:rStyle w:val="FootnoteAnchor"/>
          <w:rtl w:val="true"/>
        </w:rPr>
        <w:footnoteReference w:id="786"/>
      </w:r>
      <w:bookmarkStart w:id="704" w:name="pg10144_71591"/>
    </w:p>
    <w:p>
      <w:pPr>
        <w:pStyle w:val="Heading5"/>
        <w:numPr>
          <w:ilvl w:val="4"/>
          <w:numId w:val="1"/>
        </w:numPr>
        <w:rPr/>
      </w:pPr>
      <w:bookmarkStart w:id="705" w:name="__RefHeading___Toc1165893_1067777946"/>
      <w:bookmarkStart w:id="706" w:name="_Toc254"/>
      <w:bookmarkEnd w:id="704"/>
      <w:bookmarkEnd w:id="705"/>
      <w:r>
        <w:rPr>
          <w:rtl w:val="true"/>
        </w:rPr>
        <w:t>تفسير لغات الحديث</w:t>
      </w:r>
      <w:bookmarkEnd w:id="7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الحجيرة ـ بضم الحاء ـ تصغير حُجرة ، عطف الحصير على الخصفة يعرب عن شك الراوي في تعيّن واحد منهم ، ومعنى الرواية احتجر حجرة أي حوّط موضعا من المسجد بحصير أو نحوه ليستره ليصلّي فيه ولا يمرّ بين يديه مارّ ولا يتهوش بغيره ويتوفر خشوعه وفراغ قلبه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فتتبع إليه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طلبوا موضعه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حصبوا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رموه بالحصاء وهي الحصاء الصغار تذكيرا له وظنوا أنّه 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صحّ الحديث لدلّ على أنّ المسلمين أقاموا نوافل شهر رمضان جماعة مع الرسول مرة واحدة من دون إذن أو استئذان ، فلما جاءوا ليلة أخرى فحضروا وأبطأ رسول الله عنهم فلم يخرج إليهم ، رفعوا أصواتهم وحصبوا الباب ، فخرج إليهم رسول الله مغضبا ، وقال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ضوء هذا الحديث لم تثبت مشروعية الجماعة بفعل الرسول ، لأنّ القوم اقتدوا به من دون أن يستفسروا ويستبينوا حكمه ، وأمّا الليلة الثانية فلم يقم الجماعة أبدا بل ظهرت ملامح الغضب على وجهه لما صدر عنهم من موقف مشين بالنسبة إلى رسول الله صلى الله عليه وآله وسلم أوّلا ، وإصرارهم على إقامة النوافل جماعة ثانيا بالرغم من عدم استبانتهم حكمها</w:t>
      </w:r>
      <w:r>
        <w:rPr>
          <w:rFonts w:eastAsia="Amiri" w:cs="Amiri" w:ascii="Amiri" w:hAnsi="Amiri"/>
          <w:color w:val="111111"/>
          <w:sz w:val="28"/>
          <w:szCs w:val="28"/>
          <w:rtl w:val="true"/>
          <w:lang w:bidi="ar-SA"/>
        </w:rPr>
        <w:t>.</w:t>
      </w:r>
    </w:p>
    <w:p>
      <w:pPr>
        <w:pStyle w:val="Heading4"/>
        <w:numPr>
          <w:ilvl w:val="3"/>
          <w:numId w:val="1"/>
        </w:numPr>
        <w:rPr/>
      </w:pPr>
      <w:bookmarkStart w:id="707" w:name="__RefHeading___Toc1165895_1067777946"/>
      <w:bookmarkStart w:id="708" w:name="_Toc255"/>
      <w:bookmarkEnd w:id="707"/>
      <w:r>
        <w:rPr/>
        <w:t>2</w:t>
      </w:r>
      <w:r>
        <w:rPr>
          <w:rtl w:val="true"/>
        </w:rPr>
        <w:t xml:space="preserve">. </w:t>
      </w:r>
      <w:r>
        <w:rPr>
          <w:rtl w:val="true"/>
        </w:rPr>
        <w:t>إقامتها ليلتين</w:t>
      </w:r>
      <w:bookmarkEnd w:id="708"/>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هناك روايات أخرى تخالف الرواية الأولى حيث يدلّ على أنّه أقيمت الجماعة في ليلتين</w:t>
      </w:r>
      <w:r>
        <w:rPr>
          <w:rFonts w:eastAsia="Amiri" w:cs="Amiri" w:ascii="Amiri" w:hAnsi="Amiri"/>
          <w:color w:val="111111"/>
          <w:sz w:val="28"/>
          <w:szCs w:val="28"/>
          <w:rtl w:val="true"/>
          <w:lang w:bidi="ar-SA"/>
        </w:rPr>
        <w:t xml:space="preserve">. </w:t>
      </w:r>
      <w:bookmarkStart w:id="709" w:name="pg10144_71592"/>
    </w:p>
    <w:p>
      <w:pPr>
        <w:pStyle w:val="BookText"/>
        <w:rPr/>
      </w:pPr>
      <w:bookmarkEnd w:id="709"/>
      <w:r>
        <w:rPr>
          <w:rFonts w:ascii="Amiri" w:hAnsi="Amiri" w:eastAsia="Amiri" w:cs="Amiri"/>
          <w:color w:val="111111"/>
          <w:sz w:val="28"/>
          <w:sz w:val="28"/>
          <w:szCs w:val="28"/>
          <w:rtl w:val="true"/>
          <w:lang w:bidi="ar-SA"/>
        </w:rPr>
        <w:t xml:space="preserve">أخرج البخاري عن عروة بن الزبير ، عن عائشة أمّ المؤمنين انّ رسول الله صلى الله عليه وآله وسلم صلّى ذات ليلة في المسجد وصلّى بصلاته ناس ، ثمّ صلّى من القابلة فكثر الناس ، ثمّ اجتمعوا من الليلة الثالثة أو الرابعة فلم يخرج إليهم رسول الله صلى الله عليه وآله وسلم فلمّا أصبح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الذي صنعتم ولم يمنعني من الخروج إليكم إلاّ انّي خشيت أن تفرض عليكم وذلك في رمضان</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وأخرجه مسلم أيضا في صحيحه</w:t>
      </w:r>
      <w:r>
        <w:rPr>
          <w:rFonts w:eastAsia="Amiri" w:cs="Amiri" w:ascii="Amiri" w:hAnsi="Amiri"/>
          <w:color w:val="111111"/>
          <w:sz w:val="28"/>
          <w:szCs w:val="28"/>
          <w:rtl w:val="true"/>
          <w:lang w:bidi="ar-SA"/>
        </w:rPr>
        <w:t xml:space="preserve">. </w:t>
      </w:r>
      <w:r>
        <w:rPr>
          <w:rStyle w:val="FootnoteAnchor"/>
          <w:rtl w:val="true"/>
        </w:rPr>
        <w:footnoteReference w:id="788"/>
      </w:r>
    </w:p>
    <w:p>
      <w:pPr>
        <w:pStyle w:val="Heading4"/>
        <w:numPr>
          <w:ilvl w:val="3"/>
          <w:numId w:val="1"/>
        </w:numPr>
        <w:rPr/>
      </w:pPr>
      <w:bookmarkStart w:id="710" w:name="__RefHeading___Toc1165897_1067777946"/>
      <w:bookmarkStart w:id="711" w:name="_Toc256"/>
      <w:bookmarkEnd w:id="710"/>
      <w:r>
        <w:rPr/>
        <w:t>3</w:t>
      </w:r>
      <w:r>
        <w:rPr>
          <w:rtl w:val="true"/>
        </w:rPr>
        <w:t xml:space="preserve">. </w:t>
      </w:r>
      <w:r>
        <w:rPr>
          <w:rtl w:val="true"/>
        </w:rPr>
        <w:t>إقامتها ثلاث ليال</w:t>
      </w:r>
      <w:bookmarkEnd w:id="711"/>
    </w:p>
    <w:p>
      <w:pPr>
        <w:pStyle w:val="Heading5"/>
        <w:numPr>
          <w:ilvl w:val="4"/>
          <w:numId w:val="1"/>
        </w:numPr>
        <w:rPr/>
      </w:pPr>
      <w:bookmarkStart w:id="712" w:name="__RefHeading___Toc1165899_1067777946"/>
      <w:bookmarkStart w:id="713" w:name="_Toc257"/>
      <w:bookmarkEnd w:id="712"/>
      <w:r>
        <w:rPr>
          <w:rtl w:val="true"/>
        </w:rPr>
        <w:t>اشارة</w:t>
      </w:r>
      <w:bookmarkEnd w:id="713"/>
    </w:p>
    <w:p>
      <w:pPr>
        <w:pStyle w:val="BookText"/>
        <w:rPr/>
      </w:pPr>
      <w:r>
        <w:rPr>
          <w:rFonts w:ascii="Amiri" w:hAnsi="Amiri" w:eastAsia="Amiri" w:cs="Amiri"/>
          <w:color w:val="111111"/>
          <w:sz w:val="28"/>
          <w:sz w:val="28"/>
          <w:szCs w:val="28"/>
          <w:rtl w:val="true"/>
          <w:lang w:bidi="ar-SA"/>
        </w:rPr>
        <w:t xml:space="preserve">أخرج البخاري عن عروة انّ عائشة أخبرته انّ رسول الله صلى الله عليه وآله وسلم خرج ليلة من جوف الليل فصلّى في المسجد وصلّى رجال بصلاته ، فأصبح الناس فتحدّثوا فاجتمع أكثر منهم ، فصلّى وصلّوا معه ، فأصبح الناس فتحدّثوا فكثر أهل المسجد من الليلة الثالثة ، فخرج رسول الله صلى الله عليه وآله وسلم فصلّى وصلّوا بصلاته ، فلمّا كانت الليلة الرابعة عجز المسجد عن أهله حتّى خرج لصلاة الصبح ، فلمّا قضى الفجر أقبل على الناس فتشهد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فإنّه لم يخف عليّ مكانكم ولكنّي خشيت أن تفرض عليكم فتعجزوا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فتوفّي رسول الله والأمر على ذلك</w:t>
      </w:r>
      <w:r>
        <w:rPr>
          <w:rFonts w:eastAsia="Amiri" w:cs="Amiri" w:ascii="Amiri" w:hAnsi="Amiri"/>
          <w:color w:val="111111"/>
          <w:sz w:val="28"/>
          <w:szCs w:val="28"/>
          <w:rtl w:val="true"/>
          <w:lang w:bidi="ar-SA"/>
        </w:rPr>
        <w:t xml:space="preserve">. </w:t>
      </w:r>
      <w:r>
        <w:rPr>
          <w:rStyle w:val="FootnoteAnchor"/>
          <w:rtl w:val="true"/>
        </w:rPr>
        <w:footnoteReference w:id="789"/>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وأخرجه مسلم في صحيحه</w:t>
      </w:r>
      <w:r>
        <w:rPr>
          <w:rFonts w:eastAsia="Amiri" w:cs="Amiri" w:ascii="Amiri" w:hAnsi="Amiri"/>
          <w:color w:val="111111"/>
          <w:sz w:val="28"/>
          <w:szCs w:val="28"/>
          <w:rtl w:val="true"/>
          <w:lang w:bidi="ar-SA"/>
        </w:rPr>
        <w:t xml:space="preserve">. </w:t>
      </w:r>
      <w:r>
        <w:rPr>
          <w:rStyle w:val="FootnoteAnchor"/>
          <w:rtl w:val="true"/>
        </w:rPr>
        <w:footnoteReference w:id="790"/>
      </w:r>
      <w:bookmarkStart w:id="714" w:name="pg10144_71593"/>
    </w:p>
    <w:p>
      <w:pPr>
        <w:pStyle w:val="BookText"/>
        <w:rPr/>
      </w:pPr>
      <w:bookmarkEnd w:id="714"/>
      <w:r>
        <w:rPr>
          <w:rFonts w:ascii="Amiri" w:hAnsi="Amiri" w:eastAsia="Amiri" w:cs="Amiri"/>
          <w:color w:val="111111"/>
          <w:sz w:val="28"/>
          <w:sz w:val="28"/>
          <w:szCs w:val="28"/>
          <w:rtl w:val="true"/>
          <w:lang w:bidi="ar-SA"/>
        </w:rPr>
        <w:t xml:space="preserve">أخرج البيهقي عن أبي ذر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صمنا مع رسول الله صلى الله عليه وآله وسلم فلم يصل بنا حتى بقي سبع من الشهر ، فقام بنا حتى ذهب ثلث الليل ، ثمّ لم يقم بنا في الثالثة ، وقام بنا في الخامسة ، حتّى ذهب شطر الليل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لو نفلنا بقية ليلتنا هذه؟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قام مع الإمام حتّى ينصرف كتب له القيام ليلة ، ثمّ لم يقم بنا حتّى بقي ثلاث من الشهر فصلّى بنا في الثالثة ودعا أهله ونساءه ، فقام بنا حتّى تخوفنا الفلاح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الفلاح؟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السحور</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وعلى هذه الرواية خرج في الليلة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الثالثة والعشرين على قول بعضهم </w:t>
      </w:r>
      <w:r>
        <w:rPr>
          <w:rFonts w:eastAsia="Amiri" w:cs="Amiri" w:ascii="Amiri" w:hAnsi="Amiri"/>
          <w:color w:val="111111"/>
          <w:sz w:val="28"/>
          <w:szCs w:val="28"/>
          <w:rtl w:val="true"/>
          <w:lang w:bidi="ar-SA"/>
        </w:rPr>
        <w:t xml:space="preserve">) </w:t>
      </w:r>
      <w:r>
        <w:rPr>
          <w:rStyle w:val="FootnoteAnchor"/>
          <w:rtl w:val="true"/>
        </w:rPr>
        <w:footnoteReference w:id="792"/>
      </w:r>
      <w:r>
        <w:rPr>
          <w:rFonts w:ascii="Amiri" w:hAnsi="Amiri" w:eastAsia="Amiri" w:cs="Amiri"/>
          <w:color w:val="111111"/>
          <w:sz w:val="28"/>
          <w:sz w:val="28"/>
          <w:szCs w:val="28"/>
          <w:rtl w:val="true"/>
          <w:lang w:bidi="ar-SA"/>
        </w:rPr>
        <w:t>والعشرين والسادسة والعشرين والثامنة والعشرين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عمدة ما روي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الأخذ بمضمون هذه الروايات مشكل لوجوه عديدة </w:t>
      </w:r>
      <w:r>
        <w:rPr>
          <w:rFonts w:eastAsia="Amiri" w:cs="Amiri" w:ascii="Amiri" w:hAnsi="Amiri"/>
          <w:color w:val="111111"/>
          <w:sz w:val="28"/>
          <w:szCs w:val="28"/>
          <w:rtl w:val="true"/>
          <w:lang w:bidi="ar-SA"/>
        </w:rPr>
        <w:t>:</w:t>
      </w:r>
    </w:p>
    <w:p>
      <w:pPr>
        <w:pStyle w:val="Heading5"/>
        <w:numPr>
          <w:ilvl w:val="4"/>
          <w:numId w:val="1"/>
        </w:numPr>
        <w:rPr/>
      </w:pPr>
      <w:bookmarkStart w:id="715" w:name="__RefHeading___Toc1165901_1067777946"/>
      <w:bookmarkStart w:id="716" w:name="_Toc258"/>
      <w:bookmarkEnd w:id="715"/>
      <w:r>
        <w:rPr/>
        <w:t>1</w:t>
      </w:r>
      <w:r>
        <w:rPr>
          <w:rtl w:val="true"/>
        </w:rPr>
        <w:t xml:space="preserve">. </w:t>
      </w:r>
      <w:r>
        <w:rPr>
          <w:rtl w:val="true"/>
        </w:rPr>
        <w:t>الاختلاف في عدد الليالي وتواليها ومواضعها</w:t>
      </w:r>
      <w:bookmarkEnd w:id="716"/>
    </w:p>
    <w:p>
      <w:pPr>
        <w:pStyle w:val="BookText"/>
        <w:rPr/>
      </w:pPr>
      <w:r>
        <w:rPr>
          <w:rFonts w:ascii="Amiri" w:hAnsi="Amiri" w:eastAsia="Amiri" w:cs="Amiri"/>
          <w:color w:val="111111"/>
          <w:sz w:val="28"/>
          <w:sz w:val="28"/>
          <w:szCs w:val="28"/>
          <w:rtl w:val="true"/>
          <w:lang w:bidi="ar-SA"/>
        </w:rPr>
        <w:t xml:space="preserve">إنّ بين هذه الروايات تعارضا واختلافا في أمور ثلاثة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التعارض بين هذه الروايات في مقدار الليالي التي أقام النبي فيها جماعة ، فان كلّ واحد بصدد بيان عدد الليالي التي أقيمت فيها النوافل جماعة مع النبي ، فهل أقامها النبي ليلة واحدة كما هو مضمون الرواية الأولى؟ أو ليلتين أو ثلاث ليال ، كما هو مضمون الطائفتين الأخيرتين؟ وهذا يعرب عن أنّ الرواة لم يضبطوا الواقع بشكل دقيق</w:t>
      </w:r>
      <w:r>
        <w:rPr>
          <w:rFonts w:eastAsia="Amiri" w:cs="Amiri" w:ascii="Amiri" w:hAnsi="Amiri"/>
          <w:color w:val="111111"/>
          <w:sz w:val="28"/>
          <w:szCs w:val="28"/>
          <w:rtl w:val="true"/>
          <w:lang w:bidi="ar-SA"/>
        </w:rPr>
        <w:t xml:space="preserve">. </w:t>
      </w:r>
      <w:bookmarkStart w:id="717" w:name="pg10144_71594"/>
    </w:p>
    <w:p>
      <w:pPr>
        <w:pStyle w:val="BookText"/>
        <w:rPr/>
      </w:pPr>
      <w:bookmarkEnd w:id="717"/>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توالي الليالي وعدمه ، فصريح رواية 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صلى الله عليه وآله وسلم يصلّي بصلاته ناس ثمّ صلّى من القابلة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الليالي كانت متوالية ، وصريح رواية أبي ذر انّها كانت غير متوالية ، فقد صلّى معهم في الليلة الرابعة والعشرين ، والسادسة والعشرين ، والثامنة والعشرين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مواضع الليالي ، فالمتبادر من أغلبها أنّه صلى الله عليه وآله وسلم صلّى بهم في أوائل الشهر ، وصريح رواية أبي ذر انّه صلى الله عليه وآله وسلم صلّى بهم في العشر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الاختلاف كيف نؤمن بصحّة ما فيها من المضامين؟</w:t>
      </w:r>
      <w:r>
        <w:rPr>
          <w:rFonts w:eastAsia="Amiri" w:cs="Amiri" w:ascii="Amiri" w:hAnsi="Amiri"/>
          <w:color w:val="111111"/>
          <w:sz w:val="28"/>
          <w:szCs w:val="28"/>
          <w:rtl w:val="true"/>
          <w:lang w:bidi="ar-SA"/>
        </w:rPr>
        <w:t>!</w:t>
      </w:r>
    </w:p>
    <w:p>
      <w:pPr>
        <w:pStyle w:val="Heading5"/>
        <w:numPr>
          <w:ilvl w:val="4"/>
          <w:numId w:val="1"/>
        </w:numPr>
        <w:rPr/>
      </w:pPr>
      <w:bookmarkStart w:id="718" w:name="__RefHeading___Toc1165903_1067777946"/>
      <w:bookmarkStart w:id="719" w:name="_Toc259"/>
      <w:bookmarkEnd w:id="718"/>
      <w:r>
        <w:rPr/>
        <w:t>2</w:t>
      </w:r>
      <w:r>
        <w:rPr>
          <w:rtl w:val="true"/>
        </w:rPr>
        <w:t xml:space="preserve">. </w:t>
      </w:r>
      <w:r>
        <w:rPr>
          <w:rtl w:val="true"/>
        </w:rPr>
        <w:t>عدم إناطة التشريع برغبة الناس</w:t>
      </w:r>
      <w:bookmarkEnd w:id="719"/>
    </w:p>
    <w:p>
      <w:pPr>
        <w:pStyle w:val="BookText"/>
        <w:rPr/>
      </w:pPr>
      <w:r>
        <w:rPr>
          <w:rFonts w:ascii="Amiri" w:hAnsi="Amiri" w:eastAsia="Amiri" w:cs="Amiri"/>
          <w:color w:val="111111"/>
          <w:sz w:val="28"/>
          <w:sz w:val="28"/>
          <w:szCs w:val="28"/>
          <w:rtl w:val="true"/>
          <w:lang w:bidi="ar-SA"/>
        </w:rPr>
        <w:t xml:space="preserve">إنّ 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خشيت أن تفرض عليكم فتعجزوا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يعرب عن أنّ التشريع تابع لإقبال الناس وأدبارهم ، ولا أقلّ لإقبالهم ، فلو أظهر الناس رغبتهم إلى العمل ربّما يفرض عليهم مع أنّ الملاك في فرض شيء على كلّ الناس ، هو وجود مصلحة ملزمة في الشيء ، سواء أكان هناك رغبة من الناس أم لا ، فتشريعه سبحانه ليس تابعا لرغبة الناس أو أعراضهم وإنّما يتبع الملاكات الواقعية ، فالمصلحة الملزمة تستتبع تشريعها ، وعدمها عدمه ، ولمّا وقف شراح الصحيحين على هذا الإشكال مالوا يمينا ويسارا لحلّه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في شرح 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انّي خشيت أن تفرض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هذا الحديث انّه صلى الله عليه وآله وسلم توقع ترتّب افتراض الصلاة في الليل جماعة على وجود المواظبة عليها ـ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وفي ذلك إشكال</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ابن حجر وإن أحجم عن بيان مقصوده من الإشكال ولكن يمكن أن يكون إشارة إلى أمرين </w:t>
      </w:r>
      <w:r>
        <w:rPr>
          <w:rFonts w:eastAsia="Amiri" w:cs="Amiri" w:ascii="Amiri" w:hAnsi="Amiri"/>
          <w:color w:val="111111"/>
          <w:sz w:val="28"/>
          <w:szCs w:val="28"/>
          <w:rtl w:val="true"/>
          <w:lang w:bidi="ar-SA"/>
        </w:rPr>
        <w:t xml:space="preserve">: </w:t>
      </w:r>
      <w:bookmarkStart w:id="720" w:name="pg10144_71595"/>
    </w:p>
    <w:p>
      <w:pPr>
        <w:pStyle w:val="BookText"/>
        <w:rPr/>
      </w:pPr>
      <w:bookmarkEnd w:id="72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الأحكام تابعة للملاكات الواقعية لا لرغبة الناس فيها ولا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في الشريعة المقدسة أمورا واظب عليها النبي والمسلمون كالمضمضة والاستنشاق ، ولم تفرض عليهم ، كما أنّ هناك أحكاما رغب عنها كثير من المسلمين حتى في زمن النبي فضلا عما بعده ومع ذلك بقي حكمه على ما كان ، وهذا كحكم الجهاد الذي تقاعس عنه بعض المسلمين حتّى واجهوا تقريعه سبحانه وتبكيته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ما لَكُمْ إِذا قِيلَ لَكُمُ انْفِرُوا فِي سَبِيلِ اللهِ اثَّاقَلْتُمْ إِلَى الْأَرْضِ أَرَضِيتُمْ بِالْحَياةِ الدُّنْيا مِنَ الْآخِرَةِ </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إنّ بعض أئمّة أهل البيت عليهم السلام كالإمام الباقر والصادق عليهما السلام نقلا كلام النبي صلى الله عليه وآله وسلم مع أصحابه الذين كانوا مصرّين على إقامة نوافلهم بالجماعة مع الرسول ، وليس فيه أيّ إشارة إلى هذا التعليل ، فقالا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 الصلاة بالليل في شهر رمضان من النافلة في جماعة بدعة ، وصلاة الضحى بدعة ، ألا فلا تجتمعوا ليلا في شهر رمضان لصلاة الليل</w:t>
      </w:r>
      <w:r>
        <w:rPr>
          <w:rFonts w:eastAsia="Amiri" w:cs="Amiri" w:ascii="Amiri" w:hAnsi="Amiri"/>
          <w:color w:val="111111"/>
          <w:sz w:val="28"/>
          <w:szCs w:val="28"/>
          <w:rtl w:val="true"/>
          <w:lang w:bidi="ar-SA"/>
        </w:rPr>
        <w:t xml:space="preserve">. ». </w:t>
      </w:r>
      <w:r>
        <w:rPr>
          <w:rStyle w:val="FootnoteAnchor"/>
          <w:rtl w:val="true"/>
        </w:rPr>
        <w:footnoteReference w:id="794"/>
      </w:r>
      <w:r>
        <w:rPr>
          <w:rFonts w:ascii="Amiri" w:hAnsi="Amiri" w:eastAsia="Amiri" w:cs="Amiri"/>
          <w:color w:val="111111"/>
          <w:sz w:val="28"/>
          <w:sz w:val="28"/>
          <w:szCs w:val="28"/>
          <w:rtl w:val="true"/>
          <w:lang w:bidi="ar-SA"/>
        </w:rPr>
        <w:t>ترى أنّ الرسول صلى الله عليه وآله وسلم حسب هذا النقل علل عدم حضوره لإقامة النوافل جماعة بأنّه أمر غير مشروع لا انّه خشي أن يكتب عليهم</w:t>
      </w:r>
      <w:r>
        <w:rPr>
          <w:rFonts w:eastAsia="Amiri" w:cs="Amiri" w:ascii="Amiri" w:hAnsi="Amiri"/>
          <w:color w:val="111111"/>
          <w:sz w:val="28"/>
          <w:szCs w:val="28"/>
          <w:rtl w:val="true"/>
          <w:lang w:bidi="ar-SA"/>
        </w:rPr>
        <w:t>.</w:t>
      </w:r>
    </w:p>
    <w:p>
      <w:pPr>
        <w:pStyle w:val="Heading5"/>
        <w:numPr>
          <w:ilvl w:val="4"/>
          <w:numId w:val="1"/>
        </w:numPr>
        <w:rPr/>
      </w:pPr>
      <w:bookmarkStart w:id="721" w:name="__RefHeading___Toc1165905_1067777946"/>
      <w:bookmarkStart w:id="722" w:name="_Toc260"/>
      <w:bookmarkEnd w:id="721"/>
      <w:r>
        <w:rPr/>
        <w:t>3</w:t>
      </w:r>
      <w:r>
        <w:rPr>
          <w:rtl w:val="true"/>
        </w:rPr>
        <w:t xml:space="preserve">. </w:t>
      </w:r>
      <w:r>
        <w:rPr>
          <w:rtl w:val="true"/>
        </w:rPr>
        <w:t>مخالفة التعليل لنداء المعراج</w:t>
      </w:r>
      <w:bookmarkEnd w:id="722"/>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أصحاب الصحاح والسنن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النبي صلى الله عليه وآله وسلم ليلة أسري به الصلوات خمسين ، ثمّ نقصت حتّى جعلت خمسا ثمّ نودي يا محمد انّه لا يبدّل القول لدي وإنّ لك بهذه الخمس </w:t>
      </w:r>
      <w:bookmarkStart w:id="723" w:name="pg10144_71596"/>
    </w:p>
    <w:p>
      <w:pPr>
        <w:pStyle w:val="BookText"/>
        <w:rPr/>
      </w:pPr>
      <w:bookmarkEnd w:id="723"/>
      <w:r>
        <w:rPr>
          <w:rFonts w:ascii="Amiri" w:hAnsi="Amiri" w:eastAsia="Amiri" w:cs="Amiri"/>
          <w:color w:val="111111"/>
          <w:sz w:val="28"/>
          <w:sz w:val="28"/>
          <w:szCs w:val="28"/>
          <w:rtl w:val="true"/>
          <w:lang w:bidi="ar-SA"/>
        </w:rPr>
        <w:t>خمسين</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 xml:space="preserve">قال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استشكل الخطابي أصل هذه الخشية مع ما ثبت في حديث الإسراء انّ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خمس وهنّ خمسون لا يبدل القول لديّ ، فإذا أمن التبديل فكيف يقع الخوف من الزيادة؟</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 xml:space="preserve">ثمّ ذكر الشارحان العسقلاني والقسطلاني توجيهات وتمحلات لا تغني ولا تسمن من جوع ، وقد حكى القسطلاني في إرشاد الساري عن صاحب شرح التقريب تلك التمحلات وانّه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فإنّ المسألة مشكلة ولم أر من كشف الغطاء عن ذلك</w:t>
      </w:r>
      <w:r>
        <w:rPr>
          <w:rFonts w:eastAsia="Amiri" w:cs="Amiri" w:ascii="Amiri" w:hAnsi="Amiri"/>
          <w:color w:val="111111"/>
          <w:sz w:val="28"/>
          <w:szCs w:val="28"/>
          <w:rtl w:val="true"/>
          <w:lang w:bidi="ar-SA"/>
        </w:rPr>
        <w:t xml:space="preserve">. </w:t>
      </w:r>
      <w:r>
        <w:rPr>
          <w:rStyle w:val="FootnoteAnchor"/>
          <w:rtl w:val="true"/>
        </w:rPr>
        <w:footnoteReference w:id="797"/>
      </w:r>
    </w:p>
    <w:p>
      <w:pPr>
        <w:pStyle w:val="Heading4"/>
        <w:numPr>
          <w:ilvl w:val="3"/>
          <w:numId w:val="1"/>
        </w:numPr>
        <w:rPr/>
      </w:pPr>
      <w:bookmarkStart w:id="724" w:name="__RefHeading___Toc1165907_1067777946"/>
      <w:bookmarkStart w:id="725" w:name="_Toc261"/>
      <w:bookmarkEnd w:id="724"/>
      <w:r>
        <w:rPr/>
        <w:t>4</w:t>
      </w:r>
      <w:r>
        <w:rPr>
          <w:rtl w:val="true"/>
        </w:rPr>
        <w:t xml:space="preserve">. </w:t>
      </w:r>
      <w:r>
        <w:rPr>
          <w:rtl w:val="true"/>
        </w:rPr>
        <w:t>رغبة الصحابة لا يكون ملاكا للتشريع في حقّ الأجيال</w:t>
      </w:r>
      <w:bookmarkEnd w:id="725"/>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افترضنا انّ الصحابة أظهرت اهتمامها بصلاة التراويح بإقامتها جماعة ، أفيكون ذلك ملاكا للفرض على غيرهم ولم تكن نسبة الحاضرين إلى الغائبين إلاّ شيئا لا يذكر ، فان مسجد النبي صلى الله عليه وآله وسلم يوم ذاك كان مكانا محدودا لا يسع إلاّ ما يقارب ستة آلاف شخص أو أقل ، فقد جاء في الفقه على المذاهب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مسجد رسول الله صلى الله عليه وآله وسلم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في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ثمّ زاده الرسول صلى الله عليه وآله وسلم وجعله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في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أفيصحّ جعل اهتمامهم كاشفا عن اهتمام جميع الناس بها عبْر العصور إلى يوم القيامة</w:t>
      </w:r>
      <w:r>
        <w:rPr>
          <w:rFonts w:eastAsia="Amiri" w:cs="Amiri" w:ascii="Amiri" w:hAnsi="Amiri"/>
          <w:color w:val="111111"/>
          <w:sz w:val="28"/>
          <w:szCs w:val="28"/>
          <w:rtl w:val="true"/>
          <w:lang w:bidi="ar-SA"/>
        </w:rPr>
        <w:t xml:space="preserve">. </w:t>
      </w:r>
      <w:bookmarkStart w:id="726" w:name="pg10144_71597"/>
    </w:p>
    <w:p>
      <w:pPr>
        <w:pStyle w:val="Heading4"/>
        <w:numPr>
          <w:ilvl w:val="3"/>
          <w:numId w:val="1"/>
        </w:numPr>
        <w:rPr/>
      </w:pPr>
      <w:bookmarkStart w:id="727" w:name="__RefHeading___Toc1165909_1067777946"/>
      <w:bookmarkStart w:id="728" w:name="_Toc262"/>
      <w:bookmarkEnd w:id="726"/>
      <w:bookmarkEnd w:id="727"/>
      <w:r>
        <w:rPr/>
        <w:t>5</w:t>
      </w:r>
      <w:r>
        <w:rPr>
          <w:rtl w:val="true"/>
        </w:rPr>
        <w:t xml:space="preserve">. </w:t>
      </w:r>
      <w:r>
        <w:rPr>
          <w:rtl w:val="true"/>
        </w:rPr>
        <w:t>القدر المتيقّن من فعل النبيّ صلى الله عليه وآله وسلم</w:t>
      </w:r>
      <w:bookmarkEnd w:id="728"/>
    </w:p>
    <w:p>
      <w:pPr>
        <w:pStyle w:val="BookText"/>
        <w:rPr/>
      </w:pPr>
      <w:r>
        <w:rPr>
          <w:rFonts w:ascii="Amiri" w:hAnsi="Amiri" w:eastAsia="Amiri" w:cs="Amiri"/>
          <w:color w:val="111111"/>
          <w:sz w:val="28"/>
          <w:sz w:val="28"/>
          <w:szCs w:val="28"/>
          <w:rtl w:val="true"/>
          <w:lang w:bidi="ar-SA"/>
        </w:rPr>
        <w:t>لو افترضنا صحّة مضامين هذه الروايات لكن الظاهر من روايات الصحيحين انّ النبي خرج في جوف الليل فصلّى في المسجد وهو كناية انّه صلّى في المسجد ، النوافل الليلية ، وهي لا تتجاوز عن ثماني ركعات ، فسواء أقلنا انّه خرج ليلة واحدة أو ليلتين أو ثلاث أو أربع فقد خرج في جوف الليل لإقامة النوافل الليلية فاقتدى به من اقتدى من الصحابة ، فعندئذ يكون الثابت من فعل النبي هو هذا المقدار وأين هذا من إقامة صلاة التراويح في عامة شهر رمضان في كلّ ليلة عشرين ركعة ، ترويحة بعد أربع ركعات فتكون ستمائة ركعة إذا كان الشهر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قلنا بأنّ التشريع ثبت بفعل النبي فإنّما ثبت هذا المقدار القليل فما الدليل على الأكثر منه؟ يقول عبد الرحمن الجزيري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على المذاهب الأربعة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الشيخان أنّه صلى الله عليه وآله وسلم خرج من جوف الليل ليالي من رمضان ، وهي ثلاث متفرقة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الثالث ، والخامس ، والسابع والعشرين ، وصلّى في المسجد ، وصلّى الناس بصلاته فيها ، وكان يصلّي بهم ثماني ركعات ويكملون باقيها في بيوتهم فكان يسمع لهم أزيز ، كأزيز 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يتبين انّ النبي صلى الله عليه وآله وسلم سنّ لهم التراويح والجماعة فيها ولكن لم يصلّ بينهم عشرين ركعة كما جرى عليه من عهد الصحابة ومن بعدهم إلى الآن</w:t>
      </w:r>
      <w:r>
        <w:rPr>
          <w:rFonts w:eastAsia="Amiri" w:cs="Amiri" w:ascii="Amiri" w:hAnsi="Amiri"/>
          <w:color w:val="111111"/>
          <w:sz w:val="28"/>
          <w:szCs w:val="28"/>
          <w:rtl w:val="true"/>
          <w:lang w:bidi="ar-SA"/>
        </w:rPr>
        <w:t xml:space="preserve">. </w:t>
      </w:r>
      <w:r>
        <w:rPr>
          <w:rStyle w:val="FootnoteAnchor"/>
          <w:rtl w:val="true"/>
        </w:rPr>
        <w:footnoteReference w:id="799"/>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التفت إلى هذا الإشكال ، القسطاني ، قال </w:t>
      </w:r>
      <w:r>
        <w:rPr>
          <w:rFonts w:eastAsia="Amiri" w:cs="Amiri" w:ascii="Amiri" w:hAnsi="Amiri"/>
          <w:color w:val="111111"/>
          <w:sz w:val="28"/>
          <w:szCs w:val="28"/>
          <w:rtl w:val="true"/>
          <w:lang w:bidi="ar-SA"/>
        </w:rPr>
        <w:t xml:space="preserve">: </w:t>
      </w:r>
      <w:bookmarkStart w:id="729" w:name="pg10144_71598"/>
    </w:p>
    <w:p>
      <w:pPr>
        <w:pStyle w:val="BookText"/>
        <w:rPr/>
      </w:pPr>
      <w:bookmarkEnd w:id="72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النبي لم يسنّ لهم الاجتماع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كانت في زمن الصديق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أوّل الليل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كلّ ليلة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هذا العدد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التجأ في إثبات مشروعيتها إلى اجتهاد الخليفة ، وسيوافيك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لم يسنّها لهم ولا كانت في زمن أبي بكر ، ثم اعتمد في شريعته إلى اجتهاد عمر واستنباطه من إقرار الشارع الناس يصلّون خلفه ليلتين</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وقال الشاطبي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نبّه بذلك من السلف الصالح ، أبو أمامة الباهلي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أحدثتم قيام شهر رمضان ولم يكتب عليكم ، إنّما كتب عليكم الصيام فدوموا على القيام إذ فعلتموه ولا تتركوه ، فان أناسا من بني إسرائيل ابتدعوا بدعا لم يكتبها الله عليهم ابتغوا بها رضوان الله فما رعوها حقّ رعايتها فعاتبهم الله بتركها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وَرَهْبانِيَّةً ابْتَدَعُوها </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فلم يبق هنا مبرر لأزيد ممّا ثبت من عمل النبي إلاّ عمل الخليفة وسوف نتكلم فيه</w:t>
      </w:r>
      <w:r>
        <w:rPr>
          <w:rFonts w:eastAsia="Amiri" w:cs="Amiri" w:ascii="Amiri" w:hAnsi="Amiri"/>
          <w:color w:val="111111"/>
          <w:sz w:val="28"/>
          <w:szCs w:val="28"/>
          <w:rtl w:val="true"/>
          <w:lang w:bidi="ar-SA"/>
        </w:rPr>
        <w:t>.</w:t>
      </w:r>
    </w:p>
    <w:p>
      <w:pPr>
        <w:pStyle w:val="Heading4"/>
        <w:numPr>
          <w:ilvl w:val="3"/>
          <w:numId w:val="1"/>
        </w:numPr>
        <w:rPr/>
      </w:pPr>
      <w:bookmarkStart w:id="730" w:name="__RefHeading___Toc1165911_1067777946"/>
      <w:bookmarkStart w:id="731" w:name="_Toc263"/>
      <w:bookmarkEnd w:id="730"/>
      <w:r>
        <w:rPr/>
        <w:t>6</w:t>
      </w:r>
      <w:r>
        <w:rPr>
          <w:rtl w:val="true"/>
        </w:rPr>
        <w:t xml:space="preserve">. </w:t>
      </w:r>
      <w:r>
        <w:rPr>
          <w:rtl w:val="true"/>
        </w:rPr>
        <w:t>صلاة التراويح بين اللغوية وعدم التشريع</w:t>
      </w:r>
      <w:bookmarkEnd w:id="731"/>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التشريع الإلهي مصون من اللغو ، فالمشرّع هو الله سبحانه ، وفعله نزيه </w:t>
      </w:r>
    </w:p>
    <w:p>
      <w:pPr>
        <w:pStyle w:val="BookText"/>
        <w:rPr/>
      </w:pPr>
      <w:r>
        <w:rPr>
          <w:rFonts w:ascii="Amiri" w:hAnsi="Amiri" w:eastAsia="Amiri" w:cs="Amiri"/>
          <w:color w:val="111111"/>
          <w:sz w:val="28"/>
          <w:sz w:val="28"/>
          <w:szCs w:val="28"/>
          <w:rtl w:val="true"/>
          <w:lang w:bidi="ar-SA"/>
        </w:rPr>
        <w:t xml:space="preserve">من اللغو والعبث ، فعندئذ تتوجه الأسئلة التالية إلى مشروعية نوافل رمضان جماعة في عصر الرسول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إقامتها جماعة في عصر الرسول لم تخل عن صورتين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إقامتها كذلك أمرا مشروعا وسنّ سبحانه لنبيّه أن يقيمها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تكن مشروعة وكانت الجماعة مختصة بالفرائض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مشروعة ، فلما ذا أهمل النبي تلك السنّة في حياته بل كان عليه أن يجسّد مشروعيتها حينا بعد حين على وجه لا يخشى عليها الافتراض مع أنّه لم يفعل كذلك طيلة عمره ، بل خرج مغضبا ورادعا عن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يعرب عن كون الواقع هو الأمر الثاني ، وانّ إقامة النوافل مطلقا ، أو نوافل شهر رمضان جماعة ، كان أمرا غير مشروع ، ولذلك صارت متروكة في عصره صلى الله عليه وآله وسلم وعصر الخليفة الأوّل وسنين في خلافة الثاني ، ثمّ بدا له ما 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كانت إقامة صلاة التراويح جماعة ، أمرا مشروعا في الشريعة الإسلامية ، فطبع الحال يقتضي أن تكون محددة من جانب الوقت ، وأنّه هل تصلّى في أوائل الليل أو أواسطه أو أواخره ، كما يجب أن تحدد من حيث عدد الركعات ، حتّى لا يكون المصلّون على غمّة من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النبي قد صلّى ثماني ركعات في المسجد ، وأتمها في بيته ، فلما ذا لم يحدّد الركعات ، ويبقى الأمر مكتوما حتّى حدّده عمر بن الخطاب بعشرين ركعة من دون أن ينسبه إلى النبي صلى الله عليه وآله وسلم ، فكيف يحتجّ بفعله؟ فإنّ فعل الصحابة وقولهم ما لم يسندهما إلى المعصوم ليسا بحجّة إلاّ على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يتدخل عمر بن عبد العزيز في أمر الشريعة ، فأدخل فيها ما ليس منها ، ليتساوى ـ في رأيه ـ أهل المدينة وأهل مكة في الفضيلة والثواب ، فإنّ فتح</w:t>
      </w:r>
      <w:bookmarkStart w:id="732" w:name="pg10144_71600"/>
    </w:p>
    <w:p>
      <w:pPr>
        <w:pStyle w:val="BookText"/>
        <w:rPr/>
      </w:pPr>
      <w:bookmarkEnd w:id="732"/>
      <w:r>
        <w:rPr>
          <w:rFonts w:ascii="Amiri" w:hAnsi="Amiri" w:eastAsia="Amiri" w:cs="Amiri"/>
          <w:color w:val="111111"/>
          <w:sz w:val="28"/>
          <w:sz w:val="28"/>
          <w:szCs w:val="28"/>
          <w:rtl w:val="true"/>
          <w:lang w:bidi="ar-SA"/>
        </w:rPr>
        <w:t>هذا الباب لعمر بن عبد العزيز وأقرانه ، يجعل الشريعة المقدسة شرعة لكلّ وارد ، والعوبة بيد الحكام يحكمون فيها بآرائهم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عمر بن عبد العزيز جعل عدد ركعاتها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ركعة ، بحجّة أنّ أهل مكة يطوفون بالبيت بعد كلّ أربع ركعات مرّة ، فرأى أن يصلّى بدل كلّ طواف أربع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صحّ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يطوفون بالبيت بعد كلّ أربع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يجب أن يجعل عدد ركعاتها أربعين ركعة ، لأنّ أهل مكة كانوا يطوفون بعد كلّ أربع ركعات مرّة ، ومن المعلوم أنّهم كانوا ـ حسب هذا التعبير ـ يطوفون بعد عشرين ركعة طوافا آخر ، فيبلغ عد مرات طوافهم خمسة ، فلو أقيم مكان كلّ طواف أربع ركعات ، لصارت الزيادة مع الأصل أربعين ركعة ، عشرون ركعة بدل الطواف مضافة إلى عشرين ركعة مسنونة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ما نقله ابن قدامة من أنّ الطواف كان بين كلّ ترويحة ، يبلغ عدد مرات الطواف أربعة ، فيصير عدد الركعات ستا وثلاثين</w:t>
      </w:r>
      <w:r>
        <w:rPr>
          <w:rFonts w:eastAsia="Amiri" w:cs="Amiri" w:ascii="Amiri" w:hAnsi="Amiri"/>
          <w:color w:val="111111"/>
          <w:sz w:val="28"/>
          <w:szCs w:val="28"/>
          <w:rtl w:val="true"/>
          <w:lang w:bidi="ar-SA"/>
        </w:rPr>
        <w:t>.</w:t>
      </w:r>
    </w:p>
    <w:p>
      <w:pPr>
        <w:pStyle w:val="Heading4"/>
        <w:numPr>
          <w:ilvl w:val="3"/>
          <w:numId w:val="1"/>
        </w:numPr>
        <w:rPr/>
      </w:pPr>
      <w:bookmarkStart w:id="733" w:name="__RefHeading___Toc1165913_1067777946"/>
      <w:bookmarkStart w:id="734" w:name="_Toc264"/>
      <w:bookmarkEnd w:id="733"/>
      <w:r>
        <w:rPr/>
        <w:t>7</w:t>
      </w:r>
      <w:r>
        <w:rPr>
          <w:rtl w:val="true"/>
        </w:rPr>
        <w:t xml:space="preserve">. </w:t>
      </w:r>
      <w:r>
        <w:rPr>
          <w:rtl w:val="true"/>
        </w:rPr>
        <w:t>الاختلاف الكبير في عدد ركعاتها</w:t>
      </w:r>
      <w:bookmarkEnd w:id="734"/>
    </w:p>
    <w:p>
      <w:pPr>
        <w:pStyle w:val="BookText"/>
        <w:rPr/>
      </w:pPr>
      <w:r>
        <w:rPr>
          <w:rFonts w:ascii="Amiri" w:hAnsi="Amiri" w:eastAsia="Amiri" w:cs="Amiri"/>
          <w:color w:val="111111"/>
          <w:sz w:val="28"/>
          <w:sz w:val="28"/>
          <w:szCs w:val="28"/>
          <w:rtl w:val="true"/>
          <w:lang w:bidi="ar-SA"/>
        </w:rPr>
        <w:t xml:space="preserve">اختلف الفقهاء في عدد ركعات صلاة التراويح ، فقال الخرقي في مختصره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وقيام شهر رمضان عشرون ركعة ، يعني صلاة التراويح</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قدامة في شرحه على مختصر الخرقي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والمختار عند الإمام أحمد عشرون ركعة ، وبهذا قال الثوري ، وأبو حنيفة ، والشافعي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وثلاثون ، وزعم أنّه الأمر القديم ، وتعلّق بفعل أهل المدينة</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وقد اعتمد من جعله عشرين ركعة على فعل الخليفة عمر ، في حين اعتمد من جعله ستّا وثلاثين ركعة على فعل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الرحمن الجزيري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على المذاهب الأربعة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عددها ليس مقصورا على الثماني ركعات التي صلاها النبي صلى الله عليه وآله وسلم بهم ، بدليل أنّها يكملونها في بيوتهم ، وقد بيّن فعل عمر ، أنّ عددها عشرون ، حيث إنّه جمع الناس أخيرا على هذا العدد في المسجد ، ووافقه الصحابة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زيد فيها في عهد عمر بن عبد العزيز ، فجعلت ستا وثلاثين ركعة ، وكان القصد من هذه الزيادة مساواة أهل مكة في الفضل ، لأنّهم كانوا يطوفون بالبيت بعد كلّ أربع ركعات مرة ، فرأى عمر بن عبد العزيز أن يصلّى بدل كلّ طواف أربع ركعات</w:t>
      </w:r>
      <w:r>
        <w:rPr>
          <w:rFonts w:eastAsia="Amiri" w:cs="Amiri" w:ascii="Amiri" w:hAnsi="Amiri"/>
          <w:color w:val="111111"/>
          <w:sz w:val="28"/>
          <w:szCs w:val="28"/>
          <w:rtl w:val="true"/>
          <w:lang w:bidi="ar-SA"/>
        </w:rPr>
        <w:t xml:space="preserve">. </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وربما يظن القاري أنّ الاختلاف ينحصر بهذين القولين ، ولكن الاختلاف في عدد ركعاتها أوسع من ذلك بكثير إلى حدّ قلّ نظيره في أبواب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عدد ركعاتها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ركعة ، إلى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ركعة ، إلى 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ركعة ، إلى 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ركعة ، إلى 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ركعة ، إلى 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ركعة ، إلى 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ركعة ، إلى 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ركعة ، إلى 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ركعة ، وهلمّ جرّا</w:t>
      </w:r>
      <w:r>
        <w:rPr>
          <w:rFonts w:eastAsia="Amiri" w:cs="Amiri" w:ascii="Amiri" w:hAnsi="Amiri"/>
          <w:color w:val="111111"/>
          <w:sz w:val="28"/>
          <w:szCs w:val="28"/>
          <w:rtl w:val="true"/>
          <w:lang w:bidi="ar-SA"/>
        </w:rPr>
        <w:t xml:space="preserve">. </w:t>
      </w:r>
      <w:r>
        <w:rPr>
          <w:rStyle w:val="FootnoteAnchor"/>
          <w:rtl w:val="true"/>
        </w:rPr>
        <w:footnoteReference w:id="804"/>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العبادة الجماعية كصلاة التراويح ، التي تقيمها الأمّة الإسلامية في رمضان كلّ سنة ، تطلب لنفسها أن تكون مبيّنة الحدود في لسان الرسول صلى الله عليه وآله وسلم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محددة من جانب الركعات وغيرها من الجهات لكن تسرّب الفوضى إليها من وجوه شتّى ، يكشف عن عدم نص من الرسول في الموضوع ، ولا وجود رغبة منه إلى إقامة الأمّة لها بعد رحيله ، فإنّ السنّة المؤكدة ، أو السنّة المرغوبة فيها تكون بعيدة عن الغمّة</w:t>
      </w:r>
      <w:r>
        <w:rPr>
          <w:rFonts w:eastAsia="Amiri" w:cs="Amiri" w:ascii="Amiri" w:hAnsi="Amiri"/>
          <w:color w:val="111111"/>
          <w:sz w:val="28"/>
          <w:szCs w:val="28"/>
          <w:rtl w:val="true"/>
          <w:lang w:bidi="ar-SA"/>
        </w:rPr>
        <w:t xml:space="preserve">. </w:t>
      </w:r>
      <w:bookmarkStart w:id="735" w:name="pg10144_71603"/>
    </w:p>
    <w:p>
      <w:pPr>
        <w:pStyle w:val="Heading3"/>
        <w:numPr>
          <w:ilvl w:val="2"/>
          <w:numId w:val="1"/>
        </w:numPr>
        <w:rPr/>
      </w:pPr>
      <w:bookmarkStart w:id="736" w:name="__RefHeading___Toc1165915_1067777946"/>
      <w:bookmarkStart w:id="737" w:name="_Toc265"/>
      <w:bookmarkEnd w:id="735"/>
      <w:bookmarkEnd w:id="736"/>
      <w:r>
        <w:rPr/>
        <w:t>7</w:t>
      </w:r>
      <w:r>
        <w:rPr>
          <w:rtl w:val="true"/>
        </w:rPr>
        <w:t xml:space="preserve">. </w:t>
      </w:r>
      <w:r>
        <w:rPr>
          <w:rtl w:val="true"/>
        </w:rPr>
        <w:t>صلاة التراويح جماعة في كلام عمر</w:t>
      </w:r>
      <w:bookmarkEnd w:id="737"/>
    </w:p>
    <w:p>
      <w:pPr>
        <w:pStyle w:val="Heading4"/>
        <w:numPr>
          <w:ilvl w:val="3"/>
          <w:numId w:val="1"/>
        </w:numPr>
        <w:rPr/>
      </w:pPr>
      <w:bookmarkStart w:id="738" w:name="__RefHeading___Toc1165917_1067777946"/>
      <w:bookmarkStart w:id="739" w:name="_Toc266"/>
      <w:bookmarkEnd w:id="738"/>
      <w:r>
        <w:rPr>
          <w:rtl w:val="true"/>
        </w:rPr>
        <w:t>اشارة</w:t>
      </w:r>
      <w:bookmarkEnd w:id="739"/>
    </w:p>
    <w:p>
      <w:pPr>
        <w:pStyle w:val="BookText"/>
        <w:rPr/>
      </w:pPr>
      <w:r>
        <w:rPr>
          <w:rFonts w:ascii="Amiri" w:hAnsi="Amiri" w:eastAsia="Amiri" w:cs="Amiri"/>
          <w:color w:val="111111"/>
          <w:sz w:val="28"/>
          <w:sz w:val="28"/>
          <w:szCs w:val="28"/>
          <w:rtl w:val="true"/>
          <w:lang w:bidi="ar-SA"/>
        </w:rPr>
        <w:t>لم تنعقد الجماعة لنوافل شهر رمضان في حياة الرسول صلى الله عليه وآله وسلم وعصر الخليفة الأوّل وسنين من عصر الخليفة الثاني ، بل كان المسلمون يصلّون نوافل شهر رمضان في البيوت والمساجد فرادى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بدا للخليفة الثاني جمع المصلّين المتفرقين في المسجد على إمام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ما ذكرنا ما أخرجه الشيخان في هذا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البخاري عن أبي هريرة انّ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قام شهر رمضان إيمانا واحتسابا غفر له ما تقدّم من ذنبه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فتوفّي رسول الله صلى الله عليه وآله وسلم والأمر على ذلك ، ثمّ كان الأمر على ذلك في خلافة أبي بكر وصدرا من خلافة عمر</w:t>
      </w:r>
      <w:r>
        <w:rPr>
          <w:rFonts w:eastAsia="Amiri" w:cs="Amiri" w:ascii="Amiri" w:hAnsi="Amiri"/>
          <w:color w:val="111111"/>
          <w:sz w:val="28"/>
          <w:szCs w:val="28"/>
          <w:rtl w:val="true"/>
          <w:lang w:bidi="ar-SA"/>
        </w:rPr>
        <w:t xml:space="preserve">. </w:t>
      </w:r>
      <w:r>
        <w:rPr>
          <w:rStyle w:val="FootnoteAnchor"/>
          <w:rtl w:val="true"/>
        </w:rPr>
        <w:footnoteReference w:id="805"/>
      </w:r>
      <w:r>
        <w:rPr>
          <w:rFonts w:ascii="Amiri" w:hAnsi="Amiri" w:eastAsia="Amiri" w:cs="Amiri"/>
          <w:color w:val="111111"/>
          <w:sz w:val="28"/>
          <w:sz w:val="28"/>
          <w:szCs w:val="28"/>
          <w:rtl w:val="true"/>
          <w:lang w:bidi="ar-SA"/>
        </w:rPr>
        <w:t>وأخرجه أيضا مسلم في صحيحه</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فتوفّي رسول الله صلى الله عليه وآله وسلم والأمر على ذلك ، ثمّ كان الأمر على ذلك في خلافة أبي بكر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فسّره الشرّاح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ترك الجماعة في التراويح ، ولم يكن رسول </w:t>
      </w:r>
    </w:p>
    <w:p>
      <w:pPr>
        <w:pStyle w:val="BookText"/>
        <w:rPr/>
      </w:pPr>
      <w:r>
        <w:rPr>
          <w:rFonts w:ascii="Amiri" w:hAnsi="Amiri" w:eastAsia="Amiri" w:cs="Amiri"/>
          <w:color w:val="111111"/>
          <w:sz w:val="28"/>
          <w:sz w:val="28"/>
          <w:szCs w:val="28"/>
          <w:rtl w:val="true"/>
          <w:lang w:bidi="ar-SA"/>
        </w:rPr>
        <w:t>الله صلى الله عليه وآله وسلم جمع الناس على القيام</w:t>
      </w:r>
      <w:r>
        <w:rPr>
          <w:rFonts w:eastAsia="Amiri" w:cs="Amiri" w:ascii="Amiri" w:hAnsi="Amiri"/>
          <w:color w:val="111111"/>
          <w:sz w:val="28"/>
          <w:szCs w:val="28"/>
          <w:rtl w:val="true"/>
          <w:lang w:bidi="ar-SA"/>
        </w:rPr>
        <w:t xml:space="preserve">.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وقال بدر الدين العيني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ترك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وهب 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 الله عليه وآله وسلم وإذا الناس في رمضان يصلّون في ناحية المسجد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 يصلّي بهم أبيّ بن كعب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أصابوا ونعم ما صنعوا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ذكره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أجاب بقوله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مسلم بن خالد وهو ضعيف ، والمحفوظ أنّ عمر ـ رضي الله عنه ـ هو الذي جمع الناس على أبيّ بن كعب ـ رضي الله عنه</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وقال القسطلاني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ترك الجماعة في التراويح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الأمر على ذلك في خلافة أبي بكر ، إلى آخر ما ذكره</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وقال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فتوفّي رسول الله والأمر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 الأمر هذه المدة على أنّ كلّ واحد يقوم رمضان في بيته منفردا حتّى انقضى صدرا من خلافة عمر ثمّ جمعهم عمر على أبي بن كعب فصلّى بهم جماعة ، واستمر العمل على فعلها جماعة</w:t>
      </w:r>
      <w:r>
        <w:rPr>
          <w:rFonts w:eastAsia="Amiri" w:cs="Amiri" w:ascii="Amiri" w:hAnsi="Amiri"/>
          <w:color w:val="111111"/>
          <w:sz w:val="28"/>
          <w:szCs w:val="28"/>
          <w:rtl w:val="true"/>
          <w:lang w:bidi="ar-SA"/>
        </w:rPr>
        <w:t xml:space="preserve">. </w:t>
      </w:r>
      <w:r>
        <w:rPr>
          <w:rStyle w:val="FootnoteAnchor"/>
          <w:rtl w:val="true"/>
        </w:rPr>
        <w:footnoteReference w:id="810"/>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أيضا عن عبد الرحمن بن عبد القاري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عمر بن الخطاب ليلة في رمضان إلى المسجد فإذا الناس أوزاع متفرقون يصلّي الرجل لنفسه ويصلّي الرجل فيصلّي بصلاته الرهط </w:t>
      </w:r>
      <w:r>
        <w:rPr>
          <w:rStyle w:val="FootnoteAnchor"/>
          <w:rtl w:val="true"/>
        </w:rPr>
        <w:footnoteReference w:id="811"/>
      </w:r>
      <w:r>
        <w:rPr>
          <w:rFonts w:ascii="Amiri" w:hAnsi="Amiri" w:eastAsia="Amiri" w:cs="Amiri"/>
          <w:color w:val="111111"/>
          <w:sz w:val="28"/>
          <w:sz w:val="28"/>
          <w:szCs w:val="28"/>
          <w:rtl w:val="true"/>
          <w:lang w:bidi="ar-SA"/>
        </w:rPr>
        <w:t xml:space="preserve">،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لو جمعت </w:t>
      </w:r>
      <w:bookmarkStart w:id="740" w:name="pg10144_71605"/>
    </w:p>
    <w:p>
      <w:pPr>
        <w:pStyle w:val="BookText"/>
        <w:rPr/>
      </w:pPr>
      <w:bookmarkEnd w:id="740"/>
      <w:r>
        <w:rPr>
          <w:rFonts w:ascii="Amiri" w:hAnsi="Amiri" w:eastAsia="Amiri" w:cs="Amiri"/>
          <w:color w:val="111111"/>
          <w:sz w:val="28"/>
          <w:sz w:val="28"/>
          <w:szCs w:val="28"/>
          <w:rtl w:val="true"/>
          <w:lang w:bidi="ar-SA"/>
        </w:rPr>
        <w:t xml:space="preserve">هؤلاء على قارئ واحد لكان أمثل ، ثمّ عزم فجمعهم على أبيّ بن كعب ، ثمّ خرجت معه ليلة أخرى والناس يصلّون بصلاة قارئهم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البدعة هذه والتي ينامون عنها أفضل من التي يقومون ، يريد آخر الليل وكان الناس يقومون أوّله</w:t>
      </w:r>
      <w:r>
        <w:rPr>
          <w:rFonts w:eastAsia="Amiri" w:cs="Amiri" w:ascii="Amiri" w:hAnsi="Amiri"/>
          <w:color w:val="111111"/>
          <w:sz w:val="28"/>
          <w:szCs w:val="28"/>
          <w:rtl w:val="true"/>
          <w:lang w:bidi="ar-SA"/>
        </w:rPr>
        <w:t xml:space="preserve">. </w:t>
      </w:r>
      <w:r>
        <w:rPr>
          <w:rStyle w:val="FootnoteAnchor"/>
          <w:rtl w:val="true"/>
        </w:rPr>
        <w:footnoteReference w:id="812"/>
      </w:r>
    </w:p>
    <w:p>
      <w:pPr>
        <w:pStyle w:val="Heading4"/>
        <w:numPr>
          <w:ilvl w:val="3"/>
          <w:numId w:val="1"/>
        </w:numPr>
        <w:rPr/>
      </w:pPr>
      <w:bookmarkStart w:id="741" w:name="__RefHeading___Toc1165919_1067777946"/>
      <w:bookmarkStart w:id="742" w:name="_Toc267"/>
      <w:bookmarkEnd w:id="741"/>
      <w:r>
        <w:rPr>
          <w:rtl w:val="true"/>
        </w:rPr>
        <w:t xml:space="preserve">قوله </w:t>
      </w:r>
      <w:r>
        <w:rPr>
          <w:rtl w:val="true"/>
        </w:rPr>
        <w:t xml:space="preserve">: « </w:t>
      </w:r>
      <w:r>
        <w:rPr>
          <w:rtl w:val="true"/>
        </w:rPr>
        <w:t xml:space="preserve">نعم البدعة </w:t>
      </w:r>
      <w:r>
        <w:rPr>
          <w:rtl w:val="true"/>
        </w:rPr>
        <w:t>» :</w:t>
      </w:r>
      <w:bookmarkEnd w:id="742"/>
    </w:p>
    <w:p>
      <w:pPr>
        <w:pStyle w:val="BookText"/>
        <w:rPr/>
      </w:pPr>
      <w:r>
        <w:rPr>
          <w:rFonts w:ascii="Amiri" w:hAnsi="Amiri" w:eastAsia="Amiri" w:cs="Amiri"/>
          <w:color w:val="111111"/>
          <w:sz w:val="28"/>
          <w:sz w:val="28"/>
          <w:szCs w:val="28"/>
          <w:rtl w:val="true"/>
          <w:lang w:bidi="ar-SA"/>
        </w:rPr>
        <w:t xml:space="preserve">إنّ الظاهر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البدعة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سنن نفس الخليفة ولا صلة لها بالشرع ، وقد صرّح بذلك لفيف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القسطلاني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بدعة ، لأنّه صلى الله عليه وآله وسلم لم يسنّ لهم الاجتماع لها ، ولا كانت في زمن الصديق ، ولا أوّل الليل ولا كلّ ليلة ولا هذا العدد ـ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وقيام رمضان ليس بدعة ، لأنّه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اقتدوا باللّذين من بعدي أبي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اجتمع الصحابة مع عمر على ذلك زال عنه اسم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دعاها بدعة ، لأنّ رسول الله صلى الله عليه وآله وسلم لم يسنّها لهم ، ولا كانت في زمن أبي بكر ـ رضي الله عنه ـ ولا رغب رسول الله صلى الله عليه وآله وسلم فيها</w:t>
      </w:r>
      <w:r>
        <w:rPr>
          <w:rFonts w:eastAsia="Amiri" w:cs="Amiri" w:ascii="Amiri" w:hAnsi="Amiri"/>
          <w:color w:val="111111"/>
          <w:sz w:val="28"/>
          <w:szCs w:val="28"/>
          <w:rtl w:val="true"/>
          <w:lang w:bidi="ar-SA"/>
        </w:rPr>
        <w:t xml:space="preserve">.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وهناك من نقل أنّ عمر أوّل من سنّ الجماعة ، نذكر منهم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سعد في ترجمة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سنّ قيام شهر رمضان بالتراويح ، وجمع الناس على ذلك ، وكتب به إلى البلدان ، وذلك في شهر رمضان سنة أربع عشرة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عبد البر في ترجمة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نوّر شهر الصوم بصلاة الاشفاع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الوليد بن الشحنة عند ذكر وفاة عمر في حوادث سنة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من نهى عن بيع أمهات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جمع الناس على إمام يصلّي بهم التراويح</w:t>
      </w:r>
      <w:r>
        <w:rPr>
          <w:rFonts w:eastAsia="Amiri" w:cs="Amiri" w:ascii="Amiri" w:hAnsi="Amiri"/>
          <w:color w:val="111111"/>
          <w:sz w:val="28"/>
          <w:szCs w:val="28"/>
          <w:rtl w:val="true"/>
          <w:lang w:bidi="ar-SA"/>
        </w:rPr>
        <w:t xml:space="preserve">.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إذا كان المفروض أنّ رسول الله صلى الله عليه وآله وسلم لم يسنّ الجماعة فيها ، وإنّما سنّها عمر ، وهل يكفي تسنين الخليفة في مشروعيتها؟ مع أنّه ليس لإنسان ـ حتى الرسول ـ حقّ التسنين والتشريع ، وإنّما هو صلى الله عليه وآله وسلم مبلغ عن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الوحي يحمل التشريع إلى النبي الأكرم وهو صلى الله عليه وآله وسلم الموحى إليه وبموته انقطع الوحي وسدّ باب التشريع والتسنين ، فليس للأمة إلاّ الاجتهاد في ضوء الكتاب والسنّة ، لا التشريع ولا التسنين ، ومن رأى أنّ لغير الله سبحانه حقّ التسنين فمعنى ذلك عدم انقطاع الوحي</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الأثير في نهايته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النوع 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البدعة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التراويح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من أفعال الخير وداخلة في حيز المدح سماها بدعة ومدحها ، إلاّ أنّ النبي صلى الله عليه وآله وسلم لم يسنّها لهم وإنّما صلاّها ليالي ثم تركها ، ولم يحافظ عليها ، ولا جمع الناس لها ، ولا كانت في زمن أبي بكر وإنّما عمر جمع الناس عليها وندبهم إليها ، فبهذا سمّاها بدعة وهي في الحقيقة سنّة ، لقوله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بسنّتي وسنّة الخلفاء الراشدين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اقتدوا باللّذين من بعدي أبي بكر وعمر </w:t>
      </w:r>
      <w:r>
        <w:rPr>
          <w:rFonts w:eastAsia="Amiri" w:cs="Amiri" w:ascii="Amiri" w:hAnsi="Amiri"/>
          <w:color w:val="111111"/>
          <w:sz w:val="28"/>
          <w:szCs w:val="28"/>
          <w:rtl w:val="true"/>
          <w:lang w:bidi="ar-SA"/>
        </w:rPr>
        <w:t xml:space="preserve">». </w:t>
      </w:r>
      <w:r>
        <w:rPr>
          <w:rStyle w:val="FootnoteAnchor"/>
          <w:rtl w:val="true"/>
        </w:rPr>
        <w:footnoteReference w:id="815"/>
      </w:r>
      <w:bookmarkStart w:id="743" w:name="pg10144_71607"/>
    </w:p>
    <w:p>
      <w:pPr>
        <w:pStyle w:val="BookText"/>
        <w:rPr/>
      </w:pPr>
      <w:bookmarkEnd w:id="743"/>
      <w:r>
        <w:rPr>
          <w:rFonts w:ascii="Amiri" w:hAnsi="Amiri" w:eastAsia="Amiri" w:cs="Amiri"/>
          <w:color w:val="111111"/>
          <w:sz w:val="28"/>
          <w:sz w:val="28"/>
          <w:szCs w:val="28"/>
          <w:rtl w:val="true"/>
          <w:lang w:bidi="ar-SA"/>
        </w:rPr>
        <w:t>وكلامه وكلام كلّ من برّر كون الجماعة سنّة ، دالّ على أنّ للخلفاء حقّ التشريع والتسنين ، أو للخليفتين فقط</w:t>
      </w:r>
      <w:r>
        <w:rPr>
          <w:rFonts w:eastAsia="Amiri" w:cs="Amiri" w:ascii="Amiri" w:hAnsi="Amiri"/>
          <w:color w:val="111111"/>
          <w:sz w:val="28"/>
          <w:szCs w:val="28"/>
          <w:rtl w:val="true"/>
          <w:lang w:bidi="ar-SA"/>
        </w:rPr>
        <w:t>.</w:t>
      </w:r>
    </w:p>
    <w:p>
      <w:pPr>
        <w:pStyle w:val="Heading4"/>
        <w:numPr>
          <w:ilvl w:val="3"/>
          <w:numId w:val="1"/>
        </w:numPr>
        <w:rPr/>
      </w:pPr>
      <w:bookmarkStart w:id="744" w:name="__RefHeading___Toc1165921_1067777946"/>
      <w:bookmarkStart w:id="745" w:name="_Toc268"/>
      <w:bookmarkEnd w:id="744"/>
      <w:r>
        <w:rPr>
          <w:rtl w:val="true"/>
        </w:rPr>
        <w:t>التشريع مختص بالله سبحانه</w:t>
      </w:r>
      <w:bookmarkEnd w:id="745"/>
    </w:p>
    <w:p>
      <w:pPr>
        <w:pStyle w:val="BookText"/>
        <w:rPr/>
      </w:pPr>
      <w:r>
        <w:rPr>
          <w:rFonts w:ascii="Amiri" w:hAnsi="Amiri" w:eastAsia="Amiri" w:cs="Amiri"/>
          <w:color w:val="111111"/>
          <w:sz w:val="28"/>
          <w:sz w:val="28"/>
          <w:szCs w:val="28"/>
          <w:rtl w:val="true"/>
          <w:lang w:bidi="ar-SA"/>
        </w:rPr>
        <w:t xml:space="preserve">إنّ هؤلاء الأكابر مع اعترافهم بأنّ النبيّ صلى الله عليه وآله وسلم لم يسنّ الاجتماع ، برّروا إقامتها جماعة بعمل الخليفة ، ومعناه أنّ له حقّ التسنين والتشريع ، وهذا يضاد إجماع الأمّة ، إذ لا حقّ لإنسان أن يتدخّل في أمر الشريعة بعد إكمالها ،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w:t>
      </w:r>
      <w:r>
        <w:rPr>
          <w:rStyle w:val="FootnoteAnchor"/>
          <w:rtl w:val="true"/>
        </w:rPr>
        <w:footnoteReference w:id="816"/>
      </w:r>
      <w:r>
        <w:rPr>
          <w:rFonts w:ascii="Amiri" w:hAnsi="Amiri" w:eastAsia="Amiri" w:cs="Amiri"/>
          <w:color w:val="111111"/>
          <w:sz w:val="28"/>
          <w:sz w:val="28"/>
          <w:szCs w:val="28"/>
          <w:rtl w:val="true"/>
          <w:lang w:bidi="ar-SA"/>
        </w:rPr>
        <w:t>وكلامه يصادم الكتاب والسنّة ، فان التشريع حقّ الله سبحانه لم يفوّضه لأحد والنبيّ الأكرم صلى الله عليه وآله وسلم مبلّغ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للخليفة استلام الضوء الأخضر في مجال التشريع والتسنين ، فلم لا يكون لسائر الصحابة ذلك الضوء مع كون بعضهم أقرأ منه كأبي بن كعب ، وأفرض كزيد بن ثابت ، وأعلم كعليّ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للجميع ذلك الضوء ، لانتشر الفساد وعمّت الفوضى أمر الدين ويكون الدين العوبة بأيدي غير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التمسّك بالحديثين ، فلو صحّ سندهما فإنّهما لا يهدفان إلى أنّ لهما حقّ التشريع ، بل يفيدان لزوم الاقتداء بهما لأجل أنّهما يعتمدان على سنّة النبيّ الأكرم صلى الله عليه وآله وسلم لا أنّ لهما حقّ التسنين</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يظهر ممّا رواه السيوطي عن عمر بن عبد العزيز أنّه كان يعتقد أنّ للخلفاء حقّ التسنين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حاجب بن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عمر بن عبد العزيز </w:t>
      </w:r>
      <w:bookmarkStart w:id="746" w:name="pg10144_71608"/>
    </w:p>
    <w:p>
      <w:pPr>
        <w:pStyle w:val="BookText"/>
        <w:rPr/>
      </w:pPr>
      <w:bookmarkEnd w:id="746"/>
      <w:r>
        <w:rPr>
          <w:rFonts w:ascii="Amiri" w:hAnsi="Amiri" w:eastAsia="Amiri" w:cs="Amiri"/>
          <w:color w:val="111111"/>
          <w:sz w:val="28"/>
          <w:sz w:val="28"/>
          <w:szCs w:val="28"/>
          <w:rtl w:val="true"/>
          <w:lang w:bidi="ar-SA"/>
        </w:rPr>
        <w:t xml:space="preserve">يخطب وهو خليفة ، فقال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 ما سنّ رسول الله وصاحباه فهو دين نأخذ به وننتهي إليه ، وما سنّ سواهما فإنّا نرجئه</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وعلى كل تقدير ، نحن لسنا بمؤمنين بأنّه سبحانه فوّض أمر دينه في التشريع والتقنين إلى غير الوحي ، وفي ذلك يقول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قول الصحابي ليس بحجة ، فإنّ الله سبحانه وتعالى لم يبعث إلى هذه الأُمّة إلاّ نبيّنا محمدا صلى الله عليه وآله وسلم وليس لنا إلاّ رسول واحد ، والصحابة ومن بعدهم مكلّفون على السواء باتّباع شرعه والكتاب والسنّة ، فمن قال إنّه تقوم الحجّة في دين الله بغيرهما ، فقد قال في دين الله بما لا يثبت ، وأثبت شرعا لم يأمر به الله</w:t>
      </w:r>
      <w:r>
        <w:rPr>
          <w:rFonts w:eastAsia="Amiri" w:cs="Amiri" w:ascii="Amiri" w:hAnsi="Amiri"/>
          <w:color w:val="111111"/>
          <w:sz w:val="28"/>
          <w:szCs w:val="28"/>
          <w:rtl w:val="true"/>
          <w:lang w:bidi="ar-SA"/>
        </w:rPr>
        <w:t xml:space="preserve">. </w:t>
      </w:r>
      <w:r>
        <w:rPr>
          <w:rStyle w:val="FootnoteAnchor"/>
          <w:rtl w:val="true"/>
        </w:rPr>
        <w:footnoteReference w:id="818"/>
      </w:r>
    </w:p>
    <w:p>
      <w:pPr>
        <w:pStyle w:val="Heading4"/>
        <w:numPr>
          <w:ilvl w:val="3"/>
          <w:numId w:val="1"/>
        </w:numPr>
        <w:rPr/>
      </w:pPr>
      <w:bookmarkStart w:id="747" w:name="__RefHeading___Toc1165923_1067777946"/>
      <w:bookmarkStart w:id="748" w:name="_Toc269"/>
      <w:bookmarkEnd w:id="747"/>
      <w:r>
        <w:rPr>
          <w:rtl w:val="true"/>
        </w:rPr>
        <w:t>استنباط مشروعيتها من تقرير النبي صلى الله عليه وآله وسلم</w:t>
      </w:r>
      <w:bookmarkEnd w:id="748"/>
    </w:p>
    <w:p>
      <w:pPr>
        <w:pStyle w:val="BookText"/>
        <w:rPr/>
      </w:pPr>
      <w:r>
        <w:rPr>
          <w:rFonts w:ascii="Amiri" w:hAnsi="Amiri" w:eastAsia="Amiri" w:cs="Amiri"/>
          <w:color w:val="111111"/>
          <w:sz w:val="28"/>
          <w:sz w:val="28"/>
          <w:szCs w:val="28"/>
          <w:rtl w:val="true"/>
          <w:lang w:bidi="ar-SA"/>
        </w:rPr>
        <w:t xml:space="preserve">نقل القسطلاني عن ابن التين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استنبط مشروعيته من تقرير النبيّ صلى الله عليه وآله وسلم ومن صلّى معه في تلك الليالي وإن كان كره ذلك لهم فإنّما كرهه خشية أن يفرض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النبيّ حصل الأمن من ذلك ورجح عند عمر ذلك لما في الاختلاف من افتراق الكلمة ، ولأنّ الاجتماع على واحد أنشط لكثير من المصلّين</w:t>
      </w:r>
      <w:r>
        <w:rPr>
          <w:rFonts w:eastAsia="Amiri" w:cs="Amiri" w:ascii="Amiri" w:hAnsi="Amiri"/>
          <w:color w:val="111111"/>
          <w:sz w:val="28"/>
          <w:szCs w:val="28"/>
          <w:rtl w:val="true"/>
          <w:lang w:bidi="ar-SA"/>
        </w:rPr>
        <w:t xml:space="preserve">. </w:t>
      </w:r>
      <w:r>
        <w:rPr>
          <w:rStyle w:val="FootnoteAnchor"/>
          <w:rtl w:val="true"/>
        </w:rPr>
        <w:footnoteReference w:id="819"/>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كانت صلاة التراويح أمرا مشروعا ومما سنّها الله سبحانه فلما ذا كرهه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الكراهة لأجل الخشية من الفرض ، يكفي في دفعها ، إقامتها حينا بعد حين ، فدخوله البيت وعدم حضوره في المسجد ، طيلة عمره دالّ على أنّها لم تكن مشروعة ، إذ لو كانت مسنونة لما تركها النبي بتاتا ، وقد </w:t>
      </w:r>
    </w:p>
    <w:p>
      <w:pPr>
        <w:pStyle w:val="BookText"/>
        <w:rPr/>
      </w:pPr>
      <w:r>
        <w:rPr>
          <w:rFonts w:ascii="Amiri" w:hAnsi="Amiri" w:eastAsia="Amiri" w:cs="Amiri"/>
          <w:color w:val="111111"/>
          <w:sz w:val="28"/>
          <w:sz w:val="28"/>
          <w:szCs w:val="28"/>
          <w:rtl w:val="true"/>
          <w:lang w:bidi="ar-SA"/>
        </w:rPr>
        <w:t xml:space="preserve">مرّ انّ التشريع المجرّد عن التطبيق على الصعيد العملي لغو </w:t>
      </w:r>
      <w:r>
        <w:rPr>
          <w:rStyle w:val="FootnoteAnchor"/>
          <w:rtl w:val="true"/>
        </w:rPr>
        <w:footnoteReference w:id="820"/>
      </w:r>
      <w:r>
        <w:rPr>
          <w:rFonts w:ascii="Amiri" w:hAnsi="Amiri" w:eastAsia="Amiri" w:cs="Amiri"/>
          <w:color w:val="111111"/>
          <w:sz w:val="28"/>
          <w:sz w:val="28"/>
          <w:szCs w:val="28"/>
          <w:rtl w:val="true"/>
          <w:lang w:bidi="ar-SA"/>
        </w:rPr>
        <w:t>لا يصدر من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يوسف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حنيفة عن التراويح وما فعله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التراويح سنّة مؤكّدة ، ولم يتخرص عمر من تلقاء نفسه ولم يكن فيه مبتدعا ولم يأمر به إلاّ عن أصل لديه وعهد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سنّ عمر هذا وجمع الناس على أبي بن كعب فصلاها جماعة والصحابة متوافرون من المهاجرين والأنصار وما رد عليه واحد منهم بل وافقوه وأمروا بذلك</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برر عمل الخليفة بالوجوه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أصل لديه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من رسول الله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يعترض عليه أحد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على الأوّل ما ذا يريد من الأصل الموجود لدى الخليفة ، وهل كان هذا الأصل يختص بالخليفة أو يعمّ غيره؟</w:t>
      </w:r>
    </w:p>
    <w:p>
      <w:pPr>
        <w:pStyle w:val="BookText"/>
        <w:rPr/>
      </w:pPr>
      <w:r>
        <w:rPr>
          <w:rFonts w:ascii="Amiri" w:hAnsi="Amiri" w:eastAsia="Amiri" w:cs="Amiri"/>
          <w:color w:val="111111"/>
          <w:sz w:val="28"/>
          <w:sz w:val="28"/>
          <w:szCs w:val="28"/>
          <w:rtl w:val="true"/>
          <w:lang w:bidi="ar-SA"/>
        </w:rPr>
        <w:t>وعلى الثاني ما هو العهد الذي كان عهده إليه رسول الله سوى انّ رسول الله صلى الله عليه وآله وسلم امتنع من إقامتها جماعة وأمر بإقامتها في البيوت؟</w:t>
      </w:r>
    </w:p>
    <w:p>
      <w:pPr>
        <w:pStyle w:val="BookText"/>
        <w:rPr/>
      </w:pPr>
      <w:r>
        <w:rPr>
          <w:rFonts w:ascii="Amiri" w:hAnsi="Amiri" w:eastAsia="Amiri" w:cs="Amiri"/>
          <w:color w:val="111111"/>
          <w:sz w:val="28"/>
          <w:sz w:val="28"/>
          <w:szCs w:val="28"/>
          <w:rtl w:val="true"/>
          <w:lang w:bidi="ar-SA"/>
        </w:rPr>
        <w:t>وعلى الثالث من أنّ أئمّة أهل البيت وعلى رأسهم علي بن أبي طالب عليه السلام اعترض عليه ووصفها بالبدعة ولم تكن يوم ذاك آذان صاغية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وختاما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ثبت عن رسول الله صلى الله عليه وآله وسلم لا يتجاوز عن انّه صلّى صلاة الليل ليلة أو ليلتين إلى أربع ليالي جماعة ثمّ دخل بيته ولم يخرج ، فلو قلنا بأنّ عمل النبي هذا في هذه الظروف المحدقة بالإبهام حجّة ، وغضضنا النظر عمّا حوله من ردود من النبي على إقامتها جماعة ، فلا يصحّ لنا إلاّ هذا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تكون الصلاة صلاة الليل لا مطلق النوافل</w:t>
      </w:r>
      <w:r>
        <w:rPr>
          <w:rFonts w:eastAsia="Amiri" w:cs="Amiri" w:ascii="Amiri" w:hAnsi="Amiri"/>
          <w:color w:val="111111"/>
          <w:sz w:val="28"/>
          <w:szCs w:val="28"/>
          <w:rtl w:val="true"/>
          <w:lang w:bidi="ar-SA"/>
        </w:rPr>
        <w:t xml:space="preserve">. </w:t>
      </w:r>
      <w:bookmarkStart w:id="749" w:name="pg10144_71610"/>
    </w:p>
    <w:p>
      <w:pPr>
        <w:pStyle w:val="Heading4"/>
        <w:numPr>
          <w:ilvl w:val="3"/>
          <w:numId w:val="1"/>
        </w:numPr>
        <w:rPr/>
      </w:pPr>
      <w:bookmarkStart w:id="750" w:name="__RefHeading___Toc1165925_1067777946"/>
      <w:bookmarkStart w:id="751" w:name="_Toc270"/>
      <w:bookmarkEnd w:id="749"/>
      <w:bookmarkEnd w:id="750"/>
      <w:r>
        <w:rPr>
          <w:rtl w:val="true"/>
        </w:rPr>
        <w:t>خاتمة المطاف</w:t>
      </w:r>
      <w:bookmarkEnd w:id="751"/>
    </w:p>
    <w:p>
      <w:pPr>
        <w:pStyle w:val="Heading5"/>
        <w:numPr>
          <w:ilvl w:val="4"/>
          <w:numId w:val="1"/>
        </w:numPr>
        <w:rPr/>
      </w:pPr>
      <w:bookmarkStart w:id="752" w:name="__RefHeading___Toc1165927_1067777946"/>
      <w:bookmarkStart w:id="753" w:name="_Toc271"/>
      <w:bookmarkEnd w:id="752"/>
      <w:r>
        <w:rPr>
          <w:rtl w:val="true"/>
        </w:rPr>
        <w:t>اشارة</w:t>
      </w:r>
      <w:bookmarkEnd w:id="7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أمور </w:t>
      </w:r>
      <w:r>
        <w:rPr>
          <w:rFonts w:eastAsia="Amiri" w:cs="Amiri" w:ascii="Amiri" w:hAnsi="Amiri"/>
          <w:color w:val="111111"/>
          <w:sz w:val="28"/>
          <w:szCs w:val="28"/>
          <w:rtl w:val="true"/>
          <w:lang w:bidi="ar-SA"/>
        </w:rPr>
        <w:t>: )</w:t>
      </w:r>
    </w:p>
    <w:p>
      <w:pPr>
        <w:pStyle w:val="Heading5"/>
        <w:numPr>
          <w:ilvl w:val="4"/>
          <w:numId w:val="1"/>
        </w:numPr>
        <w:rPr/>
      </w:pPr>
      <w:bookmarkStart w:id="754" w:name="__RefHeading___Toc1165929_1067777946"/>
      <w:bookmarkStart w:id="755" w:name="_Toc272"/>
      <w:bookmarkEnd w:id="754"/>
      <w:r>
        <w:rPr/>
        <w:t>1</w:t>
      </w:r>
      <w:r>
        <w:rPr>
          <w:rtl w:val="true"/>
        </w:rPr>
        <w:t xml:space="preserve">. </w:t>
      </w:r>
      <w:r>
        <w:rPr>
          <w:rtl w:val="true"/>
        </w:rPr>
        <w:t>إقامة التراويح جماعة غفلة عن حكمة الله</w:t>
      </w:r>
      <w:bookmarkEnd w:id="755"/>
    </w:p>
    <w:p>
      <w:pPr>
        <w:pStyle w:val="BookText"/>
        <w:rPr/>
      </w:pPr>
      <w:r>
        <w:rPr>
          <w:rFonts w:ascii="Amiri" w:hAnsi="Amiri" w:eastAsia="Amiri" w:cs="Amiri"/>
          <w:color w:val="111111"/>
          <w:sz w:val="28"/>
          <w:sz w:val="28"/>
          <w:szCs w:val="28"/>
          <w:rtl w:val="true"/>
          <w:lang w:bidi="ar-SA"/>
        </w:rPr>
        <w:t>لو كانت إقامة التراويح جماعة ، سنّة مؤكدة ، كان على النبي صلى الله عليه وآله وسلم أن يوصي بإقامتها بعد رحيله ، لارتفاع خوف الفرض على المسلمين برحيله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لم ينبس صلى الله عليه وآله وسلم بذلك ببنت شفة ، بل دخل بيته مغضبا ، ولم يقمها جماعة إلاّ مرّة أو مرّتين أو ثلاث ، كلّها على مضاضة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يعرب أنّ الحكمة تكمن في إقامتها فرادى في البيوت لا في المساجد ، وكان صلى الله عليه وآله وسلم أعرف بمصالح ذلك العمل ، وأنّه يعطي للبيوت حظا من البركة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لتشريعات الإسلام وشعائره أسرارا وحكما تدركها العقول تارة ، وتخفى عليها تارة أخرى ، تغيب عن أذهان بعضهم آونة ، وتنكشف لآخرين آونة أخرى ، تجهل في مقطع زمني معيّن ، وتعلم في مقطع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لا شكّ فيه أنّ من وراء سنّة الرسول الأكرم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إقامة صلاة التراويح جماعة ، حكمة سامية ، قد تتجلى في الآثار الإيجابية التي ترتّب على إقامتها في البيوت فرادى ، حيث يقف المصلّي بين يدي ربّه عزّ وجلّ خاشعا خائفا راجيا ، يبثّه همومه وأحزانه ، ويستمطر رحمته وعفوه وغفرانه ، ينقطع إليه تعالى بكلّه لا يشغله عن ذلك شاغل ، ولا تكدّر موقفه شائبة من شوائب العجب والتباهي والرياء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إقامتها في البيوت يشيع عليها جوا من الإيمان والطهر والبركة والصفاء ، حيث لا يخلو البيت من ذكر وتسبيح وصلوات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من يقطن في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زوجة وأولاد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يعيش في رحاب هذه الأجواء ، ويتنسّم أريجها الفوّاح ، وذلك لعمري من العوامل التربوية المهمة في الأخذ بأيديهم إلى حيث الهدى والصلاح والاستقامة والسلوك القويم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السيد شرف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فائدة إقامتها في البيت فرادى ، وهي إنّ المصلّي حين يؤديها ينفرد بربه عزّ وعلا يشكو إليه بثّه وحزنه ويناجيه بمهماته مهمة مهمة حتى يأتي على آخرها ملحّا عليه ، متوسّلا بسعة رحمته إليه ، راجيا لاجئا ، راهبا راغبا ، منيبا تائبا ، معترفا لائذا عائذا ، لا يجد ملجأ من الله تعالى إلاّ إليه ، ولا منجى منه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ترك الله السنن حرة من قيد الجماعة ليتزوّدوا فيها من الانفراد بالله ما أقبلت قلوبهم عليه ، ونشطت أعضاؤهم له ، يستقلّ منهم من يستقل ، ويستكثر من يستكثر ، فإنّها خير موضوع ، كما جاء في الأثر عن سيّد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ربطها بالجماعة فيحدّ من هذا النفع ، ويقلّل من جدواه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هذا أنّ إعفاء النافلة من الجماعة يمسك على البيوت حظّها من </w:t>
      </w:r>
    </w:p>
    <w:p>
      <w:pPr>
        <w:pStyle w:val="BookText"/>
        <w:rPr/>
      </w:pPr>
      <w:r>
        <w:rPr>
          <w:rFonts w:ascii="Amiri" w:hAnsi="Amiri" w:eastAsia="Amiri" w:cs="Amiri"/>
          <w:color w:val="111111"/>
          <w:sz w:val="28"/>
          <w:sz w:val="28"/>
          <w:szCs w:val="28"/>
          <w:rtl w:val="true"/>
          <w:lang w:bidi="ar-SA"/>
        </w:rPr>
        <w:t xml:space="preserve">البركة والشرف بالصلاة فيها ، ويمسك عليها حظّها من تربية الناشئة على حبّها والنشاط لها ، ذلك لمكان القدوة في عمل الآباء والأمهات والأجداد والجدّات ، وتأثيره في شد الأبناء إليها شدّا يرسخها في عقولهم وقلوبهم ، وقد سأل عبد الله بن مسعود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أفضل ، الصلاة في بيتي ، أو الصلاة في المسجد؟ فقال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إلى بيتي ما أقربه من المسجد ، فلأن أصلّي في بيتي أحب إليّ من أن أصلّي في المسجد إلاّ أن تكون صلاة مكتوبة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وابن ماجة وابن خزيمة في صحيحه كما في باب الترغيب في صلاة النافلة من كتاب الترغيب والترهيب للإمام زكي الدين عبد العظيم بن عبد القوي المنذري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زيد بن ثابت أنّ النبي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صلّوا أيّها الناس في بيوتكم فإنّ أفضل صلاة المرء في بيته إلاّ الصلاة المكتوبة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النسائي وابن خزيمة في صحيحه</w:t>
      </w:r>
      <w:r>
        <w:rPr>
          <w:rFonts w:eastAsia="Amiri" w:cs="Amiri" w:ascii="Amiri" w:hAnsi="Amiri"/>
          <w:color w:val="111111"/>
          <w:sz w:val="28"/>
          <w:szCs w:val="28"/>
          <w:rtl w:val="true"/>
          <w:lang w:bidi="ar-SA"/>
        </w:rPr>
        <w:t xml:space="preserve">.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وحصيلة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 عن النبيّ صلى الله عليه وآله وسلم 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فصلّوا أيّها الناس في بيوتكم فإنّ أفضل صلاة المرء في بيته إلاّ الصلاة المكتوبة </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وأمر النبي صلى الله عليه وآله وسلم بأداء النوافل في البيوت ابتعادا عن الرياء والسمعة مطلقا وليس مقيّدا بزمانه ، وهذا يدلّ على مرجوحيّة أداء النوافل في المساجد</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كانت الجماعة مشروعة في النوافل لكان الإتيان بها في المساجد جماعة أفضل من الإتيان بها في البيوت ، إلاّ أن تصريح النبي بأنّ الإتيان بها في البيوت أفضل كما في الحديث ، فهذا ممّا يلوّح ـ على الأقلّ ـ بعدم مشروعيّة الجماعة فيها</w:t>
      </w:r>
      <w:r>
        <w:rPr>
          <w:rFonts w:eastAsia="Amiri" w:cs="Amiri" w:ascii="Amiri" w:hAnsi="Amiri"/>
          <w:color w:val="111111"/>
          <w:sz w:val="28"/>
          <w:szCs w:val="28"/>
          <w:rtl w:val="true"/>
          <w:lang w:bidi="ar-SA"/>
        </w:rPr>
        <w:t xml:space="preserve">. </w:t>
      </w:r>
      <w:bookmarkStart w:id="756" w:name="pg10144_71613"/>
    </w:p>
    <w:p>
      <w:pPr>
        <w:pStyle w:val="Heading5"/>
        <w:numPr>
          <w:ilvl w:val="4"/>
          <w:numId w:val="1"/>
        </w:numPr>
        <w:rPr/>
      </w:pPr>
      <w:bookmarkStart w:id="757" w:name="__RefHeading___Toc1165931_1067777946"/>
      <w:bookmarkStart w:id="758" w:name="_Toc273"/>
      <w:bookmarkEnd w:id="756"/>
      <w:bookmarkEnd w:id="757"/>
      <w:r>
        <w:rPr/>
        <w:t>2</w:t>
      </w:r>
      <w:r>
        <w:rPr>
          <w:rtl w:val="true"/>
        </w:rPr>
        <w:t xml:space="preserve">. </w:t>
      </w:r>
      <w:r>
        <w:rPr>
          <w:rtl w:val="true"/>
        </w:rPr>
        <w:t>تقديم المصلحة على النصّ</w:t>
      </w:r>
      <w:bookmarkEnd w:id="758"/>
    </w:p>
    <w:p>
      <w:pPr>
        <w:pStyle w:val="BookText"/>
        <w:rPr/>
      </w:pPr>
      <w:r>
        <w:rPr>
          <w:rFonts w:ascii="Amiri" w:hAnsi="Amiri" w:eastAsia="Amiri" w:cs="Amiri"/>
          <w:color w:val="111111"/>
          <w:sz w:val="28"/>
          <w:sz w:val="28"/>
          <w:szCs w:val="28"/>
          <w:rtl w:val="true"/>
          <w:lang w:bidi="ar-SA"/>
        </w:rPr>
        <w:t xml:space="preserve">إنّ عمل الخليفة لم يكن إلاّ من قبيل تقديم المصلحة ـ حسب تشخيصه ـ على النص وليس المورد وحيدا في حياته بل له نظائر في عهده نظير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تنفيذ الطلاق ثلاثا بعد ما كان في عهد الرسول وبعده وسنين من عهده طلاقا واحدا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تحريم متعة الحجّ وقد تمتع الصحابة في عصر النبي صلى الله عليه وآله وسلم وسيوافيك تفصيله في المسألة القادمة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تحريم متعة النساء ، وسيوافيك تفصيلها في المسألة الثانية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أحمد أمين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لي أنّ عمر بن الخطاب كان يستعمل الرأي في أوسع من المعنى الذي ذكرناه ، وذلك أنّ ما ذكرناه هو استعمال الرأي حيث لا نصّ من كتاب ولا سنّة ، ولكنّا نرى الخليفة سار أبعد من ذلك ، فكان يجتهد في تعرّف المصلحة التي لأجلها نزلت الآية أو ورد الحديث ، ثمّ يسترشد بتلك المصلحة في أحكامه ، وهو أقرب شيء إلى ما يعبّر عنه الآن بالاسترشاد بروح القانون لا بحرفيّته</w:t>
      </w:r>
      <w:r>
        <w:rPr>
          <w:rFonts w:eastAsia="Amiri" w:cs="Amiri" w:ascii="Amiri" w:hAnsi="Amiri"/>
          <w:color w:val="111111"/>
          <w:sz w:val="28"/>
          <w:szCs w:val="28"/>
          <w:rtl w:val="true"/>
          <w:lang w:bidi="ar-SA"/>
        </w:rPr>
        <w:t xml:space="preserve">. </w:t>
      </w:r>
      <w:r>
        <w:rPr>
          <w:rStyle w:val="FootnoteAnchor"/>
          <w:rtl w:val="true"/>
        </w:rPr>
        <w:footnoteReference w:id="824"/>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الاسترشاد بروح القانون الذي أشار إليه أحمد أمين أمر ، ونبذ النص والعمل بالرأي أمر آخر ، ولكن الطائفة الثانية كانوا ينبذون النص ويعملون بالرأي ، وما روي عن الخليفة في هذه المسألة ونظائرها من هذا القبيل</w:t>
      </w:r>
      <w:r>
        <w:rPr>
          <w:rFonts w:eastAsia="Amiri" w:cs="Amiri" w:ascii="Amiri" w:hAnsi="Amiri"/>
          <w:color w:val="111111"/>
          <w:sz w:val="28"/>
          <w:szCs w:val="28"/>
          <w:rtl w:val="true"/>
          <w:lang w:bidi="ar-SA"/>
        </w:rPr>
        <w:t xml:space="preserve">. </w:t>
      </w:r>
      <w:bookmarkStart w:id="759" w:name="pg10144_71614"/>
    </w:p>
    <w:p>
      <w:pPr>
        <w:pStyle w:val="Heading5"/>
        <w:numPr>
          <w:ilvl w:val="4"/>
          <w:numId w:val="1"/>
        </w:numPr>
        <w:rPr/>
      </w:pPr>
      <w:bookmarkStart w:id="760" w:name="__RefHeading___Toc1165933_1067777946"/>
      <w:bookmarkStart w:id="761" w:name="_Toc274"/>
      <w:bookmarkEnd w:id="759"/>
      <w:bookmarkEnd w:id="760"/>
      <w:r>
        <w:rPr/>
        <w:t>3</w:t>
      </w:r>
      <w:r>
        <w:rPr>
          <w:rtl w:val="true"/>
        </w:rPr>
        <w:t xml:space="preserve">. </w:t>
      </w:r>
      <w:r>
        <w:rPr>
          <w:rtl w:val="true"/>
        </w:rPr>
        <w:t>تقسيم البدعة إلى الحسنة والسيئة بدعة</w:t>
      </w:r>
      <w:bookmarkEnd w:id="761"/>
    </w:p>
    <w:p>
      <w:pPr>
        <w:pStyle w:val="BookText"/>
        <w:rPr/>
      </w:pPr>
      <w:r>
        <w:rPr>
          <w:rFonts w:ascii="Amiri" w:hAnsi="Amiri" w:eastAsia="Amiri" w:cs="Amiri"/>
          <w:color w:val="111111"/>
          <w:sz w:val="28"/>
          <w:sz w:val="28"/>
          <w:szCs w:val="28"/>
          <w:rtl w:val="true"/>
          <w:lang w:bidi="ar-SA"/>
        </w:rPr>
        <w:t>قد سمعت من أنّ الخليفة سمّى عمله بدعة حسنة ، أو سمّى اجتماع الناس على إمامة أبيّ بن كعب ، بدعة حسنة ، فإذا كانت البدعة عبارة عن التدخل في أمر الشريعة ، فليس له إلاّ قسم واحد لا يثنّى ولا يكرر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إقامة صلاة التراويح جماعة لا تخلو من صورتين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لها أصل في الكتاب والسنّة ، فعندئذ يكون عمل الخليفة إحياء لسنّة متروكة ، سواء أراد إقامتها جماعة أو جمعهم على قارئ واحد ، فلا يصحّ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نعمت البدعة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عمله تدخّلا في الشريعة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هناك أصل في المصدرين الرئيسين ، لا لإقامتها جماعة أو لجمعهم على قارئ واحد ، وإنّما كره الخليفة تفرّق الناس ، ولأجل ذلك أمرهم بإقامتها جماعة ، أو بقارئ واحد ، وعندئذ تكون هذه بدعة قبيحة محرّمة</w:t>
      </w:r>
      <w:r>
        <w:rPr>
          <w:rFonts w:eastAsia="Amiri" w:cs="Amiri" w:ascii="Amiri" w:hAnsi="Amiri"/>
          <w:color w:val="111111"/>
          <w:sz w:val="28"/>
          <w:szCs w:val="28"/>
          <w:rtl w:val="true"/>
          <w:lang w:bidi="ar-SA"/>
        </w:rPr>
        <w:t xml:space="preserve">. </w:t>
      </w:r>
      <w:bookmarkStart w:id="762" w:name="pg10144_71615"/>
    </w:p>
    <w:p>
      <w:pPr>
        <w:pStyle w:val="Heading5"/>
        <w:numPr>
          <w:ilvl w:val="4"/>
          <w:numId w:val="1"/>
        </w:numPr>
        <w:rPr/>
      </w:pPr>
      <w:bookmarkStart w:id="763" w:name="__RefHeading___Toc1165935_1067777946"/>
      <w:bookmarkStart w:id="764" w:name="_Toc275"/>
      <w:bookmarkEnd w:id="762"/>
      <w:bookmarkEnd w:id="763"/>
      <w:r>
        <w:rPr/>
        <w:t>4</w:t>
      </w:r>
      <w:r>
        <w:rPr>
          <w:rtl w:val="true"/>
        </w:rPr>
        <w:t xml:space="preserve">. </w:t>
      </w:r>
      <w:r>
        <w:rPr>
          <w:rtl w:val="true"/>
        </w:rPr>
        <w:t>بين السنة والبدعة</w:t>
      </w:r>
      <w:bookmarkEnd w:id="764"/>
    </w:p>
    <w:p>
      <w:pPr>
        <w:pStyle w:val="BookText"/>
        <w:rPr/>
      </w:pPr>
      <w:r>
        <w:rPr>
          <w:rFonts w:ascii="Amiri" w:hAnsi="Amiri" w:eastAsia="Amiri" w:cs="Amiri"/>
          <w:color w:val="111111"/>
          <w:sz w:val="28"/>
          <w:sz w:val="28"/>
          <w:szCs w:val="28"/>
          <w:rtl w:val="true"/>
          <w:lang w:bidi="ar-SA"/>
        </w:rPr>
        <w:t>البدعة في الدين من كبائر المعاصي وعظائم المحرمات ، لأنّ المبتدع ينازع سلطان الله تبارك وتعالى في مجالي العقيدة والشريعة ويتدخّل في دينه فيزيد فيه وينقص منه افتراء على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دار أمر العبادة بين كونها سنّة أو بدعة فاللازم تركها ، لأنّ روح العبادة هو قصد التقرّب بإتيانها ولا يتمشّى قصد القربة بصلاة يحتمل كونها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نفترض أنّ ما سردناه من الأدلّة على عدم مشروعية التراويح جماعة ، لم يفد اليقين بأنّ صلاة التراويح بدعة لكنّها تورث الشك في مشروعيتها ، ومجرّد الشكّ فيها كاف في إلزام العقل بتركها ، إذ لا يجوز التعبّد بعمل مشكوك</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فاللازم على المسلم المحتاط إقامة نوافل شهر رمضان بين الأهل والعيال في البيوت فرادى عسى أن يقيض الله رجالا متحررين عن قيد التقليد ، يستنبطون الأحكام من الكتاب والسنّة من جديد ، وذلك ببناء نهضة علمية وثّابة تعالج الخلافات الفقهية من جذورها ، انّه خير مأمول وخير مجيب</w:t>
      </w:r>
      <w:r>
        <w:rPr>
          <w:rFonts w:eastAsia="Amiri" w:cs="Amiri" w:ascii="Amiri" w:hAnsi="Amiri"/>
          <w:color w:val="111111"/>
          <w:sz w:val="28"/>
          <w:szCs w:val="28"/>
          <w:rtl w:val="true"/>
          <w:lang w:bidi="ar-SA"/>
        </w:rPr>
        <w:t xml:space="preserve">. </w:t>
      </w:r>
      <w:bookmarkStart w:id="765" w:name="pg10144_71616"/>
    </w:p>
    <w:p>
      <w:pPr>
        <w:pStyle w:val="Heading2"/>
        <w:numPr>
          <w:ilvl w:val="1"/>
          <w:numId w:val="1"/>
        </w:numPr>
        <w:rPr/>
      </w:pPr>
      <w:bookmarkStart w:id="766" w:name="__RefHeading___Toc1165937_1067777946"/>
      <w:bookmarkStart w:id="767" w:name="_Toc276"/>
      <w:bookmarkEnd w:id="765"/>
      <w:bookmarkEnd w:id="766"/>
      <w:r>
        <w:rPr/>
        <w:t>11</w:t>
      </w:r>
      <w:r>
        <w:rPr>
          <w:rtl w:val="true"/>
        </w:rPr>
        <w:t xml:space="preserve">. </w:t>
      </w:r>
      <w:r>
        <w:rPr>
          <w:rtl w:val="true"/>
        </w:rPr>
        <w:t>متعة الحجّ</w:t>
      </w:r>
      <w:bookmarkEnd w:id="767"/>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8" w:name="__RefHeading___Toc1165939_1067777946"/>
      <w:bookmarkStart w:id="769" w:name="_Toc277"/>
      <w:bookmarkEnd w:id="768"/>
      <w:r>
        <w:rPr>
          <w:rtl w:val="true"/>
        </w:rPr>
        <w:t>اشارة</w:t>
      </w:r>
      <w:bookmarkEnd w:id="769"/>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0" w:name="pg10144_71618"/>
      <w:bookmarkStart w:id="771" w:name="pg10144_71618"/>
      <w:bookmarkEnd w:id="771"/>
    </w:p>
    <w:p>
      <w:pPr>
        <w:pStyle w:val="Heading3"/>
        <w:numPr>
          <w:ilvl w:val="2"/>
          <w:numId w:val="1"/>
        </w:numPr>
        <w:rPr/>
      </w:pPr>
      <w:bookmarkStart w:id="772" w:name="pg10144_71618"/>
      <w:bookmarkStart w:id="773" w:name="__RefHeading___Toc1165941_1067777946"/>
      <w:bookmarkStart w:id="774" w:name="_Toc278"/>
      <w:bookmarkEnd w:id="772"/>
      <w:bookmarkEnd w:id="773"/>
      <w:r>
        <w:rPr>
          <w:rtl w:val="true"/>
        </w:rPr>
        <w:t>المتعة وأقسامها</w:t>
      </w:r>
      <w:bookmarkEnd w:id="774"/>
    </w:p>
    <w:p>
      <w:pPr>
        <w:pStyle w:val="BookText"/>
        <w:rPr/>
      </w:pPr>
      <w:r>
        <w:rPr>
          <w:rFonts w:ascii="Amiri" w:hAnsi="Amiri" w:eastAsia="Amiri" w:cs="Amiri"/>
          <w:color w:val="111111"/>
          <w:sz w:val="28"/>
          <w:sz w:val="28"/>
          <w:szCs w:val="28"/>
          <w:rtl w:val="true"/>
          <w:lang w:bidi="ar-SA"/>
        </w:rPr>
        <w:t xml:space="preserve">التمتّع بمعنى التلذّذ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 واستمتع بكذا ومن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انتفع وتلذّذ به زمانا طويلا ، والمتعة في مصطلح الفقهاء يستعمل في موارد ثلاثة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متعة الحجّ الواردة في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إِلَى الْحَجِ </w:t>
      </w:r>
      <w:r>
        <w:rPr>
          <w:rFonts w:eastAsia="Amiri" w:cs="Amiri" w:ascii="Amiri" w:hAnsi="Amiri"/>
          <w:color w:val="111111"/>
          <w:sz w:val="28"/>
          <w:szCs w:val="28"/>
          <w:rtl w:val="true"/>
          <w:lang w:bidi="ar-SA"/>
        </w:rPr>
        <w:t xml:space="preserve">). </w:t>
      </w:r>
      <w:r>
        <w:rPr>
          <w:rStyle w:val="FootnoteAnchor"/>
          <w:rtl w:val="true"/>
        </w:rPr>
        <w:footnoteReference w:id="825"/>
      </w:r>
      <w:r>
        <w:rPr>
          <w:rFonts w:ascii="Amiri" w:hAnsi="Amiri" w:eastAsia="Amiri" w:cs="Amiri"/>
          <w:color w:val="111111"/>
          <w:sz w:val="28"/>
          <w:sz w:val="28"/>
          <w:szCs w:val="28"/>
          <w:rtl w:val="true"/>
          <w:lang w:bidi="ar-SA"/>
        </w:rPr>
        <w:t>وسيوافيك توضيحها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متعة الطلاق ، وهي ما تصل إلى المرأة بعد الطلاق من قميص وإزار وملحفة ، وإليه يشير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جُناحَ عَلَيْكُمْ إِنْ طَلَّقْتُمُ النِّساءَ ما لَمْ تَمَسُّوهُنَّ أَوْ تَفْرِضُوا لَهُنَّ فَرِيضَةً وَمَتِّعُوهُنَّ عَلَى الْمُوسِعِ قَدَرُهُ وَعَلَى الْمُقْتِرِ قَدَرُهُ مَتاعاً بِالْمَعْرُوفِ حَقًّا عَلَى الْمُحْسِنِينَ </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وهل هذه المتعة لخصوص من لم يسمّ لها صداق؟ أو لكلّ مطلقة سوى المختلعة والمبارأة والملاعنة؟ أو لكلّ مطلقة سوى المفروض لها إذا طلقت قبل الدخول فان لها نصف الصداق ولا متعة لها خلاف</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متعة النساء ويسمّى بالزواج المؤقت ، وهي عبارة عن تزويج المرأة الحرّة الكاملة نفسها إذا لم يكن بينها وبين الزوج مانع ـ من نسب أو سبب أو رضاع أو</w:t>
      </w:r>
    </w:p>
    <w:p>
      <w:pPr>
        <w:pStyle w:val="BookText"/>
        <w:rPr/>
      </w:pPr>
      <w:r>
        <w:rPr>
          <w:rFonts w:ascii="Amiri" w:hAnsi="Amiri" w:eastAsia="Amiri" w:cs="Amiri"/>
          <w:color w:val="111111"/>
          <w:sz w:val="28"/>
          <w:sz w:val="28"/>
          <w:szCs w:val="28"/>
          <w:rtl w:val="true"/>
          <w:lang w:bidi="ar-SA"/>
        </w:rPr>
        <w:t>إحصان أو عدّة أو غير ذلك من الموانع الشرعية ـ بمهر مسمّى إلى أجل مسمّى بالرضا والاتّفاق ، فإذا انتهى الأجل تبين منه من غير طلاق ، ويجب عليها مع الدخول بها ـ إذا لم تكن يائسة ـ أن تعتد عدّة الطلاق إذا كانت ممّن تحيض ، وإلاّ فبخمسة وأربعين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فيه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وَالْمُحْصَناتُ مِنَ النِّساءِ إِلاَّ ما مَلَكَتْ أَيْمانُكُمْ كِتابَ اللهِ عَلَيْكُمْ وَأُحِلَّ لَكُمْ ما وَراءَ ذلِكُمْ أَنْ تَبْتَغُوا بِأَمْوالِكُمْ مُحْصِنِينَ غَيْرَ مُسافِحِينَ فَمَا اسْتَمْتَعْتُمْ بِهِ مِنْهُنَّ فَآتُوهُنَّ أُجُورَهُنَّ فَرِيضَةً وَلا جُناحَ عَلَيْكُمْ فِيما تَراضَيْتُمْ بِهِ مِنْ بَعْدِ الْفَرِيضَةِ إِنَّ اللهَ كانَ عَلِيماً حَكِيماً </w:t>
      </w:r>
      <w:r>
        <w:rPr>
          <w:rFonts w:eastAsia="Amiri" w:cs="Amiri" w:ascii="Amiri" w:hAnsi="Amiri"/>
          <w:color w:val="111111"/>
          <w:sz w:val="28"/>
          <w:szCs w:val="28"/>
          <w:rtl w:val="true"/>
          <w:lang w:bidi="ar-SA"/>
        </w:rPr>
        <w:t xml:space="preserve">). </w:t>
      </w:r>
      <w:r>
        <w:rPr>
          <w:rStyle w:val="FootnoteAnchor"/>
          <w:rtl w:val="true"/>
        </w:rPr>
        <w:footnoteReference w:id="828"/>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والمتعة بالمعنى الأوّل والثاني مورد اتّفاق بين الفقهاء ، واختلفوا في المتعة بالمعنى الثالث ؛ فالشيعة الإمامية على حلّيّتها وعدم منسوخيتها ، وأكثر الجمهور على التحريم ، وسيوافيك التفصيل في المسألة الثانية عشر بإذن الله</w:t>
      </w:r>
      <w:r>
        <w:rPr>
          <w:rFonts w:eastAsia="Amiri" w:cs="Amiri" w:ascii="Amiri" w:hAnsi="Amiri"/>
          <w:color w:val="111111"/>
          <w:sz w:val="28"/>
          <w:szCs w:val="28"/>
          <w:rtl w:val="true"/>
          <w:lang w:bidi="ar-SA"/>
        </w:rPr>
        <w:t xml:space="preserve">. </w:t>
      </w:r>
      <w:bookmarkStart w:id="775" w:name="pg10144_71620"/>
    </w:p>
    <w:p>
      <w:pPr>
        <w:pStyle w:val="Heading3"/>
        <w:numPr>
          <w:ilvl w:val="2"/>
          <w:numId w:val="1"/>
        </w:numPr>
        <w:rPr/>
      </w:pPr>
      <w:bookmarkStart w:id="776" w:name="__RefHeading___Toc1165943_1067777946"/>
      <w:bookmarkStart w:id="777" w:name="_Toc279"/>
      <w:bookmarkEnd w:id="775"/>
      <w:bookmarkEnd w:id="776"/>
      <w:r>
        <w:rPr>
          <w:rtl w:val="true"/>
        </w:rPr>
        <w:t>أقسام الحج الثلاثة</w:t>
      </w:r>
      <w:bookmarkEnd w:id="777"/>
    </w:p>
    <w:p>
      <w:pPr>
        <w:pStyle w:val="Heading4"/>
        <w:numPr>
          <w:ilvl w:val="3"/>
          <w:numId w:val="1"/>
        </w:numPr>
        <w:rPr/>
      </w:pPr>
      <w:bookmarkStart w:id="778" w:name="__RefHeading___Toc1165945_1067777946"/>
      <w:bookmarkStart w:id="779" w:name="_Toc280"/>
      <w:bookmarkEnd w:id="778"/>
      <w:r>
        <w:rPr>
          <w:rtl w:val="true"/>
        </w:rPr>
        <w:t>اشارة</w:t>
      </w:r>
      <w:bookmarkEnd w:id="779"/>
    </w:p>
    <w:p>
      <w:pPr>
        <w:pStyle w:val="BookText"/>
        <w:rPr/>
      </w:pPr>
      <w:r>
        <w:rPr>
          <w:rFonts w:ascii="Amiri" w:hAnsi="Amiri" w:eastAsia="Amiri" w:cs="Amiri"/>
          <w:color w:val="111111"/>
          <w:sz w:val="28"/>
          <w:sz w:val="28"/>
          <w:szCs w:val="28"/>
          <w:rtl w:val="true"/>
          <w:lang w:bidi="ar-SA"/>
        </w:rPr>
        <w:t xml:space="preserve">ينقسم الحجّ إلى أقسام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 وقران ، وإفراد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فلنبيّن هذه الأقسام على ضوء المذهب الإمامي ثمّ نردفه بتوضيحها وفقا لمذهب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التمتع في الفقه الإمامي فهو عبارة عن إحرام المكلّف من الميقات بالعمرة المتمتع بها إلى الحجّ ، ثمّ يدخل مكة فيطوف سبعة أشواط بالبيت ، ويصلّي ركعتي الطواف بالمقام ، ويسعى بين الصفا والمروة سبعة أشواط ، ثمّ يقصّر ، فإذا فعل ذلك فقد أحلّ من كلّ شيء أحرم منه ، فله التمتّع بأي شيء شاء من الأمور المحلّلة بالذات إلى أن ينشئ إحراما آخر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ينشئ إحراما آخر للحج من مكة يوم التروية وإلاّ فيما يعلم معه إدراك الوقوف ، ثمّ يمضي إلى عرفات فيقف بها إلى الغروب ، ثمّ يفيض إلى المشعر الحرام فيقف به بعد طلوع الفجر ، ثمّ يفيض إلى منى ويرمي جمرة العقبة ، ثمّ يذبح هديه ، ثمّ يحلق رأسه ، ثمّ يأتي مكة ليومه أو من غده ، فيطوف للحج ويصلّي ركعتين ، ثمّ يسعى سعي الحجّ ، ثمّ يطوف طواف النساء ويصلّي ركعتيه ، ثمّ يعود إلى منى ليرمي ما تخلّف عليه من الجمار الثلاث ، يوم الحادي عشر ، والثاني عشر</w:t>
      </w:r>
      <w:r>
        <w:rPr>
          <w:rFonts w:eastAsia="Amiri" w:cs="Amiri" w:ascii="Amiri" w:hAnsi="Amiri"/>
          <w:color w:val="111111"/>
          <w:sz w:val="28"/>
          <w:szCs w:val="28"/>
          <w:rtl w:val="true"/>
          <w:lang w:bidi="ar-SA"/>
        </w:rPr>
        <w:t xml:space="preserve">. </w:t>
      </w:r>
      <w:r>
        <w:rPr>
          <w:rStyle w:val="FootnoteAnchor"/>
          <w:rtl w:val="true"/>
        </w:rPr>
        <w:footnoteReference w:id="829"/>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الإفراد فهو أن يحرم من الميقات أو من حيث يصحّ له الإحرام منه </w:t>
      </w:r>
    </w:p>
    <w:p>
      <w:pPr>
        <w:pStyle w:val="BookText"/>
        <w:rPr/>
      </w:pPr>
      <w:r>
        <w:rPr>
          <w:rFonts w:ascii="Amiri" w:hAnsi="Amiri" w:eastAsia="Amiri" w:cs="Amiri"/>
          <w:color w:val="111111"/>
          <w:sz w:val="28"/>
          <w:sz w:val="28"/>
          <w:szCs w:val="28"/>
          <w:rtl w:val="true"/>
          <w:lang w:bidi="ar-SA"/>
        </w:rPr>
        <w:t>بالحجّ ، ثمّ يمضي إلى عرفات فيقف بها ، ثمّ يقف بالمشعر الحرام ، ثمّ يأتي منى فيقضي مناسكه بها ، ثمّ يأتي إلى مكة يطوف بالبيت للحج ويصلّي ركعتين ويسعى للحجّ ويطوف طواف النساء ويصلي ركعتين ، فيخرج من الإحرام فيحل له كلّ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يأتي بعمرة مفردة من أدنى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القران فهو نفس حجّ الإفراد ـ عند الإمامية ـ إلاّ أنّه يضيف إلى إحرامه سياق الهدي ، وإنّما يسمّى بالقران لسوقه الهدي فيقرن حجّه بسوقه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فالقران والإفراد شيء لا يفترقان إلاّ في حال واحدة ، وهي انّ القارن يسوق الهدي عند إحرامه ، وأمّا من حجّ حجّة الإفراد فليس عليه هدي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التمتع فرض من نأى عن المسجد الحرام وليس من حاضريه ، ولا يجزئه غيره مع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القران والإفراد فهو فرض أهل مكة وحاضريها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 حاضري المسجد الحرام الذين لا متعة عليهم من كان بين منزله ومكة دون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كلّ جانب ، ويعادل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نأى عن مكة أكثر من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لا يجوز له إلاّ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القران والإفراد فهما فرض أهل مكة ومن كان بينه وبينها دون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ولا يجوز لهما غير هذين النوعين</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من وظيفته التمتع لا يجوز أن يعدل إلى غيره ، إلاّ لضيق وقت أو حيض ، فيجوز العدول حينئذ إلى الإفراد على أن يأتي بالعمرة بعد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الضيق هو انّه إذا اعتمر لا يتمكّن من الوقوف بعرفة عند الزوال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يجوز لمن فرضه القران أو الإفراد كأهل مكة وضواحيها أن يعدل إلى التمتع إلاّ مع الاضطرار ، كخوف الحيض المتوقّع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صور أقسام الحجّ الثلاثة ، ويتلخص الكلّ في الأمور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حجّ التمتع للنائي عن مكة وحجّ الإفراد والقران لغير النائي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يجوز للمتمتع أن يعدل إلى غيره إلاّ عند الضرورة ، وهكذا للمفرد والقارن إلاّ عند الضرورة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حجّ الإفراد والقران شيء واحد يفترقان في سوق الهدي وعدمه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يجوز التداخل بين إحرامين ، فلا يجوز لمن أحرم أن ينشئ إحراما آخر حتّى يكمل أفعال ما أحرم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ويشترط في حجّ التمتع وقوعه في أشهر الحجّ ـ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 وذو القعدة ، وذو الحجّة ـ وأن يأتي بالحجّ والعمرة في سنة واحدة ، ولو أحرم بالعمرة المتمتع بها في غير أشهر الحجّ لم يجز له التمتع بها</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إلى هنا تمّ بيان صور الأقسام الثلاثة على مذهب الإمامية ، وإليك بيان أقسام الحجّ وفق مذهب أهل السنّة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الحجّ والعمرة جاز له في الإحرام بهما ثلاث كيفيات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الإفراد ، وهو أن يحرم بالحجّ وحده ، فإذا فرغ من أعماله أحرم بالعمرة وطاف وسعى لها ويأتي بأعمال العمرة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القران ، وهو الجمع بين الحج والعمرة في إحرام واحد حقيقة أو حكما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وسيوافيك تفصيلهما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التمتع ، وهو أن يعتمر أوّلا ثمّ يحجّ من 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إجمال الأقسام الثلاثة عند مذهب أهل السنّة ، وفي تفاصيلها اختلاف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يهمنا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 فالقران عند أهل السنّة هو الجمع بين الحجّ والعمرة في إحرام واحد ، وصفة القرآن عندهم أن يهل بالعمرة والحج معا من الميقات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أريد الحجّ والعمرة فيسّرهما لي وتقبّلهما مني ، فهي عندهم كحجّ التمتع إلاّ أنّه يهلّ بالعمرة والحجّ بنيّة واحدة ولا يتحلّل بين العمرة والحجّ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الإحرام يقع بالنسك من وجوه ثلاثة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تمتع ، وإفراد ، وقران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فالتمتع أن يُهلّ بعمرة مفردة من الميقات في أشهر الحجّ ، فإذا فرغ منها أحرم بالحجّ من 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والإفراد أن يهل بالحجّ مفردا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والقران أن يجمع بينهما في الإحرام بهما أو يحرم بالعمرة ثمّ يدخل عليها الحجّ قبل الطواف ، فأي ذلك أحرم به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الأفضل ، فاختارت الحنابلة انّ الأفضل هو التمتع ثمّ الإفراد ثمّ القران ، وممّن روي عنه اختيار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 وابن عباس وابن الزبير وعائشة وحسن وعطاء وطاوس ومجاهد وجابر بن زيد والقاسم وسالم وعكرمة وهو أحد قولي الشافعي</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المروزي عن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ساق الهدي فالقران أفضل ، وإن لم يسقه فالتمتع أفضل ، لأنّ النبي صلى الله عليه وآله وسلم قرن حين ساق الهدي ومنع كلّ من ساق الهدي من </w:t>
      </w:r>
    </w:p>
    <w:p>
      <w:pPr>
        <w:pStyle w:val="BookText"/>
        <w:rPr/>
      </w:pPr>
      <w:r>
        <w:rPr>
          <w:rFonts w:ascii="Amiri" w:hAnsi="Amiri" w:eastAsia="Amiri" w:cs="Amiri"/>
          <w:color w:val="111111"/>
          <w:sz w:val="28"/>
          <w:sz w:val="28"/>
          <w:szCs w:val="28"/>
          <w:rtl w:val="true"/>
          <w:lang w:bidi="ar-SA"/>
        </w:rPr>
        <w:t>الحل حتّى ينحر هديه</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هذا إجمال ما عليه المذاهب الأربعة ، ولعلّ الاختلاف بين المذهب الإمامي وسائر المذاهب في ماهية النسك الثلاثة ، قليل ، ولو كان هناك اختلاف فإنّما هو في موضعين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تفسير القرآن ، فحجّ القران عند الإمامية هو نفس حجّ الإفراد ، غير انّ المفرد لا يسوق الهدي والقارن يسوق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انّهم بتفسير القرآن بالجمع بين العمرة والحج ، جوّزوا ذلك بالصورتين التاليتين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يهلّ بالعمرة والحجّ معا من الميقات بنيّة الأمرين معا ، وهو الجمع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يهلّ بالعمرة فقط ثمّ بالحجّ قبل أن يطوف للعمرة أكثر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القران فهو أن يهلّ بالنسكين معا أو يهلّ بالعمرة في أشهر الحجّ ثمّ يردف ذلك بالحجّ قبل أن يحل من العمرة والقارن يلزمه الهدي إن كان آفاقيّا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 ويصحّ العكس عند أكثر الفقهاء بأن يحرم بالحجّ ثمّ يدخل العمرة عليه ، لكنّه مكروه عند الحنفية</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وأمّا الشيعة الإمامية فلا تجوّز القران بين الحجّ والعمرة بنيّة واحدة ، ولا إدخال أحدهما على الآخر</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فتحقيق المقام رهن البحث في أمور </w:t>
      </w:r>
      <w:r>
        <w:rPr>
          <w:rFonts w:eastAsia="Amiri" w:cs="Amiri" w:ascii="Amiri" w:hAnsi="Amiri"/>
          <w:color w:val="111111"/>
          <w:sz w:val="28"/>
          <w:szCs w:val="28"/>
          <w:rtl w:val="true"/>
          <w:lang w:bidi="ar-SA"/>
        </w:rPr>
        <w:t xml:space="preserve">: </w:t>
      </w:r>
      <w:bookmarkStart w:id="780" w:name="pg10144_71625"/>
    </w:p>
    <w:p>
      <w:pPr>
        <w:pStyle w:val="Heading4"/>
        <w:numPr>
          <w:ilvl w:val="3"/>
          <w:numId w:val="1"/>
        </w:numPr>
        <w:rPr/>
      </w:pPr>
      <w:bookmarkStart w:id="781" w:name="__RefHeading___Toc1165947_1067777946"/>
      <w:bookmarkStart w:id="782" w:name="_Toc281"/>
      <w:bookmarkEnd w:id="780"/>
      <w:bookmarkEnd w:id="781"/>
      <w:r>
        <w:rPr>
          <w:rtl w:val="true"/>
        </w:rPr>
        <w:t xml:space="preserve">الأوّل </w:t>
      </w:r>
      <w:r>
        <w:rPr>
          <w:rtl w:val="true"/>
        </w:rPr>
        <w:t xml:space="preserve">: </w:t>
      </w:r>
      <w:r>
        <w:rPr>
          <w:rtl w:val="true"/>
        </w:rPr>
        <w:t>في بيان الأحكام الواردة في الآية</w:t>
      </w:r>
      <w:bookmarkEnd w:id="782"/>
    </w:p>
    <w:p>
      <w:pPr>
        <w:pStyle w:val="Heading5"/>
        <w:numPr>
          <w:ilvl w:val="4"/>
          <w:numId w:val="1"/>
        </w:numPr>
        <w:rPr/>
      </w:pPr>
      <w:bookmarkStart w:id="783" w:name="__RefHeading___Toc1165949_1067777946"/>
      <w:bookmarkStart w:id="784" w:name="_Toc282"/>
      <w:bookmarkEnd w:id="783"/>
      <w:r>
        <w:rPr>
          <w:rtl w:val="true"/>
        </w:rPr>
        <w:t>اشارة</w:t>
      </w:r>
      <w:bookmarkEnd w:id="784"/>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وَأَتِمُّوا الْحَجَّ وَالْعُمْرَةَ لِلَّهِ فَإِنْ أُحْصِرْتُمْ فَمَا اسْتَيْسَرَ مِنَ الْهَدْيِ وَلا تَحْلِقُوا رُؤُسَكُمْ حَتَّى يَبْلُغَ الْهَدْيُ مَحِلَّهُ فَمَنْ كانَ مِنْكُمْ مَرِيضاً أَوْ بِهِ أَذىً مِنْ رَأْسِهِ فَفِدْيَةٌ مِنْ صِيامٍ أَوْ صَدَقَةٍ أَوْ نُسُكٍ فَإِذا أَمِنْتُمْ فَمَنْ تَمَتَّعَ بِالْعُمْرَةِ إِلَى الْحَجِّ فَمَا اسْتَيْسَرَ مِنَ الْهَدْيِ فَمَنْ لَمْ يَجِدْ فَصِيامُ ثَلاثَةِ أَيَّامٍ فِي الْحَجِّ وَسَبْعَةٍ إِذا رَجَعْتُمْ تِلْكَ عَشَرَةٌ كامِلَةٌ ذلِكَ لِمَنْ لَمْ يَكُنْ أَهْلُهُ حاضِرِي الْمَسْجِدِ الْحَرامِ وَاتَّقُوا اللهَ وَاعْلَمُوا أَنَّ اللهَ شَدِيدُ الْعِقابِ </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الآية المباركة تتضمن أحكاما نشرحها حسب مقاطع الجمل</w:t>
      </w:r>
      <w:r>
        <w:rPr>
          <w:rFonts w:eastAsia="Amiri" w:cs="Amiri" w:ascii="Amiri" w:hAnsi="Amiri"/>
          <w:color w:val="111111"/>
          <w:sz w:val="28"/>
          <w:szCs w:val="28"/>
          <w:rtl w:val="true"/>
          <w:lang w:bidi="ar-SA"/>
        </w:rPr>
        <w:t>.</w:t>
      </w:r>
    </w:p>
    <w:p>
      <w:pPr>
        <w:pStyle w:val="Heading5"/>
        <w:numPr>
          <w:ilvl w:val="4"/>
          <w:numId w:val="1"/>
        </w:numPr>
        <w:rPr/>
      </w:pPr>
      <w:bookmarkStart w:id="785" w:name="__RefHeading___Toc1165951_1067777946"/>
      <w:bookmarkStart w:id="786" w:name="_Toc283"/>
      <w:bookmarkEnd w:id="785"/>
      <w:r>
        <w:rPr/>
        <w:t>1</w:t>
      </w:r>
      <w:r>
        <w:rPr>
          <w:rtl w:val="true"/>
        </w:rPr>
        <w:t xml:space="preserve">. </w:t>
      </w:r>
      <w:r>
        <w:rPr>
          <w:rtl w:val="true"/>
        </w:rPr>
        <w:t>إتمام الحج والعمرة لله</w:t>
      </w:r>
      <w:bookmarkEnd w:id="786"/>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وَأَتِمُّوا الْحَجَّ وَالْعُمْرَةَ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المراد من الإتمام؟</w:t>
      </w:r>
    </w:p>
    <w:p>
      <w:pPr>
        <w:pStyle w:val="BookText"/>
        <w:rPr/>
      </w:pPr>
      <w:r>
        <w:rPr>
          <w:rFonts w:ascii="Amiri" w:hAnsi="Amiri" w:eastAsia="Amiri" w:cs="Amiri"/>
          <w:color w:val="111111"/>
          <w:sz w:val="28"/>
          <w:sz w:val="28"/>
          <w:szCs w:val="28"/>
          <w:rtl w:val="true"/>
          <w:lang w:bidi="ar-SA"/>
        </w:rPr>
        <w:t xml:space="preserve">إنّه سبحانه يأمر بإتمام الحجّ والعمرة ، والمراد من الإتمام في المقام وغيره هو إنجاز العمل كاملا لا ناقصا ، كما أنّ المراد من كون الإتمام لله ، كون العمل بعيدا عن الرياء والسمعة ، والذي يعرب عن كون المراد من الإتمام هو الإكمال ، أمران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الإتمام في القرآن الكريم وأريد به الإكمال ، كقوله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ابْتَلى إِبْراهِيمَ رَبُّهُ بِكَلِماتٍ فَأَتَمَّهُنَ </w:t>
      </w:r>
      <w:r>
        <w:rPr>
          <w:rFonts w:eastAsia="Amiri" w:cs="Amiri" w:ascii="Amiri" w:hAnsi="Amiri"/>
          <w:color w:val="111111"/>
          <w:sz w:val="28"/>
          <w:szCs w:val="28"/>
          <w:rtl w:val="true"/>
          <w:lang w:bidi="ar-SA"/>
        </w:rPr>
        <w:t xml:space="preserve">) </w:t>
      </w:r>
      <w:r>
        <w:rPr>
          <w:rStyle w:val="FootnoteAnchor"/>
          <w:rtl w:val="true"/>
        </w:rPr>
        <w:footnoteReference w:id="835"/>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أَتِمُّوا الصِّيامَ إِلَى </w:t>
      </w:r>
    </w:p>
    <w:p>
      <w:pPr>
        <w:pStyle w:val="BookText"/>
        <w:rPr/>
      </w:pPr>
      <w:r>
        <w:rPr>
          <w:rFonts w:ascii="Amiri" w:hAnsi="Amiri" w:eastAsia="Amiri" w:cs="Amiri"/>
          <w:color w:val="111111"/>
          <w:sz w:val="28"/>
          <w:sz w:val="28"/>
          <w:szCs w:val="28"/>
          <w:rtl w:val="true"/>
          <w:lang w:bidi="ar-SA"/>
        </w:rPr>
        <w:t xml:space="preserve">اللَّيْلِ </w:t>
      </w:r>
      <w:r>
        <w:rPr>
          <w:rFonts w:eastAsia="Amiri" w:cs="Amiri" w:ascii="Amiri" w:hAnsi="Amiri"/>
          <w:color w:val="111111"/>
          <w:sz w:val="28"/>
          <w:szCs w:val="28"/>
          <w:rtl w:val="true"/>
          <w:lang w:bidi="ar-SA"/>
        </w:rPr>
        <w:t xml:space="preserve">) </w:t>
      </w:r>
      <w:r>
        <w:rPr>
          <w:rStyle w:val="FootnoteAnchor"/>
          <w:rtl w:val="true"/>
        </w:rPr>
        <w:footnoteReference w:id="836"/>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وَيَأْبَى اللهُ إِلاَّ أَنْ يُتِمَّ نُورَهُ وَلَوْ كَرِهَ الْكافِرُونَ </w:t>
      </w:r>
      <w:r>
        <w:rPr>
          <w:rFonts w:eastAsia="Amiri" w:cs="Amiri" w:ascii="Amiri" w:hAnsi="Amiri"/>
          <w:color w:val="111111"/>
          <w:sz w:val="28"/>
          <w:szCs w:val="28"/>
          <w:rtl w:val="true"/>
          <w:lang w:bidi="ar-SA"/>
        </w:rPr>
        <w:t xml:space="preserve">) </w:t>
      </w:r>
      <w:r>
        <w:rPr>
          <w:rStyle w:val="FootnoteAnchor"/>
          <w:rtl w:val="true"/>
        </w:rPr>
        <w:footnoteReference w:id="837"/>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وَيُتِمُّ نِعْمَتَهُ عَلَيْكَ وَعَلى آلِ يَعْقُوبَ كَما أَتَمَّها عَلى أَبَوَيْكَ </w:t>
      </w:r>
      <w:r>
        <w:rPr>
          <w:rFonts w:eastAsia="Amiri" w:cs="Amiri" w:ascii="Amiri" w:hAnsi="Amiri"/>
          <w:color w:val="111111"/>
          <w:sz w:val="28"/>
          <w:szCs w:val="28"/>
          <w:rtl w:val="true"/>
          <w:lang w:bidi="ar-SA"/>
        </w:rPr>
        <w:t xml:space="preserve">). </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أُحْصِرْتُمْ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منعكم حابس قاصر عن إتمام الحجّ فعليكم بما استيسر من الهدي ، فالجملة قرينة على أنّ المراد من الإتمام ، الإكمال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جرى المفسرون في تفسير الجملة الآنفة الذكر ، قال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يبلغ آخر أعمالها بعد الدخول فيها ، ثمّ عزاه إلى مجاهد والمبرد وأبي علي الجبائي</w:t>
      </w:r>
      <w:r>
        <w:rPr>
          <w:rFonts w:eastAsia="Amiri" w:cs="Amiri" w:ascii="Amiri" w:hAnsi="Amiri"/>
          <w:color w:val="111111"/>
          <w:sz w:val="28"/>
          <w:szCs w:val="28"/>
          <w:rtl w:val="true"/>
          <w:lang w:bidi="ar-SA"/>
        </w:rPr>
        <w:t xml:space="preserve">.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وقال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الإتمام يراد به فعل الشيء كاملا وتامّا ، فالمراد الإتيان به بما جاء في ذيل الآية من حكم الحصر</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هذا هو المفهوم من الآية ، وأمّا تفسير الآية بأفراد كلّ واحد منهما بإنشاء سفر مستقل ، فممّا لا تدلّ عليه الآية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انّ العرب في عصر الجاهلية كانوا يفرّقون بين الحجّ والعمرة ، فكانوا يأتون بالعمرة في غير أشهر الحج وبالحجّ في أشهره ، وكانوا يفردون كلاّ عن الآخر ، وكانت سيرتهم على ذلك إلى أن أدخل النبي صلى الله عليه وآله وسلم العمرة في الحجّ حتّى أمر من لبّى بالحج في أشهر الحجّ وأحرم له ، أن يجعله عمرة ثمّ يتحلّل ويحرم للحج ثانيا ، وقال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العمرة في الحجّ إلى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سيوافيك تفسيره</w:t>
      </w:r>
      <w:r>
        <w:rPr>
          <w:rFonts w:eastAsia="Amiri" w:cs="Amiri" w:ascii="Amiri" w:hAnsi="Amiri"/>
          <w:color w:val="111111"/>
          <w:sz w:val="28"/>
          <w:szCs w:val="28"/>
          <w:rtl w:val="true"/>
          <w:lang w:bidi="ar-SA"/>
        </w:rPr>
        <w:t xml:space="preserve">. </w:t>
      </w:r>
      <w:bookmarkStart w:id="787" w:name="pg10144_71627"/>
    </w:p>
    <w:p>
      <w:pPr>
        <w:pStyle w:val="BookText"/>
        <w:rPr/>
      </w:pPr>
      <w:bookmarkEnd w:id="787"/>
      <w:r>
        <w:rPr>
          <w:rFonts w:ascii="Amiri" w:hAnsi="Amiri" w:eastAsia="Amiri" w:cs="Amiri"/>
          <w:color w:val="111111"/>
          <w:sz w:val="28"/>
          <w:sz w:val="28"/>
          <w:szCs w:val="28"/>
          <w:rtl w:val="true"/>
          <w:lang w:bidi="ar-SA"/>
        </w:rPr>
        <w:t xml:space="preserve">نعم روي ذلك مرفوعا عن أبي هريرة ، كما روي أنّ عمر كان يترك القران والتمتع ويذكر أنّ ذلك أتمّ للحجّ والعمرة وأن يعتمر في غير شهور الحجّ ، فان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أَشْهُرٌ 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نافع عن ابن عمر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فرّقوا بين حجّكم وعمرتكم </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كما روي ذلك القول عن قتادة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الاعتمار في غير أشهر الحج </w:t>
      </w:r>
      <w:r>
        <w:rPr>
          <w:rFonts w:eastAsia="Amiri" w:cs="Amiri" w:ascii="Amiri" w:hAnsi="Amiri"/>
          <w:color w:val="111111"/>
          <w:sz w:val="28"/>
          <w:szCs w:val="28"/>
          <w:rtl w:val="true"/>
          <w:lang w:bidi="ar-SA"/>
        </w:rPr>
        <w:t xml:space="preserve">» </w:t>
      </w:r>
      <w:r>
        <w:rPr>
          <w:rStyle w:val="FootnoteAnchor"/>
          <w:rtl w:val="true"/>
        </w:rPr>
        <w:footnoteReference w:id="842"/>
      </w:r>
      <w:r>
        <w:rPr>
          <w:rFonts w:ascii="Amiri" w:hAnsi="Amiri" w:eastAsia="Amiri" w:cs="Amiri"/>
          <w:color w:val="111111"/>
          <w:sz w:val="28"/>
          <w:sz w:val="28"/>
          <w:szCs w:val="28"/>
          <w:rtl w:val="true"/>
          <w:lang w:bidi="ar-SA"/>
        </w:rPr>
        <w:t>، ولعلّه أراد العمرة المفردة لا عمرة التمتّع التي لا تنفكّ عن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 انّ المراد بإتمام الحجّ والعمرة لله هو إكمالهما على النحو المقدور ، فإن لم يمنع حابس يكمله بإتيان عامّة الأجزاء وإن حُصِر ، يخرج من الإحرام على النحو الذي سيوافيك ، وهو أيضا نوع من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تفسير الإتمام بإنشاء السفر لكلّ من العمرة والحجّ ، فغير مفهوم من الآية ومخالف لسيرة النبي صلى الله عليه وآله وسلم حيث أمر أصحابه بإدخال العمرة في الحجّ وتبديل النيّة من الحجّ إلى العمرة ، وقد كان ذلك شاقّا على أصحابه ، لأنّهم كانوا قد أحرموا للحجّ على النحو الرائج في العصر السابق ، فمن حاول تفسير الآية بتفكيك العمرة عن الحجّ بإنشاء سفرين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في أشهر الحجّ والآخر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في غيره ، فقد فسّر الآية برأيه أوّلا ، وخالف سنّة النبي صلى الله عليه وآله وسلم ثانيا</w:t>
      </w:r>
      <w:r>
        <w:rPr>
          <w:rFonts w:eastAsia="Amiri" w:cs="Amiri" w:ascii="Amiri" w:hAnsi="Amiri"/>
          <w:color w:val="111111"/>
          <w:sz w:val="28"/>
          <w:szCs w:val="28"/>
          <w:rtl w:val="true"/>
          <w:lang w:bidi="ar-SA"/>
        </w:rPr>
        <w:t>.</w:t>
      </w:r>
    </w:p>
    <w:p>
      <w:pPr>
        <w:pStyle w:val="Heading5"/>
        <w:numPr>
          <w:ilvl w:val="4"/>
          <w:numId w:val="1"/>
        </w:numPr>
        <w:rPr/>
      </w:pPr>
      <w:bookmarkStart w:id="788" w:name="__RefHeading___Toc1165953_1067777946"/>
      <w:bookmarkStart w:id="789" w:name="_Toc284"/>
      <w:bookmarkEnd w:id="788"/>
      <w:r>
        <w:rPr/>
        <w:t>2</w:t>
      </w:r>
      <w:r>
        <w:rPr>
          <w:rtl w:val="true"/>
        </w:rPr>
        <w:t xml:space="preserve">. </w:t>
      </w:r>
      <w:r>
        <w:rPr>
          <w:rtl w:val="true"/>
        </w:rPr>
        <w:t>إذا أحصر بالعدو أو المرض</w:t>
      </w:r>
      <w:bookmarkEnd w:id="789"/>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أمر سبحانه حجاج بيته بإتمام الحجّ والعمرة وإكمالهما ، حاول بيان وظيفة المحصر الذي يمنعه حابس عن إكمال الحجّ والعمرة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أُحْصِرْتُمْ فَمَا </w:t>
      </w:r>
      <w:bookmarkStart w:id="790" w:name="pg10144_71628"/>
    </w:p>
    <w:p>
      <w:pPr>
        <w:pStyle w:val="BookText"/>
        <w:rPr/>
      </w:pPr>
      <w:bookmarkEnd w:id="790"/>
      <w:r>
        <w:rPr>
          <w:rFonts w:ascii="Amiri" w:hAnsi="Amiri" w:eastAsia="Amiri" w:cs="Amiri"/>
          <w:color w:val="111111"/>
          <w:sz w:val="28"/>
          <w:sz w:val="28"/>
          <w:szCs w:val="28"/>
          <w:rtl w:val="true"/>
          <w:lang w:bidi="ar-SA"/>
        </w:rPr>
        <w:t xml:space="preserve">اسْتَيْسَرَ مِنَ الْهَدْيِ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 الحصر ، الحبس ، ومنه يقال للّذي لا يبوح بسرّه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حبس نفسه عن البوح ، والمعروف انّ لفظ الحصر مخصوص بمنع العدو إذا منعه عن مراده وضيّق عليه ، وربما يستعمل في مطلق المانع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أحصر بالمرض وحصر بالعدو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فالمحصر عليه التحلّل بالذبح ، ولا يتحلّل قبل الذبح كما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أُحْصِرْتُمْ فَمَا اسْتَيْسَرَ مِنَ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تيسّر منه ، وقيل الهدي جمع الهدية كالتمر جمع التمرة ، والمراد من الهدي ما يهدى إلى بيت الله عزّ وجلّ تقرّبا إليه ، أعلاه بدنة ، وأوسطه بقرة ، وأيسره شاة</w:t>
      </w:r>
      <w:r>
        <w:rPr>
          <w:rFonts w:eastAsia="Amiri" w:cs="Amiri" w:ascii="Amiri" w:hAnsi="Amiri"/>
          <w:color w:val="111111"/>
          <w:sz w:val="28"/>
          <w:szCs w:val="28"/>
          <w:rtl w:val="true"/>
          <w:lang w:bidi="ar-SA"/>
        </w:rPr>
        <w:t>.</w:t>
      </w:r>
    </w:p>
    <w:p>
      <w:pPr>
        <w:pStyle w:val="Heading5"/>
        <w:numPr>
          <w:ilvl w:val="4"/>
          <w:numId w:val="1"/>
        </w:numPr>
        <w:rPr/>
      </w:pPr>
      <w:bookmarkStart w:id="791" w:name="__RefHeading___Toc1165955_1067777946"/>
      <w:bookmarkStart w:id="792" w:name="_Toc285"/>
      <w:bookmarkEnd w:id="791"/>
      <w:r>
        <w:rPr/>
        <w:t>3</w:t>
      </w:r>
      <w:r>
        <w:rPr>
          <w:rtl w:val="true"/>
        </w:rPr>
        <w:t xml:space="preserve">. </w:t>
      </w:r>
      <w:r>
        <w:rPr>
          <w:rtl w:val="true"/>
        </w:rPr>
        <w:t>لا يتحلّل قبل الذبح</w:t>
      </w:r>
      <w:bookmarkEnd w:id="792"/>
    </w:p>
    <w:p>
      <w:pPr>
        <w:pStyle w:val="BookText"/>
        <w:rPr/>
      </w:pPr>
      <w:r>
        <w:rPr>
          <w:rFonts w:ascii="Amiri" w:hAnsi="Amiri" w:eastAsia="Amiri" w:cs="Amiri"/>
          <w:color w:val="111111"/>
          <w:sz w:val="28"/>
          <w:sz w:val="28"/>
          <w:szCs w:val="28"/>
          <w:rtl w:val="true"/>
          <w:lang w:bidi="ar-SA"/>
        </w:rPr>
        <w:t>إنّ المحصر يتحلّل بالذبح ، فلا يتحلّل من الإحرام حتّى ينحر أو يذبح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تَحْلِقُوا رُؤُسَكُمْ حَتَّى يَبْلُغَ الْهَدْيُ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هو المراد من المحل؟ فهناك أقوال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 فإذا ذبح به في يوم النحر أحل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يصد فيه ، لأنّ النبي نحر هديه بالحديبية وأمر أصحابه ففعلوا مثل ذلك ، وليست الحديبية من الحرم</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المحصر بالعدو ، والمحصر بالمرض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يذبح في المحل الذي صدّ فيه ، وأمّا الثاني ينتظر إلى أن يذبح في يوم النحر</w:t>
      </w:r>
      <w:r>
        <w:rPr>
          <w:rFonts w:eastAsia="Amiri" w:cs="Amiri" w:ascii="Amiri" w:hAnsi="Amiri"/>
          <w:color w:val="111111"/>
          <w:sz w:val="28"/>
          <w:szCs w:val="28"/>
          <w:rtl w:val="true"/>
          <w:lang w:bidi="ar-SA"/>
        </w:rPr>
        <w:t xml:space="preserve">. </w:t>
      </w:r>
      <w:bookmarkStart w:id="793" w:name="pg10144_71629"/>
    </w:p>
    <w:p>
      <w:pPr>
        <w:pStyle w:val="Heading5"/>
        <w:numPr>
          <w:ilvl w:val="4"/>
          <w:numId w:val="1"/>
        </w:numPr>
        <w:rPr/>
      </w:pPr>
      <w:bookmarkStart w:id="794" w:name="__RefHeading___Toc1165957_1067777946"/>
      <w:bookmarkStart w:id="795" w:name="_Toc286"/>
      <w:bookmarkEnd w:id="793"/>
      <w:bookmarkEnd w:id="794"/>
      <w:r>
        <w:rPr/>
        <w:t>4</w:t>
      </w:r>
      <w:r>
        <w:rPr>
          <w:rtl w:val="true"/>
        </w:rPr>
        <w:t xml:space="preserve">. </w:t>
      </w:r>
      <w:r>
        <w:rPr>
          <w:rtl w:val="true"/>
        </w:rPr>
        <w:t>حكم المريض ومن برأسه أذى</w:t>
      </w:r>
      <w:bookmarkEnd w:id="795"/>
    </w:p>
    <w:p>
      <w:pPr>
        <w:pStyle w:val="BookText"/>
        <w:rPr/>
      </w:pPr>
      <w:r>
        <w:rPr>
          <w:rFonts w:ascii="Amiri" w:hAnsi="Amiri" w:eastAsia="Amiri" w:cs="Amiri"/>
          <w:color w:val="111111"/>
          <w:sz w:val="28"/>
          <w:sz w:val="28"/>
          <w:szCs w:val="28"/>
          <w:rtl w:val="true"/>
          <w:lang w:bidi="ar-SA"/>
        </w:rPr>
        <w:t xml:space="preserve">لمّا منع سبحانه حلق الرأس قبل بلوغ الهدي محلّه رخّص لفريقين وإن لم يذبحوا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الذي يحتاج إلى الحلق للمداواة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برأسه 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مِنْكُمْ مَرِيضاً أَوْ بِهِ أَذىً مِنْ رَأْسِهِ فَفِدْيَةٌ مِنْ صِيامٍ أَوْ صَدَقَةٍ أَوْ نُسُكٍ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فالمحرم المعذور يحلق رأسه قبل الذبح ، وفي الوقت نفسه يكفّر بأحد الأمور الثلاثة ، وكلّ واحد منها فدية ، أي بدل وجزاء من العمل الذي تركه لأجل العذر ، وهو أن يصوم أو يتصدّق أو يذبح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الصوم فيصوم ثلاثة أيّام ، وأمّا الصدقة فيتصدّق على ستة مساكين أو عشرة ، وأمّا النسك فيذبح شاة ، وهو مخيّر بين الأمور الثلاثة</w:t>
      </w:r>
      <w:r>
        <w:rPr>
          <w:rFonts w:eastAsia="Amiri" w:cs="Amiri" w:ascii="Amiri" w:hAnsi="Amiri"/>
          <w:color w:val="111111"/>
          <w:sz w:val="28"/>
          <w:szCs w:val="28"/>
          <w:rtl w:val="true"/>
          <w:lang w:bidi="ar-SA"/>
        </w:rPr>
        <w:t>.</w:t>
      </w:r>
    </w:p>
    <w:p>
      <w:pPr>
        <w:pStyle w:val="Heading5"/>
        <w:numPr>
          <w:ilvl w:val="4"/>
          <w:numId w:val="1"/>
        </w:numPr>
        <w:rPr/>
      </w:pPr>
      <w:bookmarkStart w:id="796" w:name="__RefHeading___Toc1165959_1067777946"/>
      <w:bookmarkStart w:id="797" w:name="_Toc287"/>
      <w:bookmarkEnd w:id="796"/>
      <w:r>
        <w:rPr/>
        <w:t>5</w:t>
      </w:r>
      <w:r>
        <w:rPr>
          <w:rtl w:val="true"/>
        </w:rPr>
        <w:t xml:space="preserve">. </w:t>
      </w:r>
      <w:r>
        <w:rPr>
          <w:rtl w:val="true"/>
        </w:rPr>
        <w:t>التمتّع بالعمرة إلى الحجّ</w:t>
      </w:r>
      <w:bookmarkEnd w:id="797"/>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أَمِنْتُمْ فَمَنْ تَمَتَّعَ بِالْعُمْرَةِ إِلَى الْحَجِّ فَمَا اسْتَيْسَرَ مِنَ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كلامه سبحانه في المحصر ، والكلام في المقام في غير المحصر ومن حصل له الأمن وارتفع المانع كما يدلّ عليه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أَمِنْتُمْ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فعلى قسم من المكلّفين </w:t>
      </w:r>
      <w:r>
        <w:rPr>
          <w:rStyle w:val="FootnoteAnchor"/>
          <w:rtl w:val="true"/>
        </w:rPr>
        <w:footnoteReference w:id="843"/>
      </w:r>
      <w:r>
        <w:rPr>
          <w:rFonts w:ascii="Amiri" w:hAnsi="Amiri" w:eastAsia="Amiri" w:cs="Amiri"/>
          <w:color w:val="111111"/>
          <w:sz w:val="28"/>
          <w:sz w:val="28"/>
          <w:szCs w:val="28"/>
          <w:rtl w:val="true"/>
          <w:lang w:bidi="ar-SA"/>
        </w:rPr>
        <w:t>إذا أتوا بالعمرة ثمّ أحرموا للحج فعليه ما تيسّر من الهدي في يوم النحر في أرض منى</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من التمتع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إِلَى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التمتع </w:t>
      </w:r>
      <w:bookmarkStart w:id="798" w:name="pg10144_71630"/>
    </w:p>
    <w:p>
      <w:pPr>
        <w:pStyle w:val="BookText"/>
        <w:rPr/>
      </w:pPr>
      <w:bookmarkEnd w:id="798"/>
      <w:r>
        <w:rPr>
          <w:rFonts w:ascii="Amiri" w:hAnsi="Amiri" w:eastAsia="Amiri" w:cs="Amiri"/>
          <w:color w:val="111111"/>
          <w:sz w:val="28"/>
          <w:sz w:val="28"/>
          <w:szCs w:val="28"/>
          <w:rtl w:val="true"/>
          <w:lang w:bidi="ar-SA"/>
        </w:rPr>
        <w:t>بمحظورات الإحرام بسبب أداء العمرة فيبقى متحلّلا متمتعا إلى أن يحرم للحج ، وعندئذ يجب عليه ما تيسّر من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تصرح بأنّ صنفا من المكلّفين ، وهم الذين فرض عليهم حجّ التمتع يحلّ لهم التمتع بعامة المحظورات إلى زمن إحرام الحجّ ، فاستنكار التمتع بين العمرة والحجّ ـ لأجل استلزامه تعرّس الحاج بين العمرة والحج ورواحة إلى المواقف ورأسه يقطر ماء ـ إطاحة بالوحي وتقديم للرأي على الوحي ، كما سيوافيك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ذكر من أعمال الحجّ الكثيرة خصوص الهدي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اسْتَيْسَرَ مِنَ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من تمتّع بالعمرة إلى الحجّ فعليه الإحرام أوّلا ثمّ الوقوف في عرفة ، ثمّ الإفاضة إلى المشعر والمزدلفة ، ثمّ منها إلى منى ورمي الجمرات والذبح والحلق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خصّ ذلك بالذكر لاختصاص الهدي بحكم خاص ، وهو سبحانه بصدد بيان حكمه ، وهو انّه إذا عجز عن الهدي فله بدل ، بخلاف سائر الأعمال فإنّ ذاتها مطلوبة وليس لها بدل ، فقال سبحانه مبيّنا لبدل الهدي</w:t>
      </w:r>
      <w:r>
        <w:rPr>
          <w:rFonts w:eastAsia="Amiri" w:cs="Amiri" w:ascii="Amiri" w:hAnsi="Amiri"/>
          <w:color w:val="111111"/>
          <w:sz w:val="28"/>
          <w:szCs w:val="28"/>
          <w:rtl w:val="true"/>
          <w:lang w:bidi="ar-SA"/>
        </w:rPr>
        <w:t>.</w:t>
      </w:r>
    </w:p>
    <w:p>
      <w:pPr>
        <w:pStyle w:val="Heading5"/>
        <w:numPr>
          <w:ilvl w:val="4"/>
          <w:numId w:val="1"/>
        </w:numPr>
        <w:rPr/>
      </w:pPr>
      <w:bookmarkStart w:id="799" w:name="__RefHeading___Toc1165961_1067777946"/>
      <w:bookmarkStart w:id="800" w:name="_Toc288"/>
      <w:bookmarkEnd w:id="799"/>
      <w:r>
        <w:rPr/>
        <w:t>6</w:t>
      </w:r>
      <w:r>
        <w:rPr>
          <w:rtl w:val="true"/>
        </w:rPr>
        <w:t xml:space="preserve">. </w:t>
      </w:r>
      <w:r>
        <w:rPr>
          <w:rtl w:val="true"/>
        </w:rPr>
        <w:t>الفاقد للهدي</w:t>
      </w:r>
      <w:bookmarkEnd w:id="800"/>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سبحانه حكم من لم يجد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يَجِدْ فَصِيامُ ثَلاثَةِ أَيَّامٍ فِي الْحَجِّ وَسَبْعَةٍ إِذا رَجَعْتُمْ تِلْكَ عَشَرَةٌ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انّه يصوم بدل الهدي ثلاثة أيّام في الحجّ وسبعة إذا رجع إلى موطنه على وجه يكون الجميع عشرة كاملة ، وأمّا أيّام الصوم فقد ذكرت في الكتب الفقهية ، وهي اليوم السابع والثامن والتاسع</w:t>
      </w:r>
      <w:r>
        <w:rPr>
          <w:rFonts w:eastAsia="Amiri" w:cs="Amiri" w:ascii="Amiri" w:hAnsi="Amiri"/>
          <w:color w:val="111111"/>
          <w:sz w:val="28"/>
          <w:szCs w:val="28"/>
          <w:rtl w:val="true"/>
          <w:lang w:bidi="ar-SA"/>
        </w:rPr>
        <w:t xml:space="preserve">. </w:t>
      </w:r>
      <w:bookmarkStart w:id="801" w:name="pg10144_71631"/>
    </w:p>
    <w:p>
      <w:pPr>
        <w:pStyle w:val="Heading5"/>
        <w:numPr>
          <w:ilvl w:val="4"/>
          <w:numId w:val="1"/>
        </w:numPr>
        <w:rPr/>
      </w:pPr>
      <w:bookmarkStart w:id="802" w:name="__RefHeading___Toc1165963_1067777946"/>
      <w:bookmarkStart w:id="803" w:name="_Toc289"/>
      <w:bookmarkEnd w:id="801"/>
      <w:bookmarkEnd w:id="802"/>
      <w:r>
        <w:rPr/>
        <w:t>7</w:t>
      </w:r>
      <w:r>
        <w:rPr>
          <w:rtl w:val="true"/>
        </w:rPr>
        <w:t xml:space="preserve">. </w:t>
      </w:r>
      <w:r>
        <w:rPr>
          <w:rtl w:val="true"/>
        </w:rPr>
        <w:t>التمتع بالعمرة إلى الحجّ وظيفة الآفاقي</w:t>
      </w:r>
      <w:bookmarkEnd w:id="803"/>
    </w:p>
    <w:p>
      <w:pPr>
        <w:pStyle w:val="BookText"/>
        <w:rPr/>
      </w:pPr>
      <w:r>
        <w:rPr>
          <w:rFonts w:ascii="Amiri" w:hAnsi="Amiri" w:eastAsia="Amiri" w:cs="Amiri"/>
          <w:color w:val="111111"/>
          <w:sz w:val="28"/>
          <w:sz w:val="28"/>
          <w:szCs w:val="28"/>
          <w:rtl w:val="true"/>
          <w:lang w:bidi="ar-SA"/>
        </w:rPr>
        <w:t xml:space="preserve">إنّه سبحانه أشار بأنّ التمتع بالعمرة إلى الحجّ فريضة من لم يكن أهله حاضري المسجد الحرام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لِمَنْ لَمْ يَكُنْ أَهْلُهُ حاضِرِي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تقدّم ذكره حين التمتع بالعمرة إلى الحجّ ليس لأهل مكة ومن يجري مجراهم وإنّما هو لمن لم يكن من حاضري مكة ، وأمّا الحاضر فهو من يكون بينه وبينها دون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 من كلّ جانب على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سبحانه أتمّ الآية بالأمر بالتقوى ، أي العمل بما أمر والنهي عمّا نهى ، وذلك لأنّه سبحانه شديد العقاب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اللهَ وَاعْلَمُوا أَنَّ اللهَ شَدِيدُ الْعِقابِ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تفسير الآية المباركة جئنا به ليكون قرينة واضحة على تفسير ما سنسرد من الروايات والأحاديث من احتدام النزاع بين النبي وأصحابه في كيفية الحجّ ودام حتّى بعد رحيله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والمهم في المقام في إفادة المقصود هو الجملتان التاليتان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وَأَتِمُّوا الْحَجَّ وَالْعُمْرَةَ 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إِلَى الْحَجِ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فالأولى تدلّ على إكمالهما دون أفرادهما في الزمان ، كما أنّ الثانية تدلّ على لزوم التحلّل والتمتّع بين العملين</w:t>
      </w:r>
      <w:r>
        <w:rPr>
          <w:rFonts w:eastAsia="Amiri" w:cs="Amiri" w:ascii="Amiri" w:hAnsi="Amiri"/>
          <w:color w:val="111111"/>
          <w:sz w:val="28"/>
          <w:szCs w:val="28"/>
          <w:rtl w:val="true"/>
          <w:lang w:bidi="ar-SA"/>
        </w:rPr>
        <w:t>.</w:t>
      </w:r>
      <w:bookmarkStart w:id="804" w:name="pg10144_71632"/>
    </w:p>
    <w:p>
      <w:pPr>
        <w:pStyle w:val="Heading4"/>
        <w:numPr>
          <w:ilvl w:val="3"/>
          <w:numId w:val="1"/>
        </w:numPr>
        <w:rPr/>
      </w:pPr>
      <w:bookmarkStart w:id="805" w:name="__RefHeading___Toc1165965_1067777946"/>
      <w:bookmarkStart w:id="806" w:name="_Toc290"/>
      <w:bookmarkEnd w:id="804"/>
      <w:bookmarkEnd w:id="805"/>
      <w:r>
        <w:rPr>
          <w:rtl w:val="true"/>
        </w:rPr>
        <w:t xml:space="preserve">الثاني </w:t>
      </w:r>
      <w:r>
        <w:rPr>
          <w:rtl w:val="true"/>
        </w:rPr>
        <w:t xml:space="preserve">: </w:t>
      </w:r>
      <w:r>
        <w:rPr>
          <w:rtl w:val="true"/>
        </w:rPr>
        <w:t>متعة الحجّ سنّة أبدية</w:t>
      </w:r>
      <w:bookmarkEnd w:id="806"/>
    </w:p>
    <w:p>
      <w:pPr>
        <w:pStyle w:val="BookText"/>
        <w:rPr/>
      </w:pPr>
      <w:r>
        <w:rPr>
          <w:rFonts w:ascii="Amiri" w:hAnsi="Amiri" w:eastAsia="Amiri" w:cs="Amiri"/>
          <w:color w:val="111111"/>
          <w:sz w:val="28"/>
          <w:sz w:val="28"/>
          <w:szCs w:val="28"/>
          <w:rtl w:val="true"/>
          <w:lang w:bidi="ar-SA"/>
        </w:rPr>
        <w:t>تضافرت الروايات الصحاح على أنّ متعة الحجّ سنّة أبدية إلى يوم القيامة لا تتغيّر ولا تتبدّل ، بل تبقى بحالها إلى أن يرث الله الأرض ومن عليها ، ونذكر في ذلك ما رواه الشيخان ولا نتجاوز عنهما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مسلم عن عمرة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رسول الله لخمس بقين من ذي القعدة ولا نرى إلاّ أنّه الحج حتّى إذا دنونا من مكة أمر رسول الله صلى الله عليه وآله وسلم من لم يكن معه هدي إذا طاف بالبيت وبين الصفا والمروة أن يحل</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مسلم عن جابر رضي الله عنه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أقبلنا مهلّين مع رسول الله صلى الله عليه وآله وسلم بحجّ مفرد ، وأقبلت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بعمرة ، حتّى إذا كنا بسرف عركت حتّى إذا قدمنا طفنا بالكعبة والصفا والمروة ، فأمرنا رسول الله صلى الله عليه وآله وسلم أن يحل منّا من لم يكن معه هدي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ما 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 كلّه ، فواقعنا النساء وتطيّبنا بالطيب ولبسنا ثيابنا وليس بيننا وبين عرفة إلاّ أربع ليال ، ثمّ أهللنا يوم التروية</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مسلم عن جابر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 الله صلى الله عليه وآله وسلم </w:t>
      </w:r>
    </w:p>
    <w:p>
      <w:pPr>
        <w:pStyle w:val="BookText"/>
        <w:rPr/>
      </w:pPr>
      <w:r>
        <w:rPr>
          <w:rFonts w:ascii="Amiri" w:hAnsi="Amiri" w:eastAsia="Amiri" w:cs="Amiri"/>
          <w:color w:val="111111"/>
          <w:sz w:val="28"/>
          <w:sz w:val="28"/>
          <w:szCs w:val="28"/>
          <w:rtl w:val="true"/>
          <w:lang w:bidi="ar-SA"/>
        </w:rPr>
        <w:t xml:space="preserve">مهلّين بالحج معنا النساء والولدان ، فلما قدمنا مكة طفنا بالبيت وبالصفا والمروة ، فقال لنا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يكن معه هدي فليحلل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 كلّه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النساء ولبسنا الثياب ومسسنا الطيب ، فلمّا كان يوم التروية أهللنا بالحج</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مسلم عن عطاء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جابر بن عبد الله الأنصاري أنّه حجّ مع رسول الله عام ساق الهدي معه ، وقد أهلّوا بالحجّ مفردا ، فقال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أحلّوا من إحرامكم فطوفوا بالبيت وبين الصفا والمروة وقصّروا وأقيموا حلالا ، حتّى إذا كان يوم التروية فأهلّوا بالحجّ ، واجعلوا التي قدمتم بها 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نجعلها متعة وقد سمّينا الحجّ؟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افعلوا ما آمركم به فانّي لو لا أنّي سقت الهدي لفعلت مثل الذي أمرتكم به ولكن لا يحلّ منّي حرام حتّى يبلغ الهدي محله ، فافعلوا </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مسلم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قدمنا مع رسول الله صلى الله عليه وآله وسلم مهلّين بالحجّ ، فأمرنا رسول الله صلى الله عليه وآله وسلم أن نجعلها عمرة ونحل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معه الهدي فلم يستطع أن يجعلها عمرة</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مسلم عن جابر بن عبد الله في حديث مفصّل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ننوي إلاّ الحجّ ، لسنا نعرف العمرة ، حتّى إذا أتينا البيت معه استلم الركن ـ 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حتّى إذا كان آخر طوافه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المروة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انّي استقبلت من أمري ما استدبرت لم أسق الهدي وجعلتها عمرة ، فمن كان منكم ليس معه هدي </w:t>
      </w:r>
    </w:p>
    <w:p>
      <w:pPr>
        <w:pStyle w:val="BookText"/>
        <w:rPr/>
      </w:pPr>
      <w:r>
        <w:rPr>
          <w:rFonts w:ascii="Amiri" w:hAnsi="Amiri" w:eastAsia="Amiri" w:cs="Amiri"/>
          <w:color w:val="111111"/>
          <w:sz w:val="28"/>
          <w:sz w:val="28"/>
          <w:szCs w:val="28"/>
          <w:rtl w:val="true"/>
          <w:lang w:bidi="ar-SA"/>
        </w:rPr>
        <w:t xml:space="preserve">فليحلّ وليجعلها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سراقة بن مالك بن جعشم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ألعامنا أم لا بد؟ فشبّك رسول الله أصابعه واحدة في الأخرى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العمرة في الحج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لا بد أبد </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هذا بعض ما رواه مسلم ، وتركنا البعض الآخر وربّما يأتي لمناسبة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ما رواه البخاري في صحيحه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البخاري عن عائشة زوج النبي صلى الله عليه وآله وسلم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النبي صلى الله عليه وآله وسلم في حجّة الوداع فأهللنا بعمرة ،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معه هدي فليهل بالحجّ مع العمرة ، ثمّ لا يحلّ حتّى يحلّ منهما جميعا</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البخاري عن ابن عباس انّه سئل عن متعة الحجّ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المهاجرون والأنصار وأزواج النبي في حجّة الوداع وأهللنا فلمّا قدمنا مكة ،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إهلالكم بالحجّ عمرة إلاّ من قلّد الهدي ، طفنا بالبيت وبالصفا والمروة وأتينا النساء ولبسنا الثياب</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هذا بعض ما رواه البخاري ويأتي بعضه الآخر ، وما رواه الشيخان يدلّ على أمور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حجّ التمتع فريضة من لم يكن أهله حاضري المسجد 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التمتّع بين العمرة والحجّ سنّة فيها وليس لأحد أن يعترض على التمتع بين الأمرين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العرب في الجاهلية والإسلام كانوا يحرمون بالحجّ في أشهر الحجّ </w:t>
      </w:r>
    </w:p>
    <w:p>
      <w:pPr>
        <w:pStyle w:val="BookText"/>
        <w:rPr/>
      </w:pPr>
      <w:r>
        <w:rPr>
          <w:rFonts w:ascii="Amiri" w:hAnsi="Amiri" w:eastAsia="Amiri" w:cs="Amiri"/>
          <w:color w:val="111111"/>
          <w:sz w:val="28"/>
          <w:sz w:val="28"/>
          <w:szCs w:val="28"/>
          <w:rtl w:val="true"/>
          <w:lang w:bidi="ar-SA"/>
        </w:rPr>
        <w:t xml:space="preserve">لا للعمرة ، ولذلك أحرم أصحاب النبي وأزواجه للحجّ تبعا للسيرة السائدة بين العرب من اختصاص أشهر الحجّ بالحجّ فلمّا دنوا من مكة </w:t>
      </w:r>
      <w:r>
        <w:rPr>
          <w:rStyle w:val="FootnoteAnchor"/>
          <w:rtl w:val="true"/>
        </w:rPr>
        <w:footnoteReference w:id="852"/>
      </w:r>
      <w:r>
        <w:rPr>
          <w:rFonts w:ascii="Amiri" w:hAnsi="Amiri" w:eastAsia="Amiri" w:cs="Amiri"/>
          <w:color w:val="111111"/>
          <w:sz w:val="28"/>
          <w:sz w:val="28"/>
          <w:szCs w:val="28"/>
          <w:rtl w:val="true"/>
          <w:lang w:bidi="ar-SA"/>
        </w:rPr>
        <w:t>أو قضوا أعمال العمرة أمرهم النبيّ صلى الله عليه وآله وسلم بجعل الإحرام عمرة والعدول إليها ، وقد كان ثقيلا عليهم ، كما ستوافيك الروايات في هذا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التمتع بين العمرة والحجّ سنّة أبدية لا تختص بعام دون عام ولا بقوم دون قوم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من ساق الهدي معه ليس له أن يتحلّل ولا يخرج من الإحرام إلاّ إذا بلغ الهدي محلّه وكان النبي صلى الله عليه وآله وسلم ممّن ساق الهدي ، ولذلك لم يخرج حتّى أبلغ هديه محله ، وقد كان عمل النبي صلى الله عليه وآله وسلم مظنة سؤال للصحابة حيث أمرهم بالتحلّل وبقي نفسه على إحرامه ، فنبّههم النبي بأنّه ساق الهدي ولكنّه لو وفّق للحجّ في المستقبل لما ساق الهدي ، وإلى ذلك يشير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استقبلت من أمري ما استدبرت لما سقت الهدي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هذا الموضوع روايات في السنن الأربع اقتصرنا بما ذكرنا ، وللقارئ أن يرجع إلى السنن والمسانيد فإنّه يجد أمثال ما ذكرناه بوفرة</w:t>
      </w:r>
      <w:r>
        <w:rPr>
          <w:rFonts w:eastAsia="Amiri" w:cs="Amiri" w:ascii="Amiri" w:hAnsi="Amiri"/>
          <w:color w:val="111111"/>
          <w:sz w:val="28"/>
          <w:szCs w:val="28"/>
          <w:rtl w:val="true"/>
          <w:lang w:bidi="ar-SA"/>
        </w:rPr>
        <w:t xml:space="preserve">. </w:t>
      </w:r>
      <w:bookmarkStart w:id="807" w:name="pg10144_71636"/>
    </w:p>
    <w:p>
      <w:pPr>
        <w:pStyle w:val="Heading4"/>
        <w:numPr>
          <w:ilvl w:val="3"/>
          <w:numId w:val="1"/>
        </w:numPr>
        <w:rPr/>
      </w:pPr>
      <w:bookmarkStart w:id="808" w:name="__RefHeading___Toc1165967_1067777946"/>
      <w:bookmarkStart w:id="809" w:name="_Toc291"/>
      <w:bookmarkEnd w:id="807"/>
      <w:bookmarkEnd w:id="808"/>
      <w:r>
        <w:rPr>
          <w:rtl w:val="true"/>
        </w:rPr>
        <w:t xml:space="preserve">الثالث </w:t>
      </w:r>
      <w:r>
        <w:rPr>
          <w:rtl w:val="true"/>
        </w:rPr>
        <w:t xml:space="preserve">: </w:t>
      </w:r>
      <w:r>
        <w:rPr>
          <w:rtl w:val="true"/>
        </w:rPr>
        <w:t>سيرة العرب قبل الإسلام في الحجّ</w:t>
      </w:r>
      <w:bookmarkEnd w:id="809"/>
    </w:p>
    <w:p>
      <w:pPr>
        <w:pStyle w:val="BookText"/>
        <w:rPr/>
      </w:pPr>
      <w:r>
        <w:rPr>
          <w:rFonts w:ascii="Amiri" w:hAnsi="Amiri" w:eastAsia="Amiri" w:cs="Amiri"/>
          <w:color w:val="111111"/>
          <w:sz w:val="28"/>
          <w:sz w:val="28"/>
          <w:szCs w:val="28"/>
          <w:rtl w:val="true"/>
          <w:lang w:bidi="ar-SA"/>
        </w:rPr>
        <w:t xml:space="preserve">يظهر ممّا سردناه من الروايات وما سيوافيك انّ العرب لم تكن تعرف العمرة في أشهر الحجّ وإنّما تأتي بها في غيرها ، ولذلك تعاظم عليهم إدخال العمرة في الحجّ ، ولأجل إيقاف القارئ على تلك الحقيقة عن كثب ، نذكر بعض ما ورد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البخاري عن ابن عباس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يرون أنّ العمرة في أشهر الحجّ من أفجر الفجور ، ويجعلون محرم صفرا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برأ الدّبر ، وعفا الأثر ، وانسلخ صفر حلّت العمرة لمن اعتمر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النبي وأصحابه صبيحة رابعة مهلّين بالحجّ ، فأمرهم أن يجعلوها عمرة ، فتعاظم ذلك عندهم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أي الحلّ؟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 كلّه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والحديث يدلّ بوضوح على أنّ إفراز العمرة عن الحجّ كان سنّة جاهلية سادت على الحج لأسباب غير معلومة وكانوا يصرون على أنّ العمرة بعد انقضاء صفر وفي الحقيقة بعد انقضاء محرّم ، ولكن النبي صلى الله عليه وآله وسلم قام بوجه هذه البدعة مدة إقامته في المدينة ، فقد اعتمر ثلاث عمر في ذي القعدة الحرام كما أتى بعمرة رابعة في حجّه في شهر ذي الحجّة في حجة الوداع ، وإليك العمر التي أحرم لها النبي صلى الله عليه وآله وسلم طيلة حياته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الحديبية ، وهي أوّلهنّ سنّة ست ، فصدّه المشركون عن البيت ، فنحر البدن وحلق هو وأصحابه رءوسهم وحلّوا من إحرامهم ورجعوا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القضاء في العام المقبل في نفس ذلك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عمرته من الجعرّانة لما خرج إلى حنين ثمّ رجع إلى مكة فاعتمر من الجعرانة داخلا إليها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عمرته التي قرنها مع حجته</w:t>
      </w:r>
      <w:r>
        <w:rPr>
          <w:rFonts w:eastAsia="Amiri" w:cs="Amiri" w:ascii="Amiri" w:hAnsi="Amiri"/>
          <w:color w:val="111111"/>
          <w:sz w:val="28"/>
          <w:szCs w:val="28"/>
          <w:rtl w:val="true"/>
          <w:lang w:bidi="ar-SA"/>
        </w:rPr>
        <w:t xml:space="preserve">. </w:t>
      </w:r>
      <w:bookmarkStart w:id="810" w:name="pg10144_71638"/>
    </w:p>
    <w:p>
      <w:pPr>
        <w:pStyle w:val="Heading4"/>
        <w:numPr>
          <w:ilvl w:val="3"/>
          <w:numId w:val="1"/>
        </w:numPr>
        <w:rPr/>
      </w:pPr>
      <w:bookmarkStart w:id="811" w:name="__RefHeading___Toc1165969_1067777946"/>
      <w:bookmarkStart w:id="812" w:name="_Toc292"/>
      <w:bookmarkEnd w:id="810"/>
      <w:bookmarkEnd w:id="811"/>
      <w:r>
        <w:rPr>
          <w:rtl w:val="true"/>
        </w:rPr>
        <w:t xml:space="preserve">الرابع </w:t>
      </w:r>
      <w:r>
        <w:rPr>
          <w:rtl w:val="true"/>
        </w:rPr>
        <w:t xml:space="preserve">: </w:t>
      </w:r>
      <w:r>
        <w:rPr>
          <w:rtl w:val="true"/>
        </w:rPr>
        <w:t>احتدام النزاع بين الصحابة في حياة النبي صلى الله عليه وآله وسلم</w:t>
      </w:r>
      <w:bookmarkEnd w:id="812"/>
    </w:p>
    <w:p>
      <w:pPr>
        <w:pStyle w:val="BookText"/>
        <w:rPr/>
      </w:pPr>
      <w:r>
        <w:rPr>
          <w:rFonts w:ascii="Amiri" w:hAnsi="Amiri" w:eastAsia="Amiri" w:cs="Amiri"/>
          <w:color w:val="111111"/>
          <w:sz w:val="28"/>
          <w:sz w:val="28"/>
          <w:szCs w:val="28"/>
          <w:rtl w:val="true"/>
          <w:lang w:bidi="ar-SA"/>
        </w:rPr>
        <w:t xml:space="preserve">قد عرفت أنّ العرب في العصر الجاهلي يفرزون العمرة عن الحجّ ويأتون بها في غير أشهر الحجّ ، وقد كان الجمع بينهما من أفجر الفجور ، وقد ترسخت تلك الفكرة عند العرب في العصر الجاهلي حتّى أضحت جزءا من كيانهم ، فالدعوة إلى إدخال العمرة في الحج كانت دعوة على خلاف ما شبّوا وشاخوا عليه ، ولذلك لمّا أمرهم النبي بإدخال العمرة إلى الحجّ وجعل الإهلال للحجّ عمرة ، تعاظم أمرهم وثارت ثورتهم ، وقاموا بوجه النبي صلى الله عليه وآله وسلم على نحو أثاروا غضبه ، وإليك بعض ما روي في المقام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مسلم عن عطاء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 بن عبد الله رضي الله عنه في ناس معي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أهللنا أصحاب محمد بالحجّ خالصا وحده ، قال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النبي صبح رابعة مضت من ذي الحجّة فأمرنا أن نحل ، قال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حلّوا وأصيبوا النساء ، قال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يعزم عليهم ولكن أحلهنّ لهم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يكن بيننا وبين عرفة إلاّ خمس ، أمرنا أن نفضي إلى نسائنا فنأتي عرفة تقطر مذاكرنا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جابر بيده كأنّي أنظر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يحركها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النبي صلى الله عليه وآله وسلم فينا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علمتم أنّي أتقاكم لله وأصدقكم وأبرّكم ولو لا هديي لحللت كما تحلون ، ولو استقبلت من أمري ما استدبرت لم أسق الهدي فحلّوا ، فحللنا وسمعنا وأطعنا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عليّ من سعايته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أهللت؟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أهلّ به النبي صلى الله عليه وآله وسلم فقال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فأهد ، وامكث حراما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وأهدى له علي هديا ، فقال سراقة بن مالك بن جُعشم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ألعامنا هذا أم لا بد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مسلم عن 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أهللنا مع رسول الله بالحجّ ، فلمّا قدمنا مكة أمرنا أن نحلّ ونجعلها عمرة ، فكبر ذلك علينا وضاقت به صدورنا ، فبلغ ذلك النبي صلى الله عليه وآله وسلم فما ندري أشيء بلغه من السماء أم شيء من قبل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أحلّوا فلو لا الهدي الذي معي ، فعلت كما فعلتم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فأحللنا حتّى وطئنا النساء وفعلنا ما يفعل الحلال حتّى إذا كان يوم التروية وجعلنا مكة بظهر ، أهللنا بالحج</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مسلم عن عائشة انّها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رسول الله صلى الله عليه وآله وسلم لأربع مضين من ذي الحجّة أو خمس فدخل عليّ وهو غضبان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أغضبك يا رسول الله ، أدخله الله النار؟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شعرت إنّي أمرت الناس بأمر فإذا هم يترددون ، ولو اني استقبلت من أمري ما استدبرت ما سقت الهدي معي حتّى أشتريه ثمّ أحلّ كما حلّوا</w:t>
      </w:r>
      <w:r>
        <w:rPr>
          <w:rFonts w:eastAsia="Amiri" w:cs="Amiri" w:ascii="Amiri" w:hAnsi="Amiri"/>
          <w:color w:val="111111"/>
          <w:sz w:val="28"/>
          <w:szCs w:val="28"/>
          <w:rtl w:val="true"/>
          <w:lang w:bidi="ar-SA"/>
        </w:rPr>
        <w:t xml:space="preserve">.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هذا غيض من فيض ممّا يحكي عن حالة عصيان بين الصحابة في ذلك الموضوع وانّهم لم يستجيبوا بادئ بدء لأمر الرسول صلى الله عليه وآله وسلم حتّى أغضبوه ، فأين عملهم هذا من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w:t>
      </w:r>
      <w:r>
        <w:rPr>
          <w:rFonts w:eastAsia="Amiri" w:cs="Amiri" w:ascii="Amiri" w:hAnsi="Amiri"/>
          <w:color w:val="111111"/>
          <w:sz w:val="28"/>
          <w:szCs w:val="28"/>
          <w:rtl w:val="true"/>
          <w:lang w:bidi="ar-SA"/>
        </w:rPr>
        <w:t xml:space="preserve">) </w:t>
      </w:r>
      <w:r>
        <w:rPr>
          <w:rStyle w:val="FootnoteAnchor"/>
          <w:rtl w:val="true"/>
        </w:rPr>
        <w:footnoteReference w:id="856"/>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تُقَدِّمُوا بَيْنَ يَدَيِ اللهِ وَرَسُولِهِ وَاتَّقُوا اللهَ إِنَّ اللهَ سَمِيعٌ عَلِيمٌ </w:t>
      </w:r>
      <w:r>
        <w:rPr>
          <w:rFonts w:eastAsia="Amiri" w:cs="Amiri" w:ascii="Amiri" w:hAnsi="Amiri"/>
          <w:color w:val="111111"/>
          <w:sz w:val="28"/>
          <w:szCs w:val="28"/>
          <w:rtl w:val="true"/>
          <w:lang w:bidi="ar-SA"/>
        </w:rPr>
        <w:t xml:space="preserve">). </w:t>
      </w:r>
      <w:r>
        <w:rPr>
          <w:rStyle w:val="FootnoteAnchor"/>
          <w:rtl w:val="true"/>
        </w:rPr>
        <w:footnoteReference w:id="857"/>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لا تتقدّموا على الله ورسوله ، ولا تقدّموا قولكم على قولهما</w:t>
      </w:r>
      <w:r>
        <w:rPr>
          <w:rFonts w:eastAsia="Amiri" w:cs="Amiri" w:ascii="Amiri" w:hAnsi="Amiri"/>
          <w:color w:val="111111"/>
          <w:sz w:val="28"/>
          <w:szCs w:val="28"/>
          <w:rtl w:val="true"/>
          <w:lang w:bidi="ar-SA"/>
        </w:rPr>
        <w:t xml:space="preserve">. </w:t>
      </w:r>
      <w:bookmarkStart w:id="813" w:name="pg10144_71641"/>
    </w:p>
    <w:p>
      <w:pPr>
        <w:pStyle w:val="Heading4"/>
        <w:numPr>
          <w:ilvl w:val="3"/>
          <w:numId w:val="1"/>
        </w:numPr>
        <w:rPr/>
      </w:pPr>
      <w:bookmarkStart w:id="814" w:name="__RefHeading___Toc1165971_1067777946"/>
      <w:bookmarkStart w:id="815" w:name="_Toc293"/>
      <w:bookmarkEnd w:id="813"/>
      <w:bookmarkEnd w:id="814"/>
      <w:r>
        <w:rPr>
          <w:rtl w:val="true"/>
        </w:rPr>
        <w:t xml:space="preserve">الخامس </w:t>
      </w:r>
      <w:r>
        <w:rPr>
          <w:rtl w:val="true"/>
        </w:rPr>
        <w:t xml:space="preserve">: </w:t>
      </w:r>
      <w:r>
        <w:rPr>
          <w:rtl w:val="true"/>
        </w:rPr>
        <w:t>عودة التقاليد الجاهلية</w:t>
      </w:r>
      <w:bookmarkEnd w:id="815"/>
    </w:p>
    <w:p>
      <w:pPr>
        <w:pStyle w:val="Heading5"/>
        <w:numPr>
          <w:ilvl w:val="4"/>
          <w:numId w:val="1"/>
        </w:numPr>
        <w:rPr/>
      </w:pPr>
      <w:bookmarkStart w:id="816" w:name="__RefHeading___Toc1165973_1067777946"/>
      <w:bookmarkStart w:id="817" w:name="_Toc294"/>
      <w:bookmarkEnd w:id="816"/>
      <w:r>
        <w:rPr>
          <w:rtl w:val="true"/>
        </w:rPr>
        <w:t>اشارة</w:t>
      </w:r>
      <w:bookmarkEnd w:id="817"/>
    </w:p>
    <w:p>
      <w:pPr>
        <w:pStyle w:val="BookText"/>
        <w:rPr/>
      </w:pPr>
      <w:r>
        <w:rPr>
          <w:rFonts w:ascii="Amiri" w:hAnsi="Amiri" w:eastAsia="Amiri" w:cs="Amiri"/>
          <w:color w:val="111111"/>
          <w:sz w:val="28"/>
          <w:sz w:val="28"/>
          <w:szCs w:val="28"/>
          <w:rtl w:val="true"/>
          <w:lang w:bidi="ar-SA"/>
        </w:rPr>
        <w:t>حجّ النبي صلى الله عليه وآله وسلم مع أصحابه وعلّمهم مناسك الحجّ ومواقفه وسننه وطقوسه فأعاد كلّ ما حرّف إلى محله ، ولكن للأسف انّ عمر بن الخطاب ، قدم الاجتهاد على النص ومنع من متعة الحج وشدد النكير عليه وتبعه عثمان ودام الأمر عليه إلى العهود التالية ، وكفى في ذلك ما رواه الشيخان 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مسلم عن أبي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على رسول الله صلى الله عليه وآله وسلم وهو منيخ بالبطحاء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أحججت؟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أهللت؟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بإهلال كإهلال النبي صلى الله عليه وآله 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أحسنت طف بالبيت وبالصفا والمروة وأحلّ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فطفت بالبيت وبالصفا والمروة ثمّ أتيت امرأة من بني قيس ففلت رأسي ثمّ أهللت بالحج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أفتي به الناس حتّى كان في خلافة عمر</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موسى أو يا عبد الله بن قيس ، رويدك بعض فتياك فإنّك لا تدري ما أحدث أمير المؤمنين في النّسك بعدك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ما كنّا أفتيناه فتيا فليتّئد </w:t>
      </w:r>
      <w:r>
        <w:rPr>
          <w:rStyle w:val="FootnoteAnchor"/>
          <w:rtl w:val="true"/>
        </w:rPr>
        <w:footnoteReference w:id="858"/>
      </w:r>
      <w:r>
        <w:rPr>
          <w:rFonts w:ascii="Amiri" w:hAnsi="Amiri" w:eastAsia="Amiri" w:cs="Amiri"/>
          <w:color w:val="111111"/>
          <w:sz w:val="28"/>
          <w:sz w:val="28"/>
          <w:szCs w:val="28"/>
          <w:rtl w:val="true"/>
          <w:lang w:bidi="ar-SA"/>
        </w:rPr>
        <w:t>فإنّ أمير المؤمنين قادم عليكم فيه فائتمّوا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عمر فذكرت ذلك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نأخذ بكتاب الله فان كتاب الله يأمر بالتمام ، وإن نأخذ بسنّة رسول الله صلى الله عليه وآله وسلم فان رسول الله صلى الله عليه وآله وسلم لم يحلّ حتّى بلغ الهدي محله</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والعجب من أبي موسى مع أنّه كان يفتي الناس بما جرت عليه سيرة النبي صلى الله عليه وآله وسلم ولكنّه في خلافة عمر عدل عن هدي الرسول وأمر الناس بالتأنّي مع أنّه سمع من السائل بأنّه حدث جديد في النسك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استدلّ عمر على إخراج العمرة عن الحجّ بأمرين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كتاب الله حيث أمر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وَأَتِمُّوا الْحَجَّ وَالْعُمْرَةَ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رسول الله صلى الله عليه وآله وسلم حيث لم يحل حتّى بلغ الهدي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الاستدلالين من الوهن بمكان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الاستدلال بالكتاب فقد عرفت أنّ معنى إتمام الحجّ والعمرة إكمالهما في مقابل المحصر الذي لا يستطيع الإكمال ، وأين هو من إخراج العمرة عن الحجّ بإنشاء السفر المستقل لكلّ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سيرة النبي فقد كشف قوله صلى الله عليه وآله وسلم النقاب عن عدم إحلاله ، لأنّه ساق الهدي وكلّ من ساق الهدي لا يحلّ إلاّ أن يبلغ الهدي محله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مسلم عن أبي نضرة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يأمر بالمتعة وكان ابن الزبير ينهى عنها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لجابر بن عبد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يدي دار الحديث ، تمتعنا مع رسول الله ، فلمّا قام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كان يحل لرسوله ما شاء بما شاء ، وانّ القرآن قد نزل منازله فأتمّوا الحجّ والعمرة لله كما أمركم الله وابتّوا نكاح هذه النساء</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أيضا بالإسناد السابق انّ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فافصلوا حجّكم من عمرتكم فإنّه أتمّ لحجّكم وأتمّ لعمرتكم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ويدلّ الحديث على أنّ فصل الحج عن العمرة ظهر في عصر عمر ، وقد عرفت أنّ استدلاله بقوله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وَأَتِمُّوا الْحَجَّ وَالْعُمْرَةَ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يمتّ إلى هذا الباب بصلة ، وقوله في ذيل الحديث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فافصلوا حجكم من عمرتكم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فصل الحجّ من العمرة والإتيان بها في غير أشهر الحجّ ، وقد مرّ انّ العرب في العصر الجاهلي ترى الجمع بينهما من أفجر الفجور فكأنّ الرجل تأثر مما رسب في ذهنه فحرّم متعة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مسلم عن أبي موسى انّه كان يفتي بالمتعة ،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رويدك ببعض فتياك فإنّك لا تدري ما أحدث أمير المؤمنين في النّسك بعد حتى لقيه بعد فسأله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النبي صلى الله عليه وآله وسلم قد فعله وأصحابه ولكن كرهت أن يظلّوا معرسين بهنّ في الأراك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ثمّ يروحون في الحجّ تقطر رءوسهم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الحديث يكشف عن أنّه اجتهد أمام النص ، لأنّه يكره أن يذهب الحاج إلى عرفة ورأسه يقطر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ذلك سببا للمنع عن السنّة القطعية</w:t>
      </w:r>
      <w:r>
        <w:rPr>
          <w:rFonts w:eastAsia="Amiri" w:cs="Amiri" w:ascii="Amiri" w:hAnsi="Amiri"/>
          <w:color w:val="111111"/>
          <w:sz w:val="28"/>
          <w:szCs w:val="28"/>
          <w:rtl w:val="true"/>
          <w:lang w:bidi="ar-SA"/>
        </w:rPr>
        <w:t xml:space="preserve">. </w:t>
      </w:r>
      <w:r>
        <w:rPr>
          <w:rStyle w:val="FootnoteAnchor"/>
          <w:rtl w:val="true"/>
        </w:rPr>
        <w:footnoteReference w:id="860"/>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استنكر الخليفة متعة الحجّ إلى حدّ كان الأعاظم من الصحابة على خوف من أن يتفوّهوا بجوازه وكانوا يوصون أن لا ينقل عنهم ما داموا على قيد الحياة ، وهذا هو عمران بن حصين يوصي بعدم إفشاء كلامه ما دام حيّا</w:t>
      </w:r>
      <w:r>
        <w:rPr>
          <w:rFonts w:eastAsia="Amiri" w:cs="Amiri" w:ascii="Amiri" w:hAnsi="Amiri"/>
          <w:color w:val="111111"/>
          <w:sz w:val="28"/>
          <w:szCs w:val="28"/>
          <w:rtl w:val="true"/>
          <w:lang w:bidi="ar-SA"/>
        </w:rPr>
        <w:t xml:space="preserve">. </w:t>
      </w:r>
      <w:bookmarkStart w:id="818" w:name="pg10144_71644"/>
    </w:p>
    <w:p>
      <w:pPr>
        <w:pStyle w:val="BookText"/>
        <w:rPr/>
      </w:pPr>
      <w:bookmarkEnd w:id="818"/>
      <w:r>
        <w:rPr>
          <w:rFonts w:ascii="Amiri" w:hAnsi="Amiri" w:eastAsia="Amiri" w:cs="Amiri"/>
          <w:color w:val="111111"/>
          <w:sz w:val="28"/>
          <w:sz w:val="28"/>
          <w:szCs w:val="28"/>
          <w:rtl w:val="true"/>
          <w:lang w:bidi="ar-SA"/>
        </w:rPr>
        <w:t xml:space="preserve">أخرج مسلم عن قتادة ، عن مطرّف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عمران بن حصين في مرضه الذي توفّى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محدّثك بأحاديث لعل الله ينفعك بها بعدي ، فإن عشت فأكتم عني وإن مُتُّ فحدّث بها إن شئت ، انّه قد سُلّم عليّ وأعلم انّ نبي الله صلى الله عليه وآله وسلم قد جمع بين حج وعمرة ثمّ لم ينزل فيها كتاب الله ولم ينه عنها نبيّ الله قال رجل فيها برأيه ما شاء</w:t>
      </w:r>
      <w:r>
        <w:rPr>
          <w:rFonts w:eastAsia="Amiri" w:cs="Amiri" w:ascii="Amiri" w:hAnsi="Amiri"/>
          <w:color w:val="111111"/>
          <w:sz w:val="28"/>
          <w:szCs w:val="28"/>
          <w:rtl w:val="true"/>
          <w:lang w:bidi="ar-SA"/>
        </w:rPr>
        <w:t xml:space="preserve">. </w:t>
      </w:r>
      <w:r>
        <w:rPr>
          <w:rStyle w:val="FootnoteAnchor"/>
          <w:rtl w:val="true"/>
        </w:rPr>
        <w:footnoteReference w:id="861"/>
      </w:r>
    </w:p>
    <w:p>
      <w:pPr>
        <w:pStyle w:val="Heading5"/>
        <w:numPr>
          <w:ilvl w:val="4"/>
          <w:numId w:val="1"/>
        </w:numPr>
        <w:rPr/>
      </w:pPr>
      <w:bookmarkStart w:id="819" w:name="__RefHeading___Toc1165975_1067777946"/>
      <w:bookmarkStart w:id="820" w:name="_Toc295"/>
      <w:bookmarkEnd w:id="819"/>
      <w:r>
        <w:rPr>
          <w:rtl w:val="true"/>
        </w:rPr>
        <w:t>صورة ثانية</w:t>
      </w:r>
      <w:bookmarkEnd w:id="820"/>
    </w:p>
    <w:p>
      <w:pPr>
        <w:pStyle w:val="BookText"/>
        <w:rPr/>
      </w:pPr>
      <w:r>
        <w:rPr>
          <w:rFonts w:ascii="Amiri" w:hAnsi="Amiri" w:eastAsia="Amiri" w:cs="Amiri"/>
          <w:color w:val="111111"/>
          <w:sz w:val="28"/>
          <w:sz w:val="28"/>
          <w:szCs w:val="28"/>
          <w:rtl w:val="true"/>
          <w:lang w:bidi="ar-SA"/>
        </w:rPr>
        <w:t xml:space="preserve">وأخرج أيضا عن مطرّف بن عبد الله بن الشّخّير ، عن عمران بن حصين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رسول الله صلى الله عليه وآله وسلم جمع بين حجّ وعمرة ثمّ لم ينزل فيها كتاب ولم ينهنا عنهما رسول الله ، قال فيها رجل برأيه ما شاء</w:t>
      </w:r>
      <w:r>
        <w:rPr>
          <w:rFonts w:eastAsia="Amiri" w:cs="Amiri" w:ascii="Amiri" w:hAnsi="Amiri"/>
          <w:color w:val="111111"/>
          <w:sz w:val="28"/>
          <w:szCs w:val="28"/>
          <w:rtl w:val="true"/>
          <w:lang w:bidi="ar-SA"/>
        </w:rPr>
        <w:t xml:space="preserve">. </w:t>
      </w:r>
      <w:r>
        <w:rPr>
          <w:rStyle w:val="FootnoteAnchor"/>
          <w:rtl w:val="true"/>
        </w:rPr>
        <w:footnoteReference w:id="862"/>
      </w:r>
    </w:p>
    <w:p>
      <w:pPr>
        <w:pStyle w:val="Heading5"/>
        <w:numPr>
          <w:ilvl w:val="4"/>
          <w:numId w:val="1"/>
        </w:numPr>
        <w:rPr/>
      </w:pPr>
      <w:bookmarkStart w:id="821" w:name="__RefHeading___Toc1165977_1067777946"/>
      <w:bookmarkStart w:id="822" w:name="_Toc296"/>
      <w:bookmarkEnd w:id="821"/>
      <w:r>
        <w:rPr>
          <w:rtl w:val="true"/>
        </w:rPr>
        <w:t>صورة ثالثة</w:t>
      </w:r>
      <w:bookmarkEnd w:id="822"/>
    </w:p>
    <w:p>
      <w:pPr>
        <w:pStyle w:val="BookText"/>
        <w:rPr/>
      </w:pPr>
      <w:r>
        <w:rPr>
          <w:rFonts w:ascii="Amiri" w:hAnsi="Amiri" w:eastAsia="Amiri" w:cs="Amiri"/>
          <w:color w:val="111111"/>
          <w:sz w:val="28"/>
          <w:sz w:val="28"/>
          <w:szCs w:val="28"/>
          <w:rtl w:val="true"/>
          <w:lang w:bidi="ar-SA"/>
        </w:rPr>
        <w:t xml:space="preserve">وأخرج أيضا عن مطرّف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عمران بن حصين انّي لأُحدّثك بالحديث اليوم ينفعك الله به بعد اليوم ، وأعلم أنّ رسول الله صلى الله عليه وآله وسلم قد أعمر طائفة من أهله في العشر فلم تنزل آية تنسخ ذلك ولم ينه عنه حتّى مضى لوجهه ، ارتأى كلّ امرئ بعد ما شاء أن يرتئي</w:t>
      </w:r>
      <w:r>
        <w:rPr>
          <w:rFonts w:eastAsia="Amiri" w:cs="Amiri" w:ascii="Amiri" w:hAnsi="Amiri"/>
          <w:color w:val="111111"/>
          <w:sz w:val="28"/>
          <w:szCs w:val="28"/>
          <w:rtl w:val="true"/>
          <w:lang w:bidi="ar-SA"/>
        </w:rPr>
        <w:t xml:space="preserve">. </w:t>
      </w:r>
      <w:r>
        <w:rPr>
          <w:rStyle w:val="FootnoteAnchor"/>
          <w:rtl w:val="true"/>
        </w:rPr>
        <w:footnoteReference w:id="863"/>
      </w:r>
    </w:p>
    <w:p>
      <w:pPr>
        <w:pStyle w:val="Heading5"/>
        <w:numPr>
          <w:ilvl w:val="4"/>
          <w:numId w:val="1"/>
        </w:numPr>
        <w:rPr/>
      </w:pPr>
      <w:bookmarkStart w:id="823" w:name="__RefHeading___Toc1165979_1067777946"/>
      <w:bookmarkStart w:id="824" w:name="_Toc297"/>
      <w:bookmarkEnd w:id="823"/>
      <w:r>
        <w:rPr>
          <w:rtl w:val="true"/>
        </w:rPr>
        <w:t>صورة رابعة</w:t>
      </w:r>
      <w:bookmarkEnd w:id="824"/>
    </w:p>
    <w:p>
      <w:pPr>
        <w:pStyle w:val="Heading6"/>
        <w:numPr>
          <w:ilvl w:val="5"/>
          <w:numId w:val="1"/>
        </w:numPr>
        <w:rPr/>
      </w:pPr>
      <w:bookmarkStart w:id="825" w:name="__RefHeading___Toc1165981_1067777946"/>
      <w:bookmarkStart w:id="826" w:name="_Toc298"/>
      <w:bookmarkEnd w:id="825"/>
      <w:r>
        <w:rPr>
          <w:rtl w:val="true"/>
        </w:rPr>
        <w:t>اشارة</w:t>
      </w:r>
      <w:bookmarkEnd w:id="826"/>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البخاري عن قتادة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مطرف عن عمران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تمتّعنا على عهد رسول الله فنزل القرآن ، قال رجل برأيه ما شاء</w:t>
      </w:r>
      <w:r>
        <w:rPr>
          <w:rFonts w:eastAsia="Amiri" w:cs="Amiri" w:ascii="Amiri" w:hAnsi="Amiri"/>
          <w:color w:val="111111"/>
          <w:sz w:val="28"/>
          <w:szCs w:val="28"/>
          <w:rtl w:val="true"/>
          <w:lang w:bidi="ar-SA"/>
        </w:rPr>
        <w:t xml:space="preserve">. </w:t>
      </w:r>
      <w:r>
        <w:rPr>
          <w:rStyle w:val="FootnoteAnchor"/>
          <w:rtl w:val="true"/>
        </w:rPr>
        <w:footnoteReference w:id="864"/>
      </w:r>
      <w:r>
        <w:rPr>
          <w:rFonts w:ascii="IRNazanin" w:hAnsi="IRNazanin" w:eastAsia="IRNazanin"/>
          <w:color w:val="111111"/>
          <w:sz w:val="28"/>
          <w:sz w:val="28"/>
          <w:szCs w:val="28"/>
          <w:rtl w:val="true"/>
          <w:lang w:bidi="fa-IR"/>
        </w:rPr>
        <w:t xml:space="preserve">فان قول عمران بن </w:t>
      </w:r>
    </w:p>
    <w:p>
      <w:pPr>
        <w:pStyle w:val="BookText"/>
        <w:rPr/>
      </w:pPr>
      <w:r>
        <w:rPr>
          <w:rFonts w:ascii="Amiri" w:hAnsi="Amiri" w:eastAsia="Amiri" w:cs="Amiri"/>
          <w:color w:val="111111"/>
          <w:sz w:val="28"/>
          <w:sz w:val="28"/>
          <w:szCs w:val="28"/>
          <w:rtl w:val="true"/>
          <w:lang w:bidi="ar-SA"/>
        </w:rPr>
        <w:t xml:space="preserve">حصين فإن عشت فاكتم عنّي وإن مت فحدث بها إن شئت ، أو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رجل فيها برأيه 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يعرب عن وجود ضغط وكبت من جانب الخليفة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السبب لنهي الخليفة عن متعة الحجّ 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كراهته أن يكون الحجّاج معرسين بهن في الأراك ثمّ يروحون إلى الحج ورءوسهم تقطر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حنيفة عن حمّاد ، عن إبراهيم النخعي ، عن الأسواد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واقف مع عمر بن الخطاب بعرفة عشية عرفة ، فإذا هو برجل مرجّل شعره ، يفوح منه ريح الطيب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أمحرم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هيأتك بهيئة محرم ، إنّما المحرم ، الأشعث ، الأغبر ، الأذفر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قدمت متمتّعا وكان معي أهلي وإنّما أحرمت اليوم ، فقال عمر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تتمتعوا في هذه الأيام ، فإنّي لو رخصت في المتعة لعرسوا بهنّ في الأراك ثمّ راحوا بهنّ حجاجا</w:t>
      </w:r>
      <w:r>
        <w:rPr>
          <w:rFonts w:eastAsia="Amiri" w:cs="Amiri" w:ascii="Amiri" w:hAnsi="Amiri"/>
          <w:color w:val="111111"/>
          <w:sz w:val="28"/>
          <w:szCs w:val="28"/>
          <w:rtl w:val="true"/>
          <w:lang w:bidi="ar-SA"/>
        </w:rPr>
        <w:t xml:space="preserve">. </w:t>
      </w:r>
      <w:r>
        <w:rPr>
          <w:rStyle w:val="FootnoteAnchor"/>
          <w:rtl w:val="true"/>
        </w:rPr>
        <w:footnoteReference w:id="865"/>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 بن الخطاب نهى أنّ المتعة في أشهر الحجّ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فعلتها مع رسول الله صلى الله عليه وآله وسلم وأنا أنهى عنها ، وذلك أنّ أحدكم يأتي من أفق من الآفاق شعثا نصبا معتمرا في أشهر الحج وإنّما شعثه ونصبه وتلبيته في عمرته ثمّ يقدم فيطوف بالبيت ويحلّ ويلبس ويتطيّب ويقع على أهله إن كانوا معه حتّى إذا كان يوم التروية أهلّ بالحج وخرج إلى منى يلبّي بحجة لا شعث فيها ولا نصب ولا تلبية إلاّ يوما ، والحجّ أفضل من العمرة ، لو خلّينا بينهم وبين هذا لعانقوهنّ تحت الأراك مع أنّ أهل البيت ليس لهم ضرع ولا زرع ، وإنّما ربيعهم فيمن يطرأ عليهم</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تسرب الفقر إلى سكان البيت حيث ليس لهم ضرع ولا زرع فمنع عن الجمع بين العمرة والحجّ حتّى يتقاطر الحاج في عامة الشهور إلى البلد الأمين ، ولأجل هذه الغاية منع عن الجمع حتّى يكون الحجّ في عام والعمرة في عام آخر بإنشاء سفر مستقل لكلّ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عمر بن الخطاب نهى عن المتعة في أشهر الحجّ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فعلتها مع رسول الله وأنا أنهى عنها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أحدكم يأتي من أفق من الآفاق شعثا نصبا معتمرا أشهر الحجّ وإنّما شعثه ونصبه وتلبيته في عمرته ثمّ يقدم فيطوف بالبيت ويحل ويلبس ويتطيّب ويقع على أهله إن كانوا معه حتّى إذا كان يوم التروية أهلّ بالحج وخرج إلى منى يلبي بحجّة لا شعث فيها ولا نصب ولا تلبية إلاّ يوما ، والحجّ أفضل من العمرة ، لو خلّينا بينهم وبين هذا لعانقوهن تحت الأراك وإنّ أهل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ضرع ولا زرع وإنّما ربيعهم في من يطرأ عليهم</w:t>
      </w:r>
      <w:r>
        <w:rPr>
          <w:rFonts w:eastAsia="Amiri" w:cs="Amiri" w:ascii="Amiri" w:hAnsi="Amiri"/>
          <w:color w:val="111111"/>
          <w:sz w:val="28"/>
          <w:szCs w:val="28"/>
          <w:rtl w:val="true"/>
          <w:lang w:bidi="ar-SA"/>
        </w:rPr>
        <w:t xml:space="preserve">. </w:t>
      </w:r>
      <w:r>
        <w:rPr>
          <w:rStyle w:val="FootnoteAnchor"/>
          <w:rtl w:val="true"/>
        </w:rPr>
        <w:footnoteReference w:id="867"/>
      </w:r>
      <w:r>
        <w:rPr>
          <w:rFonts w:ascii="Amiri" w:hAnsi="Amiri" w:eastAsia="Amiri" w:cs="Amiri"/>
          <w:color w:val="111111"/>
          <w:sz w:val="28"/>
          <w:sz w:val="28"/>
          <w:szCs w:val="28"/>
          <w:rtl w:val="true"/>
          <w:lang w:bidi="ar-SA"/>
        </w:rPr>
        <w:t>وقد مرّ ما يؤيّده من رواية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وانّه سبحانه نقل دعاء الخليل حيث سأله سبحانه أن يرزق سكنة مكة من الثمرات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إِنِّي أَسْكَنْتُ مِنْ ذُرِّيَّتِي بِوادٍ غَيْرِ ذِي زَرْعٍ عِنْدَ بَيْتِكَ الْمُحَرَّمِ رَبَّنا لِيُقِيمُوا الصَّلاةَ فَاجْعَلْ أَفْئِدَةً مِنَ النَّاسِ تَهْوِي إِلَيْهِمْ وَارْزُقْهُمْ مِنَ الثَّمَراتِ لَعَلَّهُمْ يَشْكُرُونَ </w:t>
      </w:r>
      <w:r>
        <w:rPr>
          <w:rFonts w:eastAsia="Amiri" w:cs="Amiri" w:ascii="Amiri" w:hAnsi="Amiri"/>
          <w:color w:val="111111"/>
          <w:sz w:val="28"/>
          <w:szCs w:val="28"/>
          <w:rtl w:val="true"/>
          <w:lang w:bidi="ar-SA"/>
        </w:rPr>
        <w:t xml:space="preserve">). </w:t>
      </w:r>
      <w:r>
        <w:rPr>
          <w:rStyle w:val="FootnoteAnchor"/>
          <w:rtl w:val="true"/>
        </w:rPr>
        <w:footnoteReference w:id="868"/>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استجاب سبحانه لدعاء أبيهم إبراهيم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إِنْ نَتَّبِعِ الْهُدى مَعَكَ نُتَخَطَّفْ مِنْ أَرْضِنا أَوَلَمْ نُمَكِّنْ لَهُمْ حَرَماً آمِناً يُجْبى إِلَيْهِ ثَمَراتُ كُلِّ </w:t>
      </w:r>
      <w:bookmarkStart w:id="827" w:name="pg10144_71647"/>
    </w:p>
    <w:p>
      <w:pPr>
        <w:pStyle w:val="BookText"/>
        <w:rPr/>
      </w:pPr>
      <w:bookmarkEnd w:id="827"/>
      <w:r>
        <w:rPr>
          <w:rFonts w:ascii="Amiri" w:hAnsi="Amiri" w:eastAsia="Amiri" w:cs="Amiri"/>
          <w:color w:val="111111"/>
          <w:sz w:val="28"/>
          <w:sz w:val="28"/>
          <w:szCs w:val="28"/>
          <w:rtl w:val="true"/>
          <w:lang w:bidi="ar-SA"/>
        </w:rPr>
        <w:t xml:space="preserve">شَيْءٍ رِزْقاً مِنْ لَدُنَّا وَلكِنَّ أَكْثَرَهُمْ لا يَعْلَمُونَ </w:t>
      </w:r>
      <w:r>
        <w:rPr>
          <w:rFonts w:eastAsia="Amiri" w:cs="Amiri" w:ascii="Amiri" w:hAnsi="Amiri"/>
          <w:color w:val="111111"/>
          <w:sz w:val="28"/>
          <w:szCs w:val="28"/>
          <w:rtl w:val="true"/>
          <w:lang w:bidi="ar-SA"/>
        </w:rPr>
        <w:t xml:space="preserve">). </w:t>
      </w:r>
      <w:r>
        <w:rPr>
          <w:rStyle w:val="FootnoteAnchor"/>
          <w:rtl w:val="true"/>
        </w:rPr>
        <w:footnoteReference w:id="869"/>
      </w:r>
      <w:r>
        <w:rPr>
          <w:rFonts w:ascii="Amiri" w:hAnsi="Amiri" w:eastAsia="Amiri" w:cs="Amiri"/>
          <w:color w:val="111111"/>
          <w:sz w:val="28"/>
          <w:sz w:val="28"/>
          <w:szCs w:val="28"/>
          <w:rtl w:val="true"/>
          <w:lang w:bidi="ar-SA"/>
        </w:rPr>
        <w:t>وعندئذ فلا حاجة للمنع عن السنّة النبوية بغية توفير أرزاقهم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 الحقّ انّ هذه الأعذار لا تبرّر تغيّر الشريعة وتبديلها والمنع من المناسك التي شرعها سبحانه وبلغها نبيه صلى الله عليه وآله وسلم ، وصاحب الشريعة أعرف بمصالح المسلمين ومصالح سدنة مكة وسكنتها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بلغ منع الخليفة عن متعة الحجّ حتّى قال في بعض خطبه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متعتان كانتا على عهد رسول الله وأنا أنهى عنهما وأعاقب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متعة الحجّ ومتعة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الجصاص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تقدمت فيها لرجمت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أنهى عنهما وأعاقب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 ومتعة الحجّ</w:t>
      </w:r>
      <w:r>
        <w:rPr>
          <w:rFonts w:eastAsia="Amiri" w:cs="Amiri" w:ascii="Amiri" w:hAnsi="Amiri"/>
          <w:color w:val="111111"/>
          <w:sz w:val="28"/>
          <w:szCs w:val="28"/>
          <w:rtl w:val="true"/>
          <w:lang w:bidi="ar-SA"/>
        </w:rPr>
        <w:t xml:space="preserve">. </w:t>
      </w:r>
      <w:r>
        <w:rPr>
          <w:rStyle w:val="FootnoteAnchor"/>
          <w:rtl w:val="true"/>
        </w:rPr>
        <w:footnoteReference w:id="870"/>
      </w:r>
    </w:p>
    <w:p>
      <w:pPr>
        <w:pStyle w:val="Heading6"/>
        <w:numPr>
          <w:ilvl w:val="5"/>
          <w:numId w:val="1"/>
        </w:numPr>
        <w:rPr/>
      </w:pPr>
      <w:bookmarkStart w:id="828" w:name="__RefHeading___Toc1165983_1067777946"/>
      <w:bookmarkStart w:id="829" w:name="_Toc299"/>
      <w:bookmarkEnd w:id="828"/>
      <w:r>
        <w:rPr>
          <w:rtl w:val="true"/>
        </w:rPr>
        <w:t>حجّ التمتع على عهد عثمان</w:t>
      </w:r>
      <w:bookmarkEnd w:id="829"/>
    </w:p>
    <w:p>
      <w:pPr>
        <w:pStyle w:val="BookText"/>
        <w:rPr/>
      </w:pPr>
      <w:r>
        <w:rPr>
          <w:rFonts w:ascii="Amiri" w:hAnsi="Amiri" w:eastAsia="Amiri" w:cs="Amiri"/>
          <w:color w:val="111111"/>
          <w:sz w:val="28"/>
          <w:sz w:val="28"/>
          <w:szCs w:val="28"/>
          <w:rtl w:val="true"/>
          <w:lang w:bidi="ar-SA"/>
        </w:rPr>
        <w:t>وقد اتّبع عثمان سلفه فيما أبدع وأحدث في المناسك فقد منع من الجمع بين العمرة والحجّ</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حزم انّ عثمان بن عفان سمع رجلا يحلّ بعمرة وحجّ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بالمهلّ ، فضربه وحلقه</w:t>
      </w:r>
      <w:r>
        <w:rPr>
          <w:rFonts w:eastAsia="Amiri" w:cs="Amiri" w:ascii="Amiri" w:hAnsi="Amiri"/>
          <w:color w:val="111111"/>
          <w:sz w:val="28"/>
          <w:szCs w:val="28"/>
          <w:rtl w:val="true"/>
          <w:lang w:bidi="ar-SA"/>
        </w:rPr>
        <w:t xml:space="preserve">. </w:t>
      </w:r>
      <w:r>
        <w:rPr>
          <w:rStyle w:val="FootnoteAnchor"/>
          <w:rtl w:val="true"/>
        </w:rPr>
        <w:footnoteReference w:id="871"/>
      </w:r>
      <w:bookmarkStart w:id="830" w:name="pg10144_71648"/>
    </w:p>
    <w:p>
      <w:pPr>
        <w:pStyle w:val="Heading4"/>
        <w:numPr>
          <w:ilvl w:val="3"/>
          <w:numId w:val="1"/>
        </w:numPr>
        <w:rPr/>
      </w:pPr>
      <w:bookmarkStart w:id="831" w:name="__RefHeading___Toc1165985_1067777946"/>
      <w:bookmarkStart w:id="832" w:name="_Toc300"/>
      <w:bookmarkEnd w:id="830"/>
      <w:bookmarkEnd w:id="831"/>
      <w:r>
        <w:rPr>
          <w:rtl w:val="true"/>
        </w:rPr>
        <w:t xml:space="preserve">السادس </w:t>
      </w:r>
      <w:r>
        <w:rPr>
          <w:rtl w:val="true"/>
        </w:rPr>
        <w:t xml:space="preserve">: </w:t>
      </w:r>
      <w:r>
        <w:rPr>
          <w:rtl w:val="true"/>
        </w:rPr>
        <w:t>الصحابة وتحريم متعة الحج</w:t>
      </w:r>
      <w:bookmarkEnd w:id="832"/>
    </w:p>
    <w:p>
      <w:pPr>
        <w:pStyle w:val="Heading5"/>
        <w:numPr>
          <w:ilvl w:val="4"/>
          <w:numId w:val="1"/>
        </w:numPr>
        <w:rPr/>
      </w:pPr>
      <w:bookmarkStart w:id="833" w:name="__RefHeading___Toc1165987_1067777946"/>
      <w:bookmarkStart w:id="834" w:name="_Toc301"/>
      <w:bookmarkEnd w:id="833"/>
      <w:r>
        <w:rPr>
          <w:rtl w:val="true"/>
        </w:rPr>
        <w:t>اشارة</w:t>
      </w:r>
      <w:bookmarkEnd w:id="834"/>
    </w:p>
    <w:p>
      <w:pPr>
        <w:pStyle w:val="BookText"/>
        <w:rPr/>
      </w:pPr>
      <w:r>
        <w:rPr>
          <w:rFonts w:ascii="Amiri" w:hAnsi="Amiri" w:eastAsia="Amiri" w:cs="Amiri"/>
          <w:color w:val="111111"/>
          <w:sz w:val="28"/>
          <w:sz w:val="28"/>
          <w:szCs w:val="28"/>
          <w:rtl w:val="true"/>
          <w:lang w:bidi="ar-SA"/>
        </w:rPr>
        <w:t xml:space="preserve">قد استنكر لفيف من الصحابة عمل الخليفة وتحريمه متعة الحج بحماس نذكر منهم بعضهم </w:t>
      </w:r>
      <w:r>
        <w:rPr>
          <w:rFonts w:eastAsia="Amiri" w:cs="Amiri" w:ascii="Amiri" w:hAnsi="Amiri"/>
          <w:color w:val="111111"/>
          <w:sz w:val="28"/>
          <w:szCs w:val="28"/>
          <w:rtl w:val="true"/>
          <w:lang w:bidi="ar-SA"/>
        </w:rPr>
        <w:t>:</w:t>
      </w:r>
    </w:p>
    <w:p>
      <w:pPr>
        <w:pStyle w:val="Heading5"/>
        <w:numPr>
          <w:ilvl w:val="4"/>
          <w:numId w:val="1"/>
        </w:numPr>
        <w:rPr/>
      </w:pPr>
      <w:bookmarkStart w:id="835" w:name="__RefHeading___Toc1165989_1067777946"/>
      <w:bookmarkStart w:id="836" w:name="_Toc302"/>
      <w:bookmarkEnd w:id="835"/>
      <w:r>
        <w:rPr/>
        <w:t>1</w:t>
      </w:r>
      <w:r>
        <w:rPr>
          <w:rtl w:val="true"/>
        </w:rPr>
        <w:t xml:space="preserve">. </w:t>
      </w:r>
      <w:r>
        <w:rPr>
          <w:rtl w:val="true"/>
        </w:rPr>
        <w:t>الإمام علي بن أبي طالب عليه السلام</w:t>
      </w:r>
      <w:bookmarkEnd w:id="836"/>
    </w:p>
    <w:p>
      <w:pPr>
        <w:pStyle w:val="BookText"/>
        <w:rPr/>
      </w:pPr>
      <w:r>
        <w:rPr>
          <w:rFonts w:ascii="Amiri" w:hAnsi="Amiri" w:eastAsia="Amiri" w:cs="Amiri"/>
          <w:color w:val="111111"/>
          <w:sz w:val="28"/>
          <w:sz w:val="28"/>
          <w:szCs w:val="28"/>
          <w:rtl w:val="true"/>
          <w:lang w:bidi="ar-SA"/>
        </w:rPr>
        <w:t>قد كان الإمام أمير المؤمنين يكافح البدع والمحدثات الطارئة على الشريعة بحماس ولا يعير أهمية لنهي الناهي مهما كان له السطوة والشوكة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البخاري عن مروان بن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عثمان وعليا ، وعثمان ينهى عن المتعة وأن يجمع بينهما ، فلمّا رأى علي ، أهلّ بهما ، لبّيك بعمرة وحجة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لأدع سنّة النبي صلى الله عليه وآله وسلم لقول أحد</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البخاري عن سعيد 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عليّ وعثمان وهما بعُسفان ، في المتعة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إلاّ أن تنهى عن أمر فعله النبي صلى الله عليه وآله وسلم ، فلمّا رأى ذلك عليّ أهلّ بهما جميعا</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مالك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المقداد بن الأسود دخل على عليّ عليه السلام </w:t>
      </w:r>
    </w:p>
    <w:p>
      <w:pPr>
        <w:pStyle w:val="BookText"/>
        <w:rPr/>
      </w:pPr>
      <w:r>
        <w:rPr>
          <w:rFonts w:ascii="Amiri" w:hAnsi="Amiri" w:eastAsia="Amiri" w:cs="Amiri"/>
          <w:color w:val="111111"/>
          <w:sz w:val="28"/>
          <w:sz w:val="28"/>
          <w:szCs w:val="28"/>
          <w:rtl w:val="true"/>
          <w:lang w:bidi="ar-SA"/>
        </w:rPr>
        <w:t xml:space="preserve">بالسهيا وهو ينجع بكرات له دقيقا وخبطا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عثمان بن عفان ينهى أن يقرن بين الحج والعمرة ، فخرج علي عليه السلام وعلى يديه أثر الدقيق والخبط فما أنسى أثر الدقيق والخبط على ذراعيه ، حتّى دخل على عثمان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تنهى عن أن يقرن بين الحجّ والعمرة ،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رأيي ، فخرج علي عليه السلام مغضبا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بحجة وعمرة معا</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سعيد 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علي وعثمان فلمّا كنّا ببعض الطريق نهى عثمان عن التمتع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رأيتموه قد ارتحل فارتحلوا ، فلبّى علي وأصحابه بالعمرة ، فلم ينههم عثمان </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عبد الله بن الزبير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لمع عثمان بالجحفة ومعه رهط من أهل الشام وفيهم حبيب بن مسلمة الفهري ، إذ قال عثمان وذكر له التمتع بالعمرة إلى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أتمّوا الحجّ وخلّصوه في أشهر الحجّ ، فلو أخّرتم هذه العمرة حتى تزوروا هذا البيت زورتين كان أفضل ، فإنّ الله قد وسع في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عمدت إلى سنّة رسول الله صلى الله عليه وآله وسلم ورخصة رخّص للعباد بها في كتابه ، تضيق عليهم فيها وتنهى عنها ، وكانت لذي الحاجة ولنائي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أهلّ بعمرة وحجّة معا ، فأقبل عثمان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نهيت عنها؟ إنّي لم أنه عنها إنّما كان رأيا أشرت به ، فمن شاء أخذ به ، ومن شاء تركه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أنسى قول رجل من أهل الشام مع حبيب بن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هذا كيف يخالف أمير المؤمنين؟ والله لو أمرني لضربت عنقه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w:t>
      </w:r>
      <w:r>
        <w:rPr>
          <w:rFonts w:eastAsia="Amiri" w:cs="Amiri" w:ascii="Amiri" w:hAnsi="Amiri"/>
          <w:color w:val="111111"/>
          <w:sz w:val="28"/>
          <w:szCs w:val="28"/>
          <w:rtl w:val="true"/>
          <w:lang w:bidi="ar-SA"/>
        </w:rPr>
        <w:t xml:space="preserve">» </w:t>
      </w:r>
      <w:bookmarkStart w:id="837" w:name="pg10144_71650"/>
    </w:p>
    <w:p>
      <w:pPr>
        <w:pStyle w:val="BookText"/>
        <w:rPr/>
      </w:pPr>
      <w:bookmarkEnd w:id="837"/>
      <w:r>
        <w:rPr>
          <w:rFonts w:ascii="Amiri" w:hAnsi="Amiri" w:eastAsia="Amiri" w:cs="Amiri"/>
          <w:color w:val="111111"/>
          <w:sz w:val="28"/>
          <w:sz w:val="28"/>
          <w:szCs w:val="28"/>
          <w:rtl w:val="true"/>
          <w:lang w:bidi="ar-SA"/>
        </w:rPr>
        <w:t xml:space="preserve">يده فضرب بها في صدره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فإنّ أصحاب رسول الله صلى الله عليه وآله وسلم أعلم بما يختلفون فيه</w:t>
      </w:r>
      <w:r>
        <w:rPr>
          <w:rFonts w:eastAsia="Amiri" w:cs="Amiri" w:ascii="Amiri" w:hAnsi="Amiri"/>
          <w:color w:val="111111"/>
          <w:sz w:val="28"/>
          <w:szCs w:val="28"/>
          <w:rtl w:val="true"/>
          <w:lang w:bidi="ar-SA"/>
        </w:rPr>
        <w:t xml:space="preserve">. </w:t>
      </w:r>
      <w:r>
        <w:rPr>
          <w:rStyle w:val="FootnoteAnchor"/>
          <w:rtl w:val="true"/>
        </w:rPr>
        <w:footnoteReference w:id="876"/>
      </w:r>
    </w:p>
    <w:p>
      <w:pPr>
        <w:pStyle w:val="Heading5"/>
        <w:numPr>
          <w:ilvl w:val="4"/>
          <w:numId w:val="1"/>
        </w:numPr>
        <w:rPr/>
      </w:pPr>
      <w:bookmarkStart w:id="838" w:name="__RefHeading___Toc1165991_1067777946"/>
      <w:bookmarkStart w:id="839" w:name="_Toc303"/>
      <w:bookmarkEnd w:id="838"/>
      <w:r>
        <w:rPr/>
        <w:t>2</w:t>
      </w:r>
      <w:r>
        <w:rPr>
          <w:rtl w:val="true"/>
        </w:rPr>
        <w:t xml:space="preserve">. </w:t>
      </w:r>
      <w:r>
        <w:rPr>
          <w:rtl w:val="true"/>
        </w:rPr>
        <w:t>عبد الله بن عمر</w:t>
      </w:r>
      <w:bookmarkEnd w:id="839"/>
    </w:p>
    <w:p>
      <w:pPr>
        <w:pStyle w:val="Heading6"/>
        <w:numPr>
          <w:ilvl w:val="5"/>
          <w:numId w:val="1"/>
        </w:numPr>
        <w:rPr/>
      </w:pPr>
      <w:bookmarkStart w:id="840" w:name="__RefHeading___Toc1165993_1067777946"/>
      <w:bookmarkStart w:id="841" w:name="_Toc304"/>
      <w:bookmarkEnd w:id="840"/>
      <w:r>
        <w:rPr>
          <w:rtl w:val="true"/>
        </w:rPr>
        <w:t>اشارة</w:t>
      </w:r>
      <w:bookmarkEnd w:id="841"/>
    </w:p>
    <w:p>
      <w:pPr>
        <w:pStyle w:val="BookText"/>
        <w:rPr/>
      </w:pPr>
      <w:r>
        <w:rPr>
          <w:rFonts w:ascii="Amiri" w:hAnsi="Amiri" w:eastAsia="Amiri" w:cs="Amiri"/>
          <w:color w:val="111111"/>
          <w:sz w:val="28"/>
          <w:sz w:val="28"/>
          <w:szCs w:val="28"/>
          <w:rtl w:val="true"/>
          <w:lang w:bidi="ar-SA"/>
        </w:rPr>
        <w:t xml:space="preserve">ولم يكن عليّ عليه السلام هو الوحيد بين الصحابة في الاستنكار ـ وإن كان وحيدا في شدة استنكاره ـ بل كان هناك من يستنكر التحريم بين الفينة والأخرى ، روى القرطبي في تفسيره عن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لجالس مع ابن عمر في المسجد إذ جاءه رجل من أهل الشام فسأله عن التمتّع بالعمرة إلى الحجّ ، فقال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جميل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أباك كان ينهى عنها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فإن كان أبي نهى عنها وقد فعله رسول الله صلى الله عليه وآله وسلم وأمر به أفبقول أبي آخذ أم بأمر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عنّي</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وسئل عبد الله بن عمر عن متعة الحج؟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حلال ، فقال له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أباك قد نهى عنها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 أبي نهى عنها وصنعها رسول الله صلى الله عليه وآله وسلم أأمر أبي يتبع أم أمر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أمر رسول الله صلى الله عليه وآله وسلم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صنعها رسول الله 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878"/>
      </w:r>
    </w:p>
    <w:p>
      <w:pPr>
        <w:pStyle w:val="Heading6"/>
        <w:numPr>
          <w:ilvl w:val="5"/>
          <w:numId w:val="1"/>
        </w:numPr>
        <w:rPr/>
      </w:pPr>
      <w:bookmarkStart w:id="842" w:name="__RefHeading___Toc1165995_1067777946"/>
      <w:bookmarkStart w:id="843" w:name="_Toc305"/>
      <w:bookmarkEnd w:id="842"/>
      <w:r>
        <w:rPr>
          <w:rtl w:val="true"/>
        </w:rPr>
        <w:t>صورة ثانية</w:t>
      </w:r>
      <w:bookmarkEnd w:id="843"/>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ابن عمر عن متعة الحجّ فأمر بها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تخالف أباك؟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لم يقل الذي تقولون 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أفردوا العمرة من الحجّ ، أي انّ العمرة لا تتم في شهور الحجّ إلاّ بهدي وأراد أن يزار البيت في غير شهور الحجّ ، فجعلتموها أنتم حراما وعاقبتم الناس عليها ، وقد أحلّها الله عزّ وجلّ وعمل بها </w:t>
      </w:r>
      <w:bookmarkStart w:id="844" w:name="pg10144_71651"/>
    </w:p>
    <w:p>
      <w:pPr>
        <w:pStyle w:val="BookText"/>
        <w:rPr/>
      </w:pPr>
      <w:bookmarkEnd w:id="844"/>
      <w:r>
        <w:rPr>
          <w:rFonts w:ascii="Amiri" w:hAnsi="Amiri" w:eastAsia="Amiri" w:cs="Amiri"/>
          <w:color w:val="111111"/>
          <w:sz w:val="28"/>
          <w:sz w:val="28"/>
          <w:szCs w:val="28"/>
          <w:rtl w:val="true"/>
          <w:lang w:bidi="ar-SA"/>
        </w:rPr>
        <w:t xml:space="preserve">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أكثروا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أفكتاب الله عزّ وجلّ أحقّ أن يتبع أم عمر؟</w:t>
      </w:r>
      <w:r>
        <w:rPr>
          <w:rFonts w:eastAsia="Amiri" w:cs="Amiri" w:ascii="Amiri" w:hAnsi="Amiri"/>
          <w:color w:val="111111"/>
          <w:sz w:val="28"/>
          <w:szCs w:val="28"/>
          <w:rtl w:val="true"/>
          <w:lang w:bidi="ar-SA"/>
        </w:rPr>
        <w:t xml:space="preserve">! </w:t>
      </w:r>
      <w:r>
        <w:rPr>
          <w:rStyle w:val="FootnoteAnchor"/>
          <w:rtl w:val="true"/>
        </w:rPr>
        <w:footnoteReference w:id="879"/>
      </w:r>
    </w:p>
    <w:p>
      <w:pPr>
        <w:pStyle w:val="Heading6"/>
        <w:numPr>
          <w:ilvl w:val="5"/>
          <w:numId w:val="1"/>
        </w:numPr>
        <w:rPr/>
      </w:pPr>
      <w:bookmarkStart w:id="845" w:name="__RefHeading___Toc1165997_1067777946"/>
      <w:bookmarkStart w:id="846" w:name="_Toc306"/>
      <w:bookmarkEnd w:id="845"/>
      <w:r>
        <w:rPr>
          <w:rtl w:val="true"/>
        </w:rPr>
        <w:t>صورة ثالثة</w:t>
      </w:r>
      <w:bookmarkEnd w:id="846"/>
    </w:p>
    <w:p>
      <w:pPr>
        <w:pStyle w:val="BookText"/>
        <w:rPr/>
      </w:pPr>
      <w:r>
        <w:rPr>
          <w:rFonts w:ascii="Amiri" w:hAnsi="Amiri" w:eastAsia="Amiri" w:cs="Amiri"/>
          <w:color w:val="111111"/>
          <w:sz w:val="28"/>
          <w:sz w:val="28"/>
          <w:szCs w:val="28"/>
          <w:rtl w:val="true"/>
          <w:lang w:bidi="ar-SA"/>
        </w:rPr>
        <w:t xml:space="preserve">قال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بن عمر يفتي بالذي أنزل الله عزّ وجلّ من الرخصة في التمتع وسنّ فيه رسول الله صلى الله عليه وآله وسلم ، فيقول ناس لعبد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تخالف أباك وقد نهى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لهم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 ألا تتقون الله؟ أرأيتم إن كان عمر نهى عن ذلك يبتغي فيه الخير ويلتمس فيه تمام العمرة فلم تحرّمون وقد أحلّه الله وعمل به رسول الله صلى الله عليه وآله وسلم؟ أفرسول الله صلى الله عليه وآله وسلم أحقّ أن تتّبعوا سنّته أو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لم يقل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العمرة في أشهر الحجّ حرام ولكنّه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أتمّ العمرة أن تفردوها من أشهر الحجّ</w:t>
      </w:r>
      <w:r>
        <w:rPr>
          <w:rFonts w:eastAsia="Amiri" w:cs="Amiri" w:ascii="Amiri" w:hAnsi="Amiri"/>
          <w:color w:val="111111"/>
          <w:sz w:val="28"/>
          <w:szCs w:val="28"/>
          <w:rtl w:val="true"/>
          <w:lang w:bidi="ar-SA"/>
        </w:rPr>
        <w:t xml:space="preserve">. </w:t>
      </w:r>
      <w:r>
        <w:rPr>
          <w:rStyle w:val="FootnoteAnchor"/>
          <w:rtl w:val="true"/>
        </w:rPr>
        <w:footnoteReference w:id="880"/>
      </w:r>
    </w:p>
    <w:p>
      <w:pPr>
        <w:pStyle w:val="Heading5"/>
        <w:numPr>
          <w:ilvl w:val="4"/>
          <w:numId w:val="1"/>
        </w:numPr>
        <w:rPr/>
      </w:pPr>
      <w:bookmarkStart w:id="847" w:name="__RefHeading___Toc1165999_1067777946"/>
      <w:bookmarkStart w:id="848" w:name="_Toc307"/>
      <w:bookmarkEnd w:id="847"/>
      <w:r>
        <w:rPr/>
        <w:t>3</w:t>
      </w:r>
      <w:r>
        <w:rPr>
          <w:rtl w:val="true"/>
        </w:rPr>
        <w:t xml:space="preserve">. </w:t>
      </w:r>
      <w:r>
        <w:rPr>
          <w:rtl w:val="true"/>
        </w:rPr>
        <w:t>استنكار ابن عباس</w:t>
      </w:r>
      <w:bookmarkEnd w:id="848"/>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وممّن استنكر عمل الخليفة ومن لفّ لفّه ، حبر الأمّة عبد الله 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سعيد بن جبير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 رسول الله صلى الله عليه وآله وسلم ، فقال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أبو بكر وعمر عن المتعة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عريّة؟</w:t>
      </w:r>
      <w:r>
        <w:rPr>
          <w:rFonts w:eastAsia="Amiri" w:cs="Amiri" w:ascii="Amiri" w:hAnsi="Amiri"/>
          <w:color w:val="111111"/>
          <w:sz w:val="28"/>
          <w:szCs w:val="28"/>
          <w:rtl w:val="true"/>
          <w:lang w:bidi="ar-SA"/>
        </w:rPr>
        <w:t xml:space="preserve">! </w:t>
      </w:r>
      <w:r>
        <w:rPr>
          <w:rStyle w:val="FootnoteAnchor"/>
          <w:rtl w:val="true"/>
        </w:rPr>
        <w:footnoteReference w:id="8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نهى أبو بكر وعمر عن المتعة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أراهم سيهلكون ، أقول قال رسول الله صلى الله عليه وآله وسلم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وعمر</w:t>
      </w:r>
      <w:r>
        <w:rPr>
          <w:rFonts w:eastAsia="Amiri" w:cs="Amiri" w:ascii="Amiri" w:hAnsi="Amiri"/>
          <w:color w:val="111111"/>
          <w:sz w:val="28"/>
          <w:szCs w:val="28"/>
          <w:rtl w:val="true"/>
          <w:lang w:bidi="ar-SA"/>
        </w:rPr>
        <w:t xml:space="preserve">. </w:t>
      </w:r>
      <w:r>
        <w:rPr>
          <w:rStyle w:val="FootnoteAnchor"/>
          <w:rtl w:val="true"/>
        </w:rPr>
        <w:footnoteReference w:id="882"/>
      </w:r>
      <w:bookmarkStart w:id="849" w:name="pg10144_71652"/>
    </w:p>
    <w:p>
      <w:pPr>
        <w:pStyle w:val="Heading5"/>
        <w:numPr>
          <w:ilvl w:val="4"/>
          <w:numId w:val="1"/>
        </w:numPr>
        <w:rPr/>
      </w:pPr>
      <w:bookmarkStart w:id="850" w:name="__RefHeading___Toc1166001_1067777946"/>
      <w:bookmarkStart w:id="851" w:name="_Toc308"/>
      <w:bookmarkEnd w:id="849"/>
      <w:bookmarkEnd w:id="850"/>
      <w:r>
        <w:rPr/>
        <w:t>4</w:t>
      </w:r>
      <w:r>
        <w:rPr>
          <w:rtl w:val="true"/>
        </w:rPr>
        <w:t xml:space="preserve">. </w:t>
      </w:r>
      <w:r>
        <w:rPr>
          <w:rtl w:val="true"/>
        </w:rPr>
        <w:t>استنكار أبي بن كعب</w:t>
      </w:r>
      <w:bookmarkEnd w:id="851"/>
    </w:p>
    <w:p>
      <w:pPr>
        <w:pStyle w:val="BookText"/>
        <w:rPr/>
      </w:pPr>
      <w:r>
        <w:rPr>
          <w:rFonts w:ascii="Amiri" w:hAnsi="Amiri" w:eastAsia="Amiri" w:cs="Amiri"/>
          <w:color w:val="111111"/>
          <w:sz w:val="28"/>
          <w:sz w:val="28"/>
          <w:szCs w:val="28"/>
          <w:rtl w:val="true"/>
          <w:lang w:bidi="ar-SA"/>
        </w:rPr>
        <w:t xml:space="preserve">وممّن استنكر تحريم المتعة ولم ير نهي الخليفة صالحا للأخذ هو الصحابي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بن كعب أخرج السيوطي عن مسند ابن راهويه وأحمد انّ عمر بن الخطاب همّ أن ينهى عن متعة الحجّ فقام إليه أبي بن كعب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لك ، قد نزل بها كتاب الله واعتمرناها مع رسول الله ، فنزل عمر</w:t>
      </w:r>
      <w:r>
        <w:rPr>
          <w:rFonts w:eastAsia="Amiri" w:cs="Amiri" w:ascii="Amiri" w:hAnsi="Amiri"/>
          <w:color w:val="111111"/>
          <w:sz w:val="28"/>
          <w:szCs w:val="28"/>
          <w:rtl w:val="true"/>
          <w:lang w:bidi="ar-SA"/>
        </w:rPr>
        <w:t xml:space="preserve">. </w:t>
      </w:r>
      <w:r>
        <w:rPr>
          <w:rStyle w:val="FootnoteAnchor"/>
          <w:rtl w:val="true"/>
        </w:rPr>
        <w:footnoteReference w:id="883"/>
      </w:r>
    </w:p>
    <w:p>
      <w:pPr>
        <w:pStyle w:val="Heading5"/>
        <w:numPr>
          <w:ilvl w:val="4"/>
          <w:numId w:val="1"/>
        </w:numPr>
        <w:rPr/>
      </w:pPr>
      <w:bookmarkStart w:id="852" w:name="__RefHeading___Toc1166003_1067777946"/>
      <w:bookmarkStart w:id="853" w:name="_Toc309"/>
      <w:bookmarkEnd w:id="852"/>
      <w:r>
        <w:rPr/>
        <w:t>5</w:t>
      </w:r>
      <w:r>
        <w:rPr>
          <w:rtl w:val="true"/>
        </w:rPr>
        <w:t xml:space="preserve">. </w:t>
      </w:r>
      <w:r>
        <w:rPr>
          <w:rtl w:val="true"/>
        </w:rPr>
        <w:t>استنكار سعد بن أبي وقاص</w:t>
      </w:r>
      <w:bookmarkEnd w:id="853"/>
    </w:p>
    <w:p>
      <w:pPr>
        <w:pStyle w:val="BookText"/>
        <w:rPr/>
      </w:pPr>
      <w:r>
        <w:rPr>
          <w:rFonts w:ascii="Amiri" w:hAnsi="Amiri" w:eastAsia="Amiri" w:cs="Amiri"/>
          <w:color w:val="111111"/>
          <w:sz w:val="28"/>
          <w:sz w:val="28"/>
          <w:szCs w:val="28"/>
          <w:rtl w:val="true"/>
          <w:lang w:bidi="ar-SA"/>
        </w:rPr>
        <w:t>إنّ سعد بن أبي وقاص كان ممّن يعظّمه عمر بن الخطاب ويحترمه وكان يأمر ابنه عبد الله باتّباعه ، وقد أنكر تحريم متعة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الإمام مالك عن محمد بن عبد الله بن حارث ، أنّه حدّثه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سعد بن أبي وقاص والضحاك بن قيس عام حج معاوية بن أبي سفيان وممّا يذكر انّ التمتع بالعمرة أي الحج ، فقال الضحاك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يفعل ذلك إلاّ من جهل أمر الله عزّ وجلّ ، 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قلت يا ابن أخي ، فقال 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عمر بن الخطاب قد نهى عن ذلك ، 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صنعها رسول الله وصنعناها معه</w:t>
      </w:r>
      <w:r>
        <w:rPr>
          <w:rFonts w:eastAsia="Amiri" w:cs="Amiri" w:ascii="Amiri" w:hAnsi="Amiri"/>
          <w:color w:val="111111"/>
          <w:sz w:val="28"/>
          <w:szCs w:val="28"/>
          <w:rtl w:val="true"/>
          <w:lang w:bidi="ar-SA"/>
        </w:rPr>
        <w:t xml:space="preserve">. </w:t>
      </w:r>
      <w:r>
        <w:rPr>
          <w:rStyle w:val="FootnoteAnchor"/>
          <w:rtl w:val="true"/>
        </w:rPr>
        <w:footnoteReference w:id="884"/>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عبد الله بن نوفل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عام حجّ معاوية يسأل سعد بن مالك كيف تقول بالتمتع بالعمرة إلى الحجّ؟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جميلة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عمر ينهى عنها فأنت خير من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خير مني وقد فعل ذلك النبي وهو خير من عمر</w:t>
      </w:r>
      <w:r>
        <w:rPr>
          <w:rFonts w:eastAsia="Amiri" w:cs="Amiri" w:ascii="Amiri" w:hAnsi="Amiri"/>
          <w:color w:val="111111"/>
          <w:sz w:val="28"/>
          <w:szCs w:val="28"/>
          <w:rtl w:val="true"/>
          <w:lang w:bidi="ar-SA"/>
        </w:rPr>
        <w:t xml:space="preserve">. </w:t>
      </w:r>
      <w:r>
        <w:rPr>
          <w:rStyle w:val="FootnoteAnchor"/>
          <w:rtl w:val="true"/>
        </w:rPr>
        <w:footnoteReference w:id="885"/>
      </w:r>
      <w:bookmarkStart w:id="854" w:name="pg10144_71653"/>
    </w:p>
    <w:p>
      <w:pPr>
        <w:pStyle w:val="Heading5"/>
        <w:numPr>
          <w:ilvl w:val="4"/>
          <w:numId w:val="1"/>
        </w:numPr>
        <w:rPr/>
      </w:pPr>
      <w:bookmarkStart w:id="855" w:name="__RefHeading___Toc1166005_1067777946"/>
      <w:bookmarkStart w:id="856" w:name="_Toc310"/>
      <w:bookmarkEnd w:id="854"/>
      <w:bookmarkEnd w:id="855"/>
      <w:r>
        <w:rPr/>
        <w:t>6</w:t>
      </w:r>
      <w:r>
        <w:rPr>
          <w:rtl w:val="true"/>
        </w:rPr>
        <w:t xml:space="preserve">. </w:t>
      </w:r>
      <w:r>
        <w:rPr>
          <w:rtl w:val="true"/>
        </w:rPr>
        <w:t>عمران بن حصين</w:t>
      </w:r>
      <w:bookmarkEnd w:id="856"/>
    </w:p>
    <w:p>
      <w:pPr>
        <w:pStyle w:val="Heading6"/>
        <w:numPr>
          <w:ilvl w:val="5"/>
          <w:numId w:val="1"/>
        </w:numPr>
        <w:rPr/>
      </w:pPr>
      <w:bookmarkStart w:id="857" w:name="__RefHeading___Toc1166007_1067777946"/>
      <w:bookmarkStart w:id="858" w:name="_Toc311"/>
      <w:bookmarkEnd w:id="857"/>
      <w:r>
        <w:rPr>
          <w:rtl w:val="true"/>
        </w:rPr>
        <w:t>اشارة</w:t>
      </w:r>
      <w:bookmarkEnd w:id="858"/>
    </w:p>
    <w:p>
      <w:pPr>
        <w:pStyle w:val="BookText"/>
        <w:rPr/>
      </w:pPr>
      <w:r>
        <w:rPr>
          <w:rFonts w:ascii="Amiri" w:hAnsi="Amiri" w:eastAsia="Amiri" w:cs="Amiri"/>
          <w:color w:val="111111"/>
          <w:sz w:val="28"/>
          <w:sz w:val="28"/>
          <w:szCs w:val="28"/>
          <w:rtl w:val="true"/>
          <w:lang w:bidi="ar-SA"/>
        </w:rPr>
        <w:t xml:space="preserve">قد استنكر عمران بن حصين تحريم متعة الحج وأوصى في أخريات عمره وفي المرض الذي توفّى فيه أن يُحدّث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نبي الله جمع بين حجّ وعمرة ثمّ لم ينزل فيها كتاب الله ولم ينه عنها نبي الله وإنّما نهى عنها رجل برأيه ، دون دليل في كتاب الله وسنّة رسوله</w:t>
      </w:r>
      <w:r>
        <w:rPr>
          <w:rFonts w:eastAsia="Amiri" w:cs="Amiri" w:ascii="Amiri" w:hAnsi="Amiri"/>
          <w:color w:val="111111"/>
          <w:sz w:val="28"/>
          <w:szCs w:val="28"/>
          <w:rtl w:val="true"/>
          <w:lang w:bidi="ar-SA"/>
        </w:rPr>
        <w:t xml:space="preserve">. </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وقد توالى الاستنكار في العهود اللاحقة وإن كان المرتقون على صهوات الحكم مصرّين على اتّباع السلف إلى أن زالت الحكومة الأموية وأخذ بنو عباس بزمام الحكم ، فانتشر القول بجواز التمتع بالعمرة إلى الحجّ ، وذلك لأنّ الجواز موقف جد العباسيّين فرفعوا الحرج عن المسلمين ، وتبنّى أحمد بن حنبل في عهدهم دخولها في الحج ، وذاع القول به إلى يومنا هذا بين المذاهب خصوصا بين الحنابلة</w:t>
      </w:r>
      <w:r>
        <w:rPr>
          <w:rFonts w:eastAsia="Amiri" w:cs="Amiri" w:ascii="Amiri" w:hAnsi="Amiri"/>
          <w:color w:val="111111"/>
          <w:sz w:val="28"/>
          <w:szCs w:val="28"/>
          <w:rtl w:val="true"/>
          <w:lang w:bidi="ar-SA"/>
        </w:rPr>
        <w:t>.</w:t>
      </w:r>
    </w:p>
    <w:p>
      <w:pPr>
        <w:pStyle w:val="Heading6"/>
        <w:numPr>
          <w:ilvl w:val="5"/>
          <w:numId w:val="1"/>
        </w:numPr>
        <w:rPr/>
      </w:pPr>
      <w:bookmarkStart w:id="859" w:name="__RefHeading___Toc1166009_1067777946"/>
      <w:bookmarkStart w:id="860" w:name="_Toc312"/>
      <w:bookmarkEnd w:id="859"/>
      <w:r>
        <w:rPr>
          <w:rtl w:val="true"/>
        </w:rPr>
        <w:t>التمتّع بالعمرة إلى الحج وشروطه</w:t>
      </w:r>
      <w:bookmarkEnd w:id="860"/>
    </w:p>
    <w:p>
      <w:pPr>
        <w:pStyle w:val="BookText"/>
        <w:rPr/>
      </w:pPr>
      <w:r>
        <w:rPr>
          <w:rFonts w:ascii="Amiri" w:hAnsi="Amiri" w:eastAsia="Amiri" w:cs="Amiri"/>
          <w:color w:val="111111"/>
          <w:sz w:val="28"/>
          <w:sz w:val="28"/>
          <w:szCs w:val="28"/>
          <w:rtl w:val="true"/>
          <w:lang w:bidi="ar-SA"/>
        </w:rPr>
        <w:t xml:space="preserve">قد عرفت أنّ حجّ التمتّع عبارة عن الإهلال بالعمرة ثمّ الإهلال بعد الإتيان بها ثمّ الإحرام إلى الحجّ ، وإليه يشير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إِلَى الْحَجِّ فَمَا اسْتَيْسَرَ مِنَ الْهَدْيِ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التمتّع بالعمرة إلى الحجّ عند العلماء على أربعة أوجه منها وجه واحد مجتمع عليه ، والثلاثة مختلف فيها</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الوجه المجتمع عليه فهو التمتع المراد بقول الله جلّ وعز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تَمَتَّعَ </w:t>
      </w:r>
    </w:p>
    <w:p>
      <w:pPr>
        <w:pStyle w:val="BookText"/>
        <w:rPr/>
      </w:pPr>
      <w:r>
        <w:rPr>
          <w:rFonts w:ascii="Amiri" w:hAnsi="Amiri" w:eastAsia="Amiri" w:cs="Amiri"/>
          <w:color w:val="111111"/>
          <w:sz w:val="28"/>
          <w:sz w:val="28"/>
          <w:szCs w:val="28"/>
          <w:rtl w:val="true"/>
          <w:lang w:bidi="ar-SA"/>
        </w:rPr>
        <w:t xml:space="preserve">بِالْعُمْرَةِ إِلَى الْحَجِّ فَمَا اسْتَيْسَرَ مِنَ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يحرم الرجل بعمرة في أشهر الحجّ وأن يكون من أهل الآفاق ، وقدم مكة ففرغ منها ثمّ أقام حلالا بمكة إلى أن أنشأ الحجّ منها في عامه ذلك قبل رجوعه إلى بلده ، أو قبل خروجه إلى ميقات أهل ناحيته ، فإذا فعل ذلك كان متمتعا وعليه ما أوجب الله على المتمتع ، وذلك ما استيسر من الهدي يذبحه ويعطيه للمساكين بمنى أو بمكة ، فإن لم يجد صام ثلاثة أيّام ، وسبعة إذا رجع إلى بلده ، وليس له صيام يوم النحر بإجماع من المسلمين واختلف في صيام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إجماع من أهل العلم قديما وحديثا في المتعة ، ورابطها ثمانية 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يجمع بين الحجّ والعمرة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أشهر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يمزجها ، بل يكون إحرام الحجّ بعد الفراغ من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العمرة والحجّ عن شخص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غير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وتأمّل هذه الشروط فيما وصفنا من حكم التمتع تجدها</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وهذا هو الذي منع عنه بعد رحيل الرسول ، لا غير</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ونهى عنه عمر بن الخطاب وتبعه عثمان ومعاوية ومن بعدهم</w:t>
      </w:r>
      <w:r>
        <w:rPr>
          <w:rFonts w:eastAsia="Amiri" w:cs="Amiri" w:ascii="Amiri" w:hAnsi="Amiri"/>
          <w:color w:val="111111"/>
          <w:sz w:val="28"/>
          <w:szCs w:val="28"/>
          <w:rtl w:val="true"/>
          <w:lang w:bidi="ar-SA"/>
        </w:rPr>
        <w:t xml:space="preserve">. </w:t>
      </w:r>
      <w:bookmarkStart w:id="861" w:name="pg10144_71655"/>
    </w:p>
    <w:p>
      <w:pPr>
        <w:pStyle w:val="Heading4"/>
        <w:numPr>
          <w:ilvl w:val="3"/>
          <w:numId w:val="1"/>
        </w:numPr>
        <w:rPr/>
      </w:pPr>
      <w:bookmarkStart w:id="862" w:name="__RefHeading___Toc1166011_1067777946"/>
      <w:bookmarkStart w:id="863" w:name="_Toc313"/>
      <w:bookmarkEnd w:id="861"/>
      <w:bookmarkEnd w:id="862"/>
      <w:r>
        <w:rPr>
          <w:rtl w:val="true"/>
        </w:rPr>
        <w:t xml:space="preserve">السابع </w:t>
      </w:r>
      <w:r>
        <w:rPr>
          <w:rtl w:val="true"/>
        </w:rPr>
        <w:t xml:space="preserve">: </w:t>
      </w:r>
      <w:r>
        <w:rPr>
          <w:rtl w:val="true"/>
        </w:rPr>
        <w:t>التبريرات المختلقة للحظر المفروض</w:t>
      </w:r>
      <w:bookmarkEnd w:id="863"/>
    </w:p>
    <w:p>
      <w:pPr>
        <w:pStyle w:val="Heading5"/>
        <w:numPr>
          <w:ilvl w:val="4"/>
          <w:numId w:val="1"/>
        </w:numPr>
        <w:rPr/>
      </w:pPr>
      <w:bookmarkStart w:id="864" w:name="__RefHeading___Toc1166013_1067777946"/>
      <w:bookmarkStart w:id="865" w:name="_Toc314"/>
      <w:bookmarkEnd w:id="864"/>
      <w:r>
        <w:rPr>
          <w:rtl w:val="true"/>
        </w:rPr>
        <w:t>اشارة</w:t>
      </w:r>
      <w:bookmarkEnd w:id="865"/>
    </w:p>
    <w:p>
      <w:pPr>
        <w:pStyle w:val="BookText"/>
        <w:rPr/>
      </w:pPr>
      <w:r>
        <w:rPr>
          <w:rFonts w:ascii="Amiri" w:hAnsi="Amiri" w:eastAsia="Amiri" w:cs="Amiri"/>
          <w:color w:val="111111"/>
          <w:sz w:val="28"/>
          <w:sz w:val="28"/>
          <w:szCs w:val="28"/>
          <w:rtl w:val="true"/>
          <w:lang w:bidi="ar-SA"/>
        </w:rPr>
        <w:t xml:space="preserve">لمّا كان النهي عن متعة الحجّ ، يضاد صريح الكتاب ، وعمل النبي وسنّته ، وعمل أكابر أصحابه ، حاول غير واحد تأويل النهي ، بوجوه نذكر منها وجهين </w:t>
      </w:r>
      <w:r>
        <w:rPr>
          <w:rFonts w:eastAsia="Amiri" w:cs="Amiri" w:ascii="Amiri" w:hAnsi="Amiri"/>
          <w:color w:val="111111"/>
          <w:sz w:val="28"/>
          <w:szCs w:val="28"/>
          <w:rtl w:val="true"/>
          <w:lang w:bidi="ar-SA"/>
        </w:rPr>
        <w:t>:</w:t>
      </w:r>
    </w:p>
    <w:p>
      <w:pPr>
        <w:pStyle w:val="Heading5"/>
        <w:numPr>
          <w:ilvl w:val="4"/>
          <w:numId w:val="1"/>
        </w:numPr>
        <w:rPr/>
      </w:pPr>
      <w:bookmarkStart w:id="866" w:name="__RefHeading___Toc1166015_1067777946"/>
      <w:bookmarkStart w:id="867" w:name="_Toc315"/>
      <w:bookmarkEnd w:id="866"/>
      <w:r>
        <w:rPr/>
        <w:t>1</w:t>
      </w:r>
      <w:r>
        <w:rPr>
          <w:rtl w:val="true"/>
        </w:rPr>
        <w:t xml:space="preserve">. </w:t>
      </w:r>
      <w:r>
        <w:rPr>
          <w:rtl w:val="true"/>
        </w:rPr>
        <w:t>فسخ الحجّ إلى العمرة</w:t>
      </w:r>
      <w:bookmarkEnd w:id="867"/>
    </w:p>
    <w:p>
      <w:pPr>
        <w:pStyle w:val="BookText"/>
        <w:rPr/>
      </w:pPr>
      <w:r>
        <w:rPr>
          <w:rFonts w:ascii="Amiri" w:hAnsi="Amiri" w:eastAsia="Amiri" w:cs="Amiri"/>
          <w:color w:val="111111"/>
          <w:sz w:val="28"/>
          <w:sz w:val="28"/>
          <w:szCs w:val="28"/>
          <w:rtl w:val="true"/>
          <w:lang w:bidi="ar-SA"/>
        </w:rPr>
        <w:t xml:space="preserve">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المنهي ، هو فسخ الحجّ إلى العمرة التي يأتي بعدها فمن أحرم للحجّ ، فله أن يأتي بأعماله ثمّ ينشئ إحراما آخر للعمرة ، فليس له أن يعدل عن حجّ القران إلى حجّ التمتع ، وهذا هو الذي ينقله بدر الدين العيني الحنفي عن بعضهم ، وإليك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عياض وغيره جازمين بأنّ المتعة التي نهى عنها عمر وعثمان هي فسخ الحجّ إلى العمرة ، لا العمرة التي يحجّ بعدها</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التأويل بمكان من الوهن ـ حيث تدفعه النصوص السابقة عن جابر وابن عباس وعمران بن حصين وسعد بن أبي وقاص ، كما تدفعه نصوص العلماء على أنّ المنهي عنه هو الجمع بين العمرة والحجّ ـ ردّ عليه بدر الدين الحنفي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عليهم ما جاء في رواية مسلم في بعض طرقه التصريح بكونه متعة الحجّ ، وفي رواية له انّ رسول الله أعمر بعض أهله في العشر ،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بين حج وعمرة ، ومراده التمتع المذكور وهو الجمع بينهما في عام </w:t>
      </w:r>
      <w:bookmarkStart w:id="868" w:name="pg10144_71656"/>
    </w:p>
    <w:p>
      <w:pPr>
        <w:pStyle w:val="BookText"/>
        <w:rPr/>
      </w:pPr>
      <w:bookmarkEnd w:id="868"/>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ويخالف هذا التأويل ، كلمات المحرّم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أخشى أن يعرّسوا بهن في الأراك ثمّ يروحوا بهنّ حجاجا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لو رخصت في المتعة لهم لعرسوا بهن في الأراك ثمّ راحوا بهنّ حجاجا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أن يكونوا معرسين بهنّ في الأراك ثمّ يروحون في الحج تقطر رءوسهم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أهل البيت ليس لهم ضرع ولا زرع وإنّما ربيعهم في من يطرأ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هذه الكلمات صريحة في أنّ النهي عن الجمع بين العمرة والحج ، بل ليس للوافد إلاّ الحجّ ، ثمّ الإتيان بالعمرة في العام المقبل ، لاستكراهه التعرس بالنساء بين العملين أو ليفيض الزائر في عامة الشهور إلى مكة المكرمة</w:t>
      </w:r>
      <w:r>
        <w:rPr>
          <w:rFonts w:eastAsia="Amiri" w:cs="Amiri" w:ascii="Amiri" w:hAnsi="Amiri"/>
          <w:color w:val="111111"/>
          <w:sz w:val="28"/>
          <w:szCs w:val="28"/>
          <w:rtl w:val="true"/>
          <w:lang w:bidi="ar-SA"/>
        </w:rPr>
        <w:t>.</w:t>
      </w:r>
    </w:p>
    <w:p>
      <w:pPr>
        <w:pStyle w:val="Heading5"/>
        <w:numPr>
          <w:ilvl w:val="4"/>
          <w:numId w:val="1"/>
        </w:numPr>
        <w:rPr/>
      </w:pPr>
      <w:bookmarkStart w:id="869" w:name="__RefHeading___Toc1166017_1067777946"/>
      <w:bookmarkStart w:id="870" w:name="_Toc316"/>
      <w:bookmarkEnd w:id="869"/>
      <w:r>
        <w:rPr/>
        <w:t>2</w:t>
      </w:r>
      <w:r>
        <w:rPr>
          <w:rtl w:val="true"/>
        </w:rPr>
        <w:t xml:space="preserve">. </w:t>
      </w:r>
      <w:r>
        <w:rPr>
          <w:rtl w:val="true"/>
        </w:rPr>
        <w:t>اختصاص التمتّع بالصحابة</w:t>
      </w:r>
      <w:bookmarkEnd w:id="870"/>
    </w:p>
    <w:p>
      <w:pPr>
        <w:pStyle w:val="BookText"/>
        <w:rPr/>
      </w:pPr>
      <w:r>
        <w:rPr>
          <w:rFonts w:ascii="Amiri" w:hAnsi="Amiri" w:eastAsia="Amiri" w:cs="Amiri"/>
          <w:color w:val="111111"/>
          <w:sz w:val="28"/>
          <w:sz w:val="28"/>
          <w:szCs w:val="28"/>
          <w:rtl w:val="true"/>
          <w:lang w:bidi="ar-SA"/>
        </w:rPr>
        <w:t xml:space="preserve">إنّ في الفقه الإسلامي بابا باسم خصائص النبي والأمور أو الأحكام المختصة به ، وقد ذكرها العلامة الحلّي برمّتها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كتاب النكاح ولم تسمع إذن الدنيا ، خصائص الصحابة وانّ لهم خصائص كخصائص النبي مع أنّ حكمه صلى الله عليه وآله وسلم على الأوّلين كحكمه على الآخرين ، وحلال محمّد حلال إلى يوم القيامة ، وحرامه حرام إلى يوم القيامة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لما كان تحريم التمتع ، والمنع عن الجمع بين العمرة والحجّ ، يضاد الكتاب والسنّة القطعية حاول بعضهم تأويله قائلاً بأنّ الجمع بينهما من </w:t>
      </w:r>
      <w:bookmarkStart w:id="871" w:name="pg10144_71657"/>
    </w:p>
    <w:p>
      <w:pPr>
        <w:pStyle w:val="BookText"/>
        <w:rPr/>
      </w:pPr>
      <w:bookmarkEnd w:id="871"/>
      <w:r>
        <w:rPr>
          <w:rFonts w:ascii="Amiri" w:hAnsi="Amiri" w:eastAsia="Amiri" w:cs="Amiri"/>
          <w:color w:val="111111"/>
          <w:sz w:val="28"/>
          <w:sz w:val="28"/>
          <w:szCs w:val="28"/>
          <w:rtl w:val="true"/>
          <w:lang w:bidi="ar-SA"/>
        </w:rPr>
        <w:t>خصائص أصحاب النبي ، حتّى عزوه إلى أبي ذر ، حسب ما رواه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مسلم عن أبي ذر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متعة الحجّ لأصحاب محمد خاصّة</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المتعتان إلاّ لنا خاصة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 ومتعة الحجّ</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 xml:space="preserve">وقد أيّدوه ببعض الآثار التي قال في حقّها ابن قيم الجوزية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تلكم الآثار الدالّة على الاختصاص بالصحابة بين باطل لا يصحّ عمّن نسب إليه البتة ، وبين صحيح عن قائل غير معصوم لا يعارض به نصوص المشرّع المعصوم</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وفي صحيح الشيخين وغيرهما عن سراقة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متعتنا هذه يا رسول الله لعامنا هذا أم لا بد؟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لا بد 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أخرى عن سراقة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العمرة قد دخلت في الحجّ إلى يوم القيامة</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وقد مرّ نقل البخاري انّ العرب كانت تعدّ العمرة في أشهر الحجّ قبل الإسلام من أفجر الفجور ، وقد نهض النبي بأمر من الله بإعادة السنّة الإبراهيمية إلى الساحة ، فاعتمر أربع عمر كلّها في أشهر الحجّ</w:t>
      </w:r>
      <w:r>
        <w:rPr>
          <w:rFonts w:eastAsia="Amiri" w:cs="Amiri" w:ascii="Amiri" w:hAnsi="Amiri"/>
          <w:color w:val="111111"/>
          <w:sz w:val="28"/>
          <w:szCs w:val="28"/>
          <w:rtl w:val="true"/>
          <w:lang w:bidi="ar-SA"/>
        </w:rPr>
        <w:t>.</w:t>
      </w:r>
    </w:p>
    <w:p>
      <w:pPr>
        <w:pStyle w:val="Heading5"/>
        <w:numPr>
          <w:ilvl w:val="4"/>
          <w:numId w:val="1"/>
        </w:numPr>
        <w:rPr/>
      </w:pPr>
      <w:bookmarkStart w:id="872" w:name="__RefHeading___Toc1166019_1067777946"/>
      <w:bookmarkStart w:id="873" w:name="_Toc317"/>
      <w:bookmarkEnd w:id="872"/>
      <w:r>
        <w:rPr/>
        <w:t>3</w:t>
      </w:r>
      <w:r>
        <w:rPr>
          <w:rtl w:val="true"/>
        </w:rPr>
        <w:t xml:space="preserve">. </w:t>
      </w:r>
      <w:r>
        <w:rPr>
          <w:rtl w:val="true"/>
        </w:rPr>
        <w:t>عزوه إلى النبي صلى الله عليه وآله وسلم وطروء النسيان على الصحابة</w:t>
      </w:r>
      <w:bookmarkEnd w:id="873"/>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تعرفت على مدى صحة التأويلين السابقين وبعدهما عن النصوص الواردة في الموضوع فهلم معي نقرأ ما انتحله ابن أبي سفيان حيث نسب النهي عن </w:t>
      </w:r>
    </w:p>
    <w:p>
      <w:pPr>
        <w:pStyle w:val="BookText"/>
        <w:rPr/>
      </w:pPr>
      <w:r>
        <w:rPr>
          <w:rFonts w:ascii="Amiri" w:hAnsi="Amiri" w:eastAsia="Amiri" w:cs="Amiri"/>
          <w:color w:val="111111"/>
          <w:sz w:val="28"/>
          <w:sz w:val="28"/>
          <w:szCs w:val="28"/>
          <w:rtl w:val="true"/>
          <w:lang w:bidi="ar-SA"/>
        </w:rPr>
        <w:t>الجمع بين العمرة والحجّ إلى رسول الله ، ولما سأل أصحاب النبي عن هذا النهي وواجه استنكارهم له ، رماهم بالنسيان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أبو داود عن معاوية بن أبي سفيان انّه قال لأصحاب النبي صلى الله عليه وآله وسلم هل تعلمون انّ رسول الله نهى عن كذا أو كذا ، وركوب جلود النمور؟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فتعلمون انّه نهى ان يقرن بين الحجّ والعمرة؟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فلا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معهن ولكن نسيتم</w:t>
      </w:r>
      <w:r>
        <w:rPr>
          <w:rFonts w:eastAsia="Amiri" w:cs="Amiri" w:ascii="Amiri" w:hAnsi="Amiri"/>
          <w:color w:val="111111"/>
          <w:sz w:val="28"/>
          <w:szCs w:val="28"/>
          <w:rtl w:val="true"/>
          <w:lang w:bidi="ar-SA"/>
        </w:rPr>
        <w:t xml:space="preserve">. </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ولو كان المسئول شخصا أو شخصين من أصحاب النبي لكان احتمال تطرق النسيان إليه أو إليهما مبرر ، ولكنّه سأل أصحاب النبي ، الظاهر في أنّ المسئول كان جماعة كثيرة ، فهل يحتمل أن يتسرب النسيان إلى هؤلاء ، الذين طالت صحبتهم مع النبي ولا يذكره إلاّ ابن أبي سفيان الذي أسلم عام الفتح وقصرت صحبته وقلّ سماعه؟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وقد كان مع النبي ألوف من الصحابة رأوا بأمّ أعينهم عمل النبي وقوله وحثّه وترغيبه إلى الجمع بين العمرة والحجّ ، والإحلال بينهما من المحظورات</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عزم رسول الله صلى الله عليه وآله وسلم على الحج علم الناس انه حاج فتجهّزوا للخروج معه ، وسمع بذلك مَنْ حول المدينة فقدموا يريدون الحج مع رسول الله ووافاه في الطريق خلائق لا يحصون ، فكان من بين يده ومن خلفه وعن يمينه وشماله مدّ البصر</w:t>
      </w:r>
      <w:r>
        <w:rPr>
          <w:rFonts w:eastAsia="Amiri" w:cs="Amiri" w:ascii="Amiri" w:hAnsi="Amiri"/>
          <w:color w:val="111111"/>
          <w:sz w:val="28"/>
          <w:szCs w:val="28"/>
          <w:rtl w:val="true"/>
          <w:lang w:bidi="ar-SA"/>
        </w:rPr>
        <w:t xml:space="preserve">. </w:t>
      </w:r>
      <w:r>
        <w:rPr>
          <w:rStyle w:val="FootnoteAnchor"/>
          <w:rtl w:val="true"/>
        </w:rPr>
        <w:footnoteReference w:id="894"/>
      </w:r>
      <w:bookmarkStart w:id="874" w:name="pg10144_71659"/>
    </w:p>
    <w:p>
      <w:pPr>
        <w:pStyle w:val="Heading5"/>
        <w:numPr>
          <w:ilvl w:val="4"/>
          <w:numId w:val="1"/>
        </w:numPr>
        <w:rPr/>
      </w:pPr>
      <w:bookmarkStart w:id="875" w:name="__RefHeading___Toc1166021_1067777946"/>
      <w:bookmarkStart w:id="876" w:name="_Toc318"/>
      <w:bookmarkEnd w:id="874"/>
      <w:bookmarkEnd w:id="875"/>
      <w:r>
        <w:rPr>
          <w:rtl w:val="true"/>
        </w:rPr>
        <w:t xml:space="preserve">خاتمة المطاف في أمور </w:t>
      </w:r>
      <w:r>
        <w:rPr>
          <w:rtl w:val="true"/>
        </w:rPr>
        <w:t>:</w:t>
      </w:r>
      <w:bookmarkEnd w:id="876"/>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اتّفقت كلمة شرّاح الصحيحين على 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رجل 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عمر بن الخطاب ، قال القسطلاني في شرح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رجل برأيه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عمر بن الخطاب لا عثمان بن عفان ، لأنّ عمر أوّل من نهى عنها فكان من بعده تابعا 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 مسلم انّ ابن الزبير كان ينهى ، وابن العباس يأمر بها فسألوا جابرا فأشار إلى أنّ أوّل من نهى عنها عمر</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وقال النووي في شرح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عمر بن الخطاب ، لأنّه أوّل من نهى عن المتعة ، فكان من بعده من عثمان وغيره تابعا له</w:t>
      </w:r>
      <w:r>
        <w:rPr>
          <w:rFonts w:eastAsia="Amiri" w:cs="Amiri" w:ascii="Amiri" w:hAnsi="Amiri"/>
          <w:color w:val="111111"/>
          <w:sz w:val="28"/>
          <w:szCs w:val="28"/>
          <w:rtl w:val="true"/>
          <w:lang w:bidi="ar-SA"/>
        </w:rPr>
        <w:t xml:space="preserve">. </w:t>
      </w:r>
      <w:r>
        <w:rPr>
          <w:rStyle w:val="FootnoteAnchor"/>
          <w:rtl w:val="true"/>
        </w:rPr>
        <w:footnoteReference w:id="896"/>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مسلم عن طارق بن شهاب عن أبي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وسلم بعثني إلى اليمن فوافقته في العام الذي حجّ فيه ، فقال لي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موسى كيف قلت حين أحرمت؟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إهلالا كإهلال النبي صلى الله عليه وآله وسلم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سقت هديا؟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فطف بالبيت وبين الصفا والمروة ثمّ أحل</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هنا سؤال هو انّ علي بن أبي طالب وأبا موسى علّقا إحرامهما بإحرام النبي ، فأمر عليّا بالدوام على إحرامه ، وأمر أبا موسى بجعله عمرة فما هو الفارق بين الإحرامين؟</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أجاب عنه النووي في شرحه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كان معه هدي كما كان مع النبي صلى الله عليه وآله وسلم الهدي فبقي على إحرامه كما بقي النبي صلى الله عليه وآله وسلم وكلّ من معه هدي ، وأبو موسى لم يكن معه هدي فتحلّل بعمرة كمن لم يكن معه هدي ولو لا الهدي مع النبي صلى الله عليه وآله وسلم لجعلها عمرة</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حظر متعة الحجّ لعبرة لمن سبر التأريخ ، وحاول الوقوف على الوقائع التي جرت فيه ، فهذا هو النبي صلى الله عليه وآله وسلم قد حجّ ومعه آلاف من أصحابه ومن تبعه من الأعراب حيث أمر فيه بإدخال العمرة في الحجّ والإحلال بينهما وقد شهد به الكبير والصغير والداني والنائي ، وبالرغم من ذلك فقد غلب منطق القوة على قوة المنطق عقب رحيله حتى صار التمتع بالعمرة إلى الحجّ من المحرمات التي يعاقب عليها مرتكبها أشدّ العقوبة ، مع أنّ هذه المسألة لم تكن مصدر تهديد للسلطات الحاكمة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هو حالها فما ظنك بالمسائل السياسية التي تهدّد المنافع الشخصية للبعض ، فلا غرو في أن يقف أصحاب الآراء والأهواء بوجه الحقّ الذي أمر به النبي</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يسهل على القارئ الكريم الوقوف على مغزى مخالفة بعض الصحابة للحقّ المشروع لعلي عليه السلام في الخلافة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كثيرا من الباحثين من أهل السنّة يأوّلون ما ورد من النصوص حول خلافة الإمام أمير المؤمنين في أوائل البعثة وأواسطها وأواخرها ويفسرونها بالدعوة إلى نصرة علي ومحبّته ، يقول الشيخ سليم البشري شيخ الأزهر في وقته في رسالته إلى السيد عبد الحسين شرف الدين العاملي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أولي البصائر النافذة والرؤية الثاقبة ينزّهون الصحابة عن مخالفة النبي صلى الله عليه وآله وسلم في شيء من ظواهر أوامره ونواهيه ولا يجوّزون عليهم غير التعبّد بذلك ، فلا يمكن أن يسمعوا النص على الإمام ثمّ يعدلوا عنه أوّلا وثانيا وثالثا ، وكيف يمكن حملهم على الصحّة في عدولهم عنه مع سماعهم النصّ عليه؟ ما أراك بقادر على أن تجمع بينهما</w:t>
      </w:r>
      <w:r>
        <w:rPr>
          <w:rFonts w:eastAsia="Amiri" w:cs="Amiri" w:ascii="Amiri" w:hAnsi="Amiri"/>
          <w:color w:val="111111"/>
          <w:sz w:val="28"/>
          <w:szCs w:val="28"/>
          <w:rtl w:val="true"/>
          <w:lang w:bidi="ar-SA"/>
        </w:rPr>
        <w:t xml:space="preserve">.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وما ذكره شيخ الأزهر نابع من حسن ظنه بالصحابة كافة ، ولكن لو سبر أخبارهم لوقف على أنّهم خالفوا النصوص في موارد كثيرة ، ومنها متعة الحجّ على الرغم من أنّها لم تشكّل تهديدا لمصالحهم بل كانت مجرد استهجان للتحلّل بين العمرة والحجّ</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النصوص التي تتعرض لمصالحهم الشخصية ، فقد كانوا يخالفونها في حياته فكيف بعد رحيله؟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والموارد التي لم يتعبّد السلف من الصحابة بالنصوص فيها أكثر من أن تذكر في ذلك المجال ، وكفانا في ذلك ما قام به السيد شرف الدين العاملي في كتابه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والاجتهاد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جمع شطرا وافرا من اجتهادات الصحابة مقابل النص ، وقد أنهاها إلى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موردا ، نقتصر منها على هذا النموذج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رزية يوم الخميس التي حيل فيها بين النبي وما كان يرومه من كتابة أمر بالغ الأهمية ، فإنّها من أشهر القضايا وأكبر الرزايا أخرجها أصحاب الصحاح والسنن ونقلها الإمام البخاري في صحيحه ، بسنده إلى عبيد الله بن عتبة ابن مسعود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رسول الله صلى الله عليه وآله وسلم وفي البيت رجال فيهم عمر بن الخطاب ، قال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أكتب لكم كتابا لا تضلّوا بعده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قد غلب عليه الوجع ، وعندكم القرآن حسبنا كتاب الله ، فاختلف أهل البيت فاختصموا ، 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قرّبوا يكتب لكم النبي كتابا لا تضلّوا بعده ، ومنهم من يقول ما قال عمر ، فلما أكثروا اللغو والاختلاف عند النبي ، قال لهم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 فكان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الرزية كلّ الرزية ما حال بين رسول الله صلى الله عليه وآله وسلم وبين أن يكتب لهم ذلك الكتاب من اختلافهم ولغطهم</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 xml:space="preserve">ويكشف عن ذلك الحوار الذي جرى بين الخليفة وابن عباس الذي نقله على وجه التفصيل شارح نهج البلاغة ابن أبي الحديد في شرحه ،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بن الخطاب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أتدري ما منع الناس منكم؟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 يا أمير المؤمنين؟</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قريش أن تجتمع لكم النبوة والخلافة ، فتُجْحفوا الناس جحفا ، فنظرت قريش لأنفسها فاختارت ، ووفقت فأصابت</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وبما انّ المقام لا يقتضي التبسّط فلنقتصر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انّ الخليفة حرم متعة الحجّ لاستلزامه التحلّل بين العمرة والحجّ ، وهذا ممّا كان يستهجنه الخليفة ويعرب عنه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أخشى أن يعرّسوا بهنّ تحت الأراك ثمّ يروحوا بهنّ حجّاجا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كرهت أن يظلّوا معرسين بهنّ ثمّ يروحون في الحجّ تقطر رءوسهم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فقد رخص في الإفراد والقران ، أمّا الفارد فلأنّ العمرة يؤتى بها بعد الحجّ ، وأمّا القران فان الحاج بما انّه يهل بالعمرة والحجّ معا فلا يتحلّل بين العملين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بالنسبة إلى سائر أقواله فقد منع عن حجّ القران أيضا ، وذلك لأنّه كان يصر بفصل الحجّ عن العمرة مستدلا بأنّه ليس لأهل هذا البلد ضرع ولا زرع</w:t>
      </w:r>
      <w:r>
        <w:rPr>
          <w:rFonts w:eastAsia="Amiri" w:cs="Amiri" w:ascii="Amiri" w:hAnsi="Amiri"/>
          <w:color w:val="111111"/>
          <w:sz w:val="28"/>
          <w:szCs w:val="28"/>
          <w:rtl w:val="true"/>
          <w:lang w:bidi="ar-SA"/>
        </w:rPr>
        <w:t xml:space="preserve">. </w:t>
      </w:r>
      <w:r>
        <w:rPr>
          <w:rStyle w:val="FootnoteAnchor"/>
          <w:rtl w:val="true"/>
        </w:rPr>
        <w:footnoteReference w:id="902"/>
      </w:r>
      <w:r>
        <w:rPr>
          <w:rFonts w:ascii="Amiri" w:hAnsi="Amiri" w:eastAsia="Amiri" w:cs="Amiri"/>
          <w:color w:val="111111"/>
          <w:sz w:val="28"/>
          <w:sz w:val="28"/>
          <w:szCs w:val="28"/>
          <w:rtl w:val="true"/>
          <w:lang w:bidi="ar-SA"/>
        </w:rPr>
        <w:t xml:space="preserve">وكان ينادي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فافصلوا حجّكم عن عمرتكم فإنّه أتم لحجّكم وأتمّ لعمرتكم </w:t>
      </w:r>
      <w:r>
        <w:rPr>
          <w:rFonts w:eastAsia="Amiri" w:cs="Amiri" w:ascii="Amiri" w:hAnsi="Amiri"/>
          <w:color w:val="111111"/>
          <w:sz w:val="28"/>
          <w:szCs w:val="28"/>
          <w:rtl w:val="true"/>
          <w:lang w:bidi="ar-SA"/>
        </w:rPr>
        <w:t xml:space="preserve">» </w:t>
      </w:r>
      <w:r>
        <w:rPr>
          <w:rStyle w:val="FootnoteAnchor"/>
          <w:rtl w:val="true"/>
        </w:rPr>
        <w:footnoteReference w:id="903"/>
      </w:r>
      <w:r>
        <w:rPr>
          <w:rFonts w:ascii="Amiri" w:hAnsi="Amiri" w:eastAsia="Amiri" w:cs="Amiri"/>
          <w:color w:val="111111"/>
          <w:sz w:val="28"/>
          <w:sz w:val="28"/>
          <w:szCs w:val="28"/>
          <w:rtl w:val="true"/>
          <w:lang w:bidi="ar-SA"/>
        </w:rPr>
        <w:t xml:space="preserve">ومعنى ذلك حرمان أكثر الناس من العمرة التي دعا إليها سبحانه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وَأَتِمُّوا الْحَجَّ وَالْعُمْرَةَ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ربما لا تتهيّأ الأسباب لإقامة الآفاقي في مكة المكرمة حتّى يحول الحول فيأتي بالعمرة نزولا لنهي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أبعد عمل الخليفة وما يرويه ابن عباس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أعمر رسول الله عائشة في ذي الحجّة إلاّ ليقطع بذلك أمر أهل الشرك ، وقال كانوا يرون أنّ العمرة في أشهر الحجّ من أفجر الفجور في الأرض</w:t>
      </w:r>
      <w:r>
        <w:rPr>
          <w:rFonts w:eastAsia="Amiri" w:cs="Amiri" w:ascii="Amiri" w:hAnsi="Amiri"/>
          <w:color w:val="111111"/>
          <w:sz w:val="28"/>
          <w:szCs w:val="28"/>
          <w:rtl w:val="true"/>
          <w:lang w:bidi="ar-SA"/>
        </w:rPr>
        <w:t xml:space="preserve">. </w:t>
      </w:r>
      <w:r>
        <w:rPr>
          <w:rStyle w:val="FootnoteAnchor"/>
          <w:rtl w:val="true"/>
        </w:rPr>
        <w:footnoteReference w:id="904"/>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 عن أئمّة أهل البيت عليهم السلام ما مرّ من احتدام النزاع بين </w:t>
      </w:r>
    </w:p>
    <w:p>
      <w:pPr>
        <w:pStyle w:val="BookText"/>
        <w:rPr/>
      </w:pPr>
      <w:r>
        <w:rPr>
          <w:rFonts w:ascii="Amiri" w:hAnsi="Amiri" w:eastAsia="Amiri" w:cs="Amiri"/>
          <w:color w:val="111111"/>
          <w:sz w:val="28"/>
          <w:sz w:val="28"/>
          <w:szCs w:val="28"/>
          <w:rtl w:val="true"/>
          <w:lang w:bidi="ar-SA"/>
        </w:rPr>
        <w:t>النبي صلى الله عليه وآله وسلم ولفيف من صحابته في إدخال العمرة في الحجّ والتحلّل بعد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الطوسي بسند صحيح عن معاوية بن عمار عن أبي عبد الله عليه السلام عن آبائه عليهم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فرغ رسول الله صلى الله عليه وآله وسلم من سعيه بين الصفا والمروة أتاه جبرئيل عليه السلام عند فراغه من السعي وهو على المروة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يأمرك أن تأمر الناس أن يحلّوا إلاّ من ساق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رسول الله صلى الله عليه وآله وسلم على الناس بوجهه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هذا جبرئيل ـ وأشار بيده إلى خلفه ـ يأمرني عن الله عزّ وجلّ أن آمر الناس أن يحلّوا إلاّ من ساق الهدي فآمرهم بما أمر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وآله وسلم نخرج إلى منى ورءوسنا تقطر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يأمرنا بشيء ويصنع هو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لو استقبلت من أمري ما استدبرت صنعت كما صنع الناس ، ولكنّي سقت الهدي ولا يحلّ من ساق الهدي حتّى يبلغ الهدي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فقصر الناس وأحلّوا وجعلوها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سراقة بن مالك بن جعشم المدلجي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أمرتنا به لعامنا هذا أم للأبد؟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للأبد إلى يوم القيامة وشبّك بين أصابعه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الله تعالى في ذلك قرآنا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إِلَى الْحَجِّ فَمَا اسْتَيْسَرَ مِنَ الْهَدْيِ </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6"/>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أقام بالمدينة عشر سنين فلما نزل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وَأَذِّنْ فِي النَّاسِ بِالْحَجِّ يَأْتُوكَ رِجالاً وَعَلى كُلِّ ضامِرٍ يَأْتِينَ مِنْ كُلِّ فَجٍّ عَمِيقٍ </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أمر المؤذنين أن يؤذنوا بأعلى أصواتهم بأنّ رسول الله يحجّ في عامه هذا فاتبعه من حضر المدينة وأهل العوالي والاعراب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واختلفت كلمة أهل السنّة في كيفية حجّه إلى أقوال ووجوه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صلى الله عليه وآله وسلم كان قارنا لا مفردا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خيرة ابن قيم الجوزية ، وأقام على مختاره ما يربو على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صلى الله عليه وآله وسلم حجّ حجّا مفردا لم يعتمر فيه واحتجّوا برواية عائشة في الصحيحين انّ رسول الله صلى الله عليه وآله وسلم أهل بالحجّ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صلى الله عليه وآله وسلم حجّ متمتّعا تمتعا حلّ فيه من إحرامه ثمّ أحرم يوم التروية بالحجّ مع سوق الهدي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متمتعا تمتعا لم يحل منه لأجل سوق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الوجوه ذكرها ابن قيم الجوزية وبسط الكلام في أدلّة القائلين ونقدها</w:t>
      </w:r>
      <w:r>
        <w:rPr>
          <w:rFonts w:eastAsia="Amiri" w:cs="Amiri" w:ascii="Amiri" w:hAnsi="Amiri"/>
          <w:color w:val="111111"/>
          <w:sz w:val="28"/>
          <w:szCs w:val="28"/>
          <w:rtl w:val="true"/>
          <w:lang w:bidi="ar-SA"/>
        </w:rPr>
        <w:t xml:space="preserve">. </w:t>
      </w:r>
      <w:r>
        <w:rPr>
          <w:rStyle w:val="FootnoteAnchor"/>
          <w:rtl w:val="true"/>
        </w:rPr>
        <w:footnoteReference w:id="909"/>
      </w:r>
      <w:r>
        <w:rPr>
          <w:rFonts w:ascii="Amiri" w:hAnsi="Amiri" w:eastAsia="Amiri" w:cs="Amiri"/>
          <w:color w:val="111111"/>
          <w:sz w:val="28"/>
          <w:sz w:val="28"/>
          <w:szCs w:val="28"/>
          <w:rtl w:val="true"/>
          <w:lang w:bidi="ar-SA"/>
        </w:rPr>
        <w:t xml:space="preserve">وأمّا ما هو الحقّ حسب روايات أئمّة أهل البيت عليهم السلام فموكول إلى محلّه وقد استدلّ صاحب الحدائق على أنّه لم يكن متمتعا بقوله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استقبلت من أمري ما استدبرت لما سقت الهدي </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لَذِكْرى لِمَنْ كانَ لَهُ</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قَلْبٌ أَوْ أَلْقَى السَّمْعَ وَهُوَ شَهِيدٌ </w:t>
      </w:r>
      <w:r>
        <w:rPr>
          <w:rFonts w:eastAsia="Amiri" w:cs="Amiri" w:ascii="Amiri" w:hAnsi="Amiri"/>
          <w:color w:val="111111"/>
          <w:sz w:val="28"/>
          <w:szCs w:val="28"/>
          <w:rtl w:val="true"/>
          <w:lang w:bidi="ar-SA"/>
        </w:rPr>
        <w:t xml:space="preserve">). </w:t>
      </w:r>
      <w:r>
        <w:rPr>
          <w:rStyle w:val="FootnoteAnchor"/>
          <w:rtl w:val="true"/>
        </w:rPr>
        <w:footnoteReference w:id="911"/>
      </w:r>
      <w:bookmarkStart w:id="877" w:name="pg10144_71666"/>
    </w:p>
    <w:p>
      <w:pPr>
        <w:pStyle w:val="Heading2"/>
        <w:numPr>
          <w:ilvl w:val="1"/>
          <w:numId w:val="1"/>
        </w:numPr>
        <w:rPr/>
      </w:pPr>
      <w:bookmarkStart w:id="878" w:name="__RefHeading___Toc1166023_1067777946"/>
      <w:bookmarkStart w:id="879" w:name="_Toc319"/>
      <w:bookmarkEnd w:id="877"/>
      <w:bookmarkEnd w:id="878"/>
      <w:r>
        <w:rPr/>
        <w:t>12</w:t>
      </w:r>
      <w:r>
        <w:rPr>
          <w:rtl w:val="true"/>
        </w:rPr>
        <w:t xml:space="preserve">. </w:t>
      </w:r>
      <w:r>
        <w:rPr>
          <w:rtl w:val="true"/>
        </w:rPr>
        <w:t>متعة النساء أو الزواج المؤقت</w:t>
      </w:r>
      <w:bookmarkEnd w:id="879"/>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0" w:name="__RefHeading___Toc1166025_1067777946"/>
      <w:bookmarkStart w:id="881" w:name="_Toc320"/>
      <w:bookmarkEnd w:id="880"/>
      <w:r>
        <w:rPr>
          <w:rtl w:val="true"/>
        </w:rPr>
        <w:t>اشارة</w:t>
      </w:r>
      <w:bookmarkEnd w:id="881"/>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2" w:name="pg10144_71668"/>
      <w:bookmarkStart w:id="883" w:name="pg10144_71668"/>
      <w:bookmarkEnd w:id="883"/>
    </w:p>
    <w:p>
      <w:pPr>
        <w:pStyle w:val="Heading3"/>
        <w:numPr>
          <w:ilvl w:val="2"/>
          <w:numId w:val="1"/>
        </w:numPr>
        <w:rPr/>
      </w:pPr>
      <w:bookmarkStart w:id="884" w:name="pg10144_71668"/>
      <w:bookmarkStart w:id="885" w:name="__RefHeading___Toc1166027_1067777946"/>
      <w:bookmarkStart w:id="886" w:name="_Toc321"/>
      <w:bookmarkEnd w:id="884"/>
      <w:bookmarkEnd w:id="885"/>
      <w:r>
        <w:rPr>
          <w:rtl w:val="true"/>
        </w:rPr>
        <w:t>تمهيد</w:t>
      </w:r>
      <w:r>
        <w:rPr>
          <w:rtl w:val="true"/>
        </w:rPr>
        <w:t xml:space="preserve">: </w:t>
      </w:r>
      <w:r>
        <w:rPr>
          <w:rtl w:val="true"/>
        </w:rPr>
        <w:t>الغريزة الجنسية بين التحديد والإباحة الغربية</w:t>
      </w:r>
      <w:bookmarkEnd w:id="886"/>
    </w:p>
    <w:p>
      <w:pPr>
        <w:pStyle w:val="BookText"/>
        <w:rPr/>
      </w:pPr>
      <w:r>
        <w:rPr>
          <w:rFonts w:ascii="Amiri" w:hAnsi="Amiri" w:eastAsia="Amiri" w:cs="Amiri"/>
          <w:color w:val="111111"/>
          <w:sz w:val="28"/>
          <w:sz w:val="28"/>
          <w:szCs w:val="28"/>
          <w:rtl w:val="true"/>
          <w:lang w:bidi="ar-SA"/>
        </w:rPr>
        <w:t>أنّ العلاقة الجنسية علاقة طبيعية راسخة في وجود كلّ إنسان في مقطع زمنيّ خاص ، بنحو لا تجد لها مثيلا في سائر العلاقات ، وفي ظلّها تنفتح مشاعر الحب والعطف والحنان وتتعاظم المسئولية بغية إرساء دعائم الأسرة التي هي أوّل نواة المجتمع الإنساني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تلبية الغريزة الجنسية تعدّ من حاجات الإنسان الملحّة ، ومن ضروريات الحياة ، التي لا يختلف فيه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حاجته إلى الزواج بأقلّ من حاجته إلى الطعام والشراب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الشريعة الإسلامية بما أنّها خاتمة الشرائع ، ونبيّها خاتم الأنبياء ، وكتابها خاتمة الكتب ، قد تناولت هذا الجانب من شخصية الإنسان وأشبعته بسنن وقوانين تنسجم مع سائر غرائزه الكامنة في وجوده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بلغت عناية الشريعة بالدعوة إلى تلبية الغريزة المذكورة حدا أن عدّ </w:t>
      </w:r>
    </w:p>
    <w:p>
      <w:pPr>
        <w:pStyle w:val="BookText"/>
        <w:rPr/>
      </w:pPr>
      <w:r>
        <w:rPr>
          <w:rFonts w:ascii="Amiri" w:hAnsi="Amiri" w:eastAsia="Amiri" w:cs="Amiri"/>
          <w:color w:val="111111"/>
          <w:sz w:val="28"/>
          <w:sz w:val="28"/>
          <w:szCs w:val="28"/>
          <w:rtl w:val="true"/>
          <w:lang w:bidi="ar-SA"/>
        </w:rPr>
        <w:t xml:space="preserve">النكاح ، سنّة إلهية والإعراض عنه إعراض عن الشريعة كما يجسّده حديث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النكاح سنّتي فمن أعرض عن سنّتي فليس مني </w:t>
      </w:r>
      <w:r>
        <w:rPr>
          <w:rFonts w:eastAsia="Amiri" w:cs="Amiri" w:ascii="Amiri" w:hAnsi="Amiri"/>
          <w:color w:val="111111"/>
          <w:sz w:val="28"/>
          <w:szCs w:val="28"/>
          <w:rtl w:val="true"/>
          <w:lang w:bidi="ar-SA"/>
        </w:rPr>
        <w:t xml:space="preserve">».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وهذا يعرب عن قدسية الزواج في الإسلام وانّه أرفع من أن يكون تبادلا بين الإنسان والمال كما طاب لبعض الجدد المتأثرين بالغرب أن يسمّيه</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ومهما حرص الإنسان على حياة التبتّل والعزوف عن الزواج ، فإنّه يظل يشعر بفراغ كبير لا يسدّه شيء سوى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وانطلاقا من هذه الأهمية فقد شرّع الإسلام قوانين رائعة في تنظيم الغريزة الجنسية وسوقها في الاتجاه الصحيح الذي يكفل للإنسان إشباع غريزته الجنسية ، بأسلوب يتجاوب مع سائر ميوله وغرائزه ويحفظ له كرامته وشرفه ،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وَأَنْكِحُوا الْأَيامى مِنْكُمْ وَالصَّالِحِينَ مِنْ عِبادِكُمْ وَإِمائِكُمْ إِنْ يَكُونُوا فُقَراءَ يُغْنِهِمُ اللهُ مِنْ فَضْلِهِ وَاللهُ واسِعٌ عَلِيمٌ </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 xml:space="preserve">فقد سمح له في غير واحد من الآيات ، أن يلبّي حاجته الجنسية بطرق ثلاثة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النكاح الدائم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النكاح المؤقت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ملك يمين</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يكن من أمر فالذي دعانا إلى عقد بحث في النكاح المؤقت هو انّ الإخلاء والألدّاء أجحفوا بحقه في كتاباتهم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الألدّاء فقد نظروا إليه بعين الحقد والحسد ، نظرة الضّرة ، إلى الضّرة ، فصوّروا محاسنه معايب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الإخلاء فقد أكثروا فيه اللغط والتهويش ، وأخذوا بالقضاء والإبرام من دون تدبر وتبصر وعدل وإنصاف ، حتّى تجاوز بعضهم وعدّه زواجا أقرب إلى الدعارة والزنا ، ومعنى ذلك انّ صاحب الرسالة ـ والعياذ بالله ـ رخّص الدعارة في أيام قلائل لأصحابه لأجل إخماد نار الشهوة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كَبُرَتْ كَلِمَةً تَخْرُجُ مِنْ أَفْواهِهِمْ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تنتظر من موضوع ، خاض في تحليله وتبيينه العدو للطعن به ، والصديق للجهل بحقيقته ، أن لا تحوم حوله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الصديق درس الموضوع دراسة معمّقة ، وأحاط بما ورد فيه في الذكر الحكيم ، وأحاديث الرسول لما كان يتفوّه بتلك الكلمة القارصة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نشير إليه في هذه العجالة ، هو انّ الإسلام عالج مشكلة الغريزة الجنسية بالدعوة إلى النكاح الدائم وجعله أساسا في حياة الإنسان ، وتلقى هذا النوع من النكاح أمرا ضروريا وطعاما روحيا لكافة بني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الرغم من ذلك فقد تطرأ ظروف خاصة لا يتمكن الإنسان خلالها من سلوك الطريق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النكاح الدائم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لا بدّ للشريعة الإسلامية أن تقول كلمتها في هذا المضمار ، من خلال تقنين زواج خاصّ كعلاج مقطعيّ ، فمن الخطأ أن نتصور انّ دعوة الإسلام إلى الزواج المؤقت كدعوته إلى الزواج الدائم ، كلاّ ، فالزواج الدائم تلبية للحاجة الجنسية في عامة مقاطع الحياة</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النكاح المؤقت فهو ـ كما عرفت ـ دواء وليس بطعام ، علاج لضروريات مقطعية يحول دون انتشار الفساد في المجتمع الإسلامي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 ربما تطرأ على الإنسان ظروف لا يتيسر من خلالها الزواج الدائم فلا يبقى أمامه سوى الأمور الثلاثة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كبت جماع الشهوة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التردّد على بيوت الدعارة والفساد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النكاح المؤقت بالشروط التي وضعها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فمن المستحيل عادة أن يصون به أحد نفسه ـ إلاّ من عصمه الله ـ ولا يطرق ذلك الباب إلاّ الأمثل فالأمثل من الناس وأين هو من عامة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ففيه ـ مضافا إلى هدم الكرامة الإنسانية ـ شيوع الفساد والأمراض وتداخل الأنساب فلم يبق إلاّ الطريق الثالث وهو النكاح المؤقت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فالزواج المؤقت من أروع السنن الإسلامية التي سنّها الإسلام وأراد بها صون كرامة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وقف الإمام علي بن أبي طالب عليه السلام على عمق المشكلة ، فأدلى بكلمة قيّمة تقرع آذاننا وتحذّر المجتمع من تفاقم هذا الأمر عند إهماله لهذا العلاج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لا نهي عمر عن المتعة لما زنى إلاّ شقي أو شقية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كلام للمفكّر الإسلامي الشهيد المطهري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السمة المميزة لعصرنا هي اتساع المسافة الزمنية بين البلوغ الجنسي ، والنضج الاجتماعي حين يصبح بمقدور المرء تأسيس عائلة ، فهل بإمكان الشبّان قضاء فترة من التنسك المؤقت ، وتحمل قيود التقشف القاسية في انتظار تمكنهم من عقد زواج دائم</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ولنفترض انّ هناك شابا مستعدا لتحمل هذا التنسك المؤقت ، فهل ستكون الطبيعة مستعدة ـ عند الامتناع عن النكاح ـ بتحمل تلك العقوبات النفسية الفظيعة والخطرة التي يصاب بها الأشخاص الذين يمتنعون عن ممارسة </w:t>
      </w:r>
    </w:p>
    <w:p>
      <w:pPr>
        <w:pStyle w:val="BookText"/>
        <w:rPr/>
      </w:pPr>
      <w:r>
        <w:rPr>
          <w:rFonts w:ascii="Amiri" w:hAnsi="Amiri" w:eastAsia="Amiri" w:cs="Amiri"/>
          <w:color w:val="111111"/>
          <w:sz w:val="28"/>
          <w:sz w:val="28"/>
          <w:szCs w:val="28"/>
          <w:rtl w:val="true"/>
          <w:lang w:bidi="ar-SA"/>
        </w:rPr>
        <w:t>النشاطات الجنسية الغريزية كما يدل على ذلك اكتشافات علماء النفس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ذاك انّ أمام الشبان خيارين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إمّا اتّباع النموذج الغربي المنحطّ ـ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الإباحة الجنسية ـ القائم على إعطاء الحرية للشبّان والشابات على قدم المساواة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الإقرار بشرعية الزواج المؤقت المحدد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ضمّ بعض فلاسفة الغرب في العصور الأخيرة من الذين اشتهروا بالتحرر من القيود والحرية في الرأي ، أصواتهم إلى صوت الإسلام في تشريعه الخالد للنكاح المؤقت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 سنن الزواج قد تأخرت بغير اختيار وتدبير فان الطالب كان يستوفي علومه قبل مائة سنة أو مائتي سنة في نحو الثامنة عشرة أو العشرين فيتأهب للزواج في سن الرجولة الناضجة ، ولا يطول به عهد الانتظار إلاّ إذا آثر الانقطاع للعلم مدى الحياة ، وقلّ من يؤثر ذلك بين المئات والألوف من الشبان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العصر الحاضر فالطلاب يبدءون التخصص في العلوم والصنائع بعد الثامنة عشرة أو العشرين ، ويحتاجون بعد التخرج من الجامعات إلى زمن يستعدون فيه لكسب الرزق من طريق التجارة أو الأعمال الصناعية والاقتصادية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يتسنّى لهم الزواج وتأسيس البيوت قبل الثلاثين ، فهناك فترة طويلة يقضيها الشابّ بين سن البلوغ وبين سن الزواج لم يحسب لها حسابها في التربية القديمة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الفترة هي فترة النمو الجنسي ، والرغبة الجامحة ، وصعوبة المقاومة للمغريات ، فهل من المستطاع أن نسقط حساب هذه الفترة من نظام المجتمع الإنساني ، كما أسقطها الأقدمون وأبناء القرون الوسطى؟ </w:t>
      </w:r>
    </w:p>
    <w:p>
      <w:pPr>
        <w:pStyle w:val="BookText"/>
        <w:rPr/>
      </w:pPr>
      <w:r>
        <w:rPr>
          <w:rFonts w:ascii="Amiri" w:hAnsi="Amiri" w:eastAsia="Amiri" w:cs="Amiri"/>
          <w:color w:val="111111"/>
          <w:sz w:val="28"/>
          <w:sz w:val="28"/>
          <w:szCs w:val="28"/>
          <w:rtl w:val="true"/>
          <w:lang w:bidi="ar-SA"/>
        </w:rPr>
        <w:t>يقول الفيلسوف الآنف الذكر أنّ ذلك غير مستطاع ، وأنّنا إذا أسقطناها من الحساب فنتيجة ذلك شيوع الفساد والعبث بالنسل بين الشبان والشابات ، وإنّما الرأي عنده أن تسمح القوانين في هذه السن بضرب من الزواج بين الشبان والشابات ، لا يؤدهم بتكاليف الأسرة ، ولا يتركهم لعبث الشهوات الموبقات وما يعقبه من العلل والمحرجات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سماه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الزواج بغير أطفال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وأراد أن يكون عاصما من الابتذال ومدرّبا على المعيشة المزدوجة قبل السن التي تسمح بتأسيس البيوت</w:t>
      </w:r>
      <w:r>
        <w:rPr>
          <w:rFonts w:eastAsia="Amiri" w:cs="Amiri" w:ascii="Amiri" w:hAnsi="Amiri"/>
          <w:color w:val="111111"/>
          <w:sz w:val="28"/>
          <w:szCs w:val="28"/>
          <w:rtl w:val="true"/>
          <w:lang w:bidi="ar-SA"/>
        </w:rPr>
        <w:t xml:space="preserve">. </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 xml:space="preserve">ولعلّ مراده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الزواج بغير أطفال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استعمال موانع الحمل ومع ذلك فالالتزام بهذا الشرط أمر ممكن ولكنّه مشكل ، وعلى فرض استعماله ، فلو أنجبا طفلا فهو ولد شرعي يلحق بالوالدين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الاقتراح الذي عرضه الفيلسوف الإنجليزي هو ما دعا إليه الإسلام منذ أكثر من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قرنا ، ولكن الإسلام جعله في إطار تقنيني وتشريعي أضفى عليه مزيدا من الروعة والجمال وكمالا من حيث القيود والشروط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دراسة موجزة حول النكاح المؤقّت نقدّمها للقراء الكرام راجين أن يولوا عناية فائقة بهذا الموضوع ويتدارسوه من زوايا مختلفة حتّى تتبين لهم عظمة التشريع الإسلامي وانّ الأغيار جحدوا حقّه ، وغيرهم جهلوه وما عرفوه</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من وراء القصد </w:t>
      </w:r>
      <w:bookmarkStart w:id="887" w:name="pg10144_71674"/>
    </w:p>
    <w:p>
      <w:pPr>
        <w:pStyle w:val="Heading3"/>
        <w:numPr>
          <w:ilvl w:val="2"/>
          <w:numId w:val="1"/>
        </w:numPr>
        <w:rPr/>
      </w:pPr>
      <w:bookmarkStart w:id="888" w:name="__RefHeading___Toc1166029_1067777946"/>
      <w:bookmarkStart w:id="889" w:name="_Toc322"/>
      <w:bookmarkEnd w:id="887"/>
      <w:bookmarkEnd w:id="888"/>
      <w:r>
        <w:rPr>
          <w:rtl w:val="true"/>
        </w:rPr>
        <w:t>آراء الفقهاء في المتعة</w:t>
      </w:r>
      <w:bookmarkEnd w:id="889"/>
    </w:p>
    <w:p>
      <w:pPr>
        <w:pStyle w:val="Heading4"/>
        <w:numPr>
          <w:ilvl w:val="3"/>
          <w:numId w:val="1"/>
        </w:numPr>
        <w:rPr/>
      </w:pPr>
      <w:bookmarkStart w:id="890" w:name="__RefHeading___Toc1166031_1067777946"/>
      <w:bookmarkStart w:id="891" w:name="_Toc323"/>
      <w:bookmarkEnd w:id="890"/>
      <w:r>
        <w:rPr>
          <w:rtl w:val="true"/>
        </w:rPr>
        <w:t>اشارة</w:t>
      </w:r>
      <w:bookmarkEnd w:id="891"/>
    </w:p>
    <w:p>
      <w:pPr>
        <w:pStyle w:val="BookText"/>
        <w:rPr/>
      </w:pPr>
      <w:r>
        <w:rPr>
          <w:rFonts w:ascii="Amiri" w:hAnsi="Amiri" w:eastAsia="Amiri" w:cs="Amiri"/>
          <w:color w:val="111111"/>
          <w:sz w:val="28"/>
          <w:sz w:val="28"/>
          <w:szCs w:val="28"/>
          <w:rtl w:val="true"/>
          <w:lang w:bidi="ar-SA"/>
        </w:rPr>
        <w:t>اتّفقت المذاهب الفقهية على أنّ متعة النساء كانت حلالا أحلّها رسول الله بوحي منه سبحانه في برهة من الزمن وإنّما اختلفوا في استمرار حليتها وكونها منسوخة أو لا؟ فالشيعة الإمامية ولفيف من الصحابة والتابعين على بقاء الحلية خلافا للمذاهب الأربعة وهي على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انّ مسألة المتعة مسألة شائكة ، يكتنفها شيء من الغموض والإبهام ، وليس معنى ذلك أنّ المسألة تفقد الدليل الشرعي من الذكر الحكيم والسنّة المطهرة على حلّيتها بعد رحيل الرسول إلى أن يرث الله الأرض ومن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يراد من الغموض ، هو أنّ الكاتب مهما كان موضوعيا ، ربما يتّهم بالانسياق وراء الشهوات عند الخوض في هذه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مع الاعتراف بأنّ ظاهرة المتعة ليست ظاهرة متفشية بين القائلين بحليتها ـ كما يتصوّرها المغفلون ـ بل تمارس في نطاق ضيق ، وفي ظروف معينة</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وتبيين الحقّ يتم ضمن أمور </w:t>
      </w:r>
      <w:r>
        <w:rPr>
          <w:rFonts w:eastAsia="Amiri" w:cs="Amiri" w:ascii="Amiri" w:hAnsi="Amiri"/>
          <w:color w:val="111111"/>
          <w:sz w:val="28"/>
          <w:szCs w:val="28"/>
          <w:rtl w:val="true"/>
          <w:lang w:bidi="ar-SA"/>
        </w:rPr>
        <w:t xml:space="preserve">: </w:t>
      </w:r>
      <w:bookmarkStart w:id="892" w:name="pg10144_71675"/>
    </w:p>
    <w:p>
      <w:pPr>
        <w:pStyle w:val="Heading4"/>
        <w:numPr>
          <w:ilvl w:val="3"/>
          <w:numId w:val="1"/>
        </w:numPr>
        <w:rPr/>
      </w:pPr>
      <w:bookmarkStart w:id="893" w:name="__RefHeading___Toc1166033_1067777946"/>
      <w:bookmarkStart w:id="894" w:name="_Toc324"/>
      <w:bookmarkEnd w:id="892"/>
      <w:bookmarkEnd w:id="893"/>
      <w:r>
        <w:rPr/>
        <w:t>1</w:t>
      </w:r>
      <w:r>
        <w:rPr>
          <w:rtl w:val="true"/>
        </w:rPr>
        <w:t xml:space="preserve">. </w:t>
      </w:r>
      <w:r>
        <w:rPr>
          <w:rtl w:val="true"/>
        </w:rPr>
        <w:t>تعريفها ونبذ من أحكامها</w:t>
      </w:r>
      <w:bookmarkEnd w:id="894"/>
    </w:p>
    <w:p>
      <w:pPr>
        <w:pStyle w:val="Heading5"/>
        <w:numPr>
          <w:ilvl w:val="4"/>
          <w:numId w:val="1"/>
        </w:numPr>
        <w:rPr/>
      </w:pPr>
      <w:bookmarkStart w:id="895" w:name="__RefHeading___Toc1166035_1067777946"/>
      <w:bookmarkStart w:id="896" w:name="_Toc325"/>
      <w:bookmarkEnd w:id="895"/>
      <w:r>
        <w:rPr>
          <w:rtl w:val="true"/>
        </w:rPr>
        <w:t>اشارة</w:t>
      </w:r>
      <w:bookmarkEnd w:id="896"/>
    </w:p>
    <w:p>
      <w:pPr>
        <w:pStyle w:val="BookText"/>
        <w:rPr/>
      </w:pPr>
      <w:r>
        <w:rPr>
          <w:rFonts w:ascii="Amiri" w:hAnsi="Amiri" w:eastAsia="Amiri" w:cs="Amiri"/>
          <w:color w:val="111111"/>
          <w:sz w:val="28"/>
          <w:sz w:val="28"/>
          <w:szCs w:val="28"/>
          <w:rtl w:val="true"/>
          <w:lang w:bidi="ar-SA"/>
        </w:rPr>
        <w:t>الزواج المؤقت عبارة عن تزويج المرأة الحرة الكاملة نفسها إذا لم يكن بينها وبين الزوج مانع ـ من نسب أو سبب أو رضاع أو إحصان أو عدّة أو غير ذلك من الموانع الشرعية ـ بمهر مسمّى إلى أجل مسمّى بالرضا والاتفاق ، فإذا انتهى الأجل تبين منه من غير طلاق ، ويجب عليها من الدخول بها ـ إذا لم تكن يائسة ـ أن تعتد عدّة الطلاق إذا كانت ممّن تحيض وإلاّ فبخمسة وأربعين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الزواج المؤقت كالزواج الدائم لا يتم إلاّ بعقد صحيح دالّ على قصد الزواج جدّا ، وكلّ مقاربة تحصل بين رجل وامرأة من دون عقد فلا تكون متعة حتّى مع التراضي والرغبة ، ومتى تم العقد كان لازما يجب الوفاء به</w:t>
      </w:r>
      <w:r>
        <w:rPr>
          <w:rFonts w:eastAsia="Amiri" w:cs="Amiri" w:ascii="Amiri" w:hAnsi="Amiri"/>
          <w:color w:val="111111"/>
          <w:sz w:val="28"/>
          <w:szCs w:val="28"/>
          <w:rtl w:val="true"/>
          <w:lang w:bidi="ar-SA"/>
        </w:rPr>
        <w:t>.</w:t>
      </w:r>
    </w:p>
    <w:p>
      <w:pPr>
        <w:pStyle w:val="Heading5"/>
        <w:numPr>
          <w:ilvl w:val="4"/>
          <w:numId w:val="1"/>
        </w:numPr>
        <w:rPr/>
      </w:pPr>
      <w:bookmarkStart w:id="897" w:name="__RefHeading___Toc1166037_1067777946"/>
      <w:bookmarkStart w:id="898" w:name="_Toc326"/>
      <w:bookmarkEnd w:id="897"/>
      <w:r>
        <w:rPr>
          <w:rtl w:val="true"/>
        </w:rPr>
        <w:t>نبذ من أحكامها</w:t>
      </w:r>
      <w:bookmarkEnd w:id="898"/>
    </w:p>
    <w:p>
      <w:pPr>
        <w:pStyle w:val="Heading6"/>
        <w:numPr>
          <w:ilvl w:val="5"/>
          <w:numId w:val="1"/>
        </w:numPr>
        <w:rPr/>
      </w:pPr>
      <w:bookmarkStart w:id="899" w:name="__RefHeading___Toc1166039_1067777946"/>
      <w:bookmarkStart w:id="900" w:name="_Toc327"/>
      <w:bookmarkEnd w:id="899"/>
      <w:r>
        <w:rPr>
          <w:rtl w:val="true"/>
        </w:rPr>
        <w:t>اشارة</w:t>
      </w:r>
      <w:bookmarkEnd w:id="900"/>
    </w:p>
    <w:p>
      <w:pPr>
        <w:pStyle w:val="BookText"/>
        <w:rPr/>
      </w:pPr>
      <w:r>
        <w:rPr>
          <w:rFonts w:ascii="Amiri" w:hAnsi="Amiri" w:eastAsia="Amiri" w:cs="Amiri"/>
          <w:color w:val="111111"/>
          <w:sz w:val="28"/>
          <w:sz w:val="28"/>
          <w:szCs w:val="28"/>
          <w:rtl w:val="true"/>
          <w:lang w:bidi="ar-SA"/>
        </w:rPr>
        <w:t>إنّ أكثر المشكلات التي تثار على زواج المتعة نابعة من عدم الوقوف على حقيقتها وآثارها وأحكامها ، فنذكر شيئا موجزا منها حتّى يتبين انّ بين المتعة والسفاح بعد المشرقين</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لنكاح المتعة أحكاما مشتركة بينها وبين النكاح الدائم ، كما أنّ لها أحكاما خاصّة فقد بسطنا الكلام في كلا القسمين من أحكامها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w:t>
      </w:r>
      <w:bookmarkStart w:id="901" w:name="pg10144_71676"/>
    </w:p>
    <w:p>
      <w:pPr>
        <w:pStyle w:val="BookText"/>
        <w:rPr/>
      </w:pPr>
      <w:bookmarkEnd w:id="901"/>
      <w:r>
        <w:rPr>
          <w:rFonts w:ascii="Amiri" w:hAnsi="Amiri" w:eastAsia="Amiri" w:cs="Amiri"/>
          <w:color w:val="111111"/>
          <w:sz w:val="28"/>
          <w:sz w:val="28"/>
          <w:szCs w:val="28"/>
          <w:rtl w:val="true"/>
          <w:lang w:bidi="ar-SA"/>
        </w:rPr>
        <w:t xml:space="preserve">النكاح في الشريعة الإسلامية الغرّاء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التفصيل فليرجع إليه</w:t>
      </w:r>
      <w:r>
        <w:rPr>
          <w:rFonts w:eastAsia="Amiri" w:cs="Amiri" w:ascii="Amiri" w:hAnsi="Amiri"/>
          <w:color w:val="111111"/>
          <w:sz w:val="28"/>
          <w:szCs w:val="28"/>
          <w:rtl w:val="true"/>
          <w:lang w:bidi="ar-SA"/>
        </w:rPr>
        <w:t xml:space="preserve">. </w:t>
      </w:r>
      <w:r>
        <w:rPr>
          <w:rStyle w:val="FootnoteAnchor"/>
          <w:rtl w:val="true"/>
        </w:rPr>
        <w:footnoteReference w:id="916"/>
      </w:r>
      <w:r>
        <w:rPr>
          <w:rFonts w:ascii="Amiri" w:hAnsi="Amiri" w:eastAsia="Amiri" w:cs="Amiri"/>
          <w:color w:val="111111"/>
          <w:sz w:val="28"/>
          <w:sz w:val="28"/>
          <w:szCs w:val="28"/>
          <w:rtl w:val="true"/>
          <w:lang w:bidi="ar-SA"/>
        </w:rPr>
        <w:t>فها نحن نذكر شيئا من أحكامها المشتركة والمختصة والفقيه العارف يميّز المشترك من المختص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للنكاح المنقطع أركان أربعة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الصيغة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w:t>
      </w:r>
      <w:r>
        <w:rPr>
          <w:rFonts w:eastAsia="Amiri" w:cs="Amiri" w:ascii="Amiri" w:hAnsi="Amiri"/>
          <w:color w:val="111111"/>
          <w:sz w:val="28"/>
          <w:szCs w:val="28"/>
          <w:rtl w:val="true"/>
          <w:lang w:bidi="ar-SA"/>
        </w:rPr>
        <w:t>.</w:t>
      </w:r>
    </w:p>
    <w:p>
      <w:pPr>
        <w:pStyle w:val="Heading6"/>
        <w:numPr>
          <w:ilvl w:val="5"/>
          <w:numId w:val="1"/>
        </w:numPr>
        <w:rPr/>
      </w:pPr>
      <w:bookmarkStart w:id="902" w:name="__RefHeading___Toc1166041_1067777946"/>
      <w:bookmarkStart w:id="903" w:name="_Toc328"/>
      <w:bookmarkEnd w:id="902"/>
      <w:r>
        <w:rPr>
          <w:rtl w:val="true"/>
        </w:rPr>
        <w:t xml:space="preserve">الف </w:t>
      </w:r>
      <w:r>
        <w:rPr>
          <w:rtl w:val="true"/>
        </w:rPr>
        <w:t xml:space="preserve">: </w:t>
      </w:r>
      <w:r>
        <w:rPr>
          <w:rtl w:val="true"/>
        </w:rPr>
        <w:t>الصيغة</w:t>
      </w:r>
      <w:bookmarkEnd w:id="903"/>
    </w:p>
    <w:p>
      <w:pPr>
        <w:pStyle w:val="BookText"/>
        <w:rPr/>
      </w:pPr>
      <w:r>
        <w:rPr>
          <w:rFonts w:ascii="Amiri" w:hAnsi="Amiri" w:eastAsia="Amiri" w:cs="Amiri"/>
          <w:color w:val="111111"/>
          <w:sz w:val="28"/>
          <w:sz w:val="28"/>
          <w:szCs w:val="28"/>
          <w:rtl w:val="true"/>
          <w:lang w:bidi="ar-SA"/>
        </w:rPr>
        <w:t xml:space="preserve">فهي الإيجاب والقبول ويكفي في الإيجاب أحد الألفاظ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ومتّعتك وأنكحتك ، ويكفي في القبول كلّ لفظ دالّ على الرضا بذلك الإيجاب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النكاح أو المتعة</w:t>
      </w:r>
      <w:r>
        <w:rPr>
          <w:rFonts w:eastAsia="Amiri" w:cs="Amiri" w:ascii="Amiri" w:hAnsi="Amiri"/>
          <w:color w:val="111111"/>
          <w:sz w:val="28"/>
          <w:szCs w:val="28"/>
          <w:rtl w:val="true"/>
          <w:lang w:bidi="ar-SA"/>
        </w:rPr>
        <w:t>.</w:t>
      </w:r>
    </w:p>
    <w:p>
      <w:pPr>
        <w:pStyle w:val="Heading6"/>
        <w:numPr>
          <w:ilvl w:val="5"/>
          <w:numId w:val="1"/>
        </w:numPr>
        <w:rPr/>
      </w:pPr>
      <w:bookmarkStart w:id="904" w:name="__RefHeading___Toc1166043_1067777946"/>
      <w:bookmarkStart w:id="905" w:name="_Toc329"/>
      <w:bookmarkEnd w:id="904"/>
      <w:r>
        <w:rPr>
          <w:rtl w:val="true"/>
        </w:rPr>
        <w:t xml:space="preserve">ب </w:t>
      </w:r>
      <w:r>
        <w:rPr>
          <w:rtl w:val="true"/>
        </w:rPr>
        <w:t xml:space="preserve">: </w:t>
      </w:r>
      <w:r>
        <w:rPr>
          <w:rtl w:val="true"/>
        </w:rPr>
        <w:t>المحل</w:t>
      </w:r>
      <w:bookmarkEnd w:id="905"/>
    </w:p>
    <w:p>
      <w:pPr>
        <w:pStyle w:val="BookText"/>
        <w:rPr/>
      </w:pPr>
      <w:r>
        <w:rPr>
          <w:rFonts w:ascii="Amiri" w:hAnsi="Amiri" w:eastAsia="Amiri" w:cs="Amiri"/>
          <w:color w:val="111111"/>
          <w:sz w:val="28"/>
          <w:sz w:val="28"/>
          <w:szCs w:val="28"/>
          <w:rtl w:val="true"/>
          <w:lang w:bidi="ar-SA"/>
        </w:rPr>
        <w:t>وهو الزوج والزوجة ويشترط فيهما ما يشترط في النكاح الدائم إلاّ ما استثني ، فيشترط أن تكون الزوجة مسلمة ويجوز أن تكون كتابية على القول الأشهر بين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المسلمة فلا تتمتع إلاّ بالمسلم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يدخل على الزوجة المنقطعة بنت أختها ، ولا بنت أخيها إلاّ بإذنها ، ولو فعل توقّف على إذنها ، فإن ردت ، بطل العقد</w:t>
      </w:r>
      <w:r>
        <w:rPr>
          <w:rFonts w:eastAsia="Amiri" w:cs="Amiri" w:ascii="Amiri" w:hAnsi="Amiri"/>
          <w:color w:val="111111"/>
          <w:sz w:val="28"/>
          <w:szCs w:val="28"/>
          <w:rtl w:val="true"/>
          <w:lang w:bidi="ar-SA"/>
        </w:rPr>
        <w:t>.</w:t>
      </w:r>
    </w:p>
    <w:p>
      <w:pPr>
        <w:pStyle w:val="Heading6"/>
        <w:numPr>
          <w:ilvl w:val="5"/>
          <w:numId w:val="1"/>
        </w:numPr>
        <w:rPr/>
      </w:pPr>
      <w:bookmarkStart w:id="906" w:name="__RefHeading___Toc1166045_1067777946"/>
      <w:bookmarkStart w:id="907" w:name="_Toc330"/>
      <w:bookmarkEnd w:id="906"/>
      <w:r>
        <w:rPr>
          <w:rtl w:val="true"/>
        </w:rPr>
        <w:t xml:space="preserve">ج </w:t>
      </w:r>
      <w:r>
        <w:rPr>
          <w:rtl w:val="true"/>
        </w:rPr>
        <w:t xml:space="preserve">: </w:t>
      </w:r>
      <w:r>
        <w:rPr>
          <w:rtl w:val="true"/>
        </w:rPr>
        <w:t>المهر</w:t>
      </w:r>
      <w:bookmarkEnd w:id="907"/>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المهر ركن في عقد المتعة ، يبطل العقد بعدم ذكره في العقد ويشترط أن يكون </w:t>
      </w:r>
      <w:bookmarkStart w:id="908" w:name="pg10144_71677"/>
    </w:p>
    <w:p>
      <w:pPr>
        <w:pStyle w:val="BookText"/>
        <w:rPr/>
      </w:pPr>
      <w:bookmarkEnd w:id="908"/>
      <w:r>
        <w:rPr>
          <w:rFonts w:ascii="Amiri" w:hAnsi="Amiri" w:eastAsia="Amiri" w:cs="Amiri"/>
          <w:color w:val="111111"/>
          <w:sz w:val="28"/>
          <w:sz w:val="28"/>
          <w:szCs w:val="28"/>
          <w:rtl w:val="true"/>
          <w:lang w:bidi="ar-SA"/>
        </w:rPr>
        <w:t>مملوكا ، معلوما إمّا بالكيل أو الوزن أو المشاهدة والوصف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وهب الزوج ، المدة لها ، قبل الدخول لزمه النصف ، ولو دخل استقرّ المهر كله</w:t>
      </w:r>
      <w:r>
        <w:rPr>
          <w:rFonts w:eastAsia="Amiri" w:cs="Amiri" w:ascii="Amiri" w:hAnsi="Amiri"/>
          <w:color w:val="111111"/>
          <w:sz w:val="28"/>
          <w:szCs w:val="28"/>
          <w:rtl w:val="true"/>
          <w:lang w:bidi="ar-SA"/>
        </w:rPr>
        <w:t>.</w:t>
      </w:r>
    </w:p>
    <w:p>
      <w:pPr>
        <w:pStyle w:val="Heading6"/>
        <w:numPr>
          <w:ilvl w:val="5"/>
          <w:numId w:val="1"/>
        </w:numPr>
        <w:rPr/>
      </w:pPr>
      <w:bookmarkStart w:id="909" w:name="__RefHeading___Toc1166047_1067777946"/>
      <w:bookmarkStart w:id="910" w:name="_Toc331"/>
      <w:bookmarkEnd w:id="909"/>
      <w:r>
        <w:rPr>
          <w:rtl w:val="true"/>
        </w:rPr>
        <w:t xml:space="preserve">د </w:t>
      </w:r>
      <w:r>
        <w:rPr>
          <w:rtl w:val="true"/>
        </w:rPr>
        <w:t xml:space="preserve">: </w:t>
      </w:r>
      <w:r>
        <w:rPr>
          <w:rtl w:val="true"/>
        </w:rPr>
        <w:t>الأجل</w:t>
      </w:r>
      <w:bookmarkEnd w:id="910"/>
    </w:p>
    <w:p>
      <w:pPr>
        <w:pStyle w:val="BookText"/>
        <w:rPr/>
      </w:pPr>
      <w:r>
        <w:rPr>
          <w:rFonts w:ascii="Amiri" w:hAnsi="Amiri" w:eastAsia="Amiri" w:cs="Amiri"/>
          <w:color w:val="111111"/>
          <w:sz w:val="28"/>
          <w:sz w:val="28"/>
          <w:szCs w:val="28"/>
          <w:rtl w:val="true"/>
          <w:lang w:bidi="ar-SA"/>
        </w:rPr>
        <w:t xml:space="preserve">فهو ركن من عقد المتعة ، ولو ترك الأجل فهنا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وقيل ينقلب العقد دائما ، ولا بد أن يكون معينا محروسا من الزيادة والنقصان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العزل من المتمتع بها ولا يقف على إذنها خلافا للدائمة فلا يجوز العزل إلاّ بإذنها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وتبين المتمتع بها بانقضاء الأجل ولا يقع بها طلاق ولا يتوارثان إلاّ مع الشرط في متن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المتعة كالدوام فيما يحرم بالمصاهرة ، فلو عقد على امرأة تمتعا ، حرمت عليه أمّها ، مطلقا ، وبنتها مع الدخول ، وهكذا سائر المحرمات المذكورة في باب التحريم بالمصاهرة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دخل بها وانقضى أجلها فإن كانت من ذوات الحيض ، وجب عليها الاعتداد بحيضتين ، وإن لم تكن من ذوات الأقراء ، وهي في سنهنّ اعتدت بخمسة وأربعين يوما ، وإن لم يكن دخل بها فلا عدّة عليها</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مات عنها في الأجل اعتدت بأربعة أشهر وعشرة أيّام ، سواء دخل بها أو لا إن كانت حائلا ، وقيل شهران وخمسة أيّام ، وإن كانت حاملا اعتدت بأبعد الأجلين ، ولو كانت أمة اعتدت حائلا بشهرين وخمسة أيّام</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والغرض من ذلك هو الإشارة إلى أنّ نكاح المتعة نكاح حقيقي ، وهو كالنكاح الدائم في عامّة الأحكام إلاّ ما خرج بالدليل ، وأهمّ الفروق عبارة عن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الزوجة الدائمة تفارق بالطلاق وهذه تفارق بانقضاء الأجل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الزوجة الدائمة ينفق عليها ، دونها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الزوجة الدائمة ترث زوجها وهو يرثها ، دونها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الدائم إذا طلقت تعتد بثلاثة أشهر أو بثلاث حيضات وهي تعتد بحيضتين أو خمسة وأربعين يوما</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الفروق الضئيلة لا تخرجها عن كونها زوجة لها من الأحكام ما لغيرها ، مثلا يقول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هُمْ لِفُرُوجِهِمْ 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 xml:space="preserve">) </w:t>
      </w:r>
      <w:r>
        <w:rPr>
          <w:rStyle w:val="FootnoteAnchor"/>
          <w:rtl w:val="true"/>
        </w:rPr>
        <w:footnoteReference w:id="918"/>
      </w:r>
      <w:r>
        <w:rPr>
          <w:rFonts w:ascii="Amiri" w:hAnsi="Amiri" w:eastAsia="Amiri" w:cs="Amiri"/>
          <w:color w:val="111111"/>
          <w:sz w:val="28"/>
          <w:sz w:val="28"/>
          <w:szCs w:val="28"/>
          <w:rtl w:val="true"/>
          <w:lang w:bidi="ar-SA"/>
        </w:rPr>
        <w:t xml:space="preserve">والمزوجة متعة داخلة في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زوجة حقيقة ، لها من الأحكام ما للزوجة الدائمة إلاّ ما استثني بالدليل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وانتفاء بعض الأحكام أو تخصيصها في مورد المؤقتة ، لا يسلب عنها عنوان الزوجيّة ، وسيوافيك انّ الدائمة أيضا تبين أحيانا بلا طلاق ، أو لا ترث أو لا يرثها زوجها ، أو لا ينفق عليها فانتظر</w:t>
      </w:r>
      <w:r>
        <w:rPr>
          <w:rFonts w:eastAsia="Amiri" w:cs="Amiri" w:ascii="Amiri" w:hAnsi="Amiri"/>
          <w:color w:val="111111"/>
          <w:sz w:val="28"/>
          <w:szCs w:val="28"/>
          <w:rtl w:val="true"/>
          <w:lang w:bidi="ar-SA"/>
        </w:rPr>
        <w:t xml:space="preserve">. </w:t>
      </w:r>
      <w:bookmarkStart w:id="911" w:name="pg10144_71679"/>
    </w:p>
    <w:p>
      <w:pPr>
        <w:pStyle w:val="Heading4"/>
        <w:numPr>
          <w:ilvl w:val="3"/>
          <w:numId w:val="1"/>
        </w:numPr>
        <w:rPr/>
      </w:pPr>
      <w:bookmarkStart w:id="912" w:name="__RefHeading___Toc1166049_1067777946"/>
      <w:bookmarkStart w:id="913" w:name="_Toc332"/>
      <w:bookmarkEnd w:id="911"/>
      <w:bookmarkEnd w:id="912"/>
      <w:r>
        <w:rPr/>
        <w:t>2</w:t>
      </w:r>
      <w:r>
        <w:rPr>
          <w:rtl w:val="true"/>
        </w:rPr>
        <w:t xml:space="preserve">. </w:t>
      </w:r>
      <w:r>
        <w:rPr>
          <w:rtl w:val="true"/>
        </w:rPr>
        <w:t>الزواج المؤقت في صدر الإسلام</w:t>
      </w:r>
      <w:bookmarkEnd w:id="913"/>
    </w:p>
    <w:p>
      <w:pPr>
        <w:pStyle w:val="BookText"/>
        <w:rPr/>
      </w:pPr>
      <w:r>
        <w:rPr>
          <w:rFonts w:ascii="Amiri" w:hAnsi="Amiri" w:eastAsia="Amiri" w:cs="Amiri"/>
          <w:color w:val="111111"/>
          <w:sz w:val="28"/>
          <w:sz w:val="28"/>
          <w:szCs w:val="28"/>
          <w:rtl w:val="true"/>
          <w:lang w:bidi="ar-SA"/>
        </w:rPr>
        <w:t xml:space="preserve">بزغت شمس الإسلام وكانت المتعة أمرا رائجا بين الناس غير انّ الإسلام حدّ لها حدودا وجعل لها شروطا كما مرّ ، ويكفيك في ذلك دراسة تاريخها وذلك بملاحظة 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ابن أبي حاتم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متعة النساء في أوّل الإسلام ، كان الرجل يقدم البلدة ليس معه من يصلح له ضيعته ولا يحفظ متاعه ، فيتزوج المرأة إلى قدر ما يرى أنّه يفرغ من حاجته ، فتنظر له متاعه وتصلح له ضيعته</w:t>
      </w:r>
      <w:r>
        <w:rPr>
          <w:rFonts w:eastAsia="Amiri" w:cs="Amiri" w:ascii="Amiri" w:hAnsi="Amiri"/>
          <w:color w:val="111111"/>
          <w:sz w:val="28"/>
          <w:szCs w:val="28"/>
          <w:rtl w:val="true"/>
          <w:lang w:bidi="ar-SA"/>
        </w:rPr>
        <w:t xml:space="preserve">. </w:t>
      </w:r>
      <w:r>
        <w:rPr>
          <w:rStyle w:val="FootnoteAnchor"/>
          <w:rtl w:val="true"/>
        </w:rPr>
        <w:footnoteReference w:id="9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الطبراني والبيهقي في سننه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المتعة في أوّل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الرجل يقدم البلدة ليس له بها معرفة فيتزوج بقدر ما يرى أنّه يفرغ من حاجته لتحفظ متاعه وتصلح له شأنه</w:t>
      </w:r>
      <w:r>
        <w:rPr>
          <w:rFonts w:eastAsia="Amiri" w:cs="Amiri" w:ascii="Amiri" w:hAnsi="Amiri"/>
          <w:color w:val="111111"/>
          <w:sz w:val="28"/>
          <w:szCs w:val="28"/>
          <w:rtl w:val="true"/>
          <w:lang w:bidi="ar-SA"/>
        </w:rPr>
        <w:t xml:space="preserve">. </w:t>
      </w:r>
      <w:r>
        <w:rPr>
          <w:rStyle w:val="FootnoteAnchor"/>
          <w:rtl w:val="true"/>
        </w:rPr>
        <w:footnoteReference w:id="9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عبد الرزاق وابن أبي شيبة والبخاري ومسلم 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نغزو مع رسول الله صلى الله عليه وآله وسلم وليس معنا نساؤنا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نستخصي؟ فنهانا عن ذلك ورخص لنا أن نتزوج المرأة بالثوب إلى أجل ، ثمّ قرأ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w:t>
      </w:r>
    </w:p>
    <w:p>
      <w:pPr>
        <w:pStyle w:val="BookText"/>
        <w:rPr/>
      </w:pPr>
      <w:r>
        <w:rPr>
          <w:rFonts w:ascii="Amiri" w:hAnsi="Amiri" w:eastAsia="Amiri" w:cs="Amiri"/>
          <w:color w:val="111111"/>
          <w:sz w:val="28"/>
          <w:sz w:val="28"/>
          <w:szCs w:val="28"/>
          <w:rtl w:val="true"/>
          <w:lang w:bidi="ar-SA"/>
        </w:rPr>
        <w:t xml:space="preserve">لا تُحَرِّمُوا طَيِّباتِ ما أَحَلَّ اللهُ لَكُمْ </w:t>
      </w:r>
      <w:r>
        <w:rPr>
          <w:rFonts w:eastAsia="Amiri" w:cs="Amiri" w:ascii="Amiri" w:hAnsi="Amiri"/>
          <w:color w:val="111111"/>
          <w:sz w:val="28"/>
          <w:szCs w:val="28"/>
          <w:rtl w:val="true"/>
          <w:lang w:bidi="ar-SA"/>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عبد الرزاق وأحمد ومسلم عن سبرة الجهني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لنا رسول الله عام فتح مكة في متعة النساء فخرجت أنا ورجل من قومي ولي عليه فضل في الجمال وهو قريب من الدمامة</w:t>
      </w:r>
      <w:r>
        <w:rPr>
          <w:rFonts w:eastAsia="Amiri" w:cs="Amiri" w:ascii="Amiri" w:hAnsi="Amiri"/>
          <w:color w:val="111111"/>
          <w:sz w:val="28"/>
          <w:szCs w:val="28"/>
          <w:rtl w:val="true"/>
          <w:lang w:bidi="ar-SA"/>
        </w:rPr>
        <w:t xml:space="preserve">. </w:t>
      </w:r>
      <w:r>
        <w:rPr>
          <w:rStyle w:val="FootnoteAnchor"/>
          <w:rtl w:val="true"/>
        </w:rPr>
        <w:footnoteReference w:id="92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البخاري في صحيحه بسنده عن جابر بن عبد الله وسلمة بن الأكوع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جيش فأتانا رسول الله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أذن لكم أن تستمتعوا فاستمتعوا</w:t>
      </w:r>
      <w:r>
        <w:rPr>
          <w:rFonts w:eastAsia="Amiri" w:cs="Amiri" w:ascii="Amiri" w:hAnsi="Amiri"/>
          <w:color w:val="111111"/>
          <w:sz w:val="28"/>
          <w:szCs w:val="28"/>
          <w:rtl w:val="true"/>
          <w:lang w:bidi="ar-SA"/>
        </w:rPr>
        <w:t xml:space="preserve">. </w:t>
      </w:r>
      <w:r>
        <w:rPr>
          <w:rStyle w:val="FootnoteAnchor"/>
          <w:rtl w:val="true"/>
        </w:rPr>
        <w:footnoteReference w:id="92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مسلم في صحيحه 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منادي رسول الله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قد أذن لكم أن تستمتعوا ، يعني متعة النساء</w:t>
      </w:r>
      <w:r>
        <w:rPr>
          <w:rFonts w:eastAsia="Amiri" w:cs="Amiri" w:ascii="Amiri" w:hAnsi="Amiri"/>
          <w:color w:val="111111"/>
          <w:sz w:val="28"/>
          <w:szCs w:val="28"/>
          <w:rtl w:val="true"/>
          <w:lang w:bidi="ar-SA"/>
        </w:rPr>
        <w:t xml:space="preserve">. </w:t>
      </w:r>
      <w:r>
        <w:rPr>
          <w:rStyle w:val="FootnoteAnchor"/>
          <w:rtl w:val="true"/>
        </w:rPr>
        <w:footnoteReference w:id="92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مسلم في صحيحه أيضا بسنده عن سلمة بن الأكوع ، وجابر بن عبد الله انّ رسول الله صلى الله عليه وآله وسلم أتانا فأذن لنا في المتعة</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والأحاديث الأخيرة ـ بشهادة ما تقدّمها ـ تكشف عن كون الاستمتاع بالمرأة في ظروف خاصة لغايات عقلائية كان أمرا معروفا ، والنبي صلى الله عليه وآله وسلم أرشد بإذنه إليه لا انّه صلى الله عليه وآله وسلم ابتكره</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مثل هذا الزواج أمرا رائجا بين الناس في عصر الرسالة فلا منتدح للشارع عن التعرض له من خلال الإمضاء أو الرد ولا يصحّ غض النظر عنه ، بعد عدم كونها من قبيل السفاح ، وإلاّ فمن المستحيل أن يحلله النبي ولو في فترة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اللهَ لا يَأْمُرُ بِالْفَحْشاءِ أَتَقُولُونَ عَلَى اللهِ ما لا تَعْلَمُونَ </w:t>
      </w:r>
      <w:r>
        <w:rPr>
          <w:rFonts w:eastAsia="Amiri" w:cs="Amiri" w:ascii="Amiri" w:hAnsi="Amiri"/>
          <w:color w:val="111111"/>
          <w:sz w:val="28"/>
          <w:szCs w:val="28"/>
          <w:rtl w:val="true"/>
          <w:lang w:bidi="ar-SA"/>
        </w:rPr>
        <w:t xml:space="preserve">). </w:t>
      </w:r>
      <w:r>
        <w:rPr>
          <w:rStyle w:val="FootnoteAnchor"/>
          <w:rtl w:val="true"/>
        </w:rPr>
        <w:footnoteReference w:id="927"/>
      </w:r>
      <w:bookmarkStart w:id="914" w:name="pg10144_71681"/>
    </w:p>
    <w:p>
      <w:pPr>
        <w:pStyle w:val="Heading4"/>
        <w:numPr>
          <w:ilvl w:val="3"/>
          <w:numId w:val="1"/>
        </w:numPr>
        <w:rPr/>
      </w:pPr>
      <w:bookmarkStart w:id="915" w:name="__RefHeading___Toc1166051_1067777946"/>
      <w:bookmarkStart w:id="916" w:name="_Toc333"/>
      <w:bookmarkEnd w:id="914"/>
      <w:bookmarkEnd w:id="915"/>
      <w:r>
        <w:rPr/>
        <w:t>3</w:t>
      </w:r>
      <w:r>
        <w:rPr>
          <w:rtl w:val="true"/>
        </w:rPr>
        <w:t xml:space="preserve">. </w:t>
      </w:r>
      <w:r>
        <w:rPr>
          <w:rtl w:val="true"/>
        </w:rPr>
        <w:t>الزواج المؤقت</w:t>
      </w:r>
      <w:bookmarkEnd w:id="916"/>
    </w:p>
    <w:p>
      <w:pPr>
        <w:pStyle w:val="Heading5"/>
        <w:numPr>
          <w:ilvl w:val="4"/>
          <w:numId w:val="1"/>
        </w:numPr>
        <w:rPr/>
      </w:pPr>
      <w:bookmarkStart w:id="917" w:name="__RefHeading___Toc1166053_1067777946"/>
      <w:bookmarkStart w:id="918" w:name="_Toc334"/>
      <w:bookmarkEnd w:id="917"/>
      <w:r>
        <w:rPr>
          <w:rtl w:val="true"/>
        </w:rPr>
        <w:t>في الذكر الحكيم</w:t>
      </w:r>
      <w:bookmarkEnd w:id="918"/>
    </w:p>
    <w:p>
      <w:pPr>
        <w:pStyle w:val="BookText"/>
        <w:rPr/>
      </w:pPr>
      <w:r>
        <w:rPr>
          <w:rFonts w:ascii="Amiri" w:hAnsi="Amiri" w:eastAsia="Amiri" w:cs="Amiri"/>
          <w:color w:val="111111"/>
          <w:sz w:val="28"/>
          <w:sz w:val="28"/>
          <w:szCs w:val="28"/>
          <w:rtl w:val="true"/>
          <w:lang w:bidi="ar-SA"/>
        </w:rPr>
        <w:t xml:space="preserve">قد سبق انّ المتعة كانت أمرا رائجا بين الناس وانّه لا محيص للشارع من بيان حكمها إمضاء أو ردّا ، ومن حسن الحظ انّ الذكر الحكيم حسب نظر مشاهير المفسرين تعرض لها بالإمضاء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ادّعى بعضهم كونها منسوخة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قوله سبحانه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أُمَّهاتُكُمْ وَبَناتُكُمْ وَأَخَواتُكُمْ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إلى أن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تَجْمَعُوا بَيْنَ الْأُخْتَيْنِ إِلاَّ ما قَدْ سَلَفَ إِنَّ اللهَ كانَ غَفُوراً رَحِيماً </w:t>
      </w:r>
      <w:r>
        <w:rPr>
          <w:rFonts w:eastAsia="Amiri" w:cs="Amiri" w:ascii="Amiri" w:hAnsi="Amiri"/>
          <w:color w:val="111111"/>
          <w:sz w:val="28"/>
          <w:szCs w:val="28"/>
          <w:rtl w:val="true"/>
          <w:lang w:bidi="ar-SA"/>
        </w:rPr>
        <w:t xml:space="preserve">). </w:t>
      </w:r>
      <w:r>
        <w:rPr>
          <w:rStyle w:val="FootnoteAnchor"/>
          <w:rtl w:val="true"/>
        </w:rPr>
        <w:footnoteReference w:id="9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وَالْمُحْصَناتُ مِنَ النِّساءِ إِلاَّ ما مَلَكَتْ أَيْمانُكُمْ كِتابَ اللهِ عَلَيْكُمْ وَأُحِلَّ لَكُمْ ما وَراءَ ذلِكُمْ أَنْ تَبْتَغُوا بِأَمْوالِكُمْ مُحْصِنِينَ غَيْرَ مُسافِحِينَ فَمَا اسْتَمْتَعْتُمْ بِهِ مِنْهُنَّ فَآتُوهُنَّ أُجُورَهُنَّ فَرِيضَةً وَلا جُناحَ عَلَيْكُمْ فِيما تَراضَيْتُمْ بِهِ مِنْ بَعْدِ الْفَرِيضَةِ إِنَّ اللهَ كانَ عَلِيماً حَكِيماً </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يَسْتَطِعْ مِنْكُمْ طَوْلاً أَنْ يَنْكِحَ الْمُحْصَناتِ الْمُؤْمِناتِ فَمِنْ ما </w:t>
      </w:r>
      <w:bookmarkStart w:id="919" w:name="pg10144_71682"/>
    </w:p>
    <w:p>
      <w:pPr>
        <w:pStyle w:val="BookText"/>
        <w:rPr/>
      </w:pPr>
      <w:bookmarkEnd w:id="919"/>
      <w:r>
        <w:rPr>
          <w:rFonts w:ascii="Amiri" w:hAnsi="Amiri" w:eastAsia="Amiri" w:cs="Amiri"/>
          <w:color w:val="111111"/>
          <w:sz w:val="28"/>
          <w:sz w:val="28"/>
          <w:szCs w:val="28"/>
          <w:rtl w:val="true"/>
          <w:lang w:bidi="ar-SA"/>
        </w:rPr>
        <w:t xml:space="preserve">مَلَكَتْ أَيْمانُكُمْ مِنْ فَتَياتِكُمُ الْمُؤْمِناتِ </w:t>
      </w:r>
      <w:r>
        <w:rPr>
          <w:rFonts w:eastAsia="Amiri" w:cs="Amiri" w:ascii="Amiri" w:hAnsi="Amiri"/>
          <w:color w:val="111111"/>
          <w:sz w:val="28"/>
          <w:szCs w:val="28"/>
          <w:rtl w:val="true"/>
          <w:lang w:bidi="ar-SA"/>
        </w:rPr>
        <w:t xml:space="preserve">). </w:t>
      </w:r>
      <w:r>
        <w:rPr>
          <w:rStyle w:val="FootnoteAnchor"/>
          <w:rtl w:val="true"/>
        </w:rPr>
        <w:footnoteReference w:id="930"/>
      </w:r>
    </w:p>
    <w:p>
      <w:pPr>
        <w:pStyle w:val="Heading5"/>
        <w:numPr>
          <w:ilvl w:val="4"/>
          <w:numId w:val="1"/>
        </w:numPr>
        <w:rPr/>
      </w:pPr>
      <w:bookmarkStart w:id="920" w:name="__RefHeading___Toc1166055_1067777946"/>
      <w:bookmarkStart w:id="921" w:name="_Toc335"/>
      <w:bookmarkEnd w:id="920"/>
      <w:r>
        <w:rPr>
          <w:rtl w:val="true"/>
        </w:rPr>
        <w:t>تفسير الآيات الثلاث</w:t>
      </w:r>
      <w:bookmarkEnd w:id="921"/>
    </w:p>
    <w:p>
      <w:pPr>
        <w:pStyle w:val="BookText"/>
        <w:rPr/>
      </w:pPr>
      <w:r>
        <w:rPr>
          <w:rFonts w:ascii="Amiri" w:hAnsi="Amiri" w:eastAsia="Amiri" w:cs="Amiri"/>
          <w:color w:val="111111"/>
          <w:sz w:val="28"/>
          <w:sz w:val="28"/>
          <w:szCs w:val="28"/>
          <w:rtl w:val="true"/>
          <w:lang w:bidi="ar-SA"/>
        </w:rPr>
        <w:t>هذه الآيات الثلاث تحدد ما هو الحرام والحلال في أمر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الآية الأولى وشيء من صدر الآية الثانية يبيّن ما هو الحرام من نكاح النساء وهو عبارة عن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الأمّهات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البنات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الأخوات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العمّات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الخالات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الأخ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الأخت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الأمّهات المرضعة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الأخوات من الرضاعة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أمّهات النساء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الربائب التي دخل بأمّهاتهن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حلائل الأبناء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الأختين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المتزوجات ، وقد أشار إلى الأخير في أوائل الآية الثانية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وَالْمُحْصَناتُ مِنَ النِّساءِ إِلاَّ ما مَلَكَتْ أَيْمانُكُمْ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والمحصنات جمع المحصنة وهي المتزوجة فهي محرمة لمكان زوجها إلاّ صورة واحدة أخرجت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ما مَلَكَتْ أَيْمانُكُمْ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هو المراد من هذا الاستثناء ففيه خلاف بين المفسرين فليرجع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تمّ بيان ما هو الحرام من نكاح النساء وقد أنهاها التشريع القرآني إلى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وبه تمّ تفسير الآية الأولى وجزء من الآية الثانية التي عطف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الأزواج إلى المحرمات</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بقية الآية فقد ابتدأ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لَكُمْ ما وَراءَ ذلِكُمْ أَنْ تَبْتَغُوا بِأَمْوالِكُمْ مُحْصِنِينَ غَيْرَ مُسافِحِينَ فَمَا اسْتَمْتَعْتُمْ بِهِ مِنْهُنَّ فَآتُوهُنَّ أُجُورَهُنَّ فَرِيضَةً وَلا جُناحَ </w:t>
      </w:r>
    </w:p>
    <w:p>
      <w:pPr>
        <w:pStyle w:val="BookText"/>
        <w:rPr/>
      </w:pPr>
      <w:r>
        <w:rPr>
          <w:rFonts w:ascii="Amiri" w:hAnsi="Amiri" w:eastAsia="Amiri" w:cs="Amiri"/>
          <w:color w:val="111111"/>
          <w:sz w:val="28"/>
          <w:sz w:val="28"/>
          <w:szCs w:val="28"/>
          <w:rtl w:val="true"/>
          <w:lang w:bidi="ar-SA"/>
        </w:rPr>
        <w:t xml:space="preserve">عَلَيْكُمْ فِيما تَراضَيْتُمْ بِهِ مِنْ بَعْدِ الْفَرِيضَةِ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فلنأخذ بتفسيرها ضمن مقاطع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لَكُمْ ما وَراءَ ذلِكُمْ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من الموصول هو النساء غير المذكورات ولا غرو في استعمال ما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فَانْكِحُوا ما طابَ لَكُمْ مِنَ النِّساءِ مَثْنى وَثُلاثَ وَرُباعَ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قوله ذلكم مركّب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للإشارة إلى ما سبق والثاني خطاب للمؤمنين كافة ، والمراد أحل لكم ما وراء المذكورات من النساء أيّها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هو الوجه في 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فليطلب من محلّه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تَبْتَغُوا بِأَمْوالِكُمْ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بدل البعض من الكل أو عطف بيان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 ذلِكُمْ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حذف مفعوله ، ولعله نكاح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تبتغوا بأموالكم نكاح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تقدير فالجملة تبين الطريق المشروع في نكاح النساء غير المذكورات وانّه يجوز لكم نكاح النساء بصرف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ومصاديقه في بادي النظر تنحصر في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بأجرة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السفاح وهو الزنا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مُحْصِنِينَ غَيْرَ مُسافِحِينَ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أن تطلبوا بأموالكم نكاح النساء في حال انّكم تريدون العفة لا السفاح والزنا ومعنى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متعفّفين ، لا زانين وبذلك حرم القسم الثالث ، وانّه ليس للمسلم أن يبتغي بأمواله مباشرة النساء عن طريق السفاح والزنا</w:t>
      </w:r>
      <w:r>
        <w:rPr>
          <w:rFonts w:eastAsia="Amiri" w:cs="Amiri" w:ascii="Amiri" w:hAnsi="Amiri"/>
          <w:color w:val="111111"/>
          <w:sz w:val="28"/>
          <w:szCs w:val="28"/>
          <w:rtl w:val="true"/>
          <w:lang w:bidi="ar-SA"/>
        </w:rPr>
        <w:t>.</w:t>
      </w:r>
      <w:bookmarkStart w:id="922" w:name="pg10144_71684"/>
    </w:p>
    <w:p>
      <w:pPr>
        <w:pStyle w:val="BookText"/>
        <w:rPr/>
      </w:pPr>
      <w:bookmarkEnd w:id="922"/>
      <w:r>
        <w:rPr>
          <w:rFonts w:ascii="Amiri" w:hAnsi="Amiri" w:eastAsia="Amiri" w:cs="Amiri"/>
          <w:color w:val="111111"/>
          <w:sz w:val="28"/>
          <w:sz w:val="28"/>
          <w:szCs w:val="28"/>
          <w:rtl w:val="true"/>
          <w:lang w:bidi="ar-SA"/>
        </w:rPr>
        <w:t>وتنحصر الحلية في القسمين الآخرين وهو نكاح الحرة ونكاح الأمة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فَآتُوهُنَّ أُجُورَهُنَّ فَرِيضَةً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المقطع يشير إلى نكاح الحرة كما أنّ الآية الثالثة تشير إلى نكاح الإماء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وبما انّ نكاح الأمّة خارج عن محط البحث لا نذكر فيه شيئا ، فالمهم هو تفسير ما يرجع إلى نكاح الحرائر الوارد في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فَآتُوهُنَّ أُجُورَهُنَ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المقطع من الآية هو بيت القصيد في المقام من دون فرق بين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استمتعتم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أو موصولة عائدها هو الضمير في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 يقع الكلام في أنّ المراد منه هو النكاح الدائم أو النكاح المؤقت ، والإمعان في القرائن الخارجية والقرائن المحتفة بالآية يعين الثاني ولا يبقى مجال لإرادة المعنى الأوّل وإليك القرائن المعينة للمقصود</w:t>
      </w:r>
      <w:r>
        <w:rPr>
          <w:rFonts w:eastAsia="Amiri" w:cs="Amiri" w:ascii="Amiri" w:hAnsi="Amiri"/>
          <w:color w:val="111111"/>
          <w:sz w:val="28"/>
          <w:szCs w:val="28"/>
          <w:rtl w:val="true"/>
          <w:lang w:bidi="ar-SA"/>
        </w:rPr>
        <w:t>.</w:t>
      </w:r>
    </w:p>
    <w:p>
      <w:pPr>
        <w:pStyle w:val="Heading5"/>
        <w:numPr>
          <w:ilvl w:val="4"/>
          <w:numId w:val="1"/>
        </w:numPr>
        <w:rPr/>
      </w:pPr>
      <w:bookmarkStart w:id="923" w:name="__RefHeading___Toc1166057_1067777946"/>
      <w:bookmarkStart w:id="924" w:name="_Toc336"/>
      <w:bookmarkEnd w:id="923"/>
      <w:r>
        <w:rPr>
          <w:rtl w:val="true"/>
        </w:rPr>
        <w:t xml:space="preserve">القرينة الأولى </w:t>
      </w:r>
      <w:r>
        <w:rPr>
          <w:rtl w:val="true"/>
        </w:rPr>
        <w:t xml:space="preserve">: </w:t>
      </w:r>
      <w:r>
        <w:rPr>
          <w:rtl w:val="true"/>
        </w:rPr>
        <w:t>الاستمتاع هو عقد المتعة</w:t>
      </w:r>
      <w:bookmarkEnd w:id="924"/>
    </w:p>
    <w:p>
      <w:pPr>
        <w:pStyle w:val="BookText"/>
        <w:rPr/>
      </w:pPr>
      <w:r>
        <w:rPr>
          <w:rFonts w:ascii="Amiri" w:hAnsi="Amiri" w:eastAsia="Amiri" w:cs="Amiri"/>
          <w:color w:val="111111"/>
          <w:sz w:val="28"/>
          <w:sz w:val="28"/>
          <w:szCs w:val="28"/>
          <w:rtl w:val="true"/>
          <w:lang w:bidi="ar-SA"/>
        </w:rPr>
        <w:t xml:space="preserve">إنّ لفظ الاستمتاع ـ يوم نزول الآية ـ كان منصرفا إلى عقد المتعة والزواج المؤقت على النحو الذي مرّ في أوّل البحث لا التلذذ والجماع وإن كان يطلق عليه أيضا كقوله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اسْتَمْتَعَ بَعْضُنا بِبَعْضٍ </w:t>
      </w:r>
      <w:r>
        <w:rPr>
          <w:rFonts w:eastAsia="Amiri" w:cs="Amiri" w:ascii="Amiri" w:hAnsi="Amiri"/>
          <w:color w:val="111111"/>
          <w:sz w:val="28"/>
          <w:szCs w:val="28"/>
          <w:rtl w:val="true"/>
          <w:lang w:bidi="ar-SA"/>
        </w:rPr>
        <w:t xml:space="preserve">) </w:t>
      </w:r>
      <w:r>
        <w:rPr>
          <w:rStyle w:val="FootnoteAnchor"/>
          <w:rtl w:val="true"/>
        </w:rPr>
        <w:footnoteReference w:id="931"/>
      </w:r>
      <w:r>
        <w:rPr>
          <w:rFonts w:ascii="Amiri" w:hAnsi="Amiri" w:eastAsia="Amiri" w:cs="Amiri"/>
          <w:color w:val="111111"/>
          <w:sz w:val="28"/>
          <w:sz w:val="28"/>
          <w:szCs w:val="28"/>
          <w:rtl w:val="true"/>
          <w:lang w:bidi="ar-SA"/>
        </w:rPr>
        <w:t xml:space="preserve">ويرشدك إلى ما ذكرناه أمران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تعابير الصحابة حيث يعبرون عن نكاح المتعة 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الاستمتاع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مسلم في صحيحه عن جابر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نستمتع بالقبضة من التمر والدقيق الأيام على عهد رسول الله وأبي بكر حتّى ـ ثمة ـ نهى عنه عمر</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 xml:space="preserve">أخرج مالك عن عروة بن الزبير انّ خولة بنت حكيم دخلت على عمر بن الخطاب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ربيعة بن أمية استمتع بامرأة مولّدة فحملت منه ، فخرج عمر يجرّ رداءه فزعا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المتعة لو كنت تقدمت فيه لرجمته</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إلى غير ذلك من الروايات والآثار التي ورد فيها الاستمتاع بصورها المختلفة وأريد به نكاح المتعة والعقد على امرأة بأجل مسمّى وأجرة مسمّاة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المراد من الاستمتاع في الآية هو العقد لا الاستمتاع بمعنى الانتفاع والتلذذ ، بشهادة ترتب دفع الأجرة على الاستمتاع ترتّب الجزاء على الشرط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فَآتُوهُنَّ أُجُورَهُنَ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أريد من الاستمتاع هو العقد لصحّ الترتب ، لأنّ المهر كلّه يجب بمجرد العقد غاية الأمر يسقط النصف بالطلاق قبل الدخول في العقد الدائم وبانقضاء المدة قبله في المؤقت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أريد من الاستمتاع هو التلذذ والانتفاع فلا يصحّ الترتب ، لأنّ الأجرة تلزم على الزوج قبل الاستمتاع ، فالزوج يكون مكلّفا بدفع المهر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 هناك تلذذ أو لا ، كلّ ذلك يؤيد على أنّ المراد من الاستمتاع هو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 الاستمتاع ، والتمتع وإن كان في الأصل واقعا على الانتفاع والالتذاذ ، فقد صار بعرف الشرع مخصوصا بهذا العقد المعيّن ، لا سيما إذا أضيف إلى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يكون معناه فمتى عقّدتم عليهن هذا العقد المسمّى متعة فآتوهن أجورهن</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ذلك انّ الله علّق وجوب عطاء المهر بالاستمتاع وذلك يقتضي أن يكون معناه ، هذا العقد المخصوص دون الجماع والاستلذاذ ، لأنّ المهر لا يجب إلاّ بالعقد</w:t>
      </w:r>
      <w:r>
        <w:rPr>
          <w:rFonts w:eastAsia="Amiri" w:cs="Amiri" w:ascii="Amiri" w:hAnsi="Amiri"/>
          <w:color w:val="111111"/>
          <w:sz w:val="28"/>
          <w:szCs w:val="28"/>
          <w:rtl w:val="true"/>
          <w:lang w:bidi="ar-SA"/>
        </w:rPr>
        <w:t xml:space="preserve">. </w:t>
      </w:r>
      <w:r>
        <w:rPr>
          <w:rStyle w:val="FootnoteAnchor"/>
          <w:rtl w:val="true"/>
        </w:rPr>
        <w:footnoteReference w:id="934"/>
      </w:r>
      <w:bookmarkStart w:id="925" w:name="pg10144_71686"/>
    </w:p>
    <w:p>
      <w:pPr>
        <w:pStyle w:val="BookText"/>
        <w:rPr/>
      </w:pPr>
      <w:bookmarkEnd w:id="925"/>
      <w:r>
        <w:rPr>
          <w:rFonts w:ascii="Amiri" w:hAnsi="Amiri" w:eastAsia="Amiri" w:cs="Amiri"/>
          <w:color w:val="111111"/>
          <w:sz w:val="28"/>
          <w:sz w:val="28"/>
          <w:szCs w:val="28"/>
          <w:rtl w:val="true"/>
          <w:lang w:bidi="ar-SA"/>
        </w:rPr>
        <w:t xml:space="preserve">ولعلّ الزمخشري وقف على أنّ وجوب المهر لا يتوقف على الاستمتاع ، عطف العقد على الجماع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 المنكوحات من جماع أو خلوة صحيحة أو عقد عليهن </w:t>
      </w:r>
      <w:r>
        <w:rPr>
          <w:rFonts w:eastAsia="Amiri" w:cs="Amiri" w:ascii="Amiri" w:hAnsi="Amiri"/>
          <w:color w:val="111111"/>
          <w:sz w:val="28"/>
          <w:szCs w:val="28"/>
          <w:rtl w:val="true"/>
          <w:lang w:bidi="ar-SA"/>
        </w:rPr>
        <w:t xml:space="preserve">». </w:t>
      </w:r>
      <w:r>
        <w:rPr>
          <w:rStyle w:val="FootnoteAnchor"/>
          <w:rtl w:val="true"/>
        </w:rPr>
        <w:footnoteReference w:id="935"/>
      </w:r>
    </w:p>
    <w:p>
      <w:pPr>
        <w:pStyle w:val="Heading5"/>
        <w:numPr>
          <w:ilvl w:val="4"/>
          <w:numId w:val="1"/>
        </w:numPr>
        <w:rPr/>
      </w:pPr>
      <w:bookmarkStart w:id="926" w:name="__RefHeading___Toc1166059_1067777946"/>
      <w:bookmarkStart w:id="927" w:name="_Toc337"/>
      <w:bookmarkEnd w:id="926"/>
      <w:r>
        <w:rPr>
          <w:rtl w:val="true"/>
        </w:rPr>
        <w:t xml:space="preserve">القرينة الثانية </w:t>
      </w:r>
      <w:r>
        <w:rPr>
          <w:rtl w:val="true"/>
        </w:rPr>
        <w:t xml:space="preserve">: </w:t>
      </w:r>
      <w:r>
        <w:rPr>
          <w:rtl w:val="true"/>
        </w:rPr>
        <w:t>الحمل على المتعة يستلزم التكرار</w:t>
      </w:r>
      <w:bookmarkEnd w:id="927"/>
    </w:p>
    <w:p>
      <w:pPr>
        <w:pStyle w:val="BookText"/>
        <w:rPr/>
      </w:pPr>
      <w:r>
        <w:rPr>
          <w:rFonts w:ascii="Amiri" w:hAnsi="Amiri" w:eastAsia="Amiri" w:cs="Amiri"/>
          <w:color w:val="111111"/>
          <w:sz w:val="28"/>
          <w:sz w:val="28"/>
          <w:szCs w:val="28"/>
          <w:rtl w:val="true"/>
          <w:lang w:bidi="ar-SA"/>
        </w:rPr>
        <w:t xml:space="preserve">يجب علينا إمعان النظر فيما تهدف إليه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فَآتُوهُنَّ أُجُورَهُنَ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هنا احتمالات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النكاح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دفع المهر بعد الاستمتاع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فالحمل عليه يوجب التكرار بلا وجه ، لأنّه سبحانه بيّن حكمه في الآية الثالثة من تلك السورة ،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خِفْتُمْ أَلاَّ تُقْسِطُوا فِي الْيَتامى فَانْكِحُوا ما طابَ لَكُمْ مِنَ النِّساءِ مَثْنى وَثُلاثَ وَرُباعَ فَإِنْ خِفْتُمْ أَلاَّ تَعْدِلُوا فَواحِدَةً </w:t>
      </w:r>
      <w:r>
        <w:rPr>
          <w:rFonts w:eastAsia="Amiri" w:cs="Amiri" w:ascii="Amiri" w:hAnsi="Amiri"/>
          <w:color w:val="111111"/>
          <w:sz w:val="28"/>
          <w:szCs w:val="28"/>
          <w:rtl w:val="true"/>
          <w:lang w:bidi="ar-SA"/>
        </w:rPr>
        <w:t xml:space="preserve">).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 xml:space="preserve">وأمّا الثاني فمثل الأوّل فقد بيّنه في الآية الرابعة من هذه السورة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وَآتُوا النِّساءَ صَدُقاتِهِنَّ نِحْلَةً </w:t>
      </w:r>
      <w:r>
        <w:rPr>
          <w:rFonts w:eastAsia="Amiri" w:cs="Amiri" w:ascii="Amiri" w:hAnsi="Amiri"/>
          <w:color w:val="111111"/>
          <w:sz w:val="28"/>
          <w:szCs w:val="28"/>
          <w:rtl w:val="true"/>
          <w:lang w:bidi="ar-SA"/>
        </w:rPr>
        <w:t xml:space="preserve">) </w:t>
      </w:r>
      <w:r>
        <w:rPr>
          <w:rStyle w:val="FootnoteAnchor"/>
          <w:rtl w:val="true"/>
        </w:rPr>
        <w:footnoteReference w:id="937"/>
      </w:r>
      <w:r>
        <w:rPr>
          <w:rFonts w:ascii="Amiri" w:hAnsi="Amiri" w:eastAsia="Amiri" w:cs="Amiri"/>
          <w:color w:val="111111"/>
          <w:sz w:val="28"/>
          <w:sz w:val="28"/>
          <w:szCs w:val="28"/>
          <w:rtl w:val="true"/>
          <w:lang w:bidi="ar-SA"/>
        </w:rPr>
        <w:t xml:space="preserve">بل بينه في آيتين أخريين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يَحِلُّ لَكُمْ أَنْ تَرِثُوا النِّساءَ كَرْهاً وَلا تَعْضُلُوهُنَّ لِتَذْهَبُوا بِبَعْضِ ما آتَيْتُمُوهُنَ </w:t>
      </w:r>
      <w:r>
        <w:rPr>
          <w:rFonts w:eastAsia="Amiri" w:cs="Amiri" w:ascii="Amiri" w:hAnsi="Amiri"/>
          <w:color w:val="111111"/>
          <w:sz w:val="28"/>
          <w:szCs w:val="28"/>
          <w:rtl w:val="true"/>
          <w:lang w:bidi="ar-SA"/>
        </w:rPr>
        <w:t xml:space="preserve">). </w:t>
      </w:r>
      <w:r>
        <w:rPr>
          <w:rStyle w:val="FootnoteAnchor"/>
          <w:rtl w:val="true"/>
        </w:rPr>
        <w:footnoteReference w:id="938"/>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أَرَدْتُمُ اسْتِبْدالَ زَوْجٍ مَكانَ زَوْجٍ وَآتَيْتُمْ إِحْداهُنَّ قِنْطاراً </w:t>
      </w:r>
      <w:bookmarkStart w:id="928" w:name="pg10144_71687"/>
    </w:p>
    <w:p>
      <w:pPr>
        <w:pStyle w:val="BookText"/>
        <w:rPr/>
      </w:pPr>
      <w:bookmarkEnd w:id="928"/>
      <w:r>
        <w:rPr>
          <w:rFonts w:ascii="Amiri" w:hAnsi="Amiri" w:eastAsia="Amiri" w:cs="Amiri"/>
          <w:color w:val="111111"/>
          <w:sz w:val="28"/>
          <w:sz w:val="28"/>
          <w:szCs w:val="28"/>
          <w:rtl w:val="true"/>
          <w:lang w:bidi="ar-SA"/>
        </w:rPr>
        <w:t xml:space="preserve">فَلا تَأْخُذُوا مِنْهُ شَيْئاً أَتَأْخُذُونَهُ بُهْتاناً وَإِثْماً مُبِيناً </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فلم يبق من الوجوه المحتملة التي تهدف إليها الجملة إلاّ نكاح المتعة</w:t>
      </w:r>
      <w:r>
        <w:rPr>
          <w:rFonts w:eastAsia="Amiri" w:cs="Amiri" w:ascii="Amiri" w:hAnsi="Amiri"/>
          <w:color w:val="111111"/>
          <w:sz w:val="28"/>
          <w:szCs w:val="28"/>
          <w:rtl w:val="true"/>
          <w:lang w:bidi="ar-SA"/>
        </w:rPr>
        <w:t>.</w:t>
      </w:r>
    </w:p>
    <w:p>
      <w:pPr>
        <w:pStyle w:val="Heading5"/>
        <w:numPr>
          <w:ilvl w:val="4"/>
          <w:numId w:val="1"/>
        </w:numPr>
        <w:rPr/>
      </w:pPr>
      <w:bookmarkStart w:id="929" w:name="__RefHeading___Toc1166061_1067777946"/>
      <w:bookmarkStart w:id="930" w:name="_Toc338"/>
      <w:bookmarkEnd w:id="929"/>
      <w:r>
        <w:rPr>
          <w:rtl w:val="true"/>
        </w:rPr>
        <w:t xml:space="preserve">القرينة الثالثة </w:t>
      </w:r>
      <w:r>
        <w:rPr>
          <w:rtl w:val="true"/>
        </w:rPr>
        <w:t xml:space="preserve">: </w:t>
      </w:r>
      <w:r>
        <w:rPr>
          <w:rtl w:val="true"/>
        </w:rPr>
        <w:t>الجملتان المتقدّمتان</w:t>
      </w:r>
      <w:bookmarkEnd w:id="930"/>
    </w:p>
    <w:p>
      <w:pPr>
        <w:pStyle w:val="BookText"/>
        <w:rPr/>
      </w:pPr>
      <w:r>
        <w:rPr>
          <w:rFonts w:ascii="Amiri" w:hAnsi="Amiri" w:eastAsia="Amiri" w:cs="Amiri"/>
          <w:color w:val="111111"/>
          <w:sz w:val="28"/>
          <w:sz w:val="28"/>
          <w:szCs w:val="28"/>
          <w:rtl w:val="true"/>
          <w:lang w:bidi="ar-SA"/>
        </w:rPr>
        <w:t xml:space="preserve">إنّ في الجملتين المتقدّمتين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تَبْتَغُوا بِأَمْوالِكُمْ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مُحْصِنِينَ غَيْرَ مُسافِحِينَ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 إلى الزواج المؤقت وانّ المراد من الاستمتاع هو نكاح المتعة والعقد على المتمتع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الجملة الأولى فتدلّ على أنّها بصدد بيان النكاح الذي يبتغى بالأموال على نحو يكون فيه للمال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كبير ، بحيث لولاه لبطل ، وليس هو إلاّ نكاح المتعة الذي عرف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أجل مسمّى وأجر 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فالأجر في نكاح المتعة ركن ولولاه لبطل </w:t>
      </w:r>
      <w:r>
        <w:rPr>
          <w:rStyle w:val="FootnoteAnchor"/>
          <w:rtl w:val="true"/>
        </w:rPr>
        <w:footnoteReference w:id="940"/>
      </w:r>
      <w:r>
        <w:rPr>
          <w:rFonts w:ascii="Amiri" w:hAnsi="Amiri" w:eastAsia="Amiri" w:cs="Amiri"/>
          <w:color w:val="111111"/>
          <w:sz w:val="28"/>
          <w:sz w:val="28"/>
          <w:szCs w:val="28"/>
          <w:rtl w:val="true"/>
          <w:lang w:bidi="ar-SA"/>
        </w:rPr>
        <w:t xml:space="preserve">بخلاف النكاح الدائم إذ لا يجب فيه ذكره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جُناحَ عَلَيْكُمْ إِنْ طَلَّقْتُمُ النِّساءَ ما لَمْ تَمَسُّوهُنَّ أَوْ تَفْرِضُوا لَهُنَّ فَرِيضَةً </w:t>
      </w:r>
      <w:r>
        <w:rPr>
          <w:rFonts w:eastAsia="Amiri" w:cs="Amiri" w:ascii="Amiri" w:hAnsi="Amiri"/>
          <w:color w:val="111111"/>
          <w:sz w:val="28"/>
          <w:szCs w:val="28"/>
          <w:rtl w:val="true"/>
          <w:lang w:bidi="ar-SA"/>
        </w:rPr>
        <w:t xml:space="preserve">) </w:t>
      </w:r>
      <w:r>
        <w:rPr>
          <w:rStyle w:val="FootnoteAnchor"/>
          <w:rtl w:val="true"/>
        </w:rPr>
        <w:footnoteReference w:id="941"/>
      </w:r>
      <w:r>
        <w:rPr>
          <w:rFonts w:ascii="Amiri" w:hAnsi="Amiri" w:eastAsia="Amiri" w:cs="Amiri"/>
          <w:color w:val="111111"/>
          <w:sz w:val="28"/>
          <w:sz w:val="28"/>
          <w:szCs w:val="28"/>
          <w:rtl w:val="true"/>
          <w:lang w:bidi="ar-SA"/>
        </w:rPr>
        <w:t>ولذلك قالوا يستحبّ أن لا يعرى النكاح عن تسمية الصداق ، لأنّ النبي كان يزوّج بناته وغيرهن ويتزوج فلم يكن يخلي ذلك من صداق</w:t>
      </w:r>
      <w:r>
        <w:rPr>
          <w:rFonts w:eastAsia="Amiri" w:cs="Amiri" w:ascii="Amiri" w:hAnsi="Amiri"/>
          <w:color w:val="111111"/>
          <w:sz w:val="28"/>
          <w:szCs w:val="28"/>
          <w:rtl w:val="true"/>
          <w:lang w:bidi="ar-SA"/>
        </w:rPr>
        <w:t xml:space="preserve">. </w:t>
      </w:r>
      <w:r>
        <w:rPr>
          <w:rStyle w:val="FootnoteAnchor"/>
          <w:rtl w:val="true"/>
        </w:rPr>
        <w:footnoteReference w:id="942"/>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الجملة الثانية فالله سبحانه يؤكد قبل الأمر بعقد الاستمتاع على كون الزوجين ـ محصنين غير مسافحين ـ بأن يكون اللقاء بنيّة التعفّف لا الزنا وبما انّ </w:t>
      </w:r>
      <w:bookmarkStart w:id="931" w:name="pg10144_71688"/>
    </w:p>
    <w:p>
      <w:pPr>
        <w:pStyle w:val="BookText"/>
        <w:rPr/>
      </w:pPr>
      <w:bookmarkEnd w:id="931"/>
      <w:r>
        <w:rPr>
          <w:rFonts w:ascii="Amiri" w:hAnsi="Amiri" w:eastAsia="Amiri" w:cs="Amiri"/>
          <w:color w:val="111111"/>
          <w:sz w:val="28"/>
          <w:sz w:val="28"/>
          <w:szCs w:val="28"/>
          <w:rtl w:val="true"/>
          <w:lang w:bidi="ar-SA"/>
        </w:rPr>
        <w:t>عقد المتعة ربما ينحرف عن مجراه ومسيره الصحيح فيتخذ لنفسه لون السفاح لا الزواج ، أمر سبحانه بأن يكون الهدف هو الزواج لا السفاح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انّ نكاح الإماء أيضا مظنة لذلك الأمر إذ الغالب على الإماء هو روح الابتذال ، قيّد سبحانه نكاح الإماء في الآية الثالثة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مُحْصَناتٍ غَيْرَ مُسافِحاتٍ وَلا مُتَّخِذاتِ أَخْدانٍ </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فافتتاح الكلام بجملتين حاملتين مفهوم المتعة قرينة على أنّ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اسْتَمْتَعْتُمْ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النكاح كما أنّ هاتين الجملتين بما انّهما يحملان مفهوم نكاح المتعة سوّغ دخول الفاء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فاء التفريع لا يستعمل إلاّ إذا سبق الكلام فيه ولو إجمالا</w:t>
      </w:r>
      <w:r>
        <w:rPr>
          <w:rFonts w:eastAsia="Amiri" w:cs="Amiri" w:ascii="Amiri" w:hAnsi="Amiri"/>
          <w:color w:val="111111"/>
          <w:sz w:val="28"/>
          <w:szCs w:val="28"/>
          <w:rtl w:val="true"/>
          <w:lang w:bidi="ar-SA"/>
        </w:rPr>
        <w:t>.</w:t>
      </w:r>
    </w:p>
    <w:p>
      <w:pPr>
        <w:pStyle w:val="Heading5"/>
        <w:numPr>
          <w:ilvl w:val="4"/>
          <w:numId w:val="1"/>
        </w:numPr>
        <w:rPr/>
      </w:pPr>
      <w:bookmarkStart w:id="932" w:name="__RefHeading___Toc1166063_1067777946"/>
      <w:bookmarkStart w:id="933" w:name="_Toc339"/>
      <w:bookmarkEnd w:id="932"/>
      <w:r>
        <w:rPr>
          <w:rtl w:val="true"/>
        </w:rPr>
        <w:t xml:space="preserve">القرينة الرابعة </w:t>
      </w:r>
      <w:r>
        <w:rPr>
          <w:rtl w:val="true"/>
        </w:rPr>
        <w:t xml:space="preserve">: </w:t>
      </w:r>
      <w:r>
        <w:rPr>
          <w:rtl w:val="true"/>
        </w:rPr>
        <w:t>تفسيره في لسان الصحابة بنكاح المتعة</w:t>
      </w:r>
      <w:bookmarkEnd w:id="933"/>
    </w:p>
    <w:p>
      <w:pPr>
        <w:pStyle w:val="BookText"/>
        <w:rPr/>
      </w:pPr>
      <w:r>
        <w:rPr>
          <w:rFonts w:ascii="Amiri" w:hAnsi="Amiri" w:eastAsia="Amiri" w:cs="Amiri"/>
          <w:color w:val="111111"/>
          <w:sz w:val="28"/>
          <w:sz w:val="28"/>
          <w:szCs w:val="28"/>
          <w:rtl w:val="true"/>
          <w:lang w:bidi="ar-SA"/>
        </w:rPr>
        <w:t xml:space="preserve">إنّ لفيفا من الصحابة والتابعين فسروا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بنكاح المتعة نذكر منهم 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الحاكم وصحّحه من طرق عن أبي نضرة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أجل 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ما نقرأها كذلك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لأنزلها الله كذلك</w:t>
      </w:r>
      <w:r>
        <w:rPr>
          <w:rFonts w:eastAsia="Amiri" w:cs="Amiri" w:ascii="Amiri" w:hAnsi="Amiri"/>
          <w:color w:val="111111"/>
          <w:sz w:val="28"/>
          <w:szCs w:val="28"/>
          <w:rtl w:val="true"/>
          <w:lang w:bidi="ar-SA"/>
        </w:rPr>
        <w:t xml:space="preserve">. </w:t>
      </w:r>
      <w:r>
        <w:rPr>
          <w:rStyle w:val="FootnoteAnchor"/>
          <w:rtl w:val="true"/>
        </w:rPr>
        <w:footnoteReference w:id="9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عبد بن حميد وابن جرير عن قتادة في قراءة أبيّ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إلى أجل مسمّى </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ابن أبي داود في المصاحف عن سعيد بن جبير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قراءة أبيّ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إلى أجل مسمّى </w:t>
      </w:r>
      <w:r>
        <w:rPr>
          <w:rFonts w:eastAsia="Amiri" w:cs="Amiri" w:ascii="Amiri" w:hAnsi="Amiri"/>
          <w:color w:val="111111"/>
          <w:sz w:val="28"/>
          <w:szCs w:val="28"/>
          <w:rtl w:val="true"/>
          <w:lang w:bidi="ar-SA"/>
        </w:rPr>
        <w:t xml:space="preserve">». </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 xml:space="preserve">وظهور هذه الروايات في 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أجل 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من الآية محمول على تأويل الآية وتحقيق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فالقرآن مصون من التحريف والنقص والزيادة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عبد بن حميد وابن جرير عن مجاهد فما استمتعتم به منهن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نكاح المتعة</w:t>
      </w:r>
      <w:r>
        <w:rPr>
          <w:rFonts w:eastAsia="Amiri" w:cs="Amiri" w:ascii="Amiri" w:hAnsi="Amiri"/>
          <w:color w:val="111111"/>
          <w:sz w:val="28"/>
          <w:szCs w:val="28"/>
          <w:rtl w:val="true"/>
          <w:lang w:bidi="ar-SA"/>
        </w:rPr>
        <w:t xml:space="preserve">. </w:t>
      </w:r>
      <w:r>
        <w:rPr>
          <w:rStyle w:val="FootnoteAnchor"/>
          <w:rtl w:val="true"/>
        </w:rPr>
        <w:footnoteReference w:id="94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الطبري عن السدي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إلى أجل مسمّى فآتوهن أجورهن فريضة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المتعة ، الرجل ينكح المرأة بشرط إلى أجل مسمّى ويشهد شاهدين وينكح بإذن وليها وإذا انقضت المدة فليس له عليها سبيل وهي منه برية وعليها أن تستبرئ ما في رحمها وليس بينهما ميراث ليس يرث واحد منهما صاحبه</w:t>
      </w:r>
      <w:r>
        <w:rPr>
          <w:rFonts w:eastAsia="Amiri" w:cs="Amiri" w:ascii="Amiri" w:hAnsi="Amiri"/>
          <w:color w:val="111111"/>
          <w:sz w:val="28"/>
          <w:szCs w:val="28"/>
          <w:rtl w:val="true"/>
          <w:lang w:bidi="ar-SA"/>
        </w:rPr>
        <w:t xml:space="preserve">. </w:t>
      </w:r>
      <w:r>
        <w:rPr>
          <w:rStyle w:val="FootnoteAnchor"/>
          <w:rtl w:val="true"/>
        </w:rPr>
        <w:footnoteReference w:id="94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الإمام أحمد بإسناد رجاله كلّهم ثقات عن عمران بن الحصين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آية المتعة في كتاب الله وعملنا بها مع رسول الله فلم تنزل آية تنسخها ولم ينه عنها النبي حتّى مات</w:t>
      </w:r>
      <w:r>
        <w:rPr>
          <w:rFonts w:eastAsia="Amiri" w:cs="Amiri" w:ascii="Amiri" w:hAnsi="Amiri"/>
          <w:color w:val="111111"/>
          <w:sz w:val="28"/>
          <w:szCs w:val="28"/>
          <w:rtl w:val="true"/>
          <w:lang w:bidi="ar-SA"/>
        </w:rPr>
        <w:t xml:space="preserve">. </w:t>
      </w:r>
      <w:r>
        <w:rPr>
          <w:rStyle w:val="FootnoteAnchor"/>
          <w:rtl w:val="true"/>
        </w:rPr>
        <w:footnoteReference w:id="94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الطبري في تفسيره بإسناد صحيح عن شعبة عن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هذه الآية أمنسوخة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95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البيهقي عن أبي نضرة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الزبير ينهى عن المتعة وانّ ابن عباس يأمر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يدي جرى الحديث تمتعنا مع رسول الله صلى الله عليه وآله وسلم ومع أبي بكر فلمّا ولي عمر خطب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هذا الرسول ، وإنّ </w:t>
      </w:r>
      <w:bookmarkStart w:id="934" w:name="pg10144_71690"/>
    </w:p>
    <w:p>
      <w:pPr>
        <w:pStyle w:val="BookText"/>
        <w:rPr/>
      </w:pPr>
      <w:bookmarkEnd w:id="934"/>
      <w:r>
        <w:rPr>
          <w:rFonts w:ascii="Amiri" w:hAnsi="Amiri" w:eastAsia="Amiri" w:cs="Amiri"/>
          <w:color w:val="111111"/>
          <w:sz w:val="28"/>
          <w:sz w:val="28"/>
          <w:szCs w:val="28"/>
          <w:rtl w:val="true"/>
          <w:lang w:bidi="ar-SA"/>
        </w:rPr>
        <w:t xml:space="preserve">القرآن هذا القرآن ، وإنّهما كانتا متعتان على عهد رسول الله وأنا أنهى عنهما وأعاقب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متعة النساء ولا أقدر على رجل تزوج امرأة إلى أجل إلاّ غيّبته بالحجارة ، والأخرى متعة الحجّ</w:t>
      </w:r>
      <w:r>
        <w:rPr>
          <w:rFonts w:eastAsia="Amiri" w:cs="Amiri" w:ascii="Amiri" w:hAnsi="Amiri"/>
          <w:color w:val="111111"/>
          <w:sz w:val="28"/>
          <w:szCs w:val="28"/>
          <w:rtl w:val="true"/>
          <w:lang w:bidi="ar-SA"/>
        </w:rPr>
        <w:t xml:space="preserve">.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إلى غير ذلك من الروايات الواردة حول تفسير الآية الحاكية عن استمرار الحلية أو منسوخيتها فان النسخ فرع القول بدلالتها على نزولها في نكاح المتعة من الصحابة والتابعين وفي مقدمهم الإمام أمير المؤمنين وأهل بيته فقد فسروا الآية بنكاح المتعة</w:t>
      </w:r>
      <w:r>
        <w:rPr>
          <w:rFonts w:eastAsia="Amiri" w:cs="Amiri" w:ascii="Amiri" w:hAnsi="Amiri"/>
          <w:color w:val="111111"/>
          <w:sz w:val="28"/>
          <w:szCs w:val="28"/>
          <w:rtl w:val="true"/>
          <w:lang w:bidi="ar-SA"/>
        </w:rPr>
        <w:t>.</w:t>
      </w:r>
    </w:p>
    <w:p>
      <w:pPr>
        <w:pStyle w:val="Heading5"/>
        <w:numPr>
          <w:ilvl w:val="4"/>
          <w:numId w:val="1"/>
        </w:numPr>
        <w:rPr/>
      </w:pPr>
      <w:bookmarkStart w:id="935" w:name="__RefHeading___Toc1166065_1067777946"/>
      <w:bookmarkStart w:id="936" w:name="_Toc340"/>
      <w:bookmarkEnd w:id="935"/>
      <w:r>
        <w:rPr>
          <w:rtl w:val="true"/>
        </w:rPr>
        <w:t xml:space="preserve">القرينة الخامسة </w:t>
      </w:r>
      <w:r>
        <w:rPr>
          <w:rtl w:val="true"/>
        </w:rPr>
        <w:t xml:space="preserve">: </w:t>
      </w:r>
      <w:r>
        <w:rPr>
          <w:rtl w:val="true"/>
        </w:rPr>
        <w:t>اتّفاق أئمّة أهل البيت عليهم السلام على نزول الآية في المتعة</w:t>
      </w:r>
      <w:bookmarkEnd w:id="936"/>
    </w:p>
    <w:p>
      <w:pPr>
        <w:pStyle w:val="BookText"/>
        <w:rPr/>
      </w:pPr>
      <w:r>
        <w:rPr>
          <w:rFonts w:ascii="Amiri" w:hAnsi="Amiri" w:eastAsia="Amiri" w:cs="Amiri"/>
          <w:color w:val="111111"/>
          <w:sz w:val="28"/>
          <w:sz w:val="28"/>
          <w:szCs w:val="28"/>
          <w:rtl w:val="true"/>
          <w:lang w:bidi="ar-SA"/>
        </w:rPr>
        <w:t>اتّفق أئمّة أهل البيت عليهم السلام على نزول الآية في نكاح المتعة ، والروايات عنهم متضافرة أو متواترة نكتفي بالقليل من الكثير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الكليني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عن المتعة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فَآتُوهُنَّ أُجُورَهُنَّ فَرِيضَةً </w:t>
      </w:r>
      <w:r>
        <w:rPr>
          <w:rFonts w:eastAsia="Amiri" w:cs="Amiri" w:ascii="Amiri" w:hAnsi="Amiri"/>
          <w:color w:val="111111"/>
          <w:sz w:val="28"/>
          <w:szCs w:val="28"/>
          <w:rtl w:val="true"/>
          <w:lang w:bidi="ar-SA"/>
        </w:rPr>
        <w:t xml:space="preserve">). </w:t>
      </w:r>
      <w:r>
        <w:rPr>
          <w:rStyle w:val="FootnoteAnchor"/>
          <w:rtl w:val="true"/>
        </w:rPr>
        <w:footnoteReference w:id="9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الكليني عن عبد الرحمن بن أبي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حنيفة يسأل أبا عبد الله عن المتعة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أي المتعتين 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عن متعة الحجّ فأنبئني عن متعة النساء أحق هي؟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أما تقرأ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فَآتُوهُنَّ أُجُورَهُنَّ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كأنّها آية لم أقرأها قط</w:t>
      </w:r>
      <w:r>
        <w:rPr>
          <w:rFonts w:eastAsia="Amiri" w:cs="Amiri" w:ascii="Amiri" w:hAnsi="Amiri"/>
          <w:color w:val="111111"/>
          <w:sz w:val="28"/>
          <w:szCs w:val="28"/>
          <w:rtl w:val="true"/>
          <w:lang w:bidi="ar-SA"/>
        </w:rPr>
        <w:t xml:space="preserve">. </w:t>
      </w:r>
      <w:r>
        <w:rPr>
          <w:rStyle w:val="FootnoteAnchor"/>
          <w:rtl w:val="true"/>
        </w:rPr>
        <w:footnoteReference w:id="953"/>
      </w:r>
      <w:bookmarkStart w:id="937" w:name="pg10144_71691"/>
    </w:p>
    <w:p>
      <w:pPr>
        <w:pStyle w:val="Heading5"/>
        <w:numPr>
          <w:ilvl w:val="4"/>
          <w:numId w:val="1"/>
        </w:numPr>
        <w:rPr/>
      </w:pPr>
      <w:bookmarkStart w:id="938" w:name="__RefHeading___Toc1166067_1067777946"/>
      <w:bookmarkStart w:id="939" w:name="_Toc341"/>
      <w:bookmarkEnd w:id="937"/>
      <w:bookmarkEnd w:id="938"/>
      <w:r>
        <w:rPr>
          <w:rtl w:val="true"/>
        </w:rPr>
        <w:t xml:space="preserve">القرينة السادسة </w:t>
      </w:r>
      <w:r>
        <w:rPr>
          <w:rtl w:val="true"/>
        </w:rPr>
        <w:t xml:space="preserve">: </w:t>
      </w:r>
      <w:r>
        <w:rPr>
          <w:rtl w:val="true"/>
        </w:rPr>
        <w:t>تصريح الصحابة بالحلّية</w:t>
      </w:r>
      <w:bookmarkEnd w:id="939"/>
    </w:p>
    <w:p>
      <w:pPr>
        <w:pStyle w:val="BookText"/>
        <w:rPr/>
      </w:pPr>
      <w:r>
        <w:rPr>
          <w:rFonts w:ascii="Amiri" w:hAnsi="Amiri" w:eastAsia="Amiri" w:cs="Amiri"/>
          <w:color w:val="111111"/>
          <w:sz w:val="28"/>
          <w:sz w:val="28"/>
          <w:szCs w:val="28"/>
          <w:rtl w:val="true"/>
          <w:lang w:bidi="ar-SA"/>
        </w:rPr>
        <w:t>لا شكّ انّ من سبر تاريخ المسألة في عصر ظهر الاختلاف في استمرار الحلية وعدمها ، يقف على أنّ الصحابة قالوا بحلية المتعة سواء أقالوا ببقائها واستمرارها أم ذهبوا إلى منسوخيتها وكان أفضل مصدر لقولهم ، هو نفس الآية مضافا إلى تقرير النبي صلى الله عليه وآله وسلم ، وقد عرفت فيما سبق أسماء لفيف من الصحابة فسروا الآية بنكاح المتعة ، ونأتي الآن بأسماء من قالوا بحلية المتعة وإن لم يصرحوا بمصدر فتواهم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ذكرهم ابن حزم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نكاح المتعة وهو النكاح إلى أجل وكان حلالا على عهد رسول الله ثمّ نسخها الله تعالى على لسان رسوله نسخا باتا إلى يوم القيامة وقد ثبت على تحليلها بعد رسول الله جماعة من السلف رضي الله عنهم ، منهم من الصحابة 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أبي بكر الصديق ، وجابر بن عبد الله ، وابن مسعود ، وابن عباس ، ومعاوية بن أبي سفيان ، وعمرو بن حريث ، وأبو سعيد الخدري ، وسلمة ، ومعبد أبناء أمية بن خلف ، ورواه جابر بن عبد الله عن جميع الصحابة مدة رسول الله صلى الله عليه وآله وسلم ومدة أبي بكر وعمر إلى قرب آخر خلافة عمر ، واختلف في إباحتها عن ابن الزبير ، وعن علي فيها توقف وعن عمر بن الخطاب انّه إنّما أنكرها إذا لم يشهد عليها عدلان فقط وأباحها بشهادة 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طاوس وعطاء وسعيد بن جبير وسائر فقهاء مكة</w:t>
      </w:r>
      <w:r>
        <w:rPr>
          <w:rFonts w:eastAsia="Amiri" w:cs="Amiri" w:ascii="Amiri" w:hAnsi="Amiri"/>
          <w:color w:val="111111"/>
          <w:sz w:val="28"/>
          <w:szCs w:val="28"/>
          <w:rtl w:val="true"/>
          <w:lang w:bidi="ar-SA"/>
        </w:rPr>
        <w:t xml:space="preserve">. </w:t>
      </w:r>
      <w:r>
        <w:rPr>
          <w:rStyle w:val="FootnoteAnchor"/>
          <w:rtl w:val="true"/>
        </w:rPr>
        <w:footnoteReference w:id="954"/>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اعتمد السيد المرتضى على قول هؤلاء في رد من شمت بالشيعة حيث قال الشامت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 الروافض نحن أطيب مولد</w:t>
      </w:r>
    </w:p>
    <w:p>
      <w:pPr>
        <w:pStyle w:val="BookText"/>
        <w:rPr/>
      </w:pPr>
      <w:r>
        <w:rPr>
          <w:rFonts w:ascii="IRNazanin" w:hAnsi="IRNazanin" w:eastAsia="IRNazanin"/>
          <w:color w:val="111111"/>
          <w:sz w:val="28"/>
          <w:sz w:val="28"/>
          <w:szCs w:val="28"/>
          <w:rtl w:val="true"/>
          <w:lang w:bidi="fa-IR"/>
        </w:rPr>
        <w:t>قول أتى بخلاف قول محمد</w:t>
      </w:r>
    </w:p>
    <w:p>
      <w:pPr>
        <w:pStyle w:val="BookText"/>
        <w:rPr/>
      </w:pPr>
      <w:r>
        <w:rPr>
          <w:rFonts w:ascii="Amiri" w:hAnsi="Amiri" w:eastAsia="Amiri" w:cs="Amiri"/>
          <w:color w:val="111111"/>
          <w:sz w:val="28"/>
          <w:sz w:val="28"/>
          <w:szCs w:val="28"/>
          <w:rtl w:val="true"/>
          <w:lang w:bidi="ar-SA"/>
        </w:rPr>
        <w:t>نكحوا النساء تمتعا فولدن من</w:t>
      </w:r>
    </w:p>
    <w:p>
      <w:pPr>
        <w:pStyle w:val="BookText"/>
        <w:rPr/>
      </w:pPr>
      <w:r>
        <w:rPr>
          <w:rFonts w:ascii="Amiri" w:hAnsi="Amiri" w:eastAsia="Amiri" w:cs="Amiri"/>
          <w:color w:val="111111"/>
          <w:sz w:val="28"/>
          <w:sz w:val="28"/>
          <w:szCs w:val="28"/>
          <w:rtl w:val="true"/>
          <w:lang w:bidi="ar-SA"/>
        </w:rPr>
        <w:t>ذاك النكاح فأين طيب المولد</w:t>
      </w:r>
    </w:p>
    <w:p>
      <w:pPr>
        <w:pStyle w:val="BookText"/>
        <w:rPr/>
      </w:pPr>
      <w:r>
        <w:rPr>
          <w:rFonts w:ascii="Amiri" w:hAnsi="Amiri" w:eastAsia="Amiri" w:cs="Amiri"/>
          <w:color w:val="111111"/>
          <w:sz w:val="28"/>
          <w:sz w:val="28"/>
          <w:szCs w:val="28"/>
          <w:rtl w:val="true"/>
          <w:lang w:bidi="ar-SA"/>
        </w:rPr>
        <w:t>إنّ انتماء شيعة أهل البيت بطيب المولد يرجع إلى أمور أخرى ولا يمتّ بكونهم مواليد نكاح المتعة ، فإنّ نكاح المتعة ـ على الرغم من اتّفاقهم على حليتها ـ بينهم قليل جدا ، كما هو واضح لمن عاشرهم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السيد المرتضى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التمتع سنّة مفروضة</w:t>
      </w:r>
    </w:p>
    <w:p>
      <w:pPr>
        <w:pStyle w:val="BookText"/>
        <w:rPr/>
      </w:pPr>
      <w:r>
        <w:rPr>
          <w:rFonts w:ascii="Amiri" w:hAnsi="Amiri" w:eastAsia="Amiri" w:cs="Amiri"/>
          <w:color w:val="111111"/>
          <w:sz w:val="28"/>
          <w:sz w:val="28"/>
          <w:szCs w:val="28"/>
          <w:rtl w:val="true"/>
          <w:lang w:bidi="ar-SA"/>
        </w:rPr>
        <w:t>ورد الكتاب بها وسنة أحمد</w:t>
      </w:r>
    </w:p>
    <w:p>
      <w:pPr>
        <w:pStyle w:val="BookText"/>
        <w:rPr/>
      </w:pPr>
      <w:r>
        <w:rPr>
          <w:rFonts w:ascii="Amiri" w:hAnsi="Amiri" w:eastAsia="Amiri" w:cs="Amiri"/>
          <w:color w:val="111111"/>
          <w:sz w:val="28"/>
          <w:sz w:val="28"/>
          <w:szCs w:val="28"/>
          <w:rtl w:val="true"/>
          <w:lang w:bidi="ar-SA"/>
        </w:rPr>
        <w:t>وروى الرواة بأنّ ذلك قد جرى</w:t>
      </w:r>
    </w:p>
    <w:p>
      <w:pPr>
        <w:pStyle w:val="BookText"/>
        <w:rPr/>
      </w:pPr>
      <w:r>
        <w:rPr>
          <w:rFonts w:ascii="Amiri" w:hAnsi="Amiri" w:eastAsia="Amiri" w:cs="Amiri"/>
          <w:color w:val="111111"/>
          <w:sz w:val="28"/>
          <w:sz w:val="28"/>
          <w:szCs w:val="28"/>
          <w:rtl w:val="true"/>
          <w:lang w:bidi="ar-SA"/>
        </w:rPr>
        <w:t>من غير شك في زمان محمد</w:t>
      </w:r>
    </w:p>
    <w:p>
      <w:pPr>
        <w:pStyle w:val="BookText"/>
        <w:rPr/>
      </w:pPr>
      <w:r>
        <w:rPr>
          <w:rFonts w:ascii="Amiri" w:hAnsi="Amiri" w:eastAsia="Amiri" w:cs="Amiri"/>
          <w:color w:val="111111"/>
          <w:sz w:val="28"/>
          <w:sz w:val="28"/>
          <w:szCs w:val="28"/>
          <w:rtl w:val="true"/>
          <w:lang w:bidi="ar-SA"/>
        </w:rPr>
        <w:t>ثمّ استمرّ الحال في تحليلها</w:t>
      </w:r>
    </w:p>
    <w:p>
      <w:pPr>
        <w:pStyle w:val="BookText"/>
        <w:rPr/>
      </w:pPr>
      <w:r>
        <w:rPr>
          <w:rFonts w:ascii="Amiri" w:hAnsi="Amiri" w:eastAsia="Amiri" w:cs="Amiri"/>
          <w:color w:val="111111"/>
          <w:sz w:val="28"/>
          <w:sz w:val="28"/>
          <w:szCs w:val="28"/>
          <w:rtl w:val="true"/>
          <w:lang w:bidi="ar-SA"/>
        </w:rPr>
        <w:t>قد صحّ ذلك في الحديث المسند</w:t>
      </w:r>
    </w:p>
    <w:p>
      <w:pPr>
        <w:pStyle w:val="BookText"/>
        <w:rPr/>
      </w:pPr>
      <w:r>
        <w:rPr>
          <w:rFonts w:ascii="Amiri" w:hAnsi="Amiri" w:eastAsia="Amiri" w:cs="Amiri"/>
          <w:color w:val="111111"/>
          <w:sz w:val="28"/>
          <w:sz w:val="28"/>
          <w:szCs w:val="28"/>
          <w:rtl w:val="true"/>
          <w:lang w:bidi="ar-SA"/>
        </w:rPr>
        <w:t>عن جابر وعن ابن مسعود التقيّ</w:t>
      </w:r>
    </w:p>
    <w:p>
      <w:pPr>
        <w:pStyle w:val="BookText"/>
        <w:rPr/>
      </w:pPr>
      <w:r>
        <w:rPr>
          <w:rFonts w:ascii="Amiri" w:hAnsi="Amiri" w:eastAsia="Amiri" w:cs="Amiri"/>
          <w:color w:val="111111"/>
          <w:sz w:val="28"/>
          <w:sz w:val="28"/>
          <w:szCs w:val="28"/>
          <w:rtl w:val="true"/>
          <w:lang w:bidi="ar-SA"/>
        </w:rPr>
        <w:t>وعن ابن عباس كريم المولد</w:t>
      </w:r>
    </w:p>
    <w:p>
      <w:pPr>
        <w:pStyle w:val="BookText"/>
        <w:rPr/>
      </w:pPr>
      <w:r>
        <w:rPr>
          <w:rFonts w:ascii="Amiri" w:hAnsi="Amiri" w:eastAsia="Amiri" w:cs="Amiri"/>
          <w:color w:val="111111"/>
          <w:sz w:val="28"/>
          <w:sz w:val="28"/>
          <w:szCs w:val="28"/>
          <w:rtl w:val="true"/>
          <w:lang w:bidi="ar-SA"/>
        </w:rPr>
        <w:t>حتّى نهى عمر بغير دلالة</w:t>
      </w:r>
    </w:p>
    <w:p>
      <w:pPr>
        <w:pStyle w:val="BookText"/>
        <w:rPr/>
      </w:pPr>
      <w:r>
        <w:rPr>
          <w:rFonts w:ascii="Amiri" w:hAnsi="Amiri" w:eastAsia="Amiri" w:cs="Amiri"/>
          <w:color w:val="111111"/>
          <w:sz w:val="28"/>
          <w:sz w:val="28"/>
          <w:szCs w:val="28"/>
          <w:rtl w:val="true"/>
          <w:lang w:bidi="ar-SA"/>
        </w:rPr>
        <w:t>عنها فكدّر صفو ذاك المورد</w:t>
      </w:r>
    </w:p>
    <w:p>
      <w:pPr>
        <w:pStyle w:val="BookText"/>
        <w:rPr/>
      </w:pPr>
      <w:r>
        <w:rPr>
          <w:rFonts w:ascii="Amiri" w:hAnsi="Amiri" w:eastAsia="Amiri" w:cs="Amiri"/>
          <w:color w:val="111111"/>
          <w:sz w:val="28"/>
          <w:sz w:val="28"/>
          <w:szCs w:val="28"/>
          <w:rtl w:val="true"/>
          <w:lang w:bidi="ar-SA"/>
        </w:rPr>
        <w:t>لا بل مواليد النواصب جدّدت</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دين المجوس فأين دين محمد </w:t>
      </w:r>
    </w:p>
    <w:p>
      <w:pPr>
        <w:pStyle w:val="BookText"/>
        <w:rPr/>
      </w:pPr>
      <w:r>
        <w:rPr>
          <w:rFonts w:ascii="Amiri" w:hAnsi="Amiri" w:eastAsia="Amiri" w:cs="Amiri"/>
          <w:color w:val="111111"/>
          <w:sz w:val="28"/>
          <w:sz w:val="28"/>
          <w:szCs w:val="28"/>
          <w:rtl w:val="true"/>
          <w:lang w:bidi="ar-SA"/>
        </w:rPr>
        <w:t>وقد وقفت على ما روي عن ابن عباس وابن مسعود في استمرار حلّيتها ، وإليك ما روي عن جابر في 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مسلم في صحيحه عن أبي نضرة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يأمر بالمتعة وكان ابن الزبير ينهى عنها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لجابر بن عبد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يدي دار الحديث تمتعنا مع رسول الله صلى الله عليه وآله وسلم فلما قام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كان يحل لرسوله ما شاء بما شاء وانّ القرآن قد نزل منازله ، فأتموا الحجّ والعمرة لله كما أمركم الله وأبتّوا نكاح هذه النساء فلئن أوتي برجل نكح امرأة إلى أجل إلاّ رجمته بالحجارة</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فبالتمسك بقوله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وَأَتِمُّوا الْحَجَّ وَالْعُمْرَةَ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فصل العمرة عن الحجّ بالتحليل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أنكر حجّ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ابتّوا نكاح هذه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نكاح المتعة</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انّ عمر أوّل من نهى عن هذا النكاح فسيوافيك بيانه</w:t>
      </w:r>
      <w:r>
        <w:rPr>
          <w:rFonts w:eastAsia="Amiri" w:cs="Amiri" w:ascii="Amiri" w:hAnsi="Amiri"/>
          <w:color w:val="111111"/>
          <w:sz w:val="28"/>
          <w:szCs w:val="28"/>
          <w:rtl w:val="true"/>
          <w:lang w:bidi="ar-SA"/>
        </w:rPr>
        <w:t xml:space="preserve">. </w:t>
      </w:r>
      <w:bookmarkStart w:id="940" w:name="pg10144_71694"/>
    </w:p>
    <w:p>
      <w:pPr>
        <w:pStyle w:val="Heading4"/>
        <w:numPr>
          <w:ilvl w:val="3"/>
          <w:numId w:val="1"/>
        </w:numPr>
        <w:rPr/>
      </w:pPr>
      <w:bookmarkStart w:id="941" w:name="__RefHeading___Toc1166069_1067777946"/>
      <w:bookmarkStart w:id="942" w:name="_Toc342"/>
      <w:bookmarkEnd w:id="940"/>
      <w:bookmarkEnd w:id="941"/>
      <w:r>
        <w:rPr/>
        <w:t>4</w:t>
      </w:r>
      <w:r>
        <w:rPr>
          <w:rtl w:val="true"/>
        </w:rPr>
        <w:t xml:space="preserve">. </w:t>
      </w:r>
      <w:r>
        <w:rPr>
          <w:rtl w:val="true"/>
        </w:rPr>
        <w:t>المتعة في السنّة النبوية</w:t>
      </w:r>
      <w:bookmarkEnd w:id="942"/>
    </w:p>
    <w:p>
      <w:pPr>
        <w:pStyle w:val="BookText"/>
        <w:rPr/>
      </w:pPr>
      <w:r>
        <w:rPr>
          <w:rFonts w:ascii="Amiri" w:hAnsi="Amiri" w:eastAsia="Amiri" w:cs="Amiri"/>
          <w:color w:val="111111"/>
          <w:sz w:val="28"/>
          <w:sz w:val="28"/>
          <w:szCs w:val="28"/>
          <w:rtl w:val="true"/>
          <w:lang w:bidi="ar-SA"/>
        </w:rPr>
        <w:t xml:space="preserve">قد تعرفت على دلالة الذكر الحكيم على حلّية المتعة واستمرارها إلى يومنا هذا فحان البحث عن السنّة النبوية وقد مضى شطر منها حول تفسير الآية من الصحابة والتابعين </w:t>
      </w:r>
      <w:r>
        <w:rPr>
          <w:rStyle w:val="FootnoteAnchor"/>
          <w:rtl w:val="true"/>
        </w:rPr>
        <w:footnoteReference w:id="956"/>
      </w:r>
      <w:r>
        <w:rPr>
          <w:rFonts w:ascii="Amiri" w:hAnsi="Amiri" w:eastAsia="Amiri" w:cs="Amiri"/>
          <w:color w:val="111111"/>
          <w:sz w:val="28"/>
          <w:sz w:val="28"/>
          <w:szCs w:val="28"/>
          <w:rtl w:val="true"/>
          <w:lang w:bidi="ar-SA"/>
        </w:rPr>
        <w:t xml:space="preserve">، ولنذكر من الروايات ما يدلّ على حلية المتعة واستمرارها من الصحاح والمسانيد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الحفاظ عن عبد الله بن مسعود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نغزو مع رسول الله وليس لنا نساء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ألا نستخصي؟ فنهانا عن ذلك ثمّ رخص لنا أن ننكح بالثوب إلى أجل ثمّ قرأ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تُحَرِّمُوا طَيِّباتِ ما أَحَلَّ اللهُ لَكُمْ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وغرضه من تلاوة الآية هو الإطاحة بقول من حرّمها من غير دليل ، فنكاح المتعة عند ابن مسعود من الطيبات التي أحلّها الله سبحانه ، وليس لأحد تحريم الطيبات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مسلم عن جابر بن عبد الله وسلمة بن الأكوع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w:t>
      </w:r>
    </w:p>
    <w:p>
      <w:pPr>
        <w:pStyle w:val="BookText"/>
        <w:rPr/>
      </w:pPr>
      <w:r>
        <w:rPr>
          <w:rFonts w:ascii="Amiri" w:hAnsi="Amiri" w:eastAsia="Amiri" w:cs="Amiri"/>
          <w:color w:val="111111"/>
          <w:sz w:val="28"/>
          <w:sz w:val="28"/>
          <w:szCs w:val="28"/>
          <w:rtl w:val="true"/>
          <w:lang w:bidi="ar-SA"/>
        </w:rPr>
        <w:t xml:space="preserve">منادي رسول الله صلى الله عليه وآله وسلم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وسلم قد أذن لكم أن تستمتعوا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أتانا فأذن لنا في المتعة</w:t>
      </w:r>
      <w:r>
        <w:rPr>
          <w:rFonts w:eastAsia="Amiri" w:cs="Amiri" w:ascii="Amiri" w:hAnsi="Amiri"/>
          <w:color w:val="111111"/>
          <w:sz w:val="28"/>
          <w:szCs w:val="28"/>
          <w:rtl w:val="true"/>
          <w:lang w:bidi="ar-SA"/>
        </w:rPr>
        <w:t xml:space="preserve">. </w:t>
      </w:r>
      <w:r>
        <w:rPr>
          <w:rStyle w:val="FootnoteAnchor"/>
          <w:rtl w:val="true"/>
        </w:rPr>
        <w:footnoteReference w:id="9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مسلم 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الزبير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 بن عبد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نستمتع بالقبضة من التمر والدقيق الأيام على عهد رسول الله صلى الله عليه وآله وسلم وأبي بكر حتّى نهى عنه عمر في شأن عمرو بن حريث</w:t>
      </w:r>
      <w:r>
        <w:rPr>
          <w:rFonts w:eastAsia="Amiri" w:cs="Amiri" w:ascii="Amiri" w:hAnsi="Amiri"/>
          <w:color w:val="111111"/>
          <w:sz w:val="28"/>
          <w:szCs w:val="28"/>
          <w:rtl w:val="true"/>
          <w:lang w:bidi="ar-SA"/>
        </w:rPr>
        <w:t xml:space="preserve">. </w:t>
      </w:r>
      <w:r>
        <w:rPr>
          <w:rStyle w:val="FootnoteAnchor"/>
          <w:rtl w:val="true"/>
        </w:rPr>
        <w:footnoteReference w:id="95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مسلم في صحيحه عن أبي نضرة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جابر بن عبد الله ، فأتاه آت فقال ابن عباس وابن الزبير اختلفا في المتعتين ، فقال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فعلناهما مع رسول الله ثمّ نهانا عنهما عمر فلم نعد لهما</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الترمذي انّ رجلا من أهل الشام سأل ابن عمر عن المتعة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حلال ، 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أباك قد نهى عنها؟ فقال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 أبي قد نهى عنها وقد صنعها رسول الله صلى الله عليه وآله وسلم أمر أبي نتّبع أم أمر رسول الله 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مسلم في صحيحه عن عروة بن الزبير انّ عبد الله بن الزبير قام بمكة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ناسا أعمى الله قلوبهم كما أعمى أبصارهم يفتون بالمتعة يعرّض برجل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لجلف جاف ، فلعمري لقد كانت المتعة تفعل على عهد إمام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فجرّب بنفسك ، فو الله لئن فعلتها لأرجمنّك بأحجارك</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والعجب من ابن الزبير حيث يرجم من ينكح نكاح المتعة ـ تبعا لسلفه ـ مع أنّ الحدود تدرأ بالشبهات ، فالفاعل يعتقد بكونه نكاحا حلالا لا سفاحا ، وله من الكتاب والسنّة دليل ومع هذه الشبهة كيف يرجم إلاّ أن يكون غرضه التهديد والتخويف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مسلم عن ابن شهاب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خالد بن المهاجر بن سيف الله انّه بينا هو جالس عند رجل جاءه رجل فاستفتاه في المتعة فأمره بها ، فقال له ابن أبي عمرة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ما هي والله لقد فعلت في عهد إمام المتقين</w:t>
      </w:r>
      <w:r>
        <w:rPr>
          <w:rFonts w:eastAsia="Amiri" w:cs="Amiri" w:ascii="Amiri" w:hAnsi="Amiri"/>
          <w:color w:val="111111"/>
          <w:sz w:val="28"/>
          <w:szCs w:val="28"/>
          <w:rtl w:val="true"/>
          <w:lang w:bidi="ar-SA"/>
        </w:rPr>
        <w:t xml:space="preserve">. </w:t>
      </w:r>
      <w:r>
        <w:rPr>
          <w:rStyle w:val="FootnoteAnchor"/>
          <w:rtl w:val="true"/>
        </w:rPr>
        <w:footnoteReference w:id="96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أحمد في مسنده عن عبد الرحمن بن نعيم الأعرجي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ابن عمر في المتعة ـ وأنا عنده ـ متعة النساء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كنّا على عهد رسول الله زانين ولا مسافحين</w:t>
      </w:r>
      <w:r>
        <w:rPr>
          <w:rFonts w:eastAsia="Amiri" w:cs="Amiri" w:ascii="Amiri" w:hAnsi="Amiri"/>
          <w:color w:val="111111"/>
          <w:sz w:val="28"/>
          <w:szCs w:val="28"/>
          <w:rtl w:val="true"/>
          <w:lang w:bidi="ar-SA"/>
        </w:rPr>
        <w:t xml:space="preserve">. </w:t>
      </w:r>
      <w:r>
        <w:rPr>
          <w:rStyle w:val="FootnoteAnchor"/>
          <w:rtl w:val="true"/>
        </w:rPr>
        <w:footnoteReference w:id="96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أحمد في مسنده عن ابن الحصين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آية المتعة في كتاب الله تبارك وتعالى وعملنا بها مع رسول الله صلى الله عليه وآله وسلم فلم تنزل آية تنسخها ولم ينه عنها النبي صلى الله عليه وآله وسلم حتّى مات</w:t>
      </w:r>
      <w:r>
        <w:rPr>
          <w:rFonts w:eastAsia="Amiri" w:cs="Amiri" w:ascii="Amiri" w:hAnsi="Amiri"/>
          <w:color w:val="111111"/>
          <w:sz w:val="28"/>
          <w:szCs w:val="28"/>
          <w:rtl w:val="true"/>
          <w:lang w:bidi="ar-SA"/>
        </w:rPr>
        <w:t xml:space="preserve">. </w:t>
      </w:r>
      <w:r>
        <w:rPr>
          <w:rStyle w:val="FootnoteAnchor"/>
          <w:rtl w:val="true"/>
        </w:rPr>
        <w:footnoteReference w:id="96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ابن حجر عن سمير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سمرة 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نتمتع على عهد رسول الله</w:t>
      </w:r>
      <w:r>
        <w:rPr>
          <w:rFonts w:eastAsia="Amiri" w:cs="Amiri" w:ascii="Amiri" w:hAnsi="Amiri"/>
          <w:color w:val="111111"/>
          <w:sz w:val="28"/>
          <w:szCs w:val="28"/>
          <w:rtl w:val="true"/>
          <w:lang w:bidi="ar-SA"/>
        </w:rPr>
        <w:t xml:space="preserve">. </w:t>
      </w:r>
      <w:r>
        <w:rPr>
          <w:rStyle w:val="FootnoteAnchor"/>
          <w:rtl w:val="true"/>
        </w:rPr>
        <w:footnoteReference w:id="965"/>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ولنقتصر على هذا المقدار وقد تعرفت على أسماء المحلّلين للمتعة من الصحابة والتابعين في كلام ابن حزم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المحلّى </w:t>
      </w:r>
      <w:r>
        <w:rPr>
          <w:rFonts w:eastAsia="Amiri" w:cs="Amiri" w:ascii="Amiri" w:hAnsi="Amiri"/>
          <w:color w:val="111111"/>
          <w:sz w:val="28"/>
          <w:szCs w:val="28"/>
          <w:rtl w:val="true"/>
          <w:lang w:bidi="ar-SA"/>
        </w:rPr>
        <w:t xml:space="preserve">».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الاستيعاب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أصحاب ابن عباس من أهل مكة واليمن كلّهم يرون المتعة حلالا على مذهب ابن عباس وحرمها سائر الناس</w:t>
      </w:r>
      <w:r>
        <w:rPr>
          <w:rFonts w:eastAsia="Amiri" w:cs="Amiri" w:ascii="Amiri" w:hAnsi="Amiri"/>
          <w:color w:val="111111"/>
          <w:sz w:val="28"/>
          <w:szCs w:val="28"/>
          <w:rtl w:val="true"/>
          <w:lang w:bidi="ar-SA"/>
        </w:rPr>
        <w:t xml:space="preserve">. </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 xml:space="preserve">وقال القرطبي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مكة كانوا يستعملونها كثيرا</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 xml:space="preserve">وقال الرازي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السواد الأعظم من الأمّة إلى أنّها صارت منسوخة ، وقال السواد منهم إنّها بقيت كما كانت</w:t>
      </w:r>
      <w:r>
        <w:rPr>
          <w:rFonts w:eastAsia="Amiri" w:cs="Amiri" w:ascii="Amiri" w:hAnsi="Amiri"/>
          <w:color w:val="111111"/>
          <w:sz w:val="28"/>
          <w:szCs w:val="28"/>
          <w:rtl w:val="true"/>
          <w:lang w:bidi="ar-SA"/>
        </w:rPr>
        <w:t xml:space="preserve">. </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وهذه الكلمات المنثورة في الكتب والتي تجد لها نظائر كثيرة تثبت انّ المتعة كانت أمرا حلالا في عهد رسول الله ودامت إلى شطر من خلافة عمر ، فمن حاول إثبات النسخ فعليه أن يأتي بدليل قاطع يصلح لنسخ القرآن الكريم ، فان خبر الواحد لا ينسخ به القرآن ، والقرآن دليل قطعي لا ينسخ إلاّ بدليل 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يعرب عن عدم وجود الناسخ هو انّ التحريم يسند إلى عمر وانّه هو المحرم كما سيوافيك لفظه ، فلو كان هناك تحريم من رسول الله لما أسند عمر التحريم إلى نفسه</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الأمّة مجمعة على أنّ نكاح المتعة كان جائزا في الإسلام ولا خلاف بين أحد من الأمّة فيه إنّما الخلاف في طريان الناسخ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الناسخ موجودا ، لكان ذلك الناسخ إمّا أن يكون معلوما بالتواتر أو بالآحاد ، فإن كان معلوما بالتواتر ، كان علي بن أبي طالب وعبد الله بن عباس وعمران بن الحصين منكرين لما عرف ثبوته بالتواتر من دين محمّد صلى الله عليه وآله وسلم وذلك يوجب تكفيرهم ، وهو باطل قطعا ، وإن كان ثابتا بالآحاد فهذا أيضا باطل ، لأنّه لما كان ثبوت </w:t>
      </w:r>
    </w:p>
    <w:p>
      <w:pPr>
        <w:pStyle w:val="BookText"/>
        <w:rPr/>
      </w:pPr>
      <w:r>
        <w:rPr>
          <w:rFonts w:ascii="Amiri" w:hAnsi="Amiri" w:eastAsia="Amiri" w:cs="Amiri"/>
          <w:color w:val="111111"/>
          <w:sz w:val="28"/>
          <w:sz w:val="28"/>
          <w:szCs w:val="28"/>
          <w:rtl w:val="true"/>
          <w:lang w:bidi="ar-SA"/>
        </w:rPr>
        <w:t>إباحة المتعة معلوما بالإجماع والتواتر ، كان ثبوته معلوما قطعا ، فلو نسخناه بخبر الواحد لزم جعل المظنون رافعا للمقطوع وانّه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أيضا على بطلان القول بهذا النسخ ، إنّ أكثر الروايات انّ النبي صلى الله عليه وآله وسلم نهى عن المتعة وعن لحوم الحمر الأهلية يوم خيبر ، وأكثر الروايات انّه عليه الصلاة والسّلام أباح المتعة في حجّة الوداع وفي يوم الفتح ، وهذان اليومان متأخران عن يوم خيبر ، وذلك يدلّ على فساد ما روي انّه عليه السلام نسخ المتعة يوم خيبر ، لأنّ الناسخ يمتنع تقدّمه على المنسوخ ، وقول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حصل التحليل مرارا والنسخ مرارا ضعيف ، لم يقل به أحد من المعتبرين ، إلاّ الذين أرادوا إزالة التناقض عن هذه الروايات</w:t>
      </w:r>
      <w:r>
        <w:rPr>
          <w:rFonts w:eastAsia="Amiri" w:cs="Amiri" w:ascii="Amiri" w:hAnsi="Amiri"/>
          <w:color w:val="111111"/>
          <w:sz w:val="28"/>
          <w:szCs w:val="28"/>
          <w:rtl w:val="true"/>
          <w:lang w:bidi="ar-SA"/>
        </w:rPr>
        <w:t xml:space="preserve">. </w:t>
      </w:r>
      <w:r>
        <w:rPr>
          <w:rStyle w:val="FootnoteAnchor"/>
          <w:rtl w:val="true"/>
        </w:rPr>
        <w:footnoteReference w:id="970"/>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وسيوافيك اضطراب أقوال المحرّمين ـ ربّما ناهزت الستة ـ في عدد التحليل والتحريم ومكانهما ، وهذا النوع من الاضطراب ، يورث الشكّ في أصل التحريم ، فانتظر</w:t>
      </w:r>
      <w:r>
        <w:rPr>
          <w:rFonts w:eastAsia="Amiri" w:cs="Amiri" w:ascii="Amiri" w:hAnsi="Amiri"/>
          <w:color w:val="111111"/>
          <w:sz w:val="28"/>
          <w:szCs w:val="28"/>
          <w:rtl w:val="true"/>
          <w:lang w:bidi="ar-SA"/>
        </w:rPr>
        <w:t xml:space="preserve">. </w:t>
      </w:r>
      <w:bookmarkStart w:id="943" w:name="pg10144_71699"/>
    </w:p>
    <w:p>
      <w:pPr>
        <w:pStyle w:val="Heading4"/>
        <w:numPr>
          <w:ilvl w:val="3"/>
          <w:numId w:val="1"/>
        </w:numPr>
        <w:rPr/>
      </w:pPr>
      <w:bookmarkStart w:id="944" w:name="__RefHeading___Toc1166071_1067777946"/>
      <w:bookmarkStart w:id="945" w:name="_Toc343"/>
      <w:bookmarkEnd w:id="943"/>
      <w:bookmarkEnd w:id="944"/>
      <w:r>
        <w:rPr/>
        <w:t>5</w:t>
      </w:r>
      <w:r>
        <w:rPr>
          <w:rtl w:val="true"/>
        </w:rPr>
        <w:t xml:space="preserve">. </w:t>
      </w:r>
      <w:r>
        <w:rPr>
          <w:rtl w:val="true"/>
        </w:rPr>
        <w:t>المتعة في التفاسير غير الروائية</w:t>
      </w:r>
      <w:bookmarkEnd w:id="945"/>
    </w:p>
    <w:p>
      <w:pPr>
        <w:pStyle w:val="BookText"/>
        <w:rPr/>
      </w:pPr>
      <w:r>
        <w:rPr>
          <w:rFonts w:ascii="Amiri" w:hAnsi="Amiri" w:eastAsia="Amiri" w:cs="Amiri"/>
          <w:color w:val="111111"/>
          <w:sz w:val="28"/>
          <w:sz w:val="28"/>
          <w:szCs w:val="28"/>
          <w:rtl w:val="true"/>
          <w:lang w:bidi="ar-SA"/>
        </w:rPr>
        <w:t>لقد تعرفت على موقف التفاسير الروائية من تفسير الآية بالنكاح المؤقت ، حيث نقل الطبري والسيوطي والثعلبي نزول الآية في المتعة ، هلمّ معي ندرس ما ذكره الآخرون من المفسرين فإنّهم بين من فسروا الآية بنكاح المتعة بقول واحد أو جعلوا نزولها في نكاح المتعة أحد القولين ، وها نحن ننقل في المقام شيئا موجزا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نزلت في المتعة التي كانت ثلاثة أيام حين فتح الله مكة على رسوله</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نكاح المتعة الذي كان في صدر الإسلام</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الآية في المتعة التي كانت ثلاثة أيام حين فتحت مكة</w:t>
      </w:r>
      <w:r>
        <w:rPr>
          <w:rFonts w:eastAsia="Amiri" w:cs="Amiri" w:ascii="Amiri" w:hAnsi="Amiri"/>
          <w:color w:val="111111"/>
          <w:sz w:val="28"/>
          <w:szCs w:val="28"/>
          <w:rtl w:val="true"/>
          <w:lang w:bidi="ar-SA"/>
        </w:rPr>
        <w:t xml:space="preserve">. </w:t>
      </w:r>
      <w:r>
        <w:rPr>
          <w:rStyle w:val="FootnoteAnchor"/>
          <w:rtl w:val="true"/>
        </w:rPr>
        <w:footnoteReference w:id="97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بعموم الآية على نكاح المتعة ، ولا شكّ انّه </w:t>
      </w:r>
    </w:p>
    <w:p>
      <w:pPr>
        <w:pStyle w:val="BookText"/>
        <w:rPr/>
      </w:pPr>
      <w:r>
        <w:rPr>
          <w:rFonts w:ascii="Amiri" w:hAnsi="Amiri" w:eastAsia="Amiri" w:cs="Amiri"/>
          <w:color w:val="111111"/>
          <w:sz w:val="28"/>
          <w:sz w:val="28"/>
          <w:szCs w:val="28"/>
          <w:rtl w:val="true"/>
          <w:lang w:bidi="ar-SA"/>
        </w:rPr>
        <w:t>كان مشروعا في ابتداء الإسلام ثمّ نسخ ، وقد قيل بإباحتها للضرورة وهي رواية واحدة عن الإمام أحمد</w:t>
      </w:r>
      <w:r>
        <w:rPr>
          <w:rFonts w:eastAsia="Amiri" w:cs="Amiri" w:ascii="Amiri" w:hAnsi="Amiri"/>
          <w:color w:val="111111"/>
          <w:sz w:val="28"/>
          <w:szCs w:val="28"/>
          <w:rtl w:val="true"/>
          <w:lang w:bidi="ar-SA"/>
        </w:rPr>
        <w:t xml:space="preserve">. </w:t>
      </w:r>
      <w:r>
        <w:rPr>
          <w:rStyle w:val="FootnoteAnchor"/>
          <w:rtl w:val="true"/>
        </w:rPr>
        <w:footnoteReference w:id="97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السعود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المتعة التي هي النكاح إلى وقت معلوم </w:t>
      </w:r>
      <w:r>
        <w:rPr>
          <w:rStyle w:val="FootnoteAnchor"/>
          <w:rtl w:val="true"/>
        </w:rPr>
        <w:footnoteReference w:id="975"/>
      </w:r>
      <w:r>
        <w:rPr>
          <w:rFonts w:ascii="Amiri" w:hAnsi="Amiri" w:eastAsia="Amiri" w:cs="Amiri"/>
          <w:color w:val="111111"/>
          <w:sz w:val="28"/>
          <w:sz w:val="28"/>
          <w:szCs w:val="28"/>
          <w:rtl w:val="true"/>
          <w:lang w:bidi="ar-SA"/>
        </w:rPr>
        <w:t>وقد تعرفت على كلام الرازي تفصيلا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بالآية نكاح المتعة الذي كان في صدر الإسلام ويؤيد ذلك قراءة أبيّ بن كعب وابن عباس وسعيد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إلى أجل مسمى فآتوهن أجورهن </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علاء الدين البغدادي في تفسيره المعروف بتفسير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الخازن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من حكم الآية هو نكاح المتعة ، وهو أن ينكح امرأة إلى مدة معلومة بشيء معلوم ، فإذا انقضت المدة بانت منه بغير طلاق ، وكان هذا في ابتداء الإسلام</w:t>
      </w:r>
      <w:r>
        <w:rPr>
          <w:rFonts w:eastAsia="Amiri" w:cs="Amiri" w:ascii="Amiri" w:hAnsi="Amiri"/>
          <w:color w:val="111111"/>
          <w:sz w:val="28"/>
          <w:szCs w:val="28"/>
          <w:rtl w:val="true"/>
          <w:lang w:bidi="ar-SA"/>
        </w:rPr>
        <w:t xml:space="preserve">. </w:t>
      </w:r>
      <w:r>
        <w:rPr>
          <w:rStyle w:val="FootnoteAnchor"/>
          <w:rtl w:val="true"/>
        </w:rPr>
        <w:footnoteReference w:id="97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الآلوسي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ابن عباس وعبد الله بن مسعود ،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استمتعتم به منهن إلى أجل 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نزاع عندنا في أنّها قد حلّت ثمّ حرمت</w:t>
      </w:r>
      <w:r>
        <w:rPr>
          <w:rFonts w:eastAsia="Amiri" w:cs="Amiri" w:ascii="Amiri" w:hAnsi="Amiri"/>
          <w:color w:val="111111"/>
          <w:sz w:val="28"/>
          <w:szCs w:val="28"/>
          <w:rtl w:val="true"/>
          <w:lang w:bidi="ar-SA"/>
        </w:rPr>
        <w:t xml:space="preserve">. </w:t>
      </w:r>
      <w:r>
        <w:rPr>
          <w:rStyle w:val="FootnoteAnchor"/>
          <w:rtl w:val="true"/>
        </w:rPr>
        <w:footnoteReference w:id="978"/>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ذكرنا غنى وكفاية غير انّ هؤلاء الأعاظم ـ عفا الله عنّا وعنهم ـ بين من نسب الحلية إلى صدر الإسلام كالقرطبي وابن كثير والخازن ومن نسبها إلى عام الفتح كالزمخشري والبيضاوي ، وقد عرفت أنّ نكاح المتعة كان أمرا رائجا حين بزوغ شمس الإسلام وانّ التشريع الإسلامي ، أنفذها وحدّد لها حدودا وأكملها حتى عادت نكاحا صحيحا ، تحل مشاكل الأمة في أوقات حرجة</w:t>
      </w:r>
      <w:r>
        <w:rPr>
          <w:rFonts w:eastAsia="Amiri" w:cs="Amiri" w:ascii="Amiri" w:hAnsi="Amiri"/>
          <w:color w:val="111111"/>
          <w:sz w:val="28"/>
          <w:szCs w:val="28"/>
          <w:rtl w:val="true"/>
          <w:lang w:bidi="ar-SA"/>
        </w:rPr>
        <w:t xml:space="preserve">. </w:t>
      </w:r>
      <w:bookmarkStart w:id="946" w:name="pg10144_71701"/>
    </w:p>
    <w:p>
      <w:pPr>
        <w:pStyle w:val="Heading4"/>
        <w:numPr>
          <w:ilvl w:val="3"/>
          <w:numId w:val="1"/>
        </w:numPr>
        <w:rPr/>
      </w:pPr>
      <w:bookmarkStart w:id="947" w:name="__RefHeading___Toc1166073_1067777946"/>
      <w:bookmarkStart w:id="948" w:name="_Toc344"/>
      <w:bookmarkEnd w:id="946"/>
      <w:bookmarkEnd w:id="947"/>
      <w:r>
        <w:rPr/>
        <w:t>6</w:t>
      </w:r>
      <w:r>
        <w:rPr>
          <w:rtl w:val="true"/>
        </w:rPr>
        <w:t xml:space="preserve">. </w:t>
      </w:r>
      <w:r>
        <w:rPr>
          <w:rtl w:val="true"/>
        </w:rPr>
        <w:t>شبهات وحلول</w:t>
      </w:r>
      <w:bookmarkEnd w:id="948"/>
    </w:p>
    <w:p>
      <w:pPr>
        <w:pStyle w:val="Heading5"/>
        <w:numPr>
          <w:ilvl w:val="4"/>
          <w:numId w:val="1"/>
        </w:numPr>
        <w:rPr/>
      </w:pPr>
      <w:bookmarkStart w:id="949" w:name="__RefHeading___Toc1166075_1067777946"/>
      <w:bookmarkStart w:id="950" w:name="_Toc345"/>
      <w:bookmarkEnd w:id="949"/>
      <w:r>
        <w:rPr>
          <w:rtl w:val="true"/>
        </w:rPr>
        <w:t>اشارة</w:t>
      </w:r>
      <w:bookmarkEnd w:id="950"/>
    </w:p>
    <w:p>
      <w:pPr>
        <w:pStyle w:val="BookText"/>
        <w:rPr/>
      </w:pPr>
      <w:r>
        <w:rPr>
          <w:rFonts w:ascii="Amiri" w:hAnsi="Amiri" w:eastAsia="Amiri" w:cs="Amiri"/>
          <w:color w:val="111111"/>
          <w:sz w:val="28"/>
          <w:sz w:val="28"/>
          <w:szCs w:val="28"/>
          <w:rtl w:val="true"/>
          <w:lang w:bidi="ar-SA"/>
        </w:rPr>
        <w:t>قد تعرفت على دلالة الذكر الحكيم والسنّة النبوية على حلّية المتعة واستمرارها بعد رحيله فلا منتدح للمسلم عن القول بجوازه فمن حرّمها فقد حرّم ما أحل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جمعا ممّن لم يقف على حدود المتعة ولا على حقيقتها راموا ينحتون شبهات واهية حول تحليل المتعة ، ونحن نذكر تلكم الشبهات واحدة تلو الأخرى حتّى يتّضح انّ التشريع الإلهي من أحكم التشريعات وأنصعها فلا يزول بهذه الشبهات التي هي أوهن من بيت العنكبوت</w:t>
      </w:r>
      <w:r>
        <w:rPr>
          <w:rFonts w:eastAsia="Amiri" w:cs="Amiri" w:ascii="Amiri" w:hAnsi="Amiri"/>
          <w:color w:val="111111"/>
          <w:sz w:val="28"/>
          <w:szCs w:val="28"/>
          <w:rtl w:val="true"/>
          <w:lang w:bidi="ar-SA"/>
        </w:rPr>
        <w:t>.</w:t>
      </w:r>
    </w:p>
    <w:p>
      <w:pPr>
        <w:pStyle w:val="Heading5"/>
        <w:numPr>
          <w:ilvl w:val="4"/>
          <w:numId w:val="1"/>
        </w:numPr>
        <w:rPr/>
      </w:pPr>
      <w:bookmarkStart w:id="951" w:name="__RefHeading___Toc1166077_1067777946"/>
      <w:bookmarkStart w:id="952" w:name="_Toc346"/>
      <w:bookmarkEnd w:id="951"/>
      <w:r>
        <w:rPr>
          <w:rtl w:val="true"/>
        </w:rPr>
        <w:t xml:space="preserve">الشبهة الأولى </w:t>
      </w:r>
      <w:r>
        <w:rPr>
          <w:rtl w:val="true"/>
        </w:rPr>
        <w:t xml:space="preserve">: </w:t>
      </w:r>
      <w:r>
        <w:rPr>
          <w:rtl w:val="true"/>
        </w:rPr>
        <w:t>المتعة وتكوين الأسرة</w:t>
      </w:r>
      <w:bookmarkEnd w:id="952"/>
    </w:p>
    <w:p>
      <w:pPr>
        <w:pStyle w:val="Heading6"/>
        <w:numPr>
          <w:ilvl w:val="5"/>
          <w:numId w:val="1"/>
        </w:numPr>
        <w:rPr/>
      </w:pPr>
      <w:bookmarkStart w:id="953" w:name="__RefHeading___Toc1166079_1067777946"/>
      <w:bookmarkStart w:id="954" w:name="_Toc347"/>
      <w:bookmarkEnd w:id="953"/>
      <w:r>
        <w:rPr>
          <w:rtl w:val="true"/>
        </w:rPr>
        <w:t>اشارة</w:t>
      </w:r>
      <w:bookmarkEnd w:id="954"/>
    </w:p>
    <w:p>
      <w:pPr>
        <w:pStyle w:val="BookText"/>
        <w:rPr/>
      </w:pPr>
      <w:r>
        <w:rPr>
          <w:rFonts w:ascii="Amiri" w:hAnsi="Amiri" w:eastAsia="Amiri" w:cs="Amiri"/>
          <w:color w:val="111111"/>
          <w:sz w:val="28"/>
          <w:sz w:val="28"/>
          <w:szCs w:val="28"/>
          <w:rtl w:val="true"/>
          <w:lang w:bidi="ar-SA"/>
        </w:rPr>
        <w:t>الهدف من تشريع النكاح هو تكوين الأسرة وإيجاد النسل وهو يختص بالنكاح الدائم دون المنقطع الذي لا يترتب عليه سوى استجابة للقوة الشهوية وصب الماء والسفح</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الدكتور الدريني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النكاح في الإسلام لمقاصد أساسية قد نصّ عليها القرآن الكريم صراحة ترجع كلّها إلى تكوين الأسرة الفاضلة التي تشكّل النواة الأولى للمجتمع الإسلامي بخصائصه الذاتية من العفّة والطهر والولاية </w:t>
      </w:r>
      <w:bookmarkStart w:id="955" w:name="pg10144_71702"/>
    </w:p>
    <w:p>
      <w:pPr>
        <w:pStyle w:val="BookText"/>
        <w:rPr/>
      </w:pPr>
      <w:bookmarkEnd w:id="955"/>
      <w:r>
        <w:rPr>
          <w:rFonts w:ascii="Amiri" w:hAnsi="Amiri" w:eastAsia="Amiri" w:cs="Amiri"/>
          <w:color w:val="111111"/>
          <w:sz w:val="28"/>
          <w:sz w:val="28"/>
          <w:szCs w:val="28"/>
          <w:rtl w:val="true"/>
          <w:lang w:bidi="ar-SA"/>
        </w:rPr>
        <w:t xml:space="preserve">والنصرة والتكافل الاجتماعي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 يربط الزواج بغريزة الجنس لم يكن ليقصد مجرد قضاء الشهوة ، بل قصد أن يكون على النحو الذي يحقّق ذلك المقصد بخصائصه من تكوين الأسرة التي شرع أحكامها التفصيلية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فان الاستمتاع مجردا عن الأنجاب وبناء الأسرة ، يحبط مقصد الشارع من كلّ أصل تشريع النكاح</w:t>
      </w:r>
      <w:r>
        <w:rPr>
          <w:rFonts w:eastAsia="Amiri" w:cs="Amiri" w:ascii="Amiri" w:hAnsi="Amiri"/>
          <w:color w:val="111111"/>
          <w:sz w:val="28"/>
          <w:szCs w:val="28"/>
          <w:rtl w:val="true"/>
          <w:lang w:bidi="ar-SA"/>
        </w:rPr>
        <w:t xml:space="preserve">. </w:t>
      </w:r>
      <w:r>
        <w:rPr>
          <w:rStyle w:val="FootnoteAnchor"/>
          <w:rtl w:val="true"/>
        </w:rPr>
        <w:footnoteReference w:id="979"/>
      </w:r>
    </w:p>
    <w:p>
      <w:pPr>
        <w:pStyle w:val="Heading6"/>
        <w:numPr>
          <w:ilvl w:val="5"/>
          <w:numId w:val="1"/>
        </w:numPr>
        <w:rPr/>
      </w:pPr>
      <w:bookmarkStart w:id="956" w:name="__RefHeading___Toc1166081_1067777946"/>
      <w:bookmarkStart w:id="957" w:name="_Toc348"/>
      <w:bookmarkEnd w:id="956"/>
      <w:r>
        <w:rPr>
          <w:rtl w:val="true"/>
        </w:rPr>
        <w:t xml:space="preserve">يلاحظ عليه بوجوه </w:t>
      </w:r>
      <w:r>
        <w:rPr>
          <w:rtl w:val="true"/>
        </w:rPr>
        <w:t>:</w:t>
      </w:r>
      <w:bookmarkEnd w:id="957"/>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الأستاذ خلط علّة التشريع ومناطه ، بحكمته ، فإنّ العلّة عبارة عمّا يدور الحكم مدارها ، يحدث الحكم بوجودها ويرتفع بارتفاعها ، وهذا بخلاف الحكمة ، فربّما يكون الحكم أوسع منها ، وإليك توضيح الأمرين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 الشارع اجتنب المسكر ، فالسكر علّة وجوب الاجتناب بحجّة تعليق الحكم على ذلك العنوان ، فما دام المائع مسكرا ، له حكمه ، فإذا انقلب إلى الخلّ يرتفع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وَالْمُطَلَّقاتُ يَتَرَبَّصْنَ بِأَنْفُسِهِنَّ ثَلاثَةَ قُرُوءٍ وَلا يَحِلُّ لَهُنَّ أَنْ يَكْتُمْنَ ما خَلَقَ اللهُ فِي أَرْحامِهِنَّ إِنْ كُنَّ يُؤْمِنَّ بِاللهِ وَالْيَوْمِ الْآخِرِ</w:t>
      </w:r>
      <w:r>
        <w:rPr>
          <w:rFonts w:eastAsia="Amiri" w:cs="Amiri" w:ascii="Amiri" w:hAnsi="Amiri"/>
          <w:color w:val="111111"/>
          <w:sz w:val="28"/>
          <w:szCs w:val="28"/>
          <w:rtl w:val="true"/>
          <w:lang w:bidi="ar-SA"/>
        </w:rPr>
        <w:t xml:space="preserve">. ). </w:t>
      </w:r>
      <w:r>
        <w:rPr>
          <w:rStyle w:val="FootnoteAnchor"/>
          <w:rtl w:val="true"/>
        </w:rPr>
        <w:footnoteReference w:id="980"/>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فالتربّص ـ لأجل تبيّن وضع الرحم ، وإنّها هل تحمل ولدا أو لا؟ ـ حكمة الحكم ، لا علّته ، ولأجل ذلك نرى أنّ الحكم أوسع منها بشهادة أنّه يجب التربّص </w:t>
      </w:r>
    </w:p>
    <w:p>
      <w:pPr>
        <w:pStyle w:val="BookText"/>
        <w:rPr/>
      </w:pPr>
      <w:r>
        <w:rPr>
          <w:rFonts w:ascii="Amiri" w:hAnsi="Amiri" w:eastAsia="Amiri" w:cs="Amiri"/>
          <w:color w:val="111111"/>
          <w:sz w:val="28"/>
          <w:sz w:val="28"/>
          <w:szCs w:val="28"/>
          <w:rtl w:val="true"/>
          <w:lang w:bidi="ar-SA"/>
        </w:rPr>
        <w:t>على من نعلم بعدم وجود حمل في رحمها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إذا كانت عقيما لا تلد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الرجل عقيما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غاب عنها الزوج مدة طويلة كستة أشهر فما فوق ، ونعلم بعدم وجود حمل في رحمها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تبيّن عن طريق إجراء التجارب الطبّية ، خلو رحمها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العلم بعدم وجود الحكمة في هذه الموارد فحكم الآية محكمة وإن لم تكن حكمة الحكم موجودة ، وهذا لا ينافي ما توافقنا عليه من تبعية الأحكام للمصالح ، فان المقصود منه هو وجود الملاكات في أغلب الموارد لا في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الفرق بين الحكمة والعلّة تقف على أنّ الأستاذ خلط بين العلة والحكمة ، فتكوين الأسرة والأنجاب والتكافل الاجتماعي كلّها من قبيل الحكم بشهادة أنّ الشارع حكم بصحّة الزواج في موارد فاقدة لهذه الغاية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يجوز زواج العقيم بالمرأة الولود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يجوز زواج المرأة العقيم بالرجل المنجب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يجوز نكاح اليائسة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يجوز نكاح الصغيرة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يجوز نكاح الشاب من الشابة مع العزم على عدم الأنجاب إلى آخر العمر</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أفيصح للأستاذ أن يشطب على هذه الأنكحة بقلم عريض بحجّة افتقادها لتكوين الأسرة؟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 من الأمور الواضحة هو أنّ أغلب المتزوّجين في سنّ الشباب بالزواج الدائم لا يقصدون إلاّ قضاء الوطر ، واستيفاء اللذة من طريقها المشروع ، ولا يخطر ببالهم طلب النسل ، وإن كان يحصل لهم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الأستاذ التفصيل بين من يتزوّج متعة لغاية الأنجاب وتشكيل الأسرة بخصائصها الذاتية من العفّة ، والطهر ، والولاية ، والنصرة ، والتكافل الاجتماعي ، وبين من يتزوّج لقضاء الوطر ، ودفع الشهوة بهذا الطريق ، فيحرّم الثانية دون الأولى ، وأمّا إنّه لما ذا يتزوّج زواجا مؤقتا للإنجاب وتشكيل الأسرة؟ فلأجل وجود بعض التسهيلات في المؤقت دون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الأستاذ كأكثر من كتب عن المتعة من أهل السنّة ، يتعامل مع المتمتع بها معاملة الغانيات المفتوحة أبوابهنّ ، يدخل عليهنّ في كل يوم رجل ويجتمع معهنّ ذلك اليوم ثم يفارق ويأتي رجل آخر بهذه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هذا معنى التمتّع بالمرأة والزواج المؤقت ، فالشيعة الإمامية بريئون من هذا التشريع الذي يرادف الزنا إلاّ في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المتعة تفارق ذلك مائة بالمائة ، فربّما يكون هناك نساء توفّى عنهنّ أزواجهنّ ولهنّ جمالهنّ وكمالهنّ ، وربّما لا يتمكّن الرجل من الزواج الدائم لمشاكل اجتماعية ، ومع ذلك يرغب إلى هذه الطبقة من النساء فيتزوّجها طالبا بها رفع العنت أوّلا وتشكيل الأسرة بما لها من الخصوصيات ثانيا</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أنّ ما اختمر في ذهن الكاتب وغيره من المتعة أشبه بالنساء المبذولات في بيوت خاصة ، ومحلاّت معيّنة فمثل ذلك لا يمكن أن تضفى عليه المشروعية ، غير أنّ المتعة الشرعية غير ذلك ، وربّما يتوقّف التزوّج بهنّ على طي عقبات ، فيشترط فيها ما يشترط في الدائم ، ويفارق الدائم بأمور أوضحها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والنفقة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التوارث فيتوارثان بالاشتراط على الأقوى ، ومثل ذلك يلازم الغايات المطلوبة للنكاح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الغاية القصوى في كل مورد رخّص فيه الشارع العلاقة الجنسية بعامّة أقسامها حتى ملك اليمين وتحليل الإماء في بعض المذاهب الفقهيّة هو صيانة النفس عن الوقوع في الزنا والسفاح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سائر الغايات من تشكيل الأسرة ، والتكافل الاجتماعي ، فإنّما هي غايات ثانوية تحصل بالنتيجة سواء توخّاها الزوجان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والغاية القصوى موجودة في الزواج المؤقت ، وأنّ الهدف من تشريعه هو صيانة النفس عن الحرام لمن لا يتمكّن من الزواج الدائم ، ولأجل ذلك استفاض عن ابن عباس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يرحم الله عمر ما كانت المتعة إلاّ رحمة من الله رحم بها أمّة محمد ولو لا نهيه عنها ما احتاج إلى الزنا إلاّ شقيّ </w:t>
      </w:r>
      <w:r>
        <w:rPr>
          <w:rFonts w:eastAsia="Amiri" w:cs="Amiri" w:ascii="Amiri" w:hAnsi="Amiri"/>
          <w:color w:val="111111"/>
          <w:sz w:val="28"/>
          <w:szCs w:val="28"/>
          <w:rtl w:val="true"/>
          <w:lang w:bidi="ar-SA"/>
        </w:rPr>
        <w:t xml:space="preserve">». </w:t>
      </w:r>
      <w:r>
        <w:rPr>
          <w:rStyle w:val="FootnoteAnchor"/>
          <w:rtl w:val="true"/>
        </w:rPr>
        <w:footnoteReference w:id="981"/>
      </w:r>
      <w:r>
        <w:rPr>
          <w:rFonts w:ascii="Amiri" w:hAnsi="Amiri" w:eastAsia="Amiri" w:cs="Amiri"/>
          <w:color w:val="111111"/>
          <w:sz w:val="28"/>
          <w:sz w:val="28"/>
          <w:szCs w:val="28"/>
          <w:rtl w:val="true"/>
          <w:lang w:bidi="ar-SA"/>
        </w:rPr>
        <w:t>وروي النص باختلاف طفيف عن عليّ عليه السلام أيضا</w:t>
      </w:r>
      <w:r>
        <w:rPr>
          <w:rFonts w:eastAsia="Amiri" w:cs="Amiri" w:ascii="Amiri" w:hAnsi="Amiri"/>
          <w:color w:val="111111"/>
          <w:sz w:val="28"/>
          <w:szCs w:val="28"/>
          <w:rtl w:val="true"/>
          <w:lang w:bidi="ar-SA"/>
        </w:rPr>
        <w:t xml:space="preserve">. </w:t>
      </w:r>
      <w:r>
        <w:rPr>
          <w:rStyle w:val="FootnoteAnchor"/>
          <w:rtl w:val="true"/>
        </w:rPr>
        <w:footnoteReference w:id="982"/>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وَلْيَسْتَعْفِفِ الَّذِينَ لا يَجِدُونَ نِكاحاً حَتَّى يُغْنِيَهُمُ اللهُ مِنْ فَضْلِهِ</w:t>
      </w:r>
      <w:r>
        <w:rPr>
          <w:rFonts w:eastAsia="Amiri" w:cs="Amiri" w:ascii="Amiri" w:hAnsi="Amiri"/>
          <w:color w:val="111111"/>
          <w:sz w:val="28"/>
          <w:szCs w:val="28"/>
          <w:rtl w:val="true"/>
          <w:lang w:bidi="ar-SA"/>
        </w:rPr>
        <w:t xml:space="preserve">. ) </w:t>
      </w:r>
      <w:r>
        <w:rPr>
          <w:rStyle w:val="FootnoteAnchor"/>
          <w:rtl w:val="true"/>
        </w:rPr>
        <w:footnoteReference w:id="983"/>
      </w:r>
      <w:r>
        <w:rPr>
          <w:rFonts w:ascii="Amiri" w:hAnsi="Amiri" w:eastAsia="Amiri" w:cs="Amiri"/>
          <w:color w:val="111111"/>
          <w:sz w:val="28"/>
          <w:sz w:val="28"/>
          <w:szCs w:val="28"/>
          <w:rtl w:val="true"/>
          <w:lang w:bidi="ar-SA"/>
        </w:rPr>
        <w:t>دليل على أنّ الغاية من تجويز النكاح ، والنهي عن الرهبانية هو صيانة النفس عن الفحشاء ودفعها إلى التعفّف ، وهذه الغاية كما عرفت موجودة في جميع الأنكحة والعلاقات الجنسية من الزواج الدائم إلى الزواج المؤقّت إلى ملك اليمين إلى تحليل الإماء بشروطها المقرّرة في الفقه</w:t>
      </w:r>
      <w:r>
        <w:rPr>
          <w:rFonts w:eastAsia="Amiri" w:cs="Amiri" w:ascii="Amiri" w:hAnsi="Amiri"/>
          <w:color w:val="111111"/>
          <w:sz w:val="28"/>
          <w:szCs w:val="28"/>
          <w:rtl w:val="true"/>
          <w:lang w:bidi="ar-SA"/>
        </w:rPr>
        <w:t xml:space="preserve">. </w:t>
      </w:r>
      <w:bookmarkStart w:id="958" w:name="pg10144_71706"/>
    </w:p>
    <w:p>
      <w:pPr>
        <w:pStyle w:val="Heading5"/>
        <w:numPr>
          <w:ilvl w:val="4"/>
          <w:numId w:val="1"/>
        </w:numPr>
        <w:rPr/>
      </w:pPr>
      <w:bookmarkStart w:id="959" w:name="__RefHeading___Toc1166083_1067777946"/>
      <w:bookmarkStart w:id="960" w:name="_Toc349"/>
      <w:bookmarkEnd w:id="958"/>
      <w:bookmarkEnd w:id="959"/>
      <w:r>
        <w:rPr>
          <w:rtl w:val="true"/>
        </w:rPr>
        <w:t>الشبهة الثانية</w:t>
      </w:r>
      <w:bookmarkEnd w:id="960"/>
    </w:p>
    <w:p>
      <w:pPr>
        <w:pStyle w:val="BookText"/>
        <w:rPr/>
      </w:pPr>
      <w:r>
        <w:rPr>
          <w:rFonts w:ascii="Amiri" w:hAnsi="Amiri" w:eastAsia="Amiri" w:cs="Amiri"/>
          <w:color w:val="111111"/>
          <w:sz w:val="28"/>
          <w:sz w:val="28"/>
          <w:szCs w:val="28"/>
          <w:rtl w:val="true"/>
          <w:lang w:bidi="ar-SA"/>
        </w:rPr>
        <w:t>المتعة خارجة عن الحصر المحلل</w:t>
      </w:r>
    </w:p>
    <w:p>
      <w:pPr>
        <w:pStyle w:val="BookText"/>
        <w:rPr/>
      </w:pPr>
      <w:r>
        <w:rPr>
          <w:rFonts w:ascii="Amiri" w:hAnsi="Amiri" w:eastAsia="Amiri" w:cs="Amiri"/>
          <w:color w:val="111111"/>
          <w:sz w:val="28"/>
          <w:sz w:val="28"/>
          <w:szCs w:val="28"/>
          <w:rtl w:val="true"/>
          <w:lang w:bidi="ar-SA"/>
        </w:rPr>
        <w:t xml:space="preserve">انّه سبحانه أمر بحفظ الفروج إلاّ في موردين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هُمْ لِفُرُوجِهِمْ 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أَزْواجِهِمْ أَوْ ما مَلَكَتْ أَيْمانُهُمْ فَإِنَّهُمْ غَيْرُ مَلُومِينَ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ذلِكَ فَأُولئِكَ هُمُ العادُونَ </w:t>
      </w:r>
      <w:r>
        <w:rPr>
          <w:rFonts w:eastAsia="Amiri" w:cs="Amiri" w:ascii="Amiri" w:hAnsi="Amiri"/>
          <w:color w:val="111111"/>
          <w:sz w:val="28"/>
          <w:szCs w:val="28"/>
          <w:rtl w:val="true"/>
          <w:lang w:bidi="ar-SA"/>
        </w:rPr>
        <w:t xml:space="preserve">) </w:t>
      </w:r>
      <w:r>
        <w:rPr>
          <w:rStyle w:val="FootnoteAnchor"/>
          <w:rtl w:val="true"/>
        </w:rPr>
        <w:footnoteReference w:id="984"/>
      </w:r>
      <w:r>
        <w:rPr>
          <w:rFonts w:ascii="Amiri" w:hAnsi="Amiri" w:eastAsia="Amiri" w:cs="Amiri"/>
          <w:color w:val="111111"/>
          <w:sz w:val="28"/>
          <w:sz w:val="28"/>
          <w:szCs w:val="28"/>
          <w:rtl w:val="true"/>
          <w:lang w:bidi="ar-SA"/>
        </w:rPr>
        <w:t>والمراد من قوله فمن ابتغى هم المتجاوزون عمّا أحله الله لهم إلى ما حرمه عليهم ، والمرأة المتمتع بها ليست زوجة ليكون لها على الرجل مثل الذي له عليها بالمعروف</w:t>
      </w:r>
      <w:r>
        <w:rPr>
          <w:rFonts w:eastAsia="Amiri" w:cs="Amiri" w:ascii="Amiri" w:hAnsi="Amiri"/>
          <w:color w:val="111111"/>
          <w:sz w:val="28"/>
          <w:szCs w:val="28"/>
          <w:rtl w:val="true"/>
          <w:lang w:bidi="ar-SA"/>
        </w:rPr>
        <w:t xml:space="preserve">.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المستشكل لم يدرس حقيقة المتعة إلاّ بما دارت على الألسن من تشبيه المتعة بالنساء المبتذلات في بيوت خاصة ومحلات معينة ، ومن المعلوم انّ مثل هذه المرأة غير داخلة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المتمتع بها فهي زوجة حقيقة لا تحل بلا عقد ولا تحرم إلاّ بانقضاء الأجل ويجب عليها الاعتداد بعد الفراق ، كما تقدّم عند شرح نبذ من أحكامها إلى غير ذلك من الأحكام المذكورة فمثل ذلك داخل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نسأل القائل إذا صحّ ما يقوله من أنّها ليست زوجة فكيف أحلّها الذكر </w:t>
      </w:r>
    </w:p>
    <w:p>
      <w:pPr>
        <w:pStyle w:val="BookText"/>
        <w:rPr/>
      </w:pPr>
      <w:r>
        <w:rPr>
          <w:rFonts w:ascii="Amiri" w:hAnsi="Amiri" w:eastAsia="Amiri" w:cs="Amiri"/>
          <w:color w:val="111111"/>
          <w:sz w:val="28"/>
          <w:sz w:val="28"/>
          <w:szCs w:val="28"/>
          <w:rtl w:val="true"/>
          <w:lang w:bidi="ar-SA"/>
        </w:rPr>
        <w:t xml:space="preserve">الحكيم والرسول الكريم في غير موقف من المواقف؟ فهل يتوهم انّه سبحانه أحلّ الفحشاء أو انّ نبيه دعا أصحابه إليها ، وهو القائل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وَلْيَسْتَعْفِفِ الَّذِينَ لا يَجِدُونَ نِكاحاً حَتَّى يُغْنِيَهُمُ اللهُ مِنْ فَضْلِهِ </w:t>
      </w:r>
      <w:r>
        <w:rPr>
          <w:rFonts w:eastAsia="Amiri" w:cs="Amiri" w:ascii="Amiri" w:hAnsi="Amiri"/>
          <w:color w:val="111111"/>
          <w:sz w:val="28"/>
          <w:szCs w:val="28"/>
          <w:rtl w:val="true"/>
          <w:lang w:bidi="ar-SA"/>
        </w:rPr>
        <w:t xml:space="preserve">) </w:t>
      </w:r>
      <w:r>
        <w:rPr>
          <w:rStyle w:val="FootnoteAnchor"/>
          <w:rtl w:val="true"/>
        </w:rPr>
        <w:footnoteReference w:id="986"/>
      </w:r>
      <w:r>
        <w:rPr>
          <w:rFonts w:ascii="Amiri" w:hAnsi="Amiri" w:eastAsia="Amiri" w:cs="Amiri"/>
          <w:color w:val="111111"/>
          <w:sz w:val="28"/>
          <w:sz w:val="28"/>
          <w:szCs w:val="28"/>
          <w:rtl w:val="true"/>
          <w:lang w:bidi="ar-SA"/>
        </w:rPr>
        <w:t>كلّ ذلك يبعث الباحث إلى القول بأنّ المتمتع بها زوجة بلا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نسأل القائل عن الزوجين اللّذين يتزوجان نكاح دوام ولكن ينويان الفراق بالطلاق بعد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هذا نكاح صحيح أو لا؟ لا أظن أنّ فقيها من فقهاء الإسلام يمنع ذلك إلاّ إذا أفتى بغير دليل ولا برهان ، فأي فرق يكون حينئذ بين المتعة وهذا النكاح الدائم سوى أنّ المدّة مذكورة في الأوّل دون الثاني؟</w:t>
      </w:r>
    </w:p>
    <w:p>
      <w:pPr>
        <w:pStyle w:val="BookText"/>
        <w:rPr/>
      </w:pPr>
      <w:r>
        <w:rPr>
          <w:rFonts w:ascii="Amiri" w:hAnsi="Amiri" w:eastAsia="Amiri" w:cs="Amiri"/>
          <w:color w:val="111111"/>
          <w:sz w:val="28"/>
          <w:sz w:val="28"/>
          <w:szCs w:val="28"/>
          <w:rtl w:val="true"/>
          <w:lang w:bidi="ar-SA"/>
        </w:rPr>
        <w:t xml:space="preserve">يقول صاحب 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تشديد علماء السلف والخلف في منع المتعة يقتضي منع النكاح بنيّة الطلاق ، وإن كان الفقهاء يقولون إنّ عقد النكاح يكون صحيحا إذا نوى الزوج التوقيت ولم يشترطه في صيغة العقد ، ولكن كتمانه إيّاه يعدّ خداعا وغشّا وهو أجدر بالبطلان من العقد الذي يشترط فيه التوقيت</w:t>
      </w:r>
      <w:r>
        <w:rPr>
          <w:rFonts w:eastAsia="Amiri" w:cs="Amiri" w:ascii="Amiri" w:hAnsi="Amiri"/>
          <w:color w:val="111111"/>
          <w:sz w:val="28"/>
          <w:szCs w:val="28"/>
          <w:rtl w:val="true"/>
          <w:lang w:bidi="ar-SA"/>
        </w:rPr>
        <w:t xml:space="preserve">. </w:t>
      </w:r>
      <w:r>
        <w:rPr>
          <w:rStyle w:val="FootnoteAnchor"/>
          <w:rtl w:val="true"/>
        </w:rPr>
        <w:footnoteReference w:id="987"/>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نفترض أنّ الزوجين رضيا بالتوقيت لبّا ، حتى لا يكون هناك خداع وغشّ ، فهو صحيح بلا إشكال</w:t>
      </w:r>
      <w:r>
        <w:rPr>
          <w:rFonts w:eastAsia="Amiri" w:cs="Amiri" w:ascii="Amiri" w:hAnsi="Amiri"/>
          <w:color w:val="111111"/>
          <w:sz w:val="28"/>
          <w:szCs w:val="28"/>
          <w:rtl w:val="true"/>
          <w:lang w:bidi="ar-SA"/>
        </w:rPr>
        <w:t xml:space="preserve">. </w:t>
      </w:r>
      <w:bookmarkStart w:id="961" w:name="pg10144_71708"/>
    </w:p>
    <w:p>
      <w:pPr>
        <w:pStyle w:val="Heading5"/>
        <w:numPr>
          <w:ilvl w:val="4"/>
          <w:numId w:val="1"/>
        </w:numPr>
        <w:rPr/>
      </w:pPr>
      <w:bookmarkStart w:id="962" w:name="__RefHeading___Toc1166085_1067777946"/>
      <w:bookmarkStart w:id="963" w:name="_Toc350"/>
      <w:bookmarkEnd w:id="961"/>
      <w:bookmarkEnd w:id="962"/>
      <w:r>
        <w:rPr>
          <w:rtl w:val="true"/>
        </w:rPr>
        <w:t>الشبهة الثالثة</w:t>
      </w:r>
      <w:bookmarkEnd w:id="963"/>
    </w:p>
    <w:p>
      <w:pPr>
        <w:pStyle w:val="BookText"/>
        <w:rPr/>
      </w:pPr>
      <w:r>
        <w:rPr>
          <w:rFonts w:ascii="Amiri" w:hAnsi="Amiri" w:eastAsia="Amiri" w:cs="Amiri"/>
          <w:color w:val="111111"/>
          <w:sz w:val="28"/>
          <w:sz w:val="28"/>
          <w:szCs w:val="28"/>
          <w:rtl w:val="true"/>
          <w:lang w:bidi="ar-SA"/>
        </w:rPr>
        <w:t>لو كانت زوجة</w:t>
      </w:r>
    </w:p>
    <w:p>
      <w:pPr>
        <w:pStyle w:val="BookText"/>
        <w:rPr/>
      </w:pPr>
      <w:r>
        <w:rPr>
          <w:rFonts w:ascii="Amiri" w:hAnsi="Amiri" w:eastAsia="Amiri" w:cs="Amiri"/>
          <w:color w:val="111111"/>
          <w:sz w:val="28"/>
          <w:sz w:val="28"/>
          <w:szCs w:val="28"/>
          <w:rtl w:val="true"/>
          <w:lang w:bidi="ar-SA"/>
        </w:rPr>
        <w:t>فلما ذا لا ينفق عليها ولا ترث؟</w:t>
      </w:r>
    </w:p>
    <w:p>
      <w:pPr>
        <w:pStyle w:val="BookText"/>
        <w:rPr/>
      </w:pPr>
      <w:r>
        <w:rPr>
          <w:rFonts w:ascii="Amiri" w:hAnsi="Amiri" w:eastAsia="Amiri" w:cs="Amiri"/>
          <w:color w:val="111111"/>
          <w:sz w:val="28"/>
          <w:sz w:val="28"/>
          <w:szCs w:val="28"/>
          <w:rtl w:val="true"/>
          <w:lang w:bidi="ar-SA"/>
        </w:rPr>
        <w:t xml:space="preserve">إنّ المرأة المتمتع بها ليست أمة كما هو واضح ولا زوجة لعدم ترتّب آثار عقد النكاح الصحيح عليها كالنفقة والإرث والطلاق وقد استدلّ به غير واحد من المانعين ونقلها الرازي في تفسيره عنهم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المرأة لا شكّ انّها ليست مملوكة ولا زوجة ، ويدلّ عليه أنّها لو كانت زوجة لحصل التوارث بينهما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نِصْفُ ما تَرَكَ أَزْواجُكُمْ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بالاتفاق لا توارث بينهما ، وثانيا لثبت النسب لقوله عليه الصلاة والسّلام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الولد للفراش وللعاهر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وبالاتفاق لا يثبت ، ثالثا ولوجبت العدة عليها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يُتَوَفَّوْنَ مِنْكُمْ وَيَذَرُونَ أَزْواجاً يَتَرَبَّصْنَ بِأَنْفُسِهِنَّ أَرْبَعَةَ أَشْهُرٍ وَعَشْراً </w:t>
      </w:r>
      <w:r>
        <w:rPr>
          <w:rFonts w:eastAsia="Amiri" w:cs="Amiri" w:ascii="Amiri" w:hAnsi="Amiri"/>
          <w:color w:val="111111"/>
          <w:sz w:val="28"/>
          <w:szCs w:val="28"/>
          <w:rtl w:val="true"/>
          <w:lang w:bidi="ar-SA"/>
        </w:rPr>
        <w:t xml:space="preserve">). </w:t>
      </w:r>
      <w:r>
        <w:rPr>
          <w:rStyle w:val="FootnoteAnchor"/>
          <w:rtl w:val="true"/>
        </w:rPr>
        <w:footnoteReference w:id="988"/>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المستدلّ خلط آثار الشيء بمقوماته ، فالذي يضرّ هو فقدان المقومات لا بعض الآثار ، فان النكاح رابطة وعلقة بين الزوجين ، كما أنّ </w:t>
      </w:r>
    </w:p>
    <w:p>
      <w:pPr>
        <w:pStyle w:val="BookText"/>
        <w:rPr/>
      </w:pPr>
      <w:r>
        <w:rPr>
          <w:rFonts w:ascii="Amiri" w:hAnsi="Amiri" w:eastAsia="Amiri" w:cs="Amiri"/>
          <w:color w:val="111111"/>
          <w:sz w:val="28"/>
          <w:sz w:val="28"/>
          <w:szCs w:val="28"/>
          <w:rtl w:val="true"/>
          <w:lang w:bidi="ar-SA"/>
        </w:rPr>
        <w:t xml:space="preserve">البيع رابطة بين المالين ، فالذي يجب وجوده هو ما جاء في التعريف من وجود الزوجين ، أو وجود المالين ، وأمّا ما وراء ذلك فإنّما هي آثار ربّما تترتّب ، وربّما تتخلّف ، فقد ذكر من آثار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النفقة ، والإرث ، والطلاق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أنّ فقدان واحد منها يوجب فقدان حقيقة النكاح ، ولكنّ الأمر ليس كذلك ، بشهادة الموارد التالية التي تفقد الآثار ولا تفقد حقيقة النكاح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الزوجة الناشزة لا تجب نفقتها مع أنّها زوجة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الزوجة الصغيرة زوجة ولا تجب نفقتها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الزوجة القاتلة لا ترث الزوج مع أنّها زوجة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الزوجة المسلمة زوجة ولا ترث زوجها الكافر عند أهل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الزوجة المجنونة وغيرها من ذوي العاهات تفارق بلا طلاق قال الخرقي في متن المغني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 الزوجين وجد بصاحبه جنونا أو جذاما أو برصا أو كانت المرأة رتقاء أو قرناء أو عفلاء أو فتقاء أو الرجل مجنونا فلمن وجد ذلك منهما بصاحبه الخيار في فسخ النكاح </w:t>
      </w:r>
      <w:r>
        <w:rPr>
          <w:rFonts w:eastAsia="Amiri" w:cs="Amiri" w:ascii="Amiri" w:hAnsi="Amiri"/>
          <w:color w:val="111111"/>
          <w:sz w:val="28"/>
          <w:szCs w:val="28"/>
          <w:rtl w:val="true"/>
          <w:lang w:bidi="ar-SA"/>
        </w:rPr>
        <w:t xml:space="preserve">» </w:t>
      </w:r>
      <w:r>
        <w:rPr>
          <w:rStyle w:val="FootnoteAnchor"/>
          <w:rtl w:val="true"/>
        </w:rPr>
        <w:footnoteReference w:id="989"/>
      </w:r>
      <w:r>
        <w:rPr>
          <w:rFonts w:ascii="Amiri" w:hAnsi="Amiri" w:eastAsia="Amiri" w:cs="Amiri"/>
          <w:color w:val="111111"/>
          <w:sz w:val="28"/>
          <w:sz w:val="28"/>
          <w:szCs w:val="28"/>
          <w:rtl w:val="true"/>
          <w:lang w:bidi="ar-SA"/>
        </w:rPr>
        <w:t>أي تبين بلا 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الموارد التي يبين فيها الزوجان بلا طلاق ممّا ذكره الفقهاء في مجوّزات الفسخ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الزوجة التي بأهلها الزوج تبين بلا 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الاعتداد فقد مرّ انّها تعتدّ بعد انقضاء الأجل وعند موت الزوج</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أدري من أين يقول إنّها لا تثبت النسب ، إذ لا فرق بين النكاحين في </w:t>
      </w:r>
    </w:p>
    <w:p>
      <w:pPr>
        <w:pStyle w:val="BookText"/>
        <w:rPr/>
      </w:pPr>
      <w:r>
        <w:rPr>
          <w:rFonts w:ascii="IRNazanin" w:hAnsi="IRNazanin" w:eastAsia="IRNazanin"/>
          <w:color w:val="111111"/>
          <w:sz w:val="28"/>
          <w:sz w:val="28"/>
          <w:szCs w:val="28"/>
          <w:rtl w:val="true"/>
          <w:lang w:bidi="fa-IR"/>
        </w:rPr>
        <w:t>موارد ثبوت النسب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السدّي ـ أحد التابعين ـ في تعريفه نكاح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ينكح المرأة بشرط إلى أجل مسمّى ويشهد شاهدان ، وينكح بإذن وليّها ، وإذا انقضت المدّة فليس له عليها سبيل ، وهي منه بريئة وعليها أن تستبرئ ما في رحمها ، وليس بينهما ميراث</w:t>
      </w:r>
      <w:r>
        <w:rPr>
          <w:rFonts w:eastAsia="Amiri" w:cs="Amiri" w:ascii="Amiri" w:hAnsi="Amiri"/>
          <w:color w:val="111111"/>
          <w:sz w:val="28"/>
          <w:szCs w:val="28"/>
          <w:rtl w:val="true"/>
          <w:lang w:bidi="ar-SA"/>
        </w:rPr>
        <w:t xml:space="preserve">. </w:t>
      </w:r>
      <w:r>
        <w:rPr>
          <w:rStyle w:val="FootnoteAnchor"/>
          <w:rtl w:val="true"/>
        </w:rPr>
        <w:footnoteReference w:id="990"/>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على الباحث أن يدرس مقوّمات الموضوع ويميّزها عن آثارها ، وعلى ذلك فالمتمتّع بها داخلة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عقدها آثار خاصة وإن كان يفقد بعض آثار النكاح الدائم</w:t>
      </w:r>
      <w:r>
        <w:rPr>
          <w:rFonts w:eastAsia="Amiri" w:cs="Amiri" w:ascii="Amiri" w:hAnsi="Amiri"/>
          <w:color w:val="111111"/>
          <w:sz w:val="28"/>
          <w:szCs w:val="28"/>
          <w:rtl w:val="true"/>
          <w:lang w:bidi="ar-SA"/>
        </w:rPr>
        <w:t xml:space="preserve">. </w:t>
      </w:r>
      <w:bookmarkStart w:id="964" w:name="pg10144_71711"/>
    </w:p>
    <w:p>
      <w:pPr>
        <w:pStyle w:val="Heading5"/>
        <w:numPr>
          <w:ilvl w:val="4"/>
          <w:numId w:val="1"/>
        </w:numPr>
        <w:rPr/>
      </w:pPr>
      <w:bookmarkStart w:id="965" w:name="__RefHeading___Toc1166087_1067777946"/>
      <w:bookmarkStart w:id="966" w:name="_Toc351"/>
      <w:bookmarkEnd w:id="964"/>
      <w:bookmarkEnd w:id="965"/>
      <w:r>
        <w:rPr>
          <w:rtl w:val="true"/>
        </w:rPr>
        <w:t>الشبهة الرابعة</w:t>
      </w:r>
      <w:bookmarkEnd w:id="966"/>
    </w:p>
    <w:p>
      <w:pPr>
        <w:pStyle w:val="BookText"/>
        <w:rPr/>
      </w:pPr>
      <w:r>
        <w:rPr>
          <w:rFonts w:ascii="Amiri" w:hAnsi="Amiri" w:eastAsia="Amiri" w:cs="Amiri"/>
          <w:color w:val="111111"/>
          <w:sz w:val="28"/>
          <w:sz w:val="28"/>
          <w:szCs w:val="28"/>
          <w:rtl w:val="true"/>
          <w:lang w:bidi="ar-SA"/>
        </w:rPr>
        <w:t>لو كانت جائزة لما أمر بنكاح الإماء والاستعفاف</w:t>
      </w:r>
    </w:p>
    <w:p>
      <w:pPr>
        <w:pStyle w:val="BookText"/>
        <w:rPr/>
      </w:pPr>
      <w:r>
        <w:rPr>
          <w:rFonts w:ascii="Amiri" w:hAnsi="Amiri" w:eastAsia="Amiri" w:cs="Amiri"/>
          <w:color w:val="111111"/>
          <w:sz w:val="28"/>
          <w:sz w:val="28"/>
          <w:szCs w:val="28"/>
          <w:rtl w:val="true"/>
          <w:lang w:bidi="ar-SA"/>
        </w:rPr>
        <w:t xml:space="preserve">لو كان نكاح المتعة زواجا صحيحا ونكاحا مطابقا للأصول فلما ذا أمر الله تعالى بالاستعفاف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وَلْيَسْتَعْفِفِ الَّذِينَ لا يَجِدُونَ نِكاحاً حَتَّى يُغْنِيَهُمُ اللهُ مِنْ فَضْلِهِ </w:t>
      </w:r>
      <w:r>
        <w:rPr>
          <w:rFonts w:eastAsia="Amiri" w:cs="Amiri" w:ascii="Amiri" w:hAnsi="Amiri"/>
          <w:color w:val="111111"/>
          <w:sz w:val="28"/>
          <w:szCs w:val="28"/>
          <w:rtl w:val="true"/>
          <w:lang w:bidi="ar-SA"/>
        </w:rPr>
        <w:t xml:space="preserve">) </w:t>
      </w:r>
      <w:r>
        <w:rPr>
          <w:rStyle w:val="FootnoteAnchor"/>
          <w:rtl w:val="true"/>
        </w:rPr>
        <w:footnoteReference w:id="991"/>
      </w:r>
      <w:r>
        <w:rPr>
          <w:rFonts w:ascii="Amiri" w:hAnsi="Amiri" w:eastAsia="Amiri" w:cs="Amiri"/>
          <w:color w:val="111111"/>
          <w:sz w:val="28"/>
          <w:sz w:val="28"/>
          <w:szCs w:val="28"/>
          <w:rtl w:val="true"/>
          <w:lang w:bidi="ar-SA"/>
        </w:rPr>
        <w:t>لأنّ أعباء الاستمتاع وتكاليفه سهلة ميسورة فلا حاجة إذن إلى الأمر بالاستعفاف ، وهذا دليل على أنّه ليس للمسلم إلاّ طريق واحد وهو النكاح أو الاستعفاف؟</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الكاتب خلط بين النساء المتعفّفات ، والمبتذلات في النوادي والفنادق وبيوت الدعارة ، وقد عرفت أنّ كثيرا من النساء لعلوّ طبعهنّ لا يخضعن للمتعة وإن كانت حلالا ، إذ ليس كل حلال مرغوبا عند الكل ، ولأجل ذلك تصل النوبة إلى الاستعفاف وربما لا يجد الشاب نكاحا مؤقتا ولا دائما</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كانت المتعة جائزة لما وصلت النوبة إلى نكاح الإماء مع أنّه سبحانه قيّد </w:t>
      </w:r>
    </w:p>
    <w:p>
      <w:pPr>
        <w:pStyle w:val="BookText"/>
        <w:rPr/>
      </w:pPr>
      <w:r>
        <w:rPr>
          <w:rFonts w:ascii="Amiri" w:hAnsi="Amiri" w:eastAsia="Amiri" w:cs="Amiri"/>
          <w:color w:val="111111"/>
          <w:sz w:val="28"/>
          <w:sz w:val="28"/>
          <w:szCs w:val="28"/>
          <w:rtl w:val="true"/>
          <w:lang w:bidi="ar-SA"/>
        </w:rPr>
        <w:t xml:space="preserve">نكاحهن بعدم الاستطاعة على نكاح الحرائر دائما أو منقطعا حسب الفرض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يَسْتَطِعْ مِنْكُمْ طَوْلاً أَنْ يَنْكِحَ الْمُحْصَناتِ الْمُؤْمِناتِ فَمِنْ ما مَلَكَتْ أَيْمانُكُمْ مِنْ فَتَياتِكُمُ الْمُؤْمِناتِ </w:t>
      </w:r>
      <w:r>
        <w:rPr>
          <w:rFonts w:eastAsia="Amiri" w:cs="Amiri" w:ascii="Amiri" w:hAnsi="Amiri"/>
          <w:color w:val="111111"/>
          <w:sz w:val="28"/>
          <w:szCs w:val="28"/>
          <w:rtl w:val="true"/>
          <w:lang w:bidi="ar-SA"/>
        </w:rPr>
        <w:t xml:space="preserve">) </w:t>
      </w:r>
      <w:r>
        <w:rPr>
          <w:rStyle w:val="FootnoteAnchor"/>
          <w:rtl w:val="true"/>
        </w:rPr>
        <w:footnoteReference w:id="992"/>
      </w:r>
      <w:r>
        <w:rPr>
          <w:rFonts w:ascii="Amiri" w:hAnsi="Amiri" w:eastAsia="Amiri" w:cs="Amiri"/>
          <w:color w:val="111111"/>
          <w:sz w:val="28"/>
          <w:sz w:val="28"/>
          <w:szCs w:val="28"/>
          <w:rtl w:val="true"/>
          <w:lang w:bidi="ar-SA"/>
        </w:rPr>
        <w:t>لأنّ في نكاح المتعة مندوحة عن ذلك كلّه ، لو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الأستاذ مصطفى الرافعي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المتعة جائزة على الإطلاق لما كانت ثمة حاجة ـ كما يقول المانعون ـ إلى نكاح الأمة</w:t>
      </w:r>
      <w:r>
        <w:rPr>
          <w:rFonts w:eastAsia="Amiri" w:cs="Amiri" w:ascii="Amiri" w:hAnsi="Amiri"/>
          <w:color w:val="111111"/>
          <w:sz w:val="28"/>
          <w:szCs w:val="28"/>
          <w:rtl w:val="true"/>
          <w:lang w:bidi="ar-SA"/>
        </w:rPr>
        <w:t xml:space="preserve">. </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الشبهة نظير ما سبق من الشبهة والجواب عن الجميع واحد ، ومصدرهما الذهنيّة الخاطئة بالنسبة إلى المتعة ، وتصور انّ المرأة المتمتع بها لا تختلف عن النساء المبتذلات اللاتي يعرضن أنفسهن في النوادي والفنادق وبيوت الدعارة ، فان الالتذاذ بهن يغني عن نكاح الإماء وما أكثرها في تلك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المتمتع بهنّ ـ يا أستاذ ـ حرائر عفاف لا صلة بينهن وبين المتواجدات في دمن الفحشاء</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إغناء نكاح المتعة عن نكاح الإماء ، رجم بالغيب ، إذ ليس بالوفرة التي يتخيّلها الكاتب حتّى يستغنى بها عن نكاح الإماء ، فإنّ كثيرا من النساء الثيّبات تأبى نفوسهنّ عن العقد المنقطع ، فضلا عن الأبكار ، فليس للشارع إلاّ فتح طريق ثالث ـ وراء النكاح الدائم والمنقطع ـ وهو نكاح الإماء عند عدم الطول وخوف العنت</w:t>
      </w:r>
      <w:r>
        <w:rPr>
          <w:rFonts w:eastAsia="Amiri" w:cs="Amiri" w:ascii="Amiri" w:hAnsi="Amiri"/>
          <w:color w:val="111111"/>
          <w:sz w:val="28"/>
          <w:szCs w:val="28"/>
          <w:rtl w:val="true"/>
          <w:lang w:bidi="ar-SA"/>
        </w:rPr>
        <w:t xml:space="preserve">. </w:t>
      </w:r>
      <w:bookmarkStart w:id="967" w:name="pg10144_71713"/>
    </w:p>
    <w:p>
      <w:pPr>
        <w:pStyle w:val="Heading5"/>
        <w:numPr>
          <w:ilvl w:val="4"/>
          <w:numId w:val="1"/>
        </w:numPr>
        <w:rPr/>
      </w:pPr>
      <w:bookmarkStart w:id="968" w:name="__RefHeading___Toc1166089_1067777946"/>
      <w:bookmarkStart w:id="969" w:name="_Toc352"/>
      <w:bookmarkEnd w:id="967"/>
      <w:bookmarkEnd w:id="968"/>
      <w:r>
        <w:rPr>
          <w:rtl w:val="true"/>
        </w:rPr>
        <w:t>الشبهة الخامسة</w:t>
      </w:r>
      <w:bookmarkEnd w:id="969"/>
    </w:p>
    <w:p>
      <w:pPr>
        <w:pStyle w:val="BookText"/>
        <w:rPr/>
      </w:pPr>
      <w:r>
        <w:rPr>
          <w:rFonts w:ascii="Amiri" w:hAnsi="Amiri" w:eastAsia="Amiri" w:cs="Amiri"/>
          <w:color w:val="111111"/>
          <w:sz w:val="28"/>
          <w:sz w:val="28"/>
          <w:szCs w:val="28"/>
          <w:rtl w:val="true"/>
          <w:lang w:bidi="ar-SA"/>
        </w:rPr>
        <w:t>اندراج المتعة ضمن السفاح</w:t>
      </w:r>
    </w:p>
    <w:p>
      <w:pPr>
        <w:pStyle w:val="BookText"/>
        <w:rPr/>
      </w:pPr>
      <w:r>
        <w:rPr>
          <w:rFonts w:ascii="Amiri" w:hAnsi="Amiri" w:eastAsia="Amiri" w:cs="Amiri"/>
          <w:color w:val="111111"/>
          <w:sz w:val="28"/>
          <w:sz w:val="28"/>
          <w:szCs w:val="28"/>
          <w:rtl w:val="true"/>
          <w:lang w:bidi="ar-SA"/>
        </w:rPr>
        <w:t xml:space="preserve">وقد بلغ تجرّء بعض الكتّاب من المعاصرين إلى حدّ ألحقه بالسفاح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ولطالما نهى القرآن عن السفاح ، وحرّمه تحريما قاطعاً ، وحاسما بالنسبة إلى الرجال والنساء على السواء ودعا إلى النكاح المشروع الدائم ورغّب فيه</w:t>
      </w:r>
      <w:r>
        <w:rPr>
          <w:rFonts w:eastAsia="Amiri" w:cs="Amiri" w:ascii="Amiri" w:hAnsi="Amiri"/>
          <w:color w:val="111111"/>
          <w:sz w:val="28"/>
          <w:szCs w:val="28"/>
          <w:rtl w:val="true"/>
          <w:lang w:bidi="ar-SA"/>
        </w:rPr>
        <w:t xml:space="preserve">. </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المسلمين عامة أصفقوا على أنّ نبي الإسلام أحلّ المتعة في فترة سواء أكانت في فتح خيبر ، أم فتح مكة ، أم غيرهما ، ولو افترضنا انّ المتعة داخلة تحت السفاح ، يكون معنى ذلك انّ الشريعة الإسلامية أمرت بالزنا والسفاح ، ونزل الوحي السماوي على تشريعه ، ولا أظن مسلما على أديم الأرض يتفوّه بذلك ، فان معناه انّ الله ورسوله أمر بالفحشاء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يَأْمُرُ بِالْفَحْشاءِ أَتَقُولُونَ عَلَى اللهِ ما لا تَعْلَمُونَ </w:t>
      </w:r>
      <w:r>
        <w:rPr>
          <w:rFonts w:eastAsia="Amiri" w:cs="Amiri" w:ascii="Amiri" w:hAnsi="Amiri"/>
          <w:color w:val="111111"/>
          <w:sz w:val="28"/>
          <w:szCs w:val="28"/>
          <w:rtl w:val="true"/>
          <w:lang w:bidi="ar-SA"/>
        </w:rPr>
        <w:t xml:space="preserve">). </w:t>
      </w:r>
      <w:r>
        <w:rPr>
          <w:rStyle w:val="FootnoteAnchor"/>
          <w:rtl w:val="true"/>
        </w:rPr>
        <w:footnoteReference w:id="995"/>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والمسلم المؤمن بالحسن والقبح والعارف بمقاصد الشريعة لا يخطر بباله انّه سبحانه جوّز الزنا للمسلمين في فترة من الزمن وأمر بالقبح مكان الأمر بالحسن ، كلّ ذلك يفرض علينا أن ندرس المتعة من جديد حتّى نقف على حدودها </w:t>
      </w:r>
    </w:p>
    <w:p>
      <w:pPr>
        <w:pStyle w:val="BookText"/>
        <w:rPr/>
      </w:pPr>
      <w:r>
        <w:rPr>
          <w:rFonts w:ascii="Amiri" w:hAnsi="Amiri" w:eastAsia="Amiri" w:cs="Amiri"/>
          <w:color w:val="111111"/>
          <w:sz w:val="28"/>
          <w:sz w:val="28"/>
          <w:szCs w:val="28"/>
          <w:rtl w:val="true"/>
          <w:lang w:bidi="ar-SA"/>
        </w:rPr>
        <w:t xml:space="preserve">وشرائطها وأحكامها ، وعندئذ يتجلّى الحقّ بأجلى مظاهرة ، ولا يبقى شكّ في أنّ نكاح المتعة ، لا يفترق عن النكاح الدائم في الماهية والحقيقة وإن كانا يفترقان في بعض الأحكام ، نظير نكاح الإماء ، الذي ندب إليه الوحي ،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يَسْتَطِعْ مِنْكُمْ طَوْلاً أَنْ يَنْكِحَ الْمُحْصَناتِ الْمُؤْمِناتِ فَمِنْ ما مَلَكَتْ أَيْمانُكُمْ مِنْ فَتَياتِكُمُ الْمُؤْمِناتِ</w:t>
      </w:r>
      <w:r>
        <w:rPr>
          <w:rFonts w:eastAsia="Amiri" w:cs="Amiri" w:ascii="Amiri" w:hAnsi="Amiri"/>
          <w:color w:val="111111"/>
          <w:sz w:val="28"/>
          <w:szCs w:val="28"/>
          <w:rtl w:val="true"/>
          <w:lang w:bidi="ar-SA"/>
        </w:rPr>
        <w:t xml:space="preserve">. ). </w:t>
      </w:r>
      <w:r>
        <w:rPr>
          <w:rStyle w:val="FootnoteAnchor"/>
          <w:rtl w:val="true"/>
        </w:rPr>
        <w:footnoteReference w:id="996"/>
      </w:r>
      <w:r>
        <w:rPr>
          <w:rFonts w:ascii="Amiri" w:hAnsi="Amiri" w:eastAsia="Amiri" w:cs="Amiri"/>
          <w:color w:val="111111"/>
          <w:sz w:val="28"/>
          <w:sz w:val="28"/>
          <w:szCs w:val="28"/>
          <w:rtl w:val="true"/>
          <w:lang w:bidi="ar-SA"/>
        </w:rPr>
        <w:t>فنكاح الإماء لا يفترق عن نكاح الحرائر جوهرا وحقيقة ، وإن افترقا في بعض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انّ الكاتب أمعن في أحكام المتعة التي تقدم الحديث عنها في صدر الرسالة ، لأذعن بأنّ بين نكاح المتعة والسفاح فرقا شاسعا فان متعة النكاح من المسائل الفقهية الفرعية التي اختلفت أنظار الفقهاء في استمرار حلّيتها لا أصلها كسائر المسائل الفقهية المختلف فيها ، فعندئذ يطرح هذا السؤال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الصخب الذي أثير حول هذه المسألة ، وما هو السبب لرشق السهام في حلبة القائلين بالحلية؟ أو ليس من الأفضل أن نمرّ على هذه المسألة كسائر المسائل الفقهية من دون تفسيق وتكفير ، ومع الأسف الشديد صارت المسألة من المسائل التي تشهّر بها طائفة من المسلمين ويطعن عليها لقولهم بحليّتها ، وليس القول بحليتها من خصائص تلك الطائفة فحسب ، بل سبقهم إليه لفيف من الصحابة والتابعين في عصر تضاربت فيه الأقوال ، وقد تقدّمت أسماؤهم</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وأظن ـ وظن الألمعي صواب ـ انّ وراء هذا الهياج والضوضاء ، خلفيات سياسية تتلخص في تبرير عمل الخليفة الثاني الذي قام بتحريم متعة النكاح كمتعة الحج ، فحرّم ما أحله الله تبارك وتعالى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ولما كان هذا الأمر ثقيلا في ميزان العدل ، راح رجال من هنا وهناك بنحت شبهات حول الحلية ليسهل تعاطي الحرمة التي فرضها الخليفة على مثل هذا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 انّهم برروا عمل الخليفة وموقفه حيال هذه المسألة فبما ذا يبررون العديد من المواقف التي اتّخذها الخليفة قبال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على الطلاق ثلاثا في مجلس واحد بلا تخلّل العدة والرجوع ، بأنّها تحسب تطليقات ثلاث خلافا لنصّ الكتاب والسنّة ، وقد وقف الخليفة على مضاعفات عمله بعد ما بلغ السيل الزبى</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والفقيه الموضوعي يجعل الكتاب والسنّة قدوة لفتياه من دون أن يتّخذ موقفا مسبقا في مسألة حتّى يسهل له الوصول إلى الحق</w:t>
      </w:r>
      <w:r>
        <w:rPr>
          <w:rFonts w:eastAsia="Amiri" w:cs="Amiri" w:ascii="Amiri" w:hAnsi="Amiri"/>
          <w:color w:val="111111"/>
          <w:sz w:val="28"/>
          <w:szCs w:val="28"/>
          <w:rtl w:val="true"/>
          <w:lang w:bidi="ar-SA"/>
        </w:rPr>
        <w:t xml:space="preserve">. </w:t>
      </w:r>
      <w:bookmarkStart w:id="970" w:name="pg10144_71716"/>
    </w:p>
    <w:p>
      <w:pPr>
        <w:pStyle w:val="Heading5"/>
        <w:numPr>
          <w:ilvl w:val="4"/>
          <w:numId w:val="1"/>
        </w:numPr>
        <w:rPr/>
      </w:pPr>
      <w:bookmarkStart w:id="971" w:name="__RefHeading___Toc1166091_1067777946"/>
      <w:bookmarkStart w:id="972" w:name="_Toc353"/>
      <w:bookmarkEnd w:id="970"/>
      <w:bookmarkEnd w:id="971"/>
      <w:r>
        <w:rPr>
          <w:rtl w:val="true"/>
        </w:rPr>
        <w:t>الشبهة السادسة</w:t>
      </w:r>
      <w:bookmarkEnd w:id="972"/>
    </w:p>
    <w:p>
      <w:pPr>
        <w:pStyle w:val="BookText"/>
        <w:rPr/>
      </w:pPr>
      <w:r>
        <w:rPr>
          <w:rFonts w:ascii="Amiri" w:hAnsi="Amiri" w:eastAsia="Amiri" w:cs="Amiri"/>
          <w:color w:val="111111"/>
          <w:sz w:val="28"/>
          <w:sz w:val="28"/>
          <w:szCs w:val="28"/>
          <w:rtl w:val="true"/>
          <w:lang w:bidi="ar-SA"/>
        </w:rPr>
        <w:t>المتمتع يقصد السفح لا الإحصان</w:t>
      </w:r>
    </w:p>
    <w:p>
      <w:pPr>
        <w:pStyle w:val="BookText"/>
        <w:rPr/>
      </w:pPr>
      <w:r>
        <w:rPr>
          <w:rFonts w:ascii="Amiri" w:hAnsi="Amiri" w:eastAsia="Amiri" w:cs="Amiri"/>
          <w:color w:val="111111"/>
          <w:sz w:val="28"/>
          <w:sz w:val="28"/>
          <w:szCs w:val="28"/>
          <w:rtl w:val="true"/>
          <w:lang w:bidi="ar-SA"/>
        </w:rPr>
        <w:t xml:space="preserve">إنّ المتمتّع في النكاح المؤقت لا يقصد الإحصان دون المسافحة ، بل يكون قصده مسافحة ، فإن كان هناك نوع ما من إحصان نفسه ومنعها من التنقّل في دمن الزنا ، فإنّه لا يكون فيه شيء ما من إحصان المرأة التي تؤجر نفسها كل طائفة من الزمن لرجل فتكون كما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كرة حذفت بصوالجة</w:t>
      </w:r>
    </w:p>
    <w:p>
      <w:pPr>
        <w:pStyle w:val="BookText"/>
        <w:rPr/>
      </w:pPr>
      <w:r>
        <w:rPr>
          <w:rFonts w:ascii="IRNazanin" w:hAnsi="IRNazanin" w:eastAsia="IRNazanin"/>
          <w:color w:val="111111"/>
          <w:sz w:val="28"/>
          <w:sz w:val="28"/>
          <w:szCs w:val="28"/>
          <w:rtl w:val="true"/>
          <w:lang w:bidi="fa-IR"/>
        </w:rPr>
        <w:t xml:space="preserve">فتلقّفها رجل رجل </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أين وقف على أنّ الإحصان في النكاح المؤقّت يختص بالرجل دون المرأة ، فإنّا إذا افترضنا كون العقد شرعيا ، فكل واحد من الطرفين يحصن نفسه من هذا الطريق ، وإلاّ فلا محيص عن التنقل في دمن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يصون الفتى والفتاة عن البغي أحد الأمور الثلاثة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النكاح الدائم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المؤقّت بالشروط الماضية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كبت الشهوة الجنسية</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 ربّما يكون غير ميسور خصوصا للطالب والطالبة اللّذين يعيشان بمنح ورواتب مختصرة يجريها عليهما الوالدان أو الحكومة ، والثالث أي كبت الشهوة الجنسية أمر شاق لا يتحمّله إلاّ الأمثل فالأمثل من الشباب ، والمثلي من النساء ، وهم قليلون ، فلم يبق إلاّ الطريق الثاني ، فيحصنان نفسهما عن التنقّل في </w:t>
      </w:r>
    </w:p>
    <w:p>
      <w:pPr>
        <w:pStyle w:val="BookText"/>
        <w:rPr/>
      </w:pPr>
      <w:r>
        <w:rPr>
          <w:rFonts w:ascii="Amiri" w:hAnsi="Amiri" w:eastAsia="Amiri" w:cs="Amiri"/>
          <w:color w:val="111111"/>
          <w:sz w:val="28"/>
          <w:sz w:val="28"/>
          <w:szCs w:val="28"/>
          <w:rtl w:val="true"/>
          <w:lang w:bidi="ar-SA"/>
        </w:rPr>
        <w:t>بيوت الدعارة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الدين الإسلامي هو الدين الخاتم ، ونبيّه خاتم الأنبياء ، وكتابه خاتم الكتب ، وشريعته خاتمة الشرائع ، فلا بدّ أن يضع لكل مشكلة اجتماعية حلولا شرعية ، يصون بها كرامة المؤمن والمؤمنة ، وما المشكلة الجنسية عند الرجل والمرأة إلاّ إحدى هذه النواحي التي لا يمكن للدين الإسلامي أن يهملها ، وعندئذ يطرح هذا السؤال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ذا يفعل هؤلاء الطلبة والطالبات الذين لا يستطيعون القيام بالنكاح الدائم ، وتمنعهم كرامتهم ودينهم عن التنقّل في بيوت الدعارة والفساد ، والحياة المادية بجمالها تؤجّج نار الشهوة في نفوسهم؟ فمن المستحيل عادة أن يصون نفسه أحد إلاّ من عصمه الله ، فلم يبق طريق إلاّ زواج المتعة ، الذي يشكّل الحل الأنجح لتلافي الوقوع في الزنا ، وتبقى كلمة الإمام علي بن أبي طالب ترنّ في الآذان محذّرة من تفاقم هذا الأمر عند إهمال العلاج الذي وصفه المشرّع الحكيم له ، حيث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لا نهي عمر عن المتعة لما زنى إلاّ شقي أو شقيّة </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تشبيه المتعة بما جاء في الشعر فهو يعرب عن جهل الشاعر ومن استشهد به بحقيقة نكاح المتعة وحدودها ، فإنّ ما جاء فيه هي المتعة الدورية التي ينسبها الرجل </w:t>
      </w:r>
      <w:r>
        <w:rPr>
          <w:rStyle w:val="FootnoteAnchor"/>
          <w:rtl w:val="true"/>
        </w:rPr>
        <w:footnoteReference w:id="998"/>
      </w:r>
      <w:r>
        <w:rPr>
          <w:rFonts w:ascii="Amiri" w:hAnsi="Amiri" w:eastAsia="Amiri" w:cs="Amiri"/>
          <w:color w:val="111111"/>
          <w:sz w:val="28"/>
          <w:sz w:val="28"/>
          <w:szCs w:val="28"/>
          <w:rtl w:val="true"/>
          <w:lang w:bidi="ar-SA"/>
        </w:rPr>
        <w:t>إلى الشيعة ، وهم براء من هذا الإفك ، إذ يجب على المتمتّع بها بعد انتهاء المدّة الاعتداد على ما ذكرنا ، فكيف يمكن أن تؤجّر نفسها كلّ طائفة من الزمن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أجرأهم على الكذب على الشيعة والفرية عليهم ، وما مضمون الشعر إلاّ إطاحة بالوحي والتشريع الإلهي ، وقد اتّفقت كلمة المحدّثين والمفسّرين على التشريع ، وأنّه لو كان هناك نهي أو نسخ فإنّما هو بعد التشريع والعمل</w:t>
      </w:r>
      <w:r>
        <w:rPr>
          <w:rFonts w:eastAsia="Amiri" w:cs="Amiri" w:ascii="Amiri" w:hAnsi="Amiri"/>
          <w:color w:val="111111"/>
          <w:sz w:val="28"/>
          <w:szCs w:val="28"/>
          <w:rtl w:val="true"/>
          <w:lang w:bidi="ar-SA"/>
        </w:rPr>
        <w:t xml:space="preserve">. </w:t>
      </w:r>
      <w:bookmarkStart w:id="973" w:name="pg10144_71718"/>
    </w:p>
    <w:p>
      <w:pPr>
        <w:pStyle w:val="Heading5"/>
        <w:numPr>
          <w:ilvl w:val="4"/>
          <w:numId w:val="1"/>
        </w:numPr>
        <w:rPr/>
      </w:pPr>
      <w:bookmarkStart w:id="974" w:name="__RefHeading___Toc1166093_1067777946"/>
      <w:bookmarkStart w:id="975" w:name="_Toc354"/>
      <w:bookmarkEnd w:id="973"/>
      <w:bookmarkEnd w:id="974"/>
      <w:r>
        <w:rPr>
          <w:rtl w:val="true"/>
        </w:rPr>
        <w:t>الشبهة السابعة</w:t>
      </w:r>
      <w:bookmarkEnd w:id="975"/>
    </w:p>
    <w:p>
      <w:pPr>
        <w:pStyle w:val="Heading6"/>
        <w:numPr>
          <w:ilvl w:val="5"/>
          <w:numId w:val="1"/>
        </w:numPr>
        <w:rPr/>
      </w:pPr>
      <w:bookmarkStart w:id="976" w:name="__RefHeading___Toc1166095_1067777946"/>
      <w:bookmarkStart w:id="977" w:name="_Toc355"/>
      <w:bookmarkEnd w:id="976"/>
      <w:r>
        <w:rPr>
          <w:rtl w:val="true"/>
        </w:rPr>
        <w:t>اشارة</w:t>
      </w:r>
      <w:bookmarkEnd w:id="977"/>
    </w:p>
    <w:p>
      <w:pPr>
        <w:pStyle w:val="BookText"/>
        <w:rPr/>
      </w:pPr>
      <w:r>
        <w:rPr>
          <w:rFonts w:ascii="Amiri" w:hAnsi="Amiri" w:eastAsia="Amiri" w:cs="Amiri"/>
          <w:color w:val="111111"/>
          <w:sz w:val="28"/>
          <w:sz w:val="28"/>
          <w:szCs w:val="28"/>
          <w:rtl w:val="true"/>
          <w:lang w:bidi="ar-SA"/>
        </w:rPr>
        <w:t xml:space="preserve">نسخ النبي صلى الله عليه وآله وسلم حلية المتعة </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لقد وقفت على دلالة الكتاب في تحليل المتعة ومكانتها في السنّة النبوية ، وذهاب جمع من الصحابة إلى حليتها بعد رسول الله صلى الله عليه وآله وسلم ، فلا منتدح إلاّ الأخذ بما ورد في الكتاب والسنّة كما وقفت على شبهاتهم مهلهلة النسج لا أساس لها في الواقع والتي حيكت لأغراض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بقيت هنا شبهة أخرى وهي العمدة في تحريمها عند الفقهاء 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حلّية المتعة منسوخة نسخها النبي صلى الله عليه وآله وسلم مستدلّين بأحاديث تصل إلى لفيف من الصحابة ، منهم </w:t>
      </w:r>
      <w:r>
        <w:rPr>
          <w:rFonts w:eastAsia="Amiri" w:cs="Amiri" w:ascii="Amiri" w:hAnsi="Amiri"/>
          <w:color w:val="111111"/>
          <w:sz w:val="28"/>
          <w:szCs w:val="28"/>
          <w:rtl w:val="true"/>
          <w:lang w:bidi="ar-SA"/>
        </w:rPr>
        <w:t>:</w:t>
      </w:r>
    </w:p>
    <w:p>
      <w:pPr>
        <w:pStyle w:val="Heading6"/>
        <w:numPr>
          <w:ilvl w:val="5"/>
          <w:numId w:val="1"/>
        </w:numPr>
        <w:rPr/>
      </w:pPr>
      <w:bookmarkStart w:id="978" w:name="__RefHeading___Toc1166097_1067777946"/>
      <w:bookmarkStart w:id="979" w:name="_Toc356"/>
      <w:bookmarkEnd w:id="978"/>
      <w:r>
        <w:rPr/>
        <w:t>1</w:t>
      </w:r>
      <w:r>
        <w:rPr>
          <w:rtl w:val="true"/>
        </w:rPr>
        <w:t xml:space="preserve">. </w:t>
      </w:r>
      <w:r>
        <w:rPr>
          <w:rtl w:val="true"/>
        </w:rPr>
        <w:t>سلمة بن الأكوع</w:t>
      </w:r>
      <w:bookmarkEnd w:id="979"/>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مسلم عن إياس بن سلمة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رسول الله صلى الله عليه وآله وسلم عام أوطاس في المتعة ثلاثا ثمّ نهى عنها</w:t>
      </w:r>
      <w:r>
        <w:rPr>
          <w:rFonts w:eastAsia="Amiri" w:cs="Amiri" w:ascii="Amiri" w:hAnsi="Amiri"/>
          <w:color w:val="111111"/>
          <w:sz w:val="28"/>
          <w:szCs w:val="28"/>
          <w:rtl w:val="true"/>
          <w:lang w:bidi="ar-SA"/>
        </w:rPr>
        <w:t xml:space="preserve">. </w:t>
      </w:r>
      <w:r>
        <w:rPr>
          <w:rStyle w:val="FootnoteAnchor"/>
          <w:rtl w:val="true"/>
        </w:rPr>
        <w:footnoteReference w:id="1000"/>
      </w:r>
      <w:r>
        <w:rPr>
          <w:rFonts w:ascii="Amiri" w:hAnsi="Amiri" w:eastAsia="Amiri" w:cs="Amiri"/>
          <w:color w:val="111111"/>
          <w:sz w:val="28"/>
          <w:sz w:val="28"/>
          <w:szCs w:val="28"/>
          <w:rtl w:val="true"/>
          <w:lang w:bidi="ar-SA"/>
        </w:rPr>
        <w:t xml:space="preserve">وعام أوطاس هو عام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الثامنة من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وأوطاس واد بديار هوازن</w:t>
      </w:r>
      <w:r>
        <w:rPr>
          <w:rFonts w:eastAsia="Amiri" w:cs="Amiri" w:ascii="Amiri" w:hAnsi="Amiri"/>
          <w:color w:val="111111"/>
          <w:sz w:val="28"/>
          <w:szCs w:val="28"/>
          <w:rtl w:val="true"/>
          <w:lang w:bidi="ar-SA"/>
        </w:rPr>
        <w:t xml:space="preserve">. </w:t>
      </w:r>
      <w:bookmarkStart w:id="980" w:name="pg10144_71719"/>
    </w:p>
    <w:p>
      <w:pPr>
        <w:pStyle w:val="Heading6"/>
        <w:numPr>
          <w:ilvl w:val="5"/>
          <w:numId w:val="1"/>
        </w:numPr>
        <w:rPr/>
      </w:pPr>
      <w:bookmarkStart w:id="981" w:name="__RefHeading___Toc1166099_1067777946"/>
      <w:bookmarkStart w:id="982" w:name="_Toc357"/>
      <w:bookmarkEnd w:id="980"/>
      <w:bookmarkEnd w:id="981"/>
      <w:r>
        <w:rPr/>
        <w:t>2</w:t>
      </w:r>
      <w:r>
        <w:rPr>
          <w:rtl w:val="true"/>
        </w:rPr>
        <w:t xml:space="preserve">. </w:t>
      </w:r>
      <w:r>
        <w:rPr>
          <w:rtl w:val="true"/>
        </w:rPr>
        <w:t>سبرة بن معد الجهني</w:t>
      </w:r>
      <w:bookmarkEnd w:id="982"/>
    </w:p>
    <w:p>
      <w:pPr>
        <w:pStyle w:val="BookText"/>
        <w:rPr/>
      </w:pPr>
      <w:r>
        <w:rPr>
          <w:rFonts w:ascii="Amiri" w:hAnsi="Amiri" w:eastAsia="Amiri" w:cs="Amiri"/>
          <w:color w:val="111111"/>
          <w:sz w:val="28"/>
          <w:sz w:val="28"/>
          <w:szCs w:val="28"/>
          <w:rtl w:val="true"/>
          <w:lang w:bidi="ar-SA"/>
        </w:rPr>
        <w:t xml:space="preserve">أخرج مسلم عن سبرة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لنا رسول الله صلى الله عليه وآله وسلم بالمتعة فانطلقت أنا ورجل إلى امرأة من بني عامر كأنّها بكرة عيطاء فعرضنا عليها أنفسنا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تعطي؟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ردائي وقال 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ردائي ، وكان رداء صاحبي أجود من ردائي ، وكنت أشبّ منه ، فإذا نظرت إلى رداء صاحبي أعجبها وإذا نظرت إليّ أعجبتها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ورداؤك يكفيني ، فمكثت معها ثلاثا ، ثمّ إنّ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عنده شيء من هذه النساء التي يتمتع فليخلّ سبيلها</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وقد أخرج مسلم عن الربيع بن سبرة عن أبيه سبرة هذا الحديث بألفاظ مختلفة تصل طرقها إلى عشرة ، وربما يظن الغافل انّها روايات عشر مع أنّها رواية واحدة بطرق مختلفة تصل إلى شخص واحد وهو سبرة بن معد الجهني ، وسيوافيك وجود الاختلاف فيما روي عنه على نحو يسقطها عن الاعتبار</w:t>
      </w:r>
      <w:r>
        <w:rPr>
          <w:rFonts w:eastAsia="Amiri" w:cs="Amiri" w:ascii="Amiri" w:hAnsi="Amiri"/>
          <w:color w:val="111111"/>
          <w:sz w:val="28"/>
          <w:szCs w:val="28"/>
          <w:rtl w:val="true"/>
          <w:lang w:bidi="ar-SA"/>
        </w:rPr>
        <w:t>.</w:t>
      </w:r>
    </w:p>
    <w:p>
      <w:pPr>
        <w:pStyle w:val="Heading6"/>
        <w:numPr>
          <w:ilvl w:val="5"/>
          <w:numId w:val="1"/>
        </w:numPr>
        <w:rPr/>
      </w:pPr>
      <w:bookmarkStart w:id="983" w:name="__RefHeading___Toc1166101_1067777946"/>
      <w:bookmarkStart w:id="984" w:name="_Toc358"/>
      <w:bookmarkEnd w:id="983"/>
      <w:r>
        <w:rPr/>
        <w:t>3</w:t>
      </w:r>
      <w:r>
        <w:rPr>
          <w:rtl w:val="true"/>
        </w:rPr>
        <w:t xml:space="preserve">. </w:t>
      </w:r>
      <w:r>
        <w:rPr>
          <w:rtl w:val="true"/>
        </w:rPr>
        <w:t>ابن مسعود</w:t>
      </w:r>
      <w:bookmarkEnd w:id="984"/>
    </w:p>
    <w:p>
      <w:pPr>
        <w:pStyle w:val="BookText"/>
        <w:rPr/>
      </w:pPr>
      <w:r>
        <w:rPr>
          <w:rFonts w:ascii="Amiri" w:hAnsi="Amiri" w:eastAsia="Amiri" w:cs="Amiri"/>
          <w:color w:val="111111"/>
          <w:sz w:val="28"/>
          <w:sz w:val="28"/>
          <w:szCs w:val="28"/>
          <w:rtl w:val="true"/>
          <w:lang w:bidi="ar-SA"/>
        </w:rPr>
        <w:t xml:space="preserve">أخرج عبد الرزاق وابن المنذر والبيهقي عن ابن مسعود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 منسوخة نسخها الطلاق والصدقة والعدة والميراث</w:t>
      </w:r>
      <w:r>
        <w:rPr>
          <w:rFonts w:eastAsia="Amiri" w:cs="Amiri" w:ascii="Amiri" w:hAnsi="Amiri"/>
          <w:color w:val="111111"/>
          <w:sz w:val="28"/>
          <w:szCs w:val="28"/>
          <w:rtl w:val="true"/>
          <w:lang w:bidi="ar-SA"/>
        </w:rPr>
        <w:t xml:space="preserve">. </w:t>
      </w:r>
      <w:r>
        <w:rPr>
          <w:rStyle w:val="FootnoteAnchor"/>
          <w:rtl w:val="true"/>
        </w:rPr>
        <w:footnoteReference w:id="1002"/>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مكذوبة على لسان ابن مسعود ، وقد مرّ انّه أحد القائلين بحلية المتعة مستشهدا بآية تحريم الطيبات </w:t>
      </w:r>
      <w:r>
        <w:rPr>
          <w:rStyle w:val="FootnoteAnchor"/>
          <w:rtl w:val="true"/>
        </w:rPr>
        <w:footnoteReference w:id="1003"/>
      </w:r>
      <w:r>
        <w:rPr>
          <w:rFonts w:ascii="Amiri" w:hAnsi="Amiri" w:eastAsia="Amiri" w:cs="Amiri"/>
          <w:color w:val="111111"/>
          <w:sz w:val="28"/>
          <w:sz w:val="28"/>
          <w:szCs w:val="28"/>
          <w:rtl w:val="true"/>
          <w:lang w:bidi="ar-SA"/>
        </w:rPr>
        <w:t>ثمّ كيف خفي عليه انّ انتفاء بعض الأحكام في مورد المتعة يعد تخصيصا للعموم ولا يعد الثاني نسخا لحلية المتعة؟ ثم كيف تنسخها آية العدّة مع أنّ على المتمتع بها ، عدة الفراق والوفاة كما سلف</w:t>
      </w:r>
      <w:r>
        <w:rPr>
          <w:rFonts w:eastAsia="Amiri" w:cs="Amiri" w:ascii="Amiri" w:hAnsi="Amiri"/>
          <w:color w:val="111111"/>
          <w:sz w:val="28"/>
          <w:szCs w:val="28"/>
          <w:rtl w:val="true"/>
          <w:lang w:bidi="ar-SA"/>
        </w:rPr>
        <w:t xml:space="preserve">. </w:t>
      </w:r>
      <w:bookmarkStart w:id="985" w:name="pg10144_71720"/>
    </w:p>
    <w:p>
      <w:pPr>
        <w:pStyle w:val="Heading6"/>
        <w:numPr>
          <w:ilvl w:val="5"/>
          <w:numId w:val="1"/>
        </w:numPr>
        <w:rPr/>
      </w:pPr>
      <w:bookmarkStart w:id="986" w:name="__RefHeading___Toc1166103_1067777946"/>
      <w:bookmarkStart w:id="987" w:name="_Toc359"/>
      <w:bookmarkEnd w:id="985"/>
      <w:bookmarkEnd w:id="986"/>
      <w:r>
        <w:rPr/>
        <w:t>4</w:t>
      </w:r>
      <w:r>
        <w:rPr>
          <w:rtl w:val="true"/>
        </w:rPr>
        <w:t xml:space="preserve">. </w:t>
      </w:r>
      <w:r>
        <w:rPr>
          <w:rtl w:val="true"/>
        </w:rPr>
        <w:t>أبو ذر</w:t>
      </w:r>
      <w:bookmarkEnd w:id="987"/>
    </w:p>
    <w:p>
      <w:pPr>
        <w:pStyle w:val="BookText"/>
        <w:rPr/>
      </w:pPr>
      <w:r>
        <w:rPr>
          <w:rFonts w:ascii="Amiri" w:hAnsi="Amiri" w:eastAsia="Amiri" w:cs="Amiri"/>
          <w:color w:val="111111"/>
          <w:sz w:val="28"/>
          <w:sz w:val="28"/>
          <w:szCs w:val="28"/>
          <w:rtl w:val="true"/>
          <w:lang w:bidi="ar-SA"/>
        </w:rPr>
        <w:t xml:space="preserve">أخرج البيهقي عن أبي ذر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أحلت لأصحاب رسول الله متعة النساء ثلاثة أيّام نهى عنها رسول الله 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1004"/>
      </w:r>
    </w:p>
    <w:p>
      <w:pPr>
        <w:pStyle w:val="Heading6"/>
        <w:numPr>
          <w:ilvl w:val="5"/>
          <w:numId w:val="1"/>
        </w:numPr>
        <w:rPr/>
      </w:pPr>
      <w:bookmarkStart w:id="988" w:name="__RefHeading___Toc1166105_1067777946"/>
      <w:bookmarkStart w:id="989" w:name="_Toc360"/>
      <w:bookmarkEnd w:id="988"/>
      <w:r>
        <w:rPr/>
        <w:t>5</w:t>
      </w:r>
      <w:r>
        <w:rPr>
          <w:rtl w:val="true"/>
        </w:rPr>
        <w:t xml:space="preserve">. </w:t>
      </w:r>
      <w:r>
        <w:rPr>
          <w:rtl w:val="true"/>
        </w:rPr>
        <w:t>ابن عباس</w:t>
      </w:r>
      <w:bookmarkEnd w:id="989"/>
    </w:p>
    <w:p>
      <w:pPr>
        <w:pStyle w:val="BookText"/>
        <w:rPr/>
      </w:pPr>
      <w:r>
        <w:rPr>
          <w:rFonts w:ascii="Amiri" w:hAnsi="Amiri" w:eastAsia="Amiri" w:cs="Amiri"/>
          <w:color w:val="111111"/>
          <w:sz w:val="28"/>
          <w:sz w:val="28"/>
          <w:szCs w:val="28"/>
          <w:rtl w:val="true"/>
          <w:lang w:bidi="ar-SA"/>
        </w:rPr>
        <w:t xml:space="preserve">أخرج أبو داود في ناسخه وابن المنذر والنحاس من طريق عطاء عن ابن عباس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فَآتُوهُنَّ أُجُورَهُنَّ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إِذا طَلَّقْتُمُ النِّساءَ فَطَلِّقُوهُنَّ لِعِدَّتِهِنَ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وَالْمُطَلَّقاتُ يَتَرَبَّصْنَ بِأَنْفُسِهِنَّ ثَلاثَةَ قُرُوءٍ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وَاللاَّئِي يَئِسْنَ مِنَ الْمَحِيضِ مِنْ نِسائِكُمْ إِنِ ارْتَبْتُمْ فَعِدَّتُهُنَّ ثَلاثَةُ أَشْهُرٍ </w:t>
      </w:r>
      <w:r>
        <w:rPr>
          <w:rFonts w:eastAsia="Amiri" w:cs="Amiri" w:ascii="Amiri" w:hAnsi="Amiri"/>
          <w:color w:val="111111"/>
          <w:sz w:val="28"/>
          <w:szCs w:val="28"/>
          <w:rtl w:val="true"/>
          <w:lang w:bidi="ar-SA"/>
        </w:rPr>
        <w:t xml:space="preserve">). </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إنّ حبر الأمّة ، تلميذ الإمام علي عليه السلام أعرف بكتاب الله وسنّة رسوله وكيف تنسخ ما شرعه كتابه سبحانه ، بهذه الآيات ، مع أنّ التمتع بها ممّن كتب عليها العدة؟</w:t>
      </w:r>
      <w:r>
        <w:rPr>
          <w:rFonts w:eastAsia="Amiri" w:cs="Amiri" w:ascii="Amiri" w:hAnsi="Amiri"/>
          <w:color w:val="111111"/>
          <w:sz w:val="28"/>
          <w:szCs w:val="28"/>
          <w:rtl w:val="true"/>
          <w:lang w:bidi="ar-SA"/>
        </w:rPr>
        <w:t>!</w:t>
      </w:r>
    </w:p>
    <w:p>
      <w:pPr>
        <w:pStyle w:val="Heading6"/>
        <w:numPr>
          <w:ilvl w:val="5"/>
          <w:numId w:val="1"/>
        </w:numPr>
        <w:rPr/>
      </w:pPr>
      <w:bookmarkStart w:id="990" w:name="__RefHeading___Toc1166107_1067777946"/>
      <w:bookmarkStart w:id="991" w:name="_Toc361"/>
      <w:bookmarkEnd w:id="990"/>
      <w:r>
        <w:rPr/>
        <w:t>6</w:t>
      </w:r>
      <w:r>
        <w:rPr>
          <w:rtl w:val="true"/>
        </w:rPr>
        <w:t xml:space="preserve">. </w:t>
      </w:r>
      <w:r>
        <w:rPr>
          <w:rtl w:val="true"/>
        </w:rPr>
        <w:t>علي بن أبي طالب</w:t>
      </w:r>
      <w:bookmarkEnd w:id="991"/>
    </w:p>
    <w:p>
      <w:pPr>
        <w:pStyle w:val="BookText"/>
        <w:rPr/>
      </w:pPr>
      <w:r>
        <w:rPr>
          <w:rFonts w:ascii="Amiri" w:hAnsi="Amiri" w:eastAsia="Amiri" w:cs="Amiri"/>
          <w:color w:val="111111"/>
          <w:sz w:val="28"/>
          <w:sz w:val="28"/>
          <w:szCs w:val="28"/>
          <w:rtl w:val="true"/>
          <w:lang w:bidi="ar-SA"/>
        </w:rPr>
        <w:t xml:space="preserve">أخرج مسلم عن يحيى بن يحيى بسند يتصل إلى عبد الله والحسن ابني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أبيهما ، عن علي بن أبي طالب انّ رسول الله صلى الله عليه وآله وسلم نهى عن متعة النساء يوم خيبر وعن أكل لحوم الحمر الإنسية</w:t>
      </w:r>
      <w:r>
        <w:rPr>
          <w:rFonts w:eastAsia="Amiri" w:cs="Amiri" w:ascii="Amiri" w:hAnsi="Amiri"/>
          <w:color w:val="111111"/>
          <w:sz w:val="28"/>
          <w:szCs w:val="28"/>
          <w:rtl w:val="true"/>
          <w:lang w:bidi="ar-SA"/>
        </w:rPr>
        <w:t xml:space="preserve">. </w:t>
      </w:r>
      <w:r>
        <w:rPr>
          <w:rStyle w:val="FootnoteAnchor"/>
          <w:rtl w:val="true"/>
        </w:rPr>
        <w:footnoteReference w:id="1006"/>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مسلم بهذا السند عن علي انّه سمع ابن عباس يليّن في متعة النساء ، </w:t>
      </w:r>
      <w:bookmarkStart w:id="992" w:name="pg10144_71721"/>
    </w:p>
    <w:p>
      <w:pPr>
        <w:pStyle w:val="BookText"/>
        <w:rPr/>
      </w:pPr>
      <w:bookmarkEnd w:id="992"/>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بن عباس فان رسول الله نهى عنها يوم خيبر وعن لحوم الحمر الإنسية</w:t>
      </w:r>
      <w:r>
        <w:rPr>
          <w:rFonts w:eastAsia="Amiri" w:cs="Amiri" w:ascii="Amiri" w:hAnsi="Amiri"/>
          <w:color w:val="111111"/>
          <w:sz w:val="28"/>
          <w:szCs w:val="28"/>
          <w:rtl w:val="true"/>
          <w:lang w:bidi="ar-SA"/>
        </w:rPr>
        <w:t xml:space="preserve">. </w:t>
      </w:r>
      <w:r>
        <w:rPr>
          <w:rStyle w:val="FootnoteAnchor"/>
          <w:rtl w:val="true"/>
        </w:rPr>
        <w:footnoteReference w:id="1007"/>
      </w:r>
      <w:r>
        <w:rPr>
          <w:rFonts w:ascii="Amiri" w:hAnsi="Amiri" w:eastAsia="Amiri" w:cs="Amiri"/>
          <w:color w:val="111111"/>
          <w:sz w:val="28"/>
          <w:sz w:val="28"/>
          <w:szCs w:val="28"/>
          <w:rtl w:val="true"/>
          <w:lang w:bidi="ar-SA"/>
        </w:rPr>
        <w:t xml:space="preserve">والحديثان مكذوبان على الإمام ، كيف وهو وبيته الرفيع ممّن ينادون باستمرار الحلية وقد خلا الخافقين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نهي عمر عن المتعة لما زنى إلاّ شقي؟</w:t>
      </w:r>
      <w:r>
        <w:rPr>
          <w:rFonts w:eastAsia="Amiri" w:cs="Amiri" w:ascii="Amiri" w:hAnsi="Amiri"/>
          <w:color w:val="111111"/>
          <w:sz w:val="28"/>
          <w:szCs w:val="28"/>
          <w:rtl w:val="true"/>
          <w:lang w:bidi="ar-SA"/>
        </w:rPr>
        <w:t>!</w:t>
      </w:r>
    </w:p>
    <w:p>
      <w:pPr>
        <w:pStyle w:val="Heading6"/>
        <w:numPr>
          <w:ilvl w:val="5"/>
          <w:numId w:val="1"/>
        </w:numPr>
        <w:rPr/>
      </w:pPr>
      <w:bookmarkStart w:id="993" w:name="__RefHeading___Toc1166109_1067777946"/>
      <w:bookmarkStart w:id="994" w:name="_Toc362"/>
      <w:bookmarkEnd w:id="993"/>
      <w:r>
        <w:rPr/>
        <w:t>7</w:t>
      </w:r>
      <w:r>
        <w:rPr>
          <w:rtl w:val="true"/>
        </w:rPr>
        <w:t xml:space="preserve">. </w:t>
      </w:r>
      <w:r>
        <w:rPr>
          <w:rtl w:val="true"/>
        </w:rPr>
        <w:t>عمر بن الخطاب</w:t>
      </w:r>
      <w:bookmarkEnd w:id="994"/>
    </w:p>
    <w:p>
      <w:pPr>
        <w:pStyle w:val="Heading6"/>
        <w:numPr>
          <w:ilvl w:val="5"/>
          <w:numId w:val="1"/>
        </w:numPr>
        <w:rPr/>
      </w:pPr>
      <w:bookmarkStart w:id="995" w:name="__RefHeading___Toc1166111_1067777946"/>
      <w:bookmarkStart w:id="996" w:name="_Toc363"/>
      <w:bookmarkEnd w:id="995"/>
      <w:r>
        <w:rPr>
          <w:rtl w:val="true"/>
        </w:rPr>
        <w:t>اشارة</w:t>
      </w:r>
      <w:bookmarkEnd w:id="996"/>
    </w:p>
    <w:p>
      <w:pPr>
        <w:pStyle w:val="BookText"/>
        <w:rPr/>
      </w:pPr>
      <w:r>
        <w:rPr>
          <w:rFonts w:ascii="Amiri" w:hAnsi="Amiri" w:eastAsia="Amiri" w:cs="Amiri"/>
          <w:color w:val="111111"/>
          <w:sz w:val="28"/>
          <w:sz w:val="28"/>
          <w:szCs w:val="28"/>
          <w:rtl w:val="true"/>
          <w:lang w:bidi="ar-SA"/>
        </w:rPr>
        <w:t xml:space="preserve">أخرج البيهقي عن عمر انّه خطب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رجال ينكحون هذه المتعة وقد نهى رسول الله صلى الله عليه وآله وسلم عنها ، لا أوتى بأحد نكحها إلاّ رجمته</w:t>
      </w:r>
      <w:r>
        <w:rPr>
          <w:rFonts w:eastAsia="Amiri" w:cs="Amiri" w:ascii="Amiri" w:hAnsi="Amiri"/>
          <w:color w:val="111111"/>
          <w:sz w:val="28"/>
          <w:szCs w:val="28"/>
          <w:rtl w:val="true"/>
          <w:lang w:bidi="ar-SA"/>
        </w:rPr>
        <w:t xml:space="preserve">. </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 xml:space="preserve">يلاحظ على هذه الشبهة ـ وراء ما عرفت في ضمن النقل ـ بأمور </w:t>
      </w:r>
      <w:r>
        <w:rPr>
          <w:rFonts w:eastAsia="Amiri" w:cs="Amiri" w:ascii="Amiri" w:hAnsi="Amiri"/>
          <w:color w:val="111111"/>
          <w:sz w:val="28"/>
          <w:szCs w:val="28"/>
          <w:rtl w:val="true"/>
          <w:lang w:bidi="ar-SA"/>
        </w:rPr>
        <w:t>:</w:t>
      </w:r>
    </w:p>
    <w:p>
      <w:pPr>
        <w:pStyle w:val="Heading6"/>
        <w:numPr>
          <w:ilvl w:val="5"/>
          <w:numId w:val="1"/>
        </w:numPr>
        <w:rPr/>
      </w:pPr>
      <w:bookmarkStart w:id="997" w:name="__RefHeading___Toc1166113_1067777946"/>
      <w:bookmarkStart w:id="998" w:name="_Toc364"/>
      <w:bookmarkEnd w:id="997"/>
      <w:r>
        <w:rPr>
          <w:rtl w:val="true"/>
        </w:rPr>
        <w:t xml:space="preserve">الأوّل </w:t>
      </w:r>
      <w:r>
        <w:rPr>
          <w:rtl w:val="true"/>
        </w:rPr>
        <w:t xml:space="preserve">: </w:t>
      </w:r>
      <w:r>
        <w:rPr>
          <w:rtl w:val="true"/>
        </w:rPr>
        <w:t>وجود التعارض بين الروايات</w:t>
      </w:r>
      <w:bookmarkEnd w:id="998"/>
    </w:p>
    <w:p>
      <w:pPr>
        <w:pStyle w:val="Heading6"/>
        <w:numPr>
          <w:ilvl w:val="5"/>
          <w:numId w:val="1"/>
        </w:numPr>
        <w:rPr/>
      </w:pPr>
      <w:bookmarkStart w:id="999" w:name="__RefHeading___Toc1166115_1067777946"/>
      <w:bookmarkStart w:id="1000" w:name="_Toc365"/>
      <w:bookmarkEnd w:id="999"/>
      <w:r>
        <w:rPr>
          <w:rtl w:val="true"/>
        </w:rPr>
        <w:t>اشارة</w:t>
      </w:r>
      <w:bookmarkEnd w:id="1000"/>
    </w:p>
    <w:p>
      <w:pPr>
        <w:pStyle w:val="BookText"/>
        <w:rPr/>
      </w:pPr>
      <w:r>
        <w:rPr>
          <w:rFonts w:ascii="Amiri" w:hAnsi="Amiri" w:eastAsia="Amiri" w:cs="Amiri"/>
          <w:color w:val="111111"/>
          <w:sz w:val="28"/>
          <w:sz w:val="28"/>
          <w:szCs w:val="28"/>
          <w:rtl w:val="true"/>
          <w:lang w:bidi="ar-SA"/>
        </w:rPr>
        <w:t xml:space="preserve">لو افترضنا صحّة الاحتجاج بهذه الروايات على أنّها نسخت نكاح المتعة لكن هناك روايات صحيحة رواها مسلم في صحيحه تدلّ على استمرار الحلية تصل إلى بعض الصحابة ، منهم </w:t>
      </w:r>
      <w:r>
        <w:rPr>
          <w:rFonts w:eastAsia="Amiri" w:cs="Amiri" w:ascii="Amiri" w:hAnsi="Amiri"/>
          <w:color w:val="111111"/>
          <w:sz w:val="28"/>
          <w:szCs w:val="28"/>
          <w:rtl w:val="true"/>
          <w:lang w:bidi="ar-SA"/>
        </w:rPr>
        <w:t>:</w:t>
      </w:r>
    </w:p>
    <w:p>
      <w:pPr>
        <w:pStyle w:val="Heading6"/>
        <w:numPr>
          <w:ilvl w:val="5"/>
          <w:numId w:val="1"/>
        </w:numPr>
        <w:rPr/>
      </w:pPr>
      <w:bookmarkStart w:id="1001" w:name="__RefHeading___Toc1166117_1067777946"/>
      <w:bookmarkStart w:id="1002" w:name="_Toc366"/>
      <w:bookmarkEnd w:id="1001"/>
      <w:r>
        <w:rPr/>
        <w:t>1</w:t>
      </w:r>
      <w:r>
        <w:rPr>
          <w:rtl w:val="true"/>
        </w:rPr>
        <w:t xml:space="preserve">. </w:t>
      </w:r>
      <w:r>
        <w:rPr>
          <w:rtl w:val="true"/>
        </w:rPr>
        <w:t>جابر بن عبد الله</w:t>
      </w:r>
      <w:bookmarkEnd w:id="10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مسلم عن أبي الزبير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 بن عبد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نستمتع بالقبضة من التمر والدقيق الأيام على عهد رسول الله صلى الله عليه وآله وسلم وأبي بكر حتّى نهى عنه عمر في شأن عمرو بن حريث</w:t>
      </w:r>
      <w:r>
        <w:rPr>
          <w:rFonts w:eastAsia="Amiri" w:cs="Amiri" w:ascii="Amiri" w:hAnsi="Amiri"/>
          <w:color w:val="111111"/>
          <w:sz w:val="28"/>
          <w:szCs w:val="28"/>
          <w:rtl w:val="true"/>
          <w:lang w:bidi="ar-SA"/>
        </w:rPr>
        <w:t xml:space="preserve">. </w:t>
      </w:r>
      <w:r>
        <w:rPr>
          <w:rStyle w:val="FootnoteAnchor"/>
          <w:rtl w:val="true"/>
        </w:rPr>
        <w:footnoteReference w:id="10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مسلم عن ابن نضرة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جابر بن عبد الله فأتاه آت </w:t>
      </w:r>
      <w:bookmarkStart w:id="1003" w:name="pg10144_71722"/>
    </w:p>
    <w:p>
      <w:pPr>
        <w:pStyle w:val="BookText"/>
        <w:rPr/>
      </w:pPr>
      <w:bookmarkEnd w:id="1003"/>
      <w:r>
        <w:rPr>
          <w:rFonts w:ascii="Amiri" w:hAnsi="Amiri" w:eastAsia="Amiri" w:cs="Amiri"/>
          <w:color w:val="111111"/>
          <w:sz w:val="28"/>
          <w:sz w:val="28"/>
          <w:szCs w:val="28"/>
          <w:rtl w:val="true"/>
          <w:lang w:bidi="ar-SA"/>
        </w:rPr>
        <w:t xml:space="preserve">فقال ابن عباس وابن الزبير اختلفا في المتعتين ، فقال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فعلناهما مع رسول الله ثمّ نهانا عنهما عمر فلم نعد لهما</w:t>
      </w:r>
      <w:r>
        <w:rPr>
          <w:rFonts w:eastAsia="Amiri" w:cs="Amiri" w:ascii="Amiri" w:hAnsi="Amiri"/>
          <w:color w:val="111111"/>
          <w:sz w:val="28"/>
          <w:szCs w:val="28"/>
          <w:rtl w:val="true"/>
          <w:lang w:bidi="ar-SA"/>
        </w:rPr>
        <w:t xml:space="preserve">. </w:t>
      </w:r>
      <w:r>
        <w:rPr>
          <w:rStyle w:val="FootnoteAnchor"/>
          <w:rtl w:val="true"/>
        </w:rPr>
        <w:footnoteReference w:id="1010"/>
      </w:r>
    </w:p>
    <w:p>
      <w:pPr>
        <w:pStyle w:val="Heading6"/>
        <w:numPr>
          <w:ilvl w:val="5"/>
          <w:numId w:val="1"/>
        </w:numPr>
        <w:rPr/>
      </w:pPr>
      <w:bookmarkStart w:id="1004" w:name="__RefHeading___Toc1166119_1067777946"/>
      <w:bookmarkStart w:id="1005" w:name="_Toc367"/>
      <w:bookmarkEnd w:id="1004"/>
      <w:r>
        <w:rPr/>
        <w:t>2</w:t>
      </w:r>
      <w:r>
        <w:rPr>
          <w:rtl w:val="true"/>
        </w:rPr>
        <w:t xml:space="preserve">. </w:t>
      </w:r>
      <w:r>
        <w:rPr>
          <w:rtl w:val="true"/>
        </w:rPr>
        <w:t>عبد الله بن مسعود</w:t>
      </w:r>
      <w:bookmarkEnd w:id="1005"/>
    </w:p>
    <w:p>
      <w:pPr>
        <w:pStyle w:val="BookText"/>
        <w:rPr/>
      </w:pPr>
      <w:r>
        <w:rPr>
          <w:rFonts w:ascii="Amiri" w:hAnsi="Amiri" w:eastAsia="Amiri" w:cs="Amiri"/>
          <w:color w:val="111111"/>
          <w:sz w:val="28"/>
          <w:sz w:val="28"/>
          <w:szCs w:val="28"/>
          <w:rtl w:val="true"/>
          <w:lang w:bidi="ar-SA"/>
        </w:rPr>
        <w:t xml:space="preserve">كنّا نغزو مع رسول الله وليس معنا نساؤنا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نستخصي؟ فنهانا عن ذلك ورخّص لنا أن نتزوج المرأة بالثوب إلى أجل ، ثمّ قرأ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تُحَرِّمُوا طَيِّباتِ ما أَحَلَّ اللهُ لَكُمْ </w:t>
      </w:r>
      <w:r>
        <w:rPr>
          <w:rFonts w:eastAsia="Amiri" w:cs="Amiri" w:ascii="Amiri" w:hAnsi="Amiri"/>
          <w:color w:val="111111"/>
          <w:sz w:val="28"/>
          <w:szCs w:val="28"/>
          <w:rtl w:val="true"/>
          <w:lang w:bidi="ar-SA"/>
        </w:rPr>
        <w:t xml:space="preserve">). </w:t>
      </w:r>
      <w:r>
        <w:rPr>
          <w:rStyle w:val="FootnoteAnchor"/>
          <w:rtl w:val="true"/>
        </w:rPr>
        <w:footnoteReference w:id="1011"/>
      </w:r>
    </w:p>
    <w:p>
      <w:pPr>
        <w:pStyle w:val="Heading6"/>
        <w:numPr>
          <w:ilvl w:val="5"/>
          <w:numId w:val="1"/>
        </w:numPr>
        <w:rPr/>
      </w:pPr>
      <w:bookmarkStart w:id="1006" w:name="__RefHeading___Toc1166121_1067777946"/>
      <w:bookmarkStart w:id="1007" w:name="_Toc368"/>
      <w:bookmarkEnd w:id="1006"/>
      <w:r>
        <w:rPr/>
        <w:t>3</w:t>
      </w:r>
      <w:r>
        <w:rPr>
          <w:rtl w:val="true"/>
        </w:rPr>
        <w:t xml:space="preserve">. </w:t>
      </w:r>
      <w:r>
        <w:rPr>
          <w:rtl w:val="true"/>
        </w:rPr>
        <w:t>عبد الله بن عمر</w:t>
      </w:r>
      <w:bookmarkEnd w:id="1007"/>
    </w:p>
    <w:p>
      <w:pPr>
        <w:pStyle w:val="BookText"/>
        <w:rPr/>
      </w:pPr>
      <w:r>
        <w:rPr>
          <w:rFonts w:ascii="Amiri" w:hAnsi="Amiri" w:eastAsia="Amiri" w:cs="Amiri"/>
          <w:color w:val="111111"/>
          <w:sz w:val="28"/>
          <w:sz w:val="28"/>
          <w:szCs w:val="28"/>
          <w:rtl w:val="true"/>
          <w:lang w:bidi="ar-SA"/>
        </w:rPr>
        <w:t xml:space="preserve">أخرج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أهل الشام سأل ابن عمر عن متعة النساء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حلال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أباك قد نهى عنها ، فقال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 أبي قد نهى عنها وقد سنّها رسول الله ، أنترك السنة ونتبع قول أبي؟</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Heading6"/>
        <w:numPr>
          <w:ilvl w:val="5"/>
          <w:numId w:val="1"/>
        </w:numPr>
        <w:rPr/>
      </w:pPr>
      <w:bookmarkStart w:id="1008" w:name="__RefHeading___Toc1166123_1067777946"/>
      <w:bookmarkStart w:id="1009" w:name="_Toc369"/>
      <w:bookmarkEnd w:id="1008"/>
      <w:r>
        <w:rPr/>
        <w:t>4</w:t>
      </w:r>
      <w:r>
        <w:rPr>
          <w:rtl w:val="true"/>
        </w:rPr>
        <w:t xml:space="preserve">. </w:t>
      </w:r>
      <w:r>
        <w:rPr>
          <w:rtl w:val="true"/>
        </w:rPr>
        <w:t>عبد الله بن العباس</w:t>
      </w:r>
      <w:bookmarkEnd w:id="1009"/>
    </w:p>
    <w:p>
      <w:pPr>
        <w:pStyle w:val="BookText"/>
        <w:rPr/>
      </w:pPr>
      <w:r>
        <w:rPr>
          <w:rFonts w:ascii="Amiri" w:hAnsi="Amiri" w:eastAsia="Amiri" w:cs="Amiri"/>
          <w:color w:val="111111"/>
          <w:sz w:val="28"/>
          <w:sz w:val="28"/>
          <w:szCs w:val="28"/>
          <w:rtl w:val="true"/>
          <w:lang w:bidi="ar-SA"/>
        </w:rPr>
        <w:t>وقد مضت رواياته وسيوافيك بعض من تمتع من الصحابة في عصر الخليفة غير مبال لتهديده وتخويفه</w:t>
      </w:r>
      <w:r>
        <w:rPr>
          <w:rFonts w:eastAsia="Amiri" w:cs="Amiri" w:ascii="Amiri" w:hAnsi="Amiri"/>
          <w:color w:val="111111"/>
          <w:sz w:val="28"/>
          <w:szCs w:val="28"/>
          <w:rtl w:val="true"/>
          <w:lang w:bidi="ar-SA"/>
        </w:rPr>
        <w:t xml:space="preserve">. </w:t>
      </w:r>
      <w:r>
        <w:rPr>
          <w:rStyle w:val="FootnoteAnchor"/>
          <w:rtl w:val="true"/>
        </w:rPr>
        <w:footnoteReference w:id="1013"/>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صحاح الروايات التي مرت ومع وجود هذا التعارض تسقط الروايات من كلا الجانبين ويكون المرجع هو كتاب الله العزيز فهو راسخ كالجبل الشامخ فما لم يثبت النسخ فعلى الفقيه الرجوع إلى كتاب الله لحسم الموقف</w:t>
      </w:r>
      <w:r>
        <w:rPr>
          <w:rFonts w:eastAsia="Amiri" w:cs="Amiri" w:ascii="Amiri" w:hAnsi="Amiri"/>
          <w:color w:val="111111"/>
          <w:sz w:val="28"/>
          <w:szCs w:val="28"/>
          <w:rtl w:val="true"/>
          <w:lang w:bidi="ar-SA"/>
        </w:rPr>
        <w:t xml:space="preserve">. </w:t>
      </w:r>
      <w:bookmarkStart w:id="1010" w:name="pg10144_71723"/>
    </w:p>
    <w:p>
      <w:pPr>
        <w:pStyle w:val="Heading6"/>
        <w:numPr>
          <w:ilvl w:val="5"/>
          <w:numId w:val="1"/>
        </w:numPr>
        <w:rPr/>
      </w:pPr>
      <w:bookmarkStart w:id="1011" w:name="__RefHeading___Toc1166125_1067777946"/>
      <w:bookmarkStart w:id="1012" w:name="_Toc370"/>
      <w:bookmarkEnd w:id="1010"/>
      <w:bookmarkEnd w:id="1011"/>
      <w:r>
        <w:rPr>
          <w:rtl w:val="true"/>
        </w:rPr>
        <w:t xml:space="preserve">الثاني </w:t>
      </w:r>
      <w:r>
        <w:rPr>
          <w:rtl w:val="true"/>
        </w:rPr>
        <w:t xml:space="preserve">: </w:t>
      </w:r>
      <w:r>
        <w:rPr>
          <w:rtl w:val="true"/>
        </w:rPr>
        <w:t>التعارض في الروايات الحاكية للتحريم</w:t>
      </w:r>
      <w:bookmarkEnd w:id="1012"/>
    </w:p>
    <w:p>
      <w:pPr>
        <w:pStyle w:val="Heading6"/>
        <w:numPr>
          <w:ilvl w:val="5"/>
          <w:numId w:val="1"/>
        </w:numPr>
        <w:rPr/>
      </w:pPr>
      <w:bookmarkStart w:id="1013" w:name="__RefHeading___Toc1166127_1067777946"/>
      <w:bookmarkStart w:id="1014" w:name="_Toc371"/>
      <w:bookmarkEnd w:id="1013"/>
      <w:r>
        <w:rPr>
          <w:rtl w:val="true"/>
        </w:rPr>
        <w:t>اشارة</w:t>
      </w:r>
      <w:bookmarkEnd w:id="1014"/>
    </w:p>
    <w:p>
      <w:pPr>
        <w:pStyle w:val="BookText"/>
        <w:rPr/>
      </w:pPr>
      <w:r>
        <w:rPr>
          <w:rFonts w:ascii="Amiri" w:hAnsi="Amiri" w:eastAsia="Amiri" w:cs="Amiri"/>
          <w:color w:val="111111"/>
          <w:sz w:val="28"/>
          <w:sz w:val="28"/>
          <w:szCs w:val="28"/>
          <w:rtl w:val="true"/>
          <w:lang w:bidi="ar-SA"/>
        </w:rPr>
        <w:t>إنّ في نفس الروايات الحاكية للتحريم تعارضا في زمان التحريم ومكانه وعدده واضطرابا شديدا ولأجل إيقاف القارئ على وجوه الاضطراب نذكر ما ورد في ذلك</w:t>
      </w:r>
      <w:r>
        <w:rPr>
          <w:rFonts w:eastAsia="Amiri" w:cs="Amiri" w:ascii="Amiri" w:hAnsi="Amiri"/>
          <w:color w:val="111111"/>
          <w:sz w:val="28"/>
          <w:szCs w:val="28"/>
          <w:rtl w:val="true"/>
          <w:lang w:bidi="ar-SA"/>
        </w:rPr>
        <w:t>.</w:t>
      </w:r>
    </w:p>
    <w:p>
      <w:pPr>
        <w:pStyle w:val="Heading6"/>
        <w:numPr>
          <w:ilvl w:val="5"/>
          <w:numId w:val="1"/>
        </w:numPr>
        <w:rPr/>
      </w:pPr>
      <w:bookmarkStart w:id="1015" w:name="__RefHeading___Toc1166129_1067777946"/>
      <w:bookmarkStart w:id="1016" w:name="_Toc372"/>
      <w:bookmarkEnd w:id="1015"/>
      <w:r>
        <w:rPr>
          <w:rtl w:val="true"/>
        </w:rPr>
        <w:t>أ</w:t>
      </w:r>
      <w:r>
        <w:rPr>
          <w:rtl w:val="true"/>
        </w:rPr>
        <w:t xml:space="preserve">. </w:t>
      </w:r>
      <w:r>
        <w:rPr>
          <w:rtl w:val="true"/>
        </w:rPr>
        <w:t>التحريم في خيبر</w:t>
      </w:r>
      <w:bookmarkEnd w:id="1016"/>
    </w:p>
    <w:p>
      <w:pPr>
        <w:pStyle w:val="BookText"/>
        <w:rPr/>
      </w:pPr>
      <w:r>
        <w:rPr>
          <w:rFonts w:ascii="Amiri" w:hAnsi="Amiri" w:eastAsia="Amiri" w:cs="Amiri"/>
          <w:color w:val="111111"/>
          <w:sz w:val="28"/>
          <w:sz w:val="28"/>
          <w:szCs w:val="28"/>
          <w:rtl w:val="true"/>
          <w:lang w:bidi="ar-SA"/>
        </w:rPr>
        <w:t>أخرج مالك وعبد الرزاق وابن أبي شيبة والبخاري ومسلم والترمذي والنسائي وابن ماجة عن علي انّ رسول الله نهى عن متعة النساء يوم خيبر وعن أكل لحوم الحمر الإنسية</w:t>
      </w:r>
      <w:r>
        <w:rPr>
          <w:rFonts w:eastAsia="Amiri" w:cs="Amiri" w:ascii="Amiri" w:hAnsi="Amiri"/>
          <w:color w:val="111111"/>
          <w:sz w:val="28"/>
          <w:szCs w:val="28"/>
          <w:rtl w:val="true"/>
          <w:lang w:bidi="ar-SA"/>
        </w:rPr>
        <w:t xml:space="preserve">. </w:t>
      </w:r>
      <w:r>
        <w:rPr>
          <w:rStyle w:val="FootnoteAnchor"/>
          <w:rtl w:val="true"/>
        </w:rPr>
        <w:footnoteReference w:id="1014"/>
      </w:r>
    </w:p>
    <w:p>
      <w:pPr>
        <w:pStyle w:val="Heading6"/>
        <w:numPr>
          <w:ilvl w:val="5"/>
          <w:numId w:val="1"/>
        </w:numPr>
        <w:rPr/>
      </w:pPr>
      <w:bookmarkStart w:id="1017" w:name="__RefHeading___Toc1166131_1067777946"/>
      <w:bookmarkStart w:id="1018" w:name="_Toc373"/>
      <w:bookmarkEnd w:id="1017"/>
      <w:r>
        <w:rPr>
          <w:rtl w:val="true"/>
        </w:rPr>
        <w:t>ب</w:t>
      </w:r>
      <w:r>
        <w:rPr>
          <w:rtl w:val="true"/>
        </w:rPr>
        <w:t xml:space="preserve">. </w:t>
      </w:r>
      <w:r>
        <w:rPr>
          <w:rtl w:val="true"/>
        </w:rPr>
        <w:t>التحريم في أرض هوازن</w:t>
      </w:r>
      <w:bookmarkEnd w:id="1018"/>
    </w:p>
    <w:p>
      <w:pPr>
        <w:pStyle w:val="BookText"/>
        <w:rPr/>
      </w:pPr>
      <w:r>
        <w:rPr>
          <w:rFonts w:ascii="Amiri" w:hAnsi="Amiri" w:eastAsia="Amiri" w:cs="Amiri"/>
          <w:color w:val="111111"/>
          <w:sz w:val="28"/>
          <w:sz w:val="28"/>
          <w:szCs w:val="28"/>
          <w:rtl w:val="true"/>
          <w:lang w:bidi="ar-SA"/>
        </w:rPr>
        <w:t xml:space="preserve">أخرج مسلم عن إياس بن سلمة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لنا رسول الله صلى الله عليه وآله وسلم عام أوطاس في المتعة ثلاثا ثمّ نهى عنها</w:t>
      </w:r>
      <w:r>
        <w:rPr>
          <w:rFonts w:eastAsia="Amiri" w:cs="Amiri" w:ascii="Amiri" w:hAnsi="Amiri"/>
          <w:color w:val="111111"/>
          <w:sz w:val="28"/>
          <w:szCs w:val="28"/>
          <w:rtl w:val="true"/>
          <w:lang w:bidi="ar-SA"/>
        </w:rPr>
        <w:t xml:space="preserve">. </w:t>
      </w:r>
      <w:r>
        <w:rPr>
          <w:rStyle w:val="FootnoteAnchor"/>
          <w:rtl w:val="true"/>
        </w:rPr>
        <w:footnoteReference w:id="1015"/>
      </w:r>
      <w:r>
        <w:rPr>
          <w:rFonts w:ascii="Amiri" w:hAnsi="Amiri" w:eastAsia="Amiri" w:cs="Amiri"/>
          <w:color w:val="111111"/>
          <w:sz w:val="28"/>
          <w:sz w:val="28"/>
          <w:szCs w:val="28"/>
          <w:rtl w:val="true"/>
          <w:lang w:bidi="ar-SA"/>
        </w:rPr>
        <w:t>وقد أقام النبي في مكة المكرمة العشر الأواخر من شهر رمضان وأياما من شهر شوال ثمّ غادر مكة إلى هوازن ، وعلى ذلك فقد استغرق التحليل والتحريم بعد الفتح ثلاثة أيّام في أرض أوطاس ، وهو واد بديار هوازن ولم يكن أي تحليل وتحريم في أرض مكة</w:t>
      </w:r>
      <w:r>
        <w:rPr>
          <w:rFonts w:eastAsia="Amiri" w:cs="Amiri" w:ascii="Amiri" w:hAnsi="Amiri"/>
          <w:color w:val="111111"/>
          <w:sz w:val="28"/>
          <w:szCs w:val="28"/>
          <w:rtl w:val="true"/>
          <w:lang w:bidi="ar-SA"/>
        </w:rPr>
        <w:t>.</w:t>
      </w:r>
    </w:p>
    <w:p>
      <w:pPr>
        <w:pStyle w:val="Heading6"/>
        <w:numPr>
          <w:ilvl w:val="5"/>
          <w:numId w:val="1"/>
        </w:numPr>
        <w:rPr/>
      </w:pPr>
      <w:bookmarkStart w:id="1019" w:name="__RefHeading___Toc1166133_1067777946"/>
      <w:bookmarkStart w:id="1020" w:name="_Toc374"/>
      <w:bookmarkEnd w:id="1019"/>
      <w:r>
        <w:rPr>
          <w:rtl w:val="true"/>
        </w:rPr>
        <w:t>ج</w:t>
      </w:r>
      <w:r>
        <w:rPr>
          <w:rtl w:val="true"/>
        </w:rPr>
        <w:t xml:space="preserve">. </w:t>
      </w:r>
      <w:r>
        <w:rPr>
          <w:rtl w:val="true"/>
        </w:rPr>
        <w:t>التحريم في أرض مكة</w:t>
      </w:r>
      <w:bookmarkEnd w:id="1020"/>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مسلم عن سبرة انّه غزا مع رسول الله صلى الله عليه وآله وسلم فتح مكة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فأقمنا بها خمس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بين ليلة ويوم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لنا رسول الله في متعة النساء فخرجت أنا ورجل من قومي ولي عليه فضل في الجمال وهو قريب من الدمامة ، إلى أن قال </w:t>
      </w:r>
      <w:r>
        <w:rPr>
          <w:rFonts w:eastAsia="Amiri" w:cs="Amiri" w:ascii="Amiri" w:hAnsi="Amiri"/>
          <w:color w:val="111111"/>
          <w:sz w:val="28"/>
          <w:szCs w:val="28"/>
          <w:rtl w:val="true"/>
          <w:lang w:bidi="ar-SA"/>
        </w:rPr>
        <w:t xml:space="preserve">: </w:t>
      </w:r>
      <w:bookmarkStart w:id="1021" w:name="pg10144_71724"/>
    </w:p>
    <w:p>
      <w:pPr>
        <w:pStyle w:val="BookText"/>
        <w:rPr/>
      </w:pPr>
      <w:bookmarkEnd w:id="1021"/>
      <w:r>
        <w:rPr>
          <w:rFonts w:ascii="Amiri" w:hAnsi="Amiri" w:eastAsia="Amiri" w:cs="Amiri"/>
          <w:color w:val="111111"/>
          <w:sz w:val="28"/>
          <w:sz w:val="28"/>
          <w:szCs w:val="28"/>
          <w:rtl w:val="true"/>
          <w:lang w:bidi="ar-SA"/>
        </w:rPr>
        <w:t xml:space="preserve">حتّى إذا كنّا بأسفل مكة أو بأعلاها فتلقتنا فتاة مثل البكرة ـ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ثمّ استمتعت منها فلم أخرج حتّى حرمها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بالمتعة عام الفتح حين دخلنا مكة ثمّ لم نخرج منها حتّى نهانا عنها</w:t>
      </w:r>
      <w:r>
        <w:rPr>
          <w:rFonts w:eastAsia="Amiri" w:cs="Amiri" w:ascii="Amiri" w:hAnsi="Amiri"/>
          <w:color w:val="111111"/>
          <w:sz w:val="28"/>
          <w:szCs w:val="28"/>
          <w:rtl w:val="true"/>
          <w:lang w:bidi="ar-SA"/>
        </w:rPr>
        <w:t xml:space="preserve">. </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فأين التحريم في غزوة خيبر التي وقعت في أوائل السنة السابعة من الهجرة من التحريم في أرض أوطاس في الغزوة التي وقعت في العشر الثاني من شهر شوال من العام الثامن أو من التحريم في أرض مكة التي دخلها رسول الله في الثامن عشر من شهر رمضان وخرج منها بعد مضي قرابة عشرين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يمكن الركون إلى هذه الروايات المتعارضة</w:t>
      </w:r>
      <w:r>
        <w:rPr>
          <w:rFonts w:eastAsia="Amiri" w:cs="Amiri" w:ascii="Amiri" w:hAnsi="Amiri"/>
          <w:color w:val="111111"/>
          <w:sz w:val="28"/>
          <w:szCs w:val="28"/>
          <w:rtl w:val="true"/>
          <w:lang w:bidi="ar-SA"/>
        </w:rPr>
        <w:t>.</w:t>
      </w:r>
    </w:p>
    <w:p>
      <w:pPr>
        <w:pStyle w:val="Heading6"/>
        <w:numPr>
          <w:ilvl w:val="5"/>
          <w:numId w:val="1"/>
        </w:numPr>
        <w:rPr/>
      </w:pPr>
      <w:bookmarkStart w:id="1022" w:name="__RefHeading___Toc1166135_1067777946"/>
      <w:bookmarkStart w:id="1023" w:name="_Toc375"/>
      <w:bookmarkEnd w:id="1022"/>
      <w:r>
        <w:rPr>
          <w:rtl w:val="true"/>
        </w:rPr>
        <w:t xml:space="preserve">الثالث </w:t>
      </w:r>
      <w:r>
        <w:rPr>
          <w:rtl w:val="true"/>
        </w:rPr>
        <w:t xml:space="preserve">: </w:t>
      </w:r>
      <w:r>
        <w:rPr>
          <w:rtl w:val="true"/>
        </w:rPr>
        <w:t>خلو حديث الرسول عن التحريم في المواقف المذكورة</w:t>
      </w:r>
      <w:bookmarkEnd w:id="1023"/>
    </w:p>
    <w:p>
      <w:pPr>
        <w:pStyle w:val="BookText"/>
        <w:rPr/>
      </w:pPr>
      <w:r>
        <w:rPr>
          <w:rFonts w:ascii="Amiri" w:hAnsi="Amiri" w:eastAsia="Amiri" w:cs="Amiri"/>
          <w:color w:val="111111"/>
          <w:sz w:val="28"/>
          <w:sz w:val="28"/>
          <w:szCs w:val="28"/>
          <w:rtl w:val="true"/>
          <w:lang w:bidi="ar-SA"/>
        </w:rPr>
        <w:t>إنّ من تتبع كلمات الرسول صلى الله عليه وآله وسلم في المواقف المذكورة لم يجد أيّ أثر للتحريم ، امّا غزوة خيبر فقد كان مسير الرسول إليها في شهر محرم الحرام ولا نجد في كتب السيرة أي تصريح للنبي صلى الله عليه وآله وسلم حول المتعة ، على أنّ المتعة تختص بالحرائر وأمّا سبايا خيبر فمقتضى الحال انّهم كانوا إماء للمسلمين فكيف يحلّل النبي صلى الله عليه وآله وسلم التمتع بالإماء اللواتي هن ملك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هُمْ لِفُرُوجِهِمْ 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 xml:space="preserve">). </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ومن سبر كتب السير لم يجد في كلمات الرسول صلى الله عليه وآله وسلم أي أثر من تحريم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بعض كلامه في خيبر </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إسحاق عن حنش الصنعاني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غزونا مع رويفع بن ثابت </w:t>
      </w:r>
    </w:p>
    <w:p>
      <w:pPr>
        <w:pStyle w:val="BookText"/>
        <w:rPr/>
      </w:pPr>
      <w:r>
        <w:rPr>
          <w:rFonts w:ascii="Amiri" w:hAnsi="Amiri" w:eastAsia="Amiri" w:cs="Amiri"/>
          <w:color w:val="111111"/>
          <w:sz w:val="28"/>
          <w:sz w:val="28"/>
          <w:szCs w:val="28"/>
          <w:rtl w:val="true"/>
          <w:lang w:bidi="ar-SA"/>
        </w:rPr>
        <w:t xml:space="preserve">الأنصاري المغرب فافتتح قرية من قرى المغرب يقال لها جربة ، فقام فينا خطيبا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إنّي لا أقول فيكم إلاّ ما سمعت من رسول الله صلى الله عليه وآله وسلم يقوله فينا يوم خيبر ، قام فينا رسول الله صلى الله عليه وآله وسلم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يحل لامرئ يؤمن بالله واليوم الآخر أن يسقي ماؤه زرع غيره ، يعني إتيان الحبالى من السبايا حتّى يستبرئها ، ولا يحلّ لامرئ يؤمن بالله واليوم الآخر أن يصيب امرأة من السبي حتّى يستبرئها ، ولا يحلّ لامرئ يؤمن بالله واليوم الآخر أن يبيع مغنما حتّى يقسم ، ولا يحل لامرئ يؤمن بالله واليوم الآخر أن يركب دابة من فيء المسلمين حتّى إذا أعجفها ردها فيه ، ولا يحل لامرئ يؤمن بالله واليوم الآخر أن يلبس ثوبا من فيء المسلمين حتّى إذا أخلقه رده فيه</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والمكان المناسب لتحريم المتعة هو هذا الموضع من كلامه ولا نرى فيه أثرا لتحريم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القيم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وقصة خيبر لم يكن الصحابة يتمتعون باليهوديات ، ولا استأذنوا في ذلك رسول الله صلى الله عليه وآله وسلم ولا نقله أحد قط في هذه الغزوة ، ولا كان للمتعة فيها ذكر البتة لا فعلا ولا تحريما ، فان خيبر لم يكن فيها مسلمات وإنّما كنّ يهوديّات ، وإباحة نساء أهل الكتاب لم يكن ثبت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ابحن بعد</w:t>
      </w:r>
      <w:r>
        <w:rPr>
          <w:rFonts w:eastAsia="Amiri" w:cs="Amiri" w:ascii="Amiri" w:hAnsi="Amiri"/>
          <w:color w:val="111111"/>
          <w:sz w:val="28"/>
          <w:szCs w:val="28"/>
          <w:rtl w:val="true"/>
          <w:lang w:bidi="ar-SA"/>
        </w:rPr>
        <w:t xml:space="preserve">. </w:t>
      </w:r>
      <w:r>
        <w:rPr>
          <w:rStyle w:val="FootnoteAnchor"/>
          <w:rtl w:val="true"/>
        </w:rPr>
        <w:footnoteReference w:id="1019"/>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فتح مكة فقد ذكر أهل السير خطبة النبي وانّه صلى الله عليه وآله وسلم قام على باب الكعبة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 صدق وعده ، ونصر عبده إلى آخر الخطبة التي جاء 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فأنتم الطلقاء</w:t>
      </w:r>
      <w:r>
        <w:rPr>
          <w:rFonts w:eastAsia="Amiri" w:cs="Amiri" w:ascii="Amiri" w:hAnsi="Amiri"/>
          <w:color w:val="111111"/>
          <w:sz w:val="28"/>
          <w:szCs w:val="28"/>
          <w:rtl w:val="true"/>
          <w:lang w:bidi="ar-SA"/>
        </w:rPr>
        <w:t xml:space="preserve">. </w:t>
      </w:r>
      <w:r>
        <w:rPr>
          <w:rStyle w:val="FootnoteAnchor"/>
          <w:rtl w:val="true"/>
        </w:rPr>
        <w:footnoteReference w:id="1020"/>
      </w:r>
      <w:r>
        <w:rPr>
          <w:rFonts w:ascii="Amiri" w:hAnsi="Amiri" w:eastAsia="Amiri" w:cs="Amiri"/>
          <w:color w:val="111111"/>
          <w:sz w:val="28"/>
          <w:sz w:val="28"/>
          <w:szCs w:val="28"/>
          <w:rtl w:val="true"/>
          <w:lang w:bidi="ar-SA"/>
        </w:rPr>
        <w:t>فأين حلّل المتعة وأين حرّمها؟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جديرا بالنبي صلى الله عليه وآله وسلم أن يقول على رءوس الاشهاد بأنّ ما حلله صار </w:t>
      </w:r>
      <w:bookmarkStart w:id="1024" w:name="pg10144_71726"/>
    </w:p>
    <w:p>
      <w:pPr>
        <w:pStyle w:val="BookText"/>
        <w:rPr/>
      </w:pPr>
      <w:bookmarkEnd w:id="1024"/>
      <w:r>
        <w:rPr>
          <w:rFonts w:ascii="Amiri" w:hAnsi="Amiri" w:eastAsia="Amiri" w:cs="Amiri"/>
          <w:color w:val="111111"/>
          <w:sz w:val="28"/>
          <w:sz w:val="28"/>
          <w:szCs w:val="28"/>
          <w:rtl w:val="true"/>
          <w:lang w:bidi="ar-SA"/>
        </w:rPr>
        <w:t>حراما وأفضل المواقف لهذه الأمور حين إلقاء الخطب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انّ الرسول صلى الله عليه وآله وسلم خطب في حجّة الوداع وذكر فيها النساء ولم يذكر شيئا لا من تحريم المتعة ولا تحليها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أيّها الناس فان لكم على نسائكم حقا ولهن عليكم حقّا ، لكم عليهنّ أن لا يوطئن فرشكم أحدا تكرهونه ، وعليهن أن لا يأتين بفاحشة مبينة ، فإن فعلن فان الله قد أذن لكم أن تهجروهن في المضاجع وتضربوهن ضربا غير مبرح ، فإن انتهين فلهن رزقهن وكسوتهن بالمعروف ، واستوصوا بالنساء خيرا فإنّهن عندكم عوان لا يملكن لأنفسهن شيئا ، وإنّكم إنما أخذتموهن بأمانة الله واستحللتم فروجهن بكلمات الله ، فاعقلوا أيّها الناس قولي فإنّي قد بلغت</w:t>
      </w:r>
      <w:r>
        <w:rPr>
          <w:rFonts w:eastAsia="Amiri" w:cs="Amiri" w:ascii="Amiri" w:hAnsi="Amiri"/>
          <w:color w:val="111111"/>
          <w:sz w:val="28"/>
          <w:szCs w:val="28"/>
          <w:rtl w:val="true"/>
          <w:lang w:bidi="ar-SA"/>
        </w:rPr>
        <w:t xml:space="preserve">. </w:t>
      </w:r>
      <w:r>
        <w:rPr>
          <w:rStyle w:val="FootnoteAnchor"/>
          <w:rtl w:val="true"/>
        </w:rPr>
        <w:footnoteReference w:id="1021"/>
      </w:r>
    </w:p>
    <w:p>
      <w:pPr>
        <w:pStyle w:val="Heading6"/>
        <w:numPr>
          <w:ilvl w:val="5"/>
          <w:numId w:val="1"/>
        </w:numPr>
        <w:rPr/>
      </w:pPr>
      <w:bookmarkStart w:id="1025" w:name="__RefHeading___Toc1166137_1067777946"/>
      <w:bookmarkStart w:id="1026" w:name="_Toc376"/>
      <w:bookmarkEnd w:id="1025"/>
      <w:r>
        <w:rPr>
          <w:rtl w:val="true"/>
        </w:rPr>
        <w:t xml:space="preserve">الرابع </w:t>
      </w:r>
      <w:r>
        <w:rPr>
          <w:rtl w:val="true"/>
        </w:rPr>
        <w:t xml:space="preserve">: </w:t>
      </w:r>
      <w:r>
        <w:rPr>
          <w:rtl w:val="true"/>
        </w:rPr>
        <w:t>اضطراب كلماتهم في زمان التحريم</w:t>
      </w:r>
      <w:bookmarkEnd w:id="1026"/>
    </w:p>
    <w:p>
      <w:pPr>
        <w:pStyle w:val="BookText"/>
        <w:rPr/>
      </w:pPr>
      <w:r>
        <w:rPr>
          <w:rFonts w:ascii="Amiri" w:hAnsi="Amiri" w:eastAsia="Amiri" w:cs="Amiri"/>
          <w:color w:val="111111"/>
          <w:sz w:val="28"/>
          <w:sz w:val="28"/>
          <w:szCs w:val="28"/>
          <w:rtl w:val="true"/>
          <w:lang w:bidi="ar-SA"/>
        </w:rPr>
        <w:t xml:space="preserve">ما ذكر من التعارض في زمان التحليل والتحريم ومكانهما يرجع إلى خصوص ما رواه مسلم في صحيحه وأمّا اختلاف فقهاء السنة في تحليها وتحريمها عددا وزمانا ومكانا فحدّث عنه ولا حرج فقد ذكر النووي تفصيلها ونحن نذكر ملخصه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أحلت وحرّمت في غزوة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رووه عن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حلّت إلاّ في عمرة القضاء وهو المروي عن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هذا عن سبرة الجهني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أحلّت وحرمت يوم الفتح وهو المروي عن سبرة الجهني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نهى عنها النبي في غزوة تبوك كما في رواية إسحاق بن راشد عن الزهري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أباحها يوم أوطاس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أباحها يوم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الأقوال نقلها النووي في شرحه على صحيح مسلم وناقش في بعضها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جرى في حجّة الوداع مجرّد النهي كما جاء في غير رواية ويكون تجديده صلى الله عليه وآله وسلم النهي عنها يومئذ لاجتماع الناس وليبلغ الشاهد الغائب ولتمام الدين وتقرر الشريعة كما قرر غير شيء وبين الحلال والحرام يومئذ وبتّ تحريم المتعة حينئذ لقوله إلى يوم القيامة</w:t>
      </w:r>
      <w:r>
        <w:rPr>
          <w:rFonts w:eastAsia="Amiri" w:cs="Amiri" w:ascii="Amiri" w:hAnsi="Amiri"/>
          <w:color w:val="111111"/>
          <w:sz w:val="28"/>
          <w:szCs w:val="28"/>
          <w:rtl w:val="true"/>
          <w:lang w:bidi="ar-SA"/>
        </w:rPr>
        <w:t xml:space="preserve">. </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 xml:space="preserve">وقد عزب عن النووي انّه لو صحّ ما ذكره أخيرا كان الأنسب أن ينهى عن هذا الأمر إلهام عند إيراد الخطبة في حجّة الوداع في ذلك المحتشد العظيم الذي لم ير مثله إلاّ في الغدير عند ما أوصى بالنساء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لكم على نسائكم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أنّه ليس هناك أيّ أثر من التحريم في ذلك الموقف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أهل العلم في الجمع بين هذين الخبرين ـ تحريم المتعة يوم خيبر وفي فتح مكة ـ فقال قوم في حديث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متعة النساء يوم خيبر وعن لحوم الحمر الأهلية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وتأخير ،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 الله عليه وآله وسلم نهى عن لحوم الحمر الأهلية يوم خيبر ، ونهى عن متعة النساء ولم يذكر ميقات النهي عنها ، وقد بيّنه الربيع بن سبرة حديثه انّه كان في حجة الوداع ،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على أبي انّه حدّث أنّ النبي نهى عن المتعة في حجة الوداع</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شيئا أحلّ الله ثمّ حرمه ، ثمّ أحلّه ، ثمّ حرمة ، إلاّ المتعة فحمل الأمر على ظاهره ، وانّ النبي صلى الله عليه وآله وسلم حرمها يوم خيبر ثمّ أباحها في حجة الوداع ثلاثة أيام ثم حرمها</w:t>
      </w:r>
      <w:r>
        <w:rPr>
          <w:rFonts w:eastAsia="Amiri" w:cs="Amiri" w:ascii="Amiri" w:hAnsi="Amiri"/>
          <w:color w:val="111111"/>
          <w:sz w:val="28"/>
          <w:szCs w:val="28"/>
          <w:rtl w:val="true"/>
          <w:lang w:bidi="ar-SA"/>
        </w:rPr>
        <w:t xml:space="preserve">. </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 xml:space="preserve">أنّ التشريع بهذا المنوال ، أشبه بتقنين إنسان غير عالم بعواقب الأمور ، غير محيط بمصالحها ومفاسدها ، فيحكم وينقض من دون تروّ وتفكير ، ونبيّ الإسلام هو نبيّ العظمة والقداسة قد أوتي من العلم ما لم يؤت أحد من العالمين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فَضْلُ اللهِ عَلَيْكَ عَظِيماً </w:t>
      </w:r>
      <w:r>
        <w:rPr>
          <w:rFonts w:eastAsia="Amiri" w:cs="Amiri" w:ascii="Amiri" w:hAnsi="Amiri"/>
          <w:color w:val="111111"/>
          <w:sz w:val="28"/>
          <w:szCs w:val="28"/>
          <w:rtl w:val="true"/>
          <w:lang w:bidi="ar-SA"/>
        </w:rPr>
        <w:t xml:space="preserve">) </w:t>
      </w:r>
      <w:r>
        <w:rPr>
          <w:rStyle w:val="FootnoteAnchor"/>
          <w:rtl w:val="true"/>
        </w:rPr>
        <w:footnoteReference w:id="1024"/>
      </w:r>
      <w:r>
        <w:rPr>
          <w:rFonts w:ascii="Amiri" w:hAnsi="Amiri" w:eastAsia="Amiri" w:cs="Amiri"/>
          <w:color w:val="111111"/>
          <w:sz w:val="28"/>
          <w:sz w:val="28"/>
          <w:szCs w:val="28"/>
          <w:rtl w:val="true"/>
          <w:lang w:bidi="ar-SA"/>
        </w:rPr>
        <w:t>ونجلّ ساحته من التشريع الأشبه بالتلاعب بالأحكام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السهيلي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في وقت تحريم نكاح المتعة ، فأغرب ما روي في ذلك ، رواية من قال في غزوة تبوك ، ثمّ رواية الحسن انّ ذلك كان في عمرة القضاء ، والمشهور في تحريمها إنّ ذلك كان في غزوة الفتح كما أخرجه مسلم من حديث الربيع بن سبرة عن أبيه ، وفي رواية عن الربيع أخرجها أبو داود انّه كان حجّة الوداع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من الرواة كان في غزوة أوطاس فهو موافق لمن قال عام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ممّا أشار إليه ستة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خيبر ، ثمّ عمرة القضاء ، ثمّ الفتح ، ثمّ أوطاس ، ثمّ تبوك ، ثمّ حجّة الوداع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لا مخالفة بين أوطاس والفتح لأنّ الفتح كان في رمضان ثمّ خرجوا إلى أوطاس في 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ابن حجر بالنقض والإبرام بما لا يسعنا نقله</w:t>
      </w:r>
      <w:r>
        <w:rPr>
          <w:rFonts w:eastAsia="Amiri" w:cs="Amiri" w:ascii="Amiri" w:hAnsi="Amiri"/>
          <w:color w:val="111111"/>
          <w:sz w:val="28"/>
          <w:szCs w:val="28"/>
          <w:rtl w:val="true"/>
          <w:lang w:bidi="ar-SA"/>
        </w:rPr>
        <w:t xml:space="preserve">. </w:t>
      </w:r>
      <w:r>
        <w:rPr>
          <w:rStyle w:val="FootnoteAnchor"/>
          <w:rtl w:val="true"/>
        </w:rPr>
        <w:footnoteReference w:id="1025"/>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فهذا الاختلاف الكبير يجرّ الباحث إلى التشكيك في أصل التحريم ، وإلاّ فكيف خفي زمان التحريم ومكانه على المسلمين حتّى صاروا طوائف ست لا سيما في مسألة كمسألة المتعة التي يبتلى بها الناس في حلّهم </w:t>
      </w:r>
    </w:p>
    <w:p>
      <w:pPr>
        <w:pStyle w:val="BookText"/>
        <w:rPr/>
      </w:pPr>
      <w:r>
        <w:rPr>
          <w:rFonts w:ascii="Amiri" w:hAnsi="Amiri" w:eastAsia="Amiri" w:cs="Amiri"/>
          <w:color w:val="111111"/>
          <w:sz w:val="28"/>
          <w:sz w:val="28"/>
          <w:szCs w:val="28"/>
          <w:rtl w:val="true"/>
          <w:lang w:bidi="ar-SA"/>
        </w:rPr>
        <w:t>وترحالهم ، فلا يمكن نسخ القرآن الكريم بهذه الأخبار المشوّشة المضطربة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ابن القيم ممن حاول أن يجتهد في المسألة ويجمع بين المتعارضين فأورد السؤال بما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تصنعون بما رواه مسلم في صحيحه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نستمتع بالقبضة من التمر والدقيق الأيام على عهد رسول الله صلى الله عليه وآله وسلم وأبي بكر حتّى نهى عنها عمر في شأن عمرو بن حريث ، وفيما ثبت عن عمر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متعتان كانتا على عهد رسول الله صلى الله عليه وآله وسلم أنا أنهى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 ومتعة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أجاب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في هذا طائفتان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طائفة تقول انّ عمر هو الذي حرّمها ونهى عنها وقد أمر رسول الله صلى الله عليه وآله وسلم باتّباع ما سنّه الخلفاء الراشدون ، ولم تر هذه الطائفة تصحيح حديث سبرة بن معبد في تحريم المتعة عام الفتح ، فإنّه من رواية عبد الملك بن الربيع بن سبرة عن أبيه عن جدّه وقد تكلّم فيه ابن معين ولم ير البخاري إخراج حديثه في صحيحه مع شدة الحاجة إليه وكونه أصلا من أصول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صحّ عنده لم يصبر عن إخراجه والاحتجاج به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صحّ حديث سبرة لم يخف على ابن مسعود حتّى يروي انّهم فعلوها ويحتج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ولو صحّ لم يقل عمر انّها كانت على عهد رسول الله صلى الله عليه وآله وسلم وأنا أنهى عنها وأعاقب عليها ، بل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صلى الله عليه وآله وسلم حرّمها ونهى عنها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صحّ لم تفعل على عهد الصديق وهو عهد خلافة النبوة حقّا</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رأت صحة حديث سبرة ، ولو لم يصحّ فقد صحّ حديث علي عليه السلام انّ رسول الله صلى الله عليه وآله وسلم حرم متعة النساء فوجب حمل حديث جابر على أنّ الذي </w:t>
      </w:r>
      <w:bookmarkStart w:id="1027" w:name="pg10144_71730"/>
    </w:p>
    <w:p>
      <w:pPr>
        <w:pStyle w:val="BookText"/>
        <w:rPr/>
      </w:pPr>
      <w:bookmarkEnd w:id="1027"/>
      <w:r>
        <w:rPr>
          <w:rFonts w:ascii="Amiri" w:hAnsi="Amiri" w:eastAsia="Amiri" w:cs="Amiri"/>
          <w:color w:val="111111"/>
          <w:sz w:val="28"/>
          <w:sz w:val="28"/>
          <w:szCs w:val="28"/>
          <w:rtl w:val="true"/>
          <w:lang w:bidi="ar-SA"/>
        </w:rPr>
        <w:t>أخبر عنها بفعلها لم يبلغه التحريم ، ولم يكن قد اشتهر حتّى كان زمن عمر ، فلمّا وقع فيها النزاع ظهر تحريمها واشتهر وبهذا تألف الأحاديث الواردة فيها</w:t>
      </w:r>
      <w:r>
        <w:rPr>
          <w:rFonts w:eastAsia="Amiri" w:cs="Amiri" w:ascii="Amiri" w:hAnsi="Amiri"/>
          <w:color w:val="111111"/>
          <w:sz w:val="28"/>
          <w:szCs w:val="28"/>
          <w:rtl w:val="true"/>
          <w:lang w:bidi="ar-SA"/>
        </w:rPr>
        <w:t xml:space="preserve">. </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 xml:space="preserve">ولا يخفى على الباحث قوة منطق الطائفة الأولى ، وأمّا ما نقله عن الطائفة الثانية فيتلخص في الأمور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صحّة حديث سبرة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صحّة الحديث عن علي انّ رسول الله حرم المتعة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جابر بن عبد الله لم يبلغه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فقد عرفت وجود التعارض في حديث سبرة على وجه يسقطه عن الاحتجاج به وانّ البخاري لم يخرّجه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أي المنقول عن علي فهو مكذوب على لسانه ، لأنّ عليّا وبيته الرفيع اشتهروا بالقول بجواز المتعة وهو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نهي عمر عن المتعة لما زنى إلاّ 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وهو عدم بلوغ التحريم إلى صحابي عظيم كجابر بن عبد الله الأنصاري إلى أن اشتهر الحكم في زمان عمر فهو أمر غريب ، لأنّ المسألة ليست من المسائل المغفول عنها حتّى لا يبلغه التحريم على أنّك عرفت انّه نسب جابر التحريم إلى نفس الخليفة دون النبي</w:t>
      </w:r>
      <w:r>
        <w:rPr>
          <w:rFonts w:eastAsia="Amiri" w:cs="Amiri" w:ascii="Amiri" w:hAnsi="Amiri"/>
          <w:color w:val="111111"/>
          <w:sz w:val="28"/>
          <w:szCs w:val="28"/>
          <w:rtl w:val="true"/>
          <w:lang w:bidi="ar-SA"/>
        </w:rPr>
        <w:t>.</w:t>
      </w:r>
    </w:p>
    <w:p>
      <w:pPr>
        <w:pStyle w:val="Heading6"/>
        <w:numPr>
          <w:ilvl w:val="5"/>
          <w:numId w:val="1"/>
        </w:numPr>
        <w:rPr/>
      </w:pPr>
      <w:bookmarkStart w:id="1028" w:name="__RefHeading___Toc1166139_1067777946"/>
      <w:bookmarkStart w:id="1029" w:name="_Toc377"/>
      <w:bookmarkEnd w:id="1028"/>
      <w:r>
        <w:rPr>
          <w:rtl w:val="true"/>
        </w:rPr>
        <w:t xml:space="preserve">الخامس </w:t>
      </w:r>
      <w:r>
        <w:rPr>
          <w:rtl w:val="true"/>
        </w:rPr>
        <w:t xml:space="preserve">: </w:t>
      </w:r>
      <w:r>
        <w:rPr>
          <w:rtl w:val="true"/>
        </w:rPr>
        <w:t>نقل أحاديث متعارضة عن راو واحد</w:t>
      </w:r>
      <w:bookmarkEnd w:id="1029"/>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أغرب ما في الباب هو أن ينسب إلى علي روايتين متعارضتين ، فقد أخرج مسلم عن محمد الحنفية بن علي بن أبي طالب انّه سمع علي بن أبي طالب </w:t>
      </w:r>
    </w:p>
    <w:p>
      <w:pPr>
        <w:pStyle w:val="BookText"/>
        <w:rPr/>
      </w:pPr>
      <w:r>
        <w:rPr>
          <w:rFonts w:ascii="Amiri" w:hAnsi="Amiri" w:eastAsia="Amiri" w:cs="Amiri"/>
          <w:color w:val="111111"/>
          <w:sz w:val="28"/>
          <w:sz w:val="28"/>
          <w:szCs w:val="28"/>
          <w:rtl w:val="true"/>
          <w:lang w:bidi="ar-SA"/>
        </w:rPr>
        <w:t>يقول لابن عباس نهى رسول الله صلى الله عليه وآله وسلم عن متعة النساء يوم خيبر وعن أكل لحوم الحمر الإنسية</w:t>
      </w:r>
      <w:r>
        <w:rPr>
          <w:rFonts w:eastAsia="Amiri" w:cs="Amiri" w:ascii="Amiri" w:hAnsi="Amiri"/>
          <w:color w:val="111111"/>
          <w:sz w:val="28"/>
          <w:szCs w:val="28"/>
          <w:rtl w:val="true"/>
          <w:lang w:bidi="ar-SA"/>
        </w:rPr>
        <w:t xml:space="preserve">. </w:t>
      </w:r>
      <w:r>
        <w:rPr>
          <w:rStyle w:val="FootnoteAnchor"/>
          <w:rtl w:val="true"/>
        </w:rPr>
        <w:footnoteReference w:id="1027"/>
      </w:r>
      <w:r>
        <w:rPr>
          <w:rFonts w:ascii="Amiri" w:hAnsi="Amiri" w:eastAsia="Amiri" w:cs="Amiri"/>
          <w:color w:val="111111"/>
          <w:sz w:val="28"/>
          <w:sz w:val="28"/>
          <w:szCs w:val="28"/>
          <w:rtl w:val="true"/>
          <w:lang w:bidi="ar-SA"/>
        </w:rPr>
        <w:t xml:space="preserve">مع أنّه اشتهر عن علي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لا نهي عمر عن المتعة ما زنى إلاّ شقي </w:t>
      </w:r>
      <w:r>
        <w:rPr>
          <w:rFonts w:eastAsia="Amiri" w:cs="Amiri" w:ascii="Amiri" w:hAnsi="Amiri"/>
          <w:color w:val="111111"/>
          <w:sz w:val="28"/>
          <w:szCs w:val="28"/>
          <w:rtl w:val="true"/>
          <w:lang w:bidi="ar-SA"/>
        </w:rPr>
        <w:t xml:space="preserve">». </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 xml:space="preserve">وقال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أمير المؤمنين علي بن أبي طالب عليه السلام فالشيعة يروون عنه إباحة المتعة وروى محمد بن جرير الطبري في تفسيره عن علي بن أبي طالب عليه السلام 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لا انّ عمر نهى الناس عن المتعة ما زنى إلاّ شقي </w:t>
      </w:r>
      <w:r>
        <w:rPr>
          <w:rFonts w:eastAsia="Amiri" w:cs="Amiri" w:ascii="Amiri" w:hAnsi="Amiri"/>
          <w:color w:val="111111"/>
          <w:sz w:val="28"/>
          <w:szCs w:val="28"/>
          <w:rtl w:val="true"/>
          <w:lang w:bidi="ar-SA"/>
        </w:rPr>
        <w:t xml:space="preserve">». </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وأغرب من ذلك انّهم يروون عن ابن عباس تحريم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البخاري عن أبي جمرة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ابن عباس عن متعة النساء فرخّص فيها ، فقال له مولى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ذلك وفي النساء قلة والحال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030"/>
      </w:r>
      <w:r>
        <w:rPr>
          <w:rFonts w:ascii="Amiri" w:hAnsi="Amiri" w:eastAsia="Amiri" w:cs="Amiri"/>
          <w:color w:val="111111"/>
          <w:sz w:val="28"/>
          <w:sz w:val="28"/>
          <w:szCs w:val="28"/>
          <w:rtl w:val="true"/>
          <w:lang w:bidi="ar-SA"/>
        </w:rPr>
        <w:t>مع أنّ ابن عباس قد اشتهر بالفتيا بحلية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مسلم عن عروة بن الزبير انّ عبد الله بن الزبير قام بمكة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ناسا أعمى الله قلوبهم كما أعمى أبصارهم يفتون بالمتعة يعرّض برجل ، فناداه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لجلف جاف فلعمري لقد كانت المتعة تفعل في عهد إمام المتقين ـ يريد رسول الله صلى الله عليه وآله وسلم ـ فقال له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فجرب بنفسك فو الله لئن فعلتها لأرجمنّك بأحجارك</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الحافظ ابن أبي شيبة عن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عمر سئل عن المتعة؟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عباس يفتي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ترمرم بها ـ تزمزم ـ في زمان عمر</w:t>
      </w:r>
      <w:r>
        <w:rPr>
          <w:rFonts w:eastAsia="Amiri" w:cs="Amiri" w:ascii="Amiri" w:hAnsi="Amiri"/>
          <w:color w:val="111111"/>
          <w:sz w:val="28"/>
          <w:szCs w:val="28"/>
          <w:rtl w:val="true"/>
          <w:lang w:bidi="ar-SA"/>
        </w:rPr>
        <w:t xml:space="preserve">. </w:t>
      </w:r>
      <w:r>
        <w:rPr>
          <w:rStyle w:val="FootnoteAnchor"/>
          <w:rtl w:val="true"/>
        </w:rPr>
        <w:footnoteReference w:id="1031"/>
      </w:r>
      <w:bookmarkStart w:id="1030" w:name="pg10144_71732"/>
    </w:p>
    <w:p>
      <w:pPr>
        <w:pStyle w:val="Heading6"/>
        <w:numPr>
          <w:ilvl w:val="5"/>
          <w:numId w:val="1"/>
        </w:numPr>
        <w:rPr/>
      </w:pPr>
      <w:bookmarkStart w:id="1031" w:name="__RefHeading___Toc1166141_1067777946"/>
      <w:bookmarkStart w:id="1032" w:name="_Toc378"/>
      <w:bookmarkEnd w:id="1030"/>
      <w:bookmarkEnd w:id="1031"/>
      <w:r>
        <w:rPr>
          <w:rtl w:val="true"/>
        </w:rPr>
        <w:t xml:space="preserve">السادس </w:t>
      </w:r>
      <w:r>
        <w:rPr>
          <w:rtl w:val="true"/>
        </w:rPr>
        <w:t xml:space="preserve">: </w:t>
      </w:r>
      <w:r>
        <w:rPr>
          <w:rtl w:val="true"/>
        </w:rPr>
        <w:t>استناد التحريم إلى نفس الخليفة</w:t>
      </w:r>
      <w:bookmarkEnd w:id="1032"/>
    </w:p>
    <w:p>
      <w:pPr>
        <w:pStyle w:val="BookText"/>
        <w:rPr/>
      </w:pPr>
      <w:r>
        <w:rPr>
          <w:rFonts w:ascii="Amiri" w:hAnsi="Amiri" w:eastAsia="Amiri" w:cs="Amiri"/>
          <w:color w:val="111111"/>
          <w:sz w:val="28"/>
          <w:sz w:val="28"/>
          <w:szCs w:val="28"/>
          <w:rtl w:val="true"/>
          <w:lang w:bidi="ar-SA"/>
        </w:rPr>
        <w:t xml:space="preserve">قد تضافرت الروايات على نسبة التحريم إلى الخليفة نفسه وانّه هو الذي حرمها وأوعد مرتكبيها بالرجم ، ولا يسعنا نقل ما ذكره أهل السير والتأريخ في ذلك الموقف فنقتصر بالقليل عن الكثير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عمران بن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آية المتعة في كتاب الله وأمرنا بها رسول الله صلى الله عليه وآله وسلم ، ثمّ لم تنزل آية تنسخ آية متعة الحج ولم ينه عنها رسول الله صلى الله عليه وآله وسلم حتّى مات ، قال رجل برأيه بعد ما شاء</w:t>
      </w:r>
      <w:r>
        <w:rPr>
          <w:rFonts w:eastAsia="Amiri" w:cs="Amiri" w:ascii="Amiri" w:hAnsi="Amiri"/>
          <w:color w:val="111111"/>
          <w:sz w:val="28"/>
          <w:szCs w:val="28"/>
          <w:rtl w:val="true"/>
          <w:lang w:bidi="ar-SA"/>
        </w:rPr>
        <w:t xml:space="preserve">. </w:t>
      </w:r>
      <w:r>
        <w:rPr>
          <w:rStyle w:val="FootnoteAnchor"/>
          <w:rtl w:val="true"/>
        </w:rPr>
        <w:footnoteReference w:id="10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عمران بن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آية المتعة في كتاب الله ففعلناها مع رسول الله صلى الله عليه وآله وسلم ولم ينزل قرآن يحرمه ، ولم ينه عنها حتّى مات ، قال رجل برأيه ما شاء</w:t>
      </w:r>
      <w:r>
        <w:rPr>
          <w:rFonts w:eastAsia="Amiri" w:cs="Amiri" w:ascii="Amiri" w:hAnsi="Amiri"/>
          <w:color w:val="111111"/>
          <w:sz w:val="28"/>
          <w:szCs w:val="28"/>
          <w:rtl w:val="true"/>
          <w:lang w:bidi="ar-SA"/>
        </w:rPr>
        <w:t xml:space="preserve">. </w:t>
      </w:r>
      <w:r>
        <w:rPr>
          <w:rStyle w:val="FootnoteAnchor"/>
          <w:rtl w:val="true"/>
        </w:rPr>
        <w:footnoteReference w:id="10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مسلم عن أبي الزبير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 بن عبد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نستمتع بالقبضة من التمر والدقيق الأيام على عهد رسول الله صلى الله عليه وآله وسلم وأبي بكر حتّى نهى عنه عمر في شأن عمرو بن حريث</w:t>
      </w:r>
      <w:r>
        <w:rPr>
          <w:rFonts w:eastAsia="Amiri" w:cs="Amiri" w:ascii="Amiri" w:hAnsi="Amiri"/>
          <w:color w:val="111111"/>
          <w:sz w:val="28"/>
          <w:szCs w:val="28"/>
          <w:rtl w:val="true"/>
          <w:lang w:bidi="ar-SA"/>
        </w:rPr>
        <w:t xml:space="preserve">. </w:t>
      </w:r>
      <w:r>
        <w:rPr>
          <w:rStyle w:val="FootnoteAnchor"/>
          <w:rtl w:val="true"/>
        </w:rPr>
        <w:footnoteReference w:id="1034"/>
      </w:r>
      <w:r>
        <w:rPr>
          <w:rFonts w:ascii="Amiri" w:hAnsi="Amiri" w:eastAsia="Amiri" w:cs="Amiri"/>
          <w:color w:val="111111"/>
          <w:sz w:val="28"/>
          <w:sz w:val="28"/>
          <w:szCs w:val="28"/>
          <w:rtl w:val="true"/>
          <w:lang w:bidi="ar-SA"/>
        </w:rPr>
        <w:t>وسيوافيك ما ورد في شأن ابن حريث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أيضا عن أبي نضرة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جابر بن عبد الله فأتاه آت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وابن الزبير اختلفا في المتعتين ، فقال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فعلناهما مع رسول الله صلى الله عليه وآله وسلم ثمّ نهانا عنهما عمر فلم نعد لهما</w:t>
      </w:r>
      <w:r>
        <w:rPr>
          <w:rFonts w:eastAsia="Amiri" w:cs="Amiri" w:ascii="Amiri" w:hAnsi="Amiri"/>
          <w:color w:val="111111"/>
          <w:sz w:val="28"/>
          <w:szCs w:val="28"/>
          <w:rtl w:val="true"/>
          <w:lang w:bidi="ar-SA"/>
        </w:rPr>
        <w:t xml:space="preserve">. </w:t>
      </w:r>
      <w:r>
        <w:rPr>
          <w:rStyle w:val="FootnoteAnchor"/>
          <w:rtl w:val="true"/>
        </w:rPr>
        <w:footnoteReference w:id="103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مسلم عن أبي نضرة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يأمر بالمتعة وكان ابن الزبير ينهى عنهما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لجابر بن عبد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يديّ دار </w:t>
      </w:r>
    </w:p>
    <w:p>
      <w:pPr>
        <w:pStyle w:val="BookText"/>
        <w:rPr/>
      </w:pPr>
      <w:r>
        <w:rPr>
          <w:rFonts w:ascii="Amiri" w:hAnsi="Amiri" w:eastAsia="Amiri" w:cs="Amiri"/>
          <w:color w:val="111111"/>
          <w:sz w:val="28"/>
          <w:sz w:val="28"/>
          <w:szCs w:val="28"/>
          <w:rtl w:val="true"/>
          <w:lang w:bidi="ar-SA"/>
        </w:rPr>
        <w:t xml:space="preserve">الحديث تمتعنا مع رسول الله فلما قام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كان يحلّ لرسوله ما شاء بما شاء ، وانّ القرآن قد نزل منازله ، فأتموا الحجّ والعمرة لله كما أمركم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وأبتّوا نكاح هذه النساء فلن أوتي برجل نكح امرأة إلى أجل إلاّ رجمته بالحجارة</w:t>
      </w:r>
      <w:r>
        <w:rPr>
          <w:rFonts w:eastAsia="Amiri" w:cs="Amiri" w:ascii="Amiri" w:hAnsi="Amiri"/>
          <w:color w:val="111111"/>
          <w:sz w:val="28"/>
          <w:szCs w:val="28"/>
          <w:rtl w:val="true"/>
          <w:lang w:bidi="ar-SA"/>
        </w:rPr>
        <w:t xml:space="preserve">. </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والمقطع الأوّل راجع إلى تحريم التحلل بين العمرة والحجّ ، كما أنّ المقطع الثاني راجع إلى تحريم متعة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تضافر من أنّ عمر بن الخطاب قال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متعتان كانتا مشروعتين في عهد رسول الله صلى الله عليه وآله وسلم وأنا أنهى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الحجّ ، ومتعة النكاح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خطبة عمر من الخطب المتسالم عليها ، وقد اكتفينا من المصادر بالقليل عن الكثير حتّى أنّ المتكلّم الأشعري القوشجي في شرحه على تجريد الاعتقاد حاول تأويله دون أن يناقش سنده ، وإليك نصّه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عمر وهو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ثلاث كنّ على عهد رسول الله صلى الله عليه وآله وسلم وأنا أنهى عنهنّ وأحرمهنّ وأعاقب عليهنّ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 ، ومتعة الحجّ ، وحيّ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اعتذر عنه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ليس مما يوجب قدحا فيه ، فان مخالفة المجتهد لغيره في المسائل الاجتهادية ليس ببدع</w:t>
      </w:r>
      <w:r>
        <w:rPr>
          <w:rFonts w:eastAsia="Amiri" w:cs="Amiri" w:ascii="Amiri" w:hAnsi="Amiri"/>
          <w:color w:val="111111"/>
          <w:sz w:val="28"/>
          <w:szCs w:val="28"/>
          <w:rtl w:val="true"/>
          <w:lang w:bidi="ar-SA"/>
        </w:rPr>
        <w:t xml:space="preserve">. </w:t>
      </w:r>
      <w:r>
        <w:rPr>
          <w:rStyle w:val="FootnoteAnchor"/>
          <w:rtl w:val="true"/>
        </w:rPr>
        <w:footnoteReference w:id="103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الراغب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المحاضرات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أكثم لشيخ بالبصرة بمن </w:t>
      </w:r>
      <w:bookmarkStart w:id="1033" w:name="pg10144_71734"/>
    </w:p>
    <w:p>
      <w:pPr>
        <w:pStyle w:val="BookText"/>
        <w:rPr/>
      </w:pPr>
      <w:bookmarkEnd w:id="1033"/>
      <w:r>
        <w:rPr>
          <w:rFonts w:ascii="Amiri" w:hAnsi="Amiri" w:eastAsia="Amiri" w:cs="Amiri"/>
          <w:color w:val="111111"/>
          <w:sz w:val="28"/>
          <w:sz w:val="28"/>
          <w:szCs w:val="28"/>
          <w:rtl w:val="true"/>
          <w:lang w:bidi="ar-SA"/>
        </w:rPr>
        <w:t xml:space="preserve">اقتديت في جواز المتعة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بعمر بن الخطاب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وعمر كان أشدّ الناس فيها؟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الخبر الصحيح انّه صعد المنبر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ورسوله قد أحلاّ لكم متعتين وأنا محرّمهما عليكم وأعاقب عليهما ، فقبلنا شهادته ولم نقبل تحريمه</w:t>
      </w:r>
      <w:r>
        <w:rPr>
          <w:rFonts w:eastAsia="Amiri" w:cs="Amiri" w:ascii="Amiri" w:hAnsi="Amiri"/>
          <w:color w:val="111111"/>
          <w:sz w:val="28"/>
          <w:szCs w:val="28"/>
          <w:rtl w:val="true"/>
          <w:lang w:bidi="ar-SA"/>
        </w:rPr>
        <w:t xml:space="preserve">. </w:t>
      </w:r>
      <w:r>
        <w:rPr>
          <w:rStyle w:val="FootnoteAnchor"/>
          <w:rtl w:val="true"/>
        </w:rPr>
        <w:footnoteReference w:id="1038"/>
      </w:r>
    </w:p>
    <w:p>
      <w:pPr>
        <w:pStyle w:val="Heading6"/>
        <w:numPr>
          <w:ilvl w:val="5"/>
          <w:numId w:val="1"/>
        </w:numPr>
        <w:rPr/>
      </w:pPr>
      <w:bookmarkStart w:id="1034" w:name="__RefHeading___Toc1166143_1067777946"/>
      <w:bookmarkStart w:id="1035" w:name="_Toc379"/>
      <w:bookmarkEnd w:id="1034"/>
      <w:r>
        <w:rPr>
          <w:rtl w:val="true"/>
        </w:rPr>
        <w:t xml:space="preserve">السابع </w:t>
      </w:r>
      <w:r>
        <w:rPr>
          <w:rtl w:val="true"/>
        </w:rPr>
        <w:t xml:space="preserve">: </w:t>
      </w:r>
      <w:r>
        <w:rPr>
          <w:rtl w:val="true"/>
        </w:rPr>
        <w:t>سيرة الصحابة بعد رحيل النبي صلى الله عليه وآله وسلم</w:t>
      </w:r>
      <w:bookmarkEnd w:id="1035"/>
    </w:p>
    <w:p>
      <w:pPr>
        <w:pStyle w:val="BookText"/>
        <w:rPr/>
      </w:pPr>
      <w:r>
        <w:rPr>
          <w:rFonts w:ascii="Amiri" w:hAnsi="Amiri" w:eastAsia="Amiri" w:cs="Amiri"/>
          <w:color w:val="111111"/>
          <w:sz w:val="28"/>
          <w:sz w:val="28"/>
          <w:szCs w:val="28"/>
          <w:rtl w:val="true"/>
          <w:lang w:bidi="ar-SA"/>
        </w:rPr>
        <w:t>إنّ السبر في كتب التأريخ والسير يثبت بأنّ سيرة الصحابة بعد رحيل النبي استمرت على الحلية فكان يستمتعون بلا تريث ، وإنّما بدأ الاختلاف عند ما أفتى الخليفة بتحريمها في أخريات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مرت أسماء طائفة من الصحابة الذين استمتعوا بعد رحيل الرسول ولم يعترض عليهم أحد وقد وقفت على أحاديث لفيف منهم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 الله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عمران بن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ممن مرت أسماؤهم ، وها نحن نذكر هنا نزرا يسيرا ممّن استمتع بعد الرسول صلى الله عليه وآله وسلم ، وهم من الصحابة العدول وإن أثار حفيظة المحرّم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الحافظ عبد الرزاق في مصنفه عن ابن جريج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الزبير عن جابر قدم عمرو بن حريث الكوفة فاستمتع بمولاة فأتى بها عمرو حبلى فسأله فاعترف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حين نهى عنها عمر</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المتقي الهندي عن سليمان بن يسار عن أمّ عبد الله ابنة أبي خيثمة انّ رجلا قدم من الشام فنزل عليها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العزبة قد اشتدت عليّ فابغيني امرأة أتمتع بها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فدللته على امرأة فشارطها وأشهدوا على ذلك عدولا ، فمكث معها ما شاء الله أن يمكث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خرج فأخبر عن ذلك عمر بن الخطاب فأرسل إليّ فسألني أحقّ ما حدّثت؟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قدم فأذنيني ، فلمّا قدم أخبرته فأرسل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الذي فعلته؟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فعلته مع رسول الله صلى الله عليه وآله وسلم ثمّ لم ينهنا عنه حتّى قبضه الله ، ثمّ مع أبي بكر فلم ينهنا عنه حتّى قبضه الله ، ثمّ معك فلم تحدث لنا فيه نهيا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والذي نفسي بيده لو كنت تقدّمت في نهي لرجمتك ، بينوا حتّى يعرف النكاح من السفاح</w:t>
      </w:r>
      <w:r>
        <w:rPr>
          <w:rFonts w:eastAsia="Amiri" w:cs="Amiri" w:ascii="Amiri" w:hAnsi="Amiri"/>
          <w:color w:val="111111"/>
          <w:sz w:val="28"/>
          <w:szCs w:val="28"/>
          <w:rtl w:val="true"/>
          <w:lang w:bidi="ar-SA"/>
        </w:rPr>
        <w:t xml:space="preserve">. </w:t>
      </w:r>
      <w:r>
        <w:rPr>
          <w:rStyle w:val="FootnoteAnchor"/>
          <w:rtl w:val="true"/>
        </w:rPr>
        <w:footnoteReference w:id="10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ابن حجر عن ابن الكلبي إنّ سلمة بن أميّة بن خلف الجمحي استمتع من سلمى مولاة حكيم بن أمية بن الأوقص الأسلمي ، فولدت له ، فجحد ولدها ، فبلغ ذلك عمر فنهى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أيضا انّ سلمه استمتع بامرأة فبلغ عمر فتوعّده</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036" w:name="pg10144_71736"/>
    </w:p>
    <w:p>
      <w:pPr>
        <w:pStyle w:val="Heading5"/>
        <w:numPr>
          <w:ilvl w:val="4"/>
          <w:numId w:val="1"/>
        </w:numPr>
        <w:rPr/>
      </w:pPr>
      <w:bookmarkStart w:id="1037" w:name="__RefHeading___Toc1166145_1067777946"/>
      <w:bookmarkStart w:id="1038" w:name="_Toc380"/>
      <w:bookmarkEnd w:id="1036"/>
      <w:bookmarkEnd w:id="1037"/>
      <w:r>
        <w:rPr>
          <w:rtl w:val="true"/>
        </w:rPr>
        <w:t>الشبهة الثامنة</w:t>
      </w:r>
      <w:bookmarkEnd w:id="1038"/>
    </w:p>
    <w:p>
      <w:pPr>
        <w:pStyle w:val="BookText"/>
        <w:rPr/>
      </w:pPr>
      <w:r>
        <w:rPr>
          <w:rFonts w:ascii="IRNazanin" w:hAnsi="IRNazanin" w:eastAsia="IRNazanin"/>
          <w:color w:val="111111"/>
          <w:sz w:val="28"/>
          <w:sz w:val="28"/>
          <w:szCs w:val="28"/>
          <w:rtl w:val="true"/>
          <w:lang w:bidi="fa-IR"/>
        </w:rPr>
        <w:t>الزواج المؤقت</w:t>
      </w:r>
    </w:p>
    <w:p>
      <w:pPr>
        <w:pStyle w:val="BookText"/>
        <w:rPr/>
      </w:pPr>
      <w:r>
        <w:rPr>
          <w:rFonts w:ascii="Amiri" w:hAnsi="Amiri" w:eastAsia="Amiri" w:cs="Amiri"/>
          <w:color w:val="111111"/>
          <w:sz w:val="28"/>
          <w:sz w:val="28"/>
          <w:szCs w:val="28"/>
          <w:rtl w:val="true"/>
          <w:lang w:bidi="ar-SA"/>
        </w:rPr>
        <w:t>ومشكلة الأنجاب</w:t>
      </w:r>
    </w:p>
    <w:p>
      <w:pPr>
        <w:pStyle w:val="BookText"/>
        <w:rPr/>
      </w:pPr>
      <w:r>
        <w:rPr>
          <w:rFonts w:ascii="Amiri" w:hAnsi="Amiri" w:eastAsia="Amiri" w:cs="Amiri"/>
          <w:color w:val="111111"/>
          <w:sz w:val="28"/>
          <w:sz w:val="28"/>
          <w:szCs w:val="28"/>
          <w:rtl w:val="true"/>
          <w:lang w:bidi="ar-SA"/>
        </w:rPr>
        <w:t>كانت الشبهة السابقة تدور حول حلّية المتعة كتابا وسنّة أو منسوخيّتها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ثمة شبهة أخرى وهي ترجع إلى مشكلة اجتماعية مفادها انّ الرجل إذا نزل بلدة واستمتع بامرأة مسلمة وقضى وطره منها ثمّ تركها وغادر البلدة والمرأة حبلى فحينها تثار مشكلة المولود وانتسابه إلى الأب ، وربما يبقى المولود إلى آخر عمره لا يعرف أباه ، ويولّد ذلك بمرور الزمن عقد نفسية لا يمكن تجاوزها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وحسم هذه المشكلة يتم بالبيان التالي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المشكلة مشتركة بين الزواج الدائم والمؤقت ، فربما يتوافق الزوجان على عقد دائم عرفي مع إقامة الشهود والولي فربما يغادر الزوج البلد ويتركها من دون أن يطلع الزوجة على مكانه والزوجة حبلى ، فتثار حينها مشكلة الولد كنظيرتها في النكاح المؤقت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الملاك في تشريع القوانين وتقنينها هو انسجامها مع مصالح </w:t>
      </w:r>
    </w:p>
    <w:p>
      <w:pPr>
        <w:pStyle w:val="BookText"/>
        <w:rPr/>
      </w:pPr>
      <w:r>
        <w:rPr>
          <w:rFonts w:ascii="Amiri" w:hAnsi="Amiri" w:eastAsia="Amiri" w:cs="Amiri"/>
          <w:color w:val="111111"/>
          <w:sz w:val="28"/>
          <w:sz w:val="28"/>
          <w:szCs w:val="28"/>
          <w:rtl w:val="true"/>
          <w:lang w:bidi="ar-SA"/>
        </w:rPr>
        <w:t>المجتمع على الوجه الغالب ولا تضر المفسدة في شواذّ الأمور ونوادرها ، إذ قلّما يؤمّن القانون مصالح المجتمع بالتمام ، فعلى الباحث أن يطالع القانون وآثاره الإصلاحية في أكثر الموارد دون أن يأخذ بنظر الاعتبار الموارد الشاذّة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والذي يحسم جذور الإشكال انّ على المرأة المتزوجة إذا خافت من مضاعفات النكاح المؤقت أن لا ترضى إلاّ بالعزل أوّلا ثمّ الإشهاد على الزواج ثانيا ، سواء كان الإشهاد واجبا كما في فقه السنّة ، أو مستحبا كما في فقه الشيعة ، وأولى من ذلك أن يكون هناك وثيقة رسمية تكفل لها حقوقها في المحاكم الرسمية كالزواج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يتجلّى الإشكال في أكثر البلاد الإسلامية والتي لم يعترف فيها بالمتعة تحليلا ، وأمّا إذا كان هناك اعتراف رسمي بالزواج المؤقت فيكون المؤقت والدائم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وتتلو هذه الشبهة شبهة أخرى ربما تتّحدان جوهرا وتختلفان صورة ، وهي مسألة اختلاط الأنساب وضياع النسل وعقد عابر الطريق والمجهول في النكاح المؤقت ، وهذه الشبهة هي التي طرحها السيد الراوي البغدادي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والشبهة نابعة من عدم الإمعان في حقيقة النكاح المؤقت ، وقد عرفت أنّ من أحكامه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الطلاق ، وعدة الوفاة ، وفي ظلّه يحفظ النسل ويمنع اختلاط المياه ، فلا يجوز لأحد أن يتمتع بامرأة تمتع بها غيره حتّى تخرج من عدة ذلك الغير وإلاّ كان زانيا ومع اعتبار العدة فأين يكون اختلاط الأنساب وضياع النسل؟</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وحصيلة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يجب على الزوج أن يتعرف حال المتمتع بها حتّى إذا ولدت ولدا الحق به كي لا تضيع الأنساب وكذلك المتمتع بها إذا انتهى أجلها يجب عليها أن تعتد</w:t>
      </w:r>
      <w:r>
        <w:rPr>
          <w:rFonts w:eastAsia="Amiri" w:cs="Amiri" w:ascii="Amiri" w:hAnsi="Amiri"/>
          <w:color w:val="111111"/>
          <w:sz w:val="28"/>
          <w:szCs w:val="28"/>
          <w:rtl w:val="true"/>
          <w:lang w:bidi="ar-SA"/>
        </w:rPr>
        <w:t xml:space="preserve">. </w:t>
      </w:r>
      <w:bookmarkStart w:id="1039" w:name="pg10144_71738"/>
    </w:p>
    <w:p>
      <w:pPr>
        <w:pStyle w:val="Heading5"/>
        <w:numPr>
          <w:ilvl w:val="4"/>
          <w:numId w:val="1"/>
        </w:numPr>
        <w:rPr/>
      </w:pPr>
      <w:bookmarkStart w:id="1040" w:name="__RefHeading___Toc1166147_1067777946"/>
      <w:bookmarkStart w:id="1041" w:name="_Toc381"/>
      <w:bookmarkEnd w:id="1039"/>
      <w:bookmarkEnd w:id="1040"/>
      <w:r>
        <w:rPr>
          <w:rtl w:val="true"/>
        </w:rPr>
        <w:t>الشبهة التاسعة</w:t>
      </w:r>
      <w:bookmarkEnd w:id="1041"/>
    </w:p>
    <w:p>
      <w:pPr>
        <w:pStyle w:val="BookText"/>
        <w:rPr/>
      </w:pPr>
      <w:r>
        <w:rPr>
          <w:rFonts w:ascii="Amiri" w:hAnsi="Amiri" w:eastAsia="Amiri" w:cs="Amiri"/>
          <w:color w:val="111111"/>
          <w:sz w:val="28"/>
          <w:sz w:val="28"/>
          <w:szCs w:val="28"/>
          <w:rtl w:val="true"/>
          <w:lang w:bidi="ar-SA"/>
        </w:rPr>
        <w:t>أكذوبة</w:t>
      </w:r>
    </w:p>
    <w:p>
      <w:pPr>
        <w:pStyle w:val="BookText"/>
        <w:rPr/>
      </w:pPr>
      <w:r>
        <w:rPr>
          <w:rFonts w:ascii="Amiri" w:hAnsi="Amiri" w:eastAsia="Amiri" w:cs="Amiri"/>
          <w:color w:val="111111"/>
          <w:sz w:val="28"/>
          <w:sz w:val="28"/>
          <w:szCs w:val="28"/>
          <w:rtl w:val="true"/>
          <w:lang w:bidi="ar-SA"/>
        </w:rPr>
        <w:t>المتعة الدورية</w:t>
      </w:r>
    </w:p>
    <w:p>
      <w:pPr>
        <w:pStyle w:val="BookText"/>
        <w:rPr/>
      </w:pPr>
      <w:r>
        <w:rPr>
          <w:rFonts w:ascii="Amiri" w:hAnsi="Amiri" w:eastAsia="Amiri" w:cs="Amiri"/>
          <w:color w:val="111111"/>
          <w:sz w:val="28"/>
          <w:sz w:val="28"/>
          <w:szCs w:val="28"/>
          <w:rtl w:val="true"/>
          <w:lang w:bidi="ar-SA"/>
        </w:rPr>
        <w:t xml:space="preserve">إنّ طرح مثل هذه الشبهة ممّا يندي له الجبين ويأسف له العقل السليم ، وفي الحقيقة هي ليست شبهة ، بل فرية وافتراء على شريحة واسعة من المسلمين الذين أخذوا عقيدتهم من معين أهل بيت النبي صلى الله عليه وآله وسلم العذب الذين عرّفهم النبي بأنّهم أعدال القرآن وقرناؤه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المرأة الواحدة يتناوبها ويتعاقبها عدة من الرجال بحسب ساعاتهم ، فعندئذ فبمن يلحق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نسبه إلى القائلين بالحلية يعرب عن أنّ صاحب الشبهة أعياه البرهان حتى التجأ إلى الكذب والفرية ، وقد عرفت في صدر البحث أحكام المتعة ووجوب العدة ومع ذلك كيف يمكن تصحيح تلك المتعة الدورية التي هي في الواقع زنا لا غير؟</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كلام قيم للإمام المصلح الشيخ محمد حسين كاشف الغطاء الذي كان ينبض قلبه للمّ شمل الأمّة وجمع شتاتها ، يقول ردا على طرح تلك الشبهة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فاللازم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تدلنا على كتاب جاهل من الشيعة ذكر فيه تحليل هذا النحو من المتعة فضلا عن عالم من علمائهم ، وإذا لم تدلنا على كتابة منهم أو كتاب ، فاللازم إن تحد حد المفتري الكذاب ، كيف وإجماع الإمامية على لزوم العدة في المتعة وهي على الأقل خمسة وأربعون يوما ، فأين التناوب والتعاقب عليها حسب الساعات؟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كنت تريد انّ بعض العوام والجهلاء الذين لا يبالون بمقارفة المعاصي وانتهاك الحرمات قد يقع منهم ذلك ، فهذا مع أنّه لا يختص بعوام الشيعة بل لعلّه في غيرهم أكثر ، ولكن لا يصحّ أن يسمّى هذا تحليلا ، إذ التحليل ما يستند إلى فتوى علماء المذهب لا ما يرتكبه عصاتهم وفسّاقهم ، وهذا النحو من المتعة عند علماء الشيعة من الزنا المحض الذي يجب فيه الحدّ ولا يلحق الولد بواحد ، كيف وقد قال سيد البشر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الولد للفراش وللعاهر الحجر </w:t>
      </w:r>
      <w:r>
        <w:rPr>
          <w:rFonts w:eastAsia="Amiri" w:cs="Amiri" w:ascii="Amiri" w:hAnsi="Amiri"/>
          <w:color w:val="111111"/>
          <w:sz w:val="28"/>
          <w:szCs w:val="28"/>
          <w:rtl w:val="true"/>
          <w:lang w:bidi="ar-SA"/>
        </w:rPr>
        <w:t xml:space="preserve">».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 xml:space="preserve">قال العلاّمة الأميني ـ ردّا على صاحب المنار الذي نسب المتعة الدورية إلى الشيعة ـ ما هذا لفظه </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نسبة المتعة الدوريّة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الفاحشة المبيّنة إلى الشيعة إفك عظيم تقشعرّ منه الجلود ، وتكفهرّ منه الوجوه ، وتشمئزّ منه الأفئدة ، وكان الأحرى بالرّجل حين أفك أن يتّخذ له مصدرا من كتب الشيعة ولو سوادا على بياض من أيّ ساقط منهم ، بل نتنازل معه إلى كتاب من كتب قومه يسند ذلك إلى الشيعة ، أو سماع عن أحد لهج به ، أو وقوف منه على عمل ارتكبه أناس ولو من أوباش الشيعة وأفنائهم ، لكنّ المقام قد أعوزه عن كلّ ذلك ، لأنّه أوّل صارخ بهذا الإفك الشائن ، ومنه أخذ القصيمي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الصراع بين الإسلام والوثنيّة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Style w:val="FootnoteAnchor"/>
          <w:rtl w:val="true"/>
        </w:rPr>
        <w:footnoteReference w:id="1041"/>
      </w:r>
      <w:bookmarkStart w:id="1042" w:name="pg10144_71740"/>
    </w:p>
    <w:p>
      <w:pPr>
        <w:pStyle w:val="Heading5"/>
        <w:numPr>
          <w:ilvl w:val="4"/>
          <w:numId w:val="1"/>
        </w:numPr>
        <w:rPr/>
      </w:pPr>
      <w:bookmarkStart w:id="1043" w:name="__RefHeading___Toc1166149_1067777946"/>
      <w:bookmarkStart w:id="1044" w:name="_Toc382"/>
      <w:bookmarkEnd w:id="1042"/>
      <w:bookmarkEnd w:id="1043"/>
      <w:r>
        <w:rPr>
          <w:rtl w:val="true"/>
        </w:rPr>
        <w:t>الشبهة العاشرة</w:t>
      </w:r>
      <w:bookmarkEnd w:id="1044"/>
    </w:p>
    <w:p>
      <w:pPr>
        <w:pStyle w:val="BookText"/>
        <w:rPr/>
      </w:pPr>
      <w:r>
        <w:rPr>
          <w:rFonts w:ascii="Amiri" w:hAnsi="Amiri" w:eastAsia="Amiri" w:cs="Amiri"/>
          <w:color w:val="111111"/>
          <w:sz w:val="28"/>
          <w:sz w:val="28"/>
          <w:szCs w:val="28"/>
          <w:rtl w:val="true"/>
          <w:lang w:bidi="ar-SA"/>
        </w:rPr>
        <w:t>تحاشي الأشراف من تعاطيها</w:t>
      </w:r>
    </w:p>
    <w:p>
      <w:pPr>
        <w:pStyle w:val="BookText"/>
        <w:rPr/>
      </w:pPr>
      <w:r>
        <w:rPr>
          <w:rFonts w:ascii="Amiri" w:hAnsi="Amiri" w:eastAsia="Amiri" w:cs="Amiri"/>
          <w:color w:val="111111"/>
          <w:sz w:val="28"/>
          <w:sz w:val="28"/>
          <w:szCs w:val="28"/>
          <w:rtl w:val="true"/>
          <w:lang w:bidi="ar-SA"/>
        </w:rPr>
        <w:t xml:space="preserve">وهناك من يجعل تحاشي الأشراف دليلا على عدم الحلية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المتعة حلالا فلما ذا نرى أنّ أشراف الشيعة وأعيانهم يتحاشون من تعاطيها بينهم ، فلم يسمع من يقول حضرنا تمتّع السيد الفلاني أو الفاضل الفلاني بالآنسة بنت السيد الفلاني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حضرنا عقد نكاح الفاضل الفلاني بآنسة الفاضل ، بل أكثر جريانها وتعاطيها في الساقطات والسافلات ، فهل ذلك إلاّ لقضاء الوطر وإن حصل منه النسل قهرا؟</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الشبهة ممّا تضحك منها الثكلى ، كيف يعد التحاشي دليلا على الحرمة والإقبال دليلا على الحلية ، فإنّ الطلاق أمر مشروع لكن يتحاشى منه الأشراف غالبا ، فهل يمكن أن يستدلّ بتحاشيهم على حرمته؟</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القائل بادر إلى طرح هذه الشبهة نتيجة استفلاسه عن دحض أدلّة الزواج المؤقت بحجج دامغة ، فالتجأ إلى هذه الشبهة غافلا عن أنّ النكاح المؤقت كما مرّ في المقدمة دواء لمقطع زمني خاص وليس هو السبيل الأمثل ، وانّ المتمتع إنّما يتمسك بأهداب المتعة حين الاضطرار وعدم مقدرته على الزواج الدائم ، ولهذا السبب لا يعقد له النوادي ولا الحفلات ولا تبعث له التبريكات ، يقول </w:t>
      </w:r>
    </w:p>
    <w:p>
      <w:pPr>
        <w:pStyle w:val="BookText"/>
        <w:rPr/>
      </w:pPr>
      <w:r>
        <w:rPr>
          <w:rFonts w:ascii="Amiri" w:hAnsi="Amiri" w:eastAsia="Amiri" w:cs="Amiri"/>
          <w:color w:val="111111"/>
          <w:sz w:val="28"/>
          <w:sz w:val="28"/>
          <w:szCs w:val="28"/>
          <w:rtl w:val="true"/>
          <w:lang w:bidi="ar-SA"/>
        </w:rPr>
        <w:t xml:space="preserve">العلاّمة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تحاشي أشراف الشيعة وسراتهم من تعاطيها فهو عفّة وترفّع واستغناء واكتفاء بما أحلّ الله لهم من تعدّد الزوجات الدائمة مثنى وثلاث ورباع ، فإن أرادوا الزيادة على ذلك جاز لهم التمتع بأكثر من ذلك كما يفعله بعض أهل الثروة والبذخ من رؤساء القبائل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فإنّ تحاشي الأشراف والسراة لا يدلّ على الكراهة الشرعية فضلا عن عدم المشروعية ، ألا ترى أنّ الصحابة والتابعين ـ رضوان الله عليهم ـ كانوا كثيرا ما يتسرون بالإماء ويتمتعون بملك اليمين ويلدن لهم الأولاد الأفاضل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اليوم فالأشراف يأنفون من ذلك مع أنّه حلال بنص القرآن العزيز</w:t>
      </w:r>
      <w:r>
        <w:rPr>
          <w:rFonts w:eastAsia="Amiri" w:cs="Amiri" w:ascii="Amiri" w:hAnsi="Amiri"/>
          <w:color w:val="111111"/>
          <w:sz w:val="28"/>
          <w:szCs w:val="28"/>
          <w:rtl w:val="true"/>
          <w:lang w:bidi="ar-SA"/>
        </w:rPr>
        <w:t xml:space="preserve">. </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 xml:space="preserve">هذه هي المتعة وهذه هي حقيقتها ودلائلها الساطعة من الكتاب والسنّة وسيرة الصحابة بعد رحيل النبي ، وهذه شبهاتها الواهية وأجوبتها الواضحة ، وعندئذ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هذا النكير والنفير ، والنبز والتعيير على الشيعة في أمر المتعة يا فقهاء الإسلام ويا حملة الأحكام</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كما يقوله المصلح الكبير الشيخ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 المسلمين عملوا بها على أصولها الصحيحة من العقد ، والعدة ، والضبط ، وحفظ النسل منها ، لانسدت بيوت المواخير وأوصدت أبواب الزنا والعهار ، ولارتفعت أو قلت ويلات هذا الشر على البشر ، ولأصبح الكثير من تلك المومسات المتهتكات ، مصونات محصنات ، ولتضاعف النسل وكثرت المواليد الطاهرة ، واستراح الناس </w:t>
      </w:r>
    </w:p>
    <w:p>
      <w:pPr>
        <w:pStyle w:val="BookText"/>
        <w:rPr/>
      </w:pPr>
      <w:r>
        <w:rPr>
          <w:rFonts w:ascii="Amiri" w:hAnsi="Amiri" w:eastAsia="Amiri" w:cs="Amiri"/>
          <w:color w:val="111111"/>
          <w:sz w:val="28"/>
          <w:sz w:val="28"/>
          <w:szCs w:val="28"/>
          <w:rtl w:val="true"/>
          <w:lang w:bidi="ar-SA"/>
        </w:rPr>
        <w:t>من اللقيط والنبيذ ، وانتشرت صيانة الأخلاق وطهارة الأعراق إلى كثير من الفوائد والمنافع التي لا تعد ولا تحصى</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ولله در عالم بني هاشم وحبر الأمة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كلمته الخالدة الشهيرة التي رواها ابن الأثير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والزمخشري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المتعة إلاّ رحمة رحم الله بها أمّة محمد ولو لا نهيه عنها ما زنا إلاّ شقي ، وقد أخذها من عين صافية من أستاذه ومعلّمه ومربّيه أمير المؤمنين ، وفي الحق أنّها رحمة واسعة ، وبركة عظيمة ولكن المسلمون فوّتوها على أنفسهم وحرموا من ثمراتها وخيراتها ووقع الكثير في حمأة الخنا والفساد والعار والنار والخزي والبوار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أَتَسْتَبْدِلُونَ الَّذِي هُوَ أَدْنى بِالَّذِي هُوَ خَيْرٌ </w:t>
      </w:r>
      <w:r>
        <w:rPr>
          <w:rFonts w:eastAsia="Amiri" w:cs="Amiri" w:ascii="Amiri" w:hAnsi="Amiri"/>
          <w:color w:val="111111"/>
          <w:sz w:val="28"/>
          <w:szCs w:val="28"/>
          <w:rtl w:val="true"/>
          <w:lang w:bidi="ar-SA"/>
        </w:rPr>
        <w:t xml:space="preserve">). </w:t>
      </w:r>
      <w:r>
        <w:rPr>
          <w:rStyle w:val="FootnoteAnchor"/>
          <w:rtl w:val="true"/>
        </w:rPr>
        <w:footnoteReference w:id="1043"/>
      </w:r>
      <w:bookmarkStart w:id="1045" w:name="pg10144_71743"/>
    </w:p>
    <w:p>
      <w:pPr>
        <w:pStyle w:val="Heading4"/>
        <w:numPr>
          <w:ilvl w:val="3"/>
          <w:numId w:val="1"/>
        </w:numPr>
        <w:rPr/>
      </w:pPr>
      <w:bookmarkStart w:id="1046" w:name="__RefHeading___Toc1166151_1067777946"/>
      <w:bookmarkStart w:id="1047" w:name="_Toc383"/>
      <w:bookmarkEnd w:id="1045"/>
      <w:bookmarkEnd w:id="1046"/>
      <w:r>
        <w:rPr>
          <w:rtl w:val="true"/>
        </w:rPr>
        <w:t>خاتمة المطاف</w:t>
      </w:r>
      <w:bookmarkEnd w:id="1047"/>
    </w:p>
    <w:p>
      <w:pPr>
        <w:pStyle w:val="BookText"/>
        <w:rPr/>
      </w:pPr>
      <w:r>
        <w:rPr>
          <w:rFonts w:ascii="Amiri" w:hAnsi="Amiri" w:eastAsia="Amiri" w:cs="Amiri"/>
          <w:color w:val="111111"/>
          <w:sz w:val="28"/>
          <w:sz w:val="28"/>
          <w:szCs w:val="28"/>
          <w:rtl w:val="true"/>
          <w:lang w:bidi="ar-SA"/>
        </w:rPr>
        <w:t>لا يخفى انّ كلّ هذا الضجيج الذي أثير حول النكاح المؤقت ما ظهر إلاّ لتبرير عمل الخليفة الثاني الذي حرم ما نص على حلّيته الذكر الحكيم والسنّة النبوية وسيرة الصحابة وقضاء الفطرة الإنسانية ، فلم يجدوا بدّا إلاّ القول بمنسوخية التشريع في حياة الرسول وجاء عمل الخليفة الثاني كتعزيز وتأكيد لقول النبي صلى الله عليه وآله وسلم ، غير انّ هذا التبرير لا يعضده التأريخ ويزيّفه قول الخليفة نفسه ، فإنّه نسب صراحة التحريم إلى نفسه ، وقد مرّ نصّه وذلك بعد ما وقف على قضية عمرو بن حريث وانّه تمتع ، فثارت ثورته من العمل المذكور فقال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وأجود ما يقال في تبرير عمل الخليفة أنّ تحريمه انطلق من مصلحة زمنية في نظره دعته إلى تحريمها والكيد بفاعلها</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ذكرناه من التوجيه هو الذي مال إليه الشيخ كاشف الغطاء ـ رضوان الله عليه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أردنا أن نسير على ضوء الحقائق ، ونعطي المسألة حقّها من التمحيص والبحث عن سرّ ذلك الارتباك وبذرته الأولى ـ التي نمت وتأثلت ـ لا نجد حلا لتلك العقدة إلاّ أنّ الخليفة قد اجتهد برأيه لمصلحة رآها بنظره للمسلمين في زمانه وأيامه ، اقتضت أن يمنع من استعمال المتعة منعا مدنيا لا دينيا ، لمصلحة زمنية ، ومنفعة وقتية ، ولذا تواتر النقل عنه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متعتان كانتا على عهد رسول الله وأنا أحرّمهما وأعاقب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انّ رسول الله صلى الله عليه وآله وسلم </w:t>
      </w:r>
    </w:p>
    <w:p>
      <w:pPr>
        <w:pStyle w:val="BookText"/>
        <w:rPr/>
      </w:pPr>
      <w:r>
        <w:rPr>
          <w:rFonts w:ascii="Amiri" w:hAnsi="Amiri" w:eastAsia="Amiri" w:cs="Amiri"/>
          <w:color w:val="111111"/>
          <w:sz w:val="28"/>
          <w:sz w:val="28"/>
          <w:szCs w:val="28"/>
          <w:rtl w:val="true"/>
          <w:lang w:bidi="ar-SA"/>
        </w:rPr>
        <w:t>حرّمهما أو نسخهما ، بل نسب التحريم إلى نفسه وجعل العقاب عليها منه لا من الله سبحانه</w:t>
      </w:r>
      <w:r>
        <w:rPr>
          <w:rFonts w:eastAsia="Amiri" w:cs="Amiri" w:ascii="Amiri" w:hAnsi="Amiri"/>
          <w:color w:val="111111"/>
          <w:sz w:val="28"/>
          <w:szCs w:val="28"/>
          <w:rtl w:val="true"/>
          <w:lang w:bidi="ar-SA"/>
        </w:rPr>
        <w:t xml:space="preserve">. </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 xml:space="preserve">ولو انّ مخالفي النكاح المؤقت اعتمدوا على التوجيه الذي بذله الشيخ كاشف الغطاء ، لانصاعوا لأدلّة النكاح المؤقت الدامغة ، وبما انّ تحريم الخليفة كان تحريما مؤقتا نابعا من مصلحة زمنية ، فإذا ارتفع المانع عاد المقتضي ، حينها يأخذ النكاح المؤقت مكانته في التشريع الإسلامي ولحل محلّ المحرم ولصلحت الأمة الإسلامية في حاضرها ومستقبلها ، وبذلك يتجسّد القول الخالد لأمير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لا النهي عن المتعة لما زنا إلاّ شقي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تَقُولُوا لِما تَصِفُ أَلْسِنَتُكُمُ الْكَذِبَ هذا</w:t>
      </w:r>
    </w:p>
    <w:p>
      <w:pPr>
        <w:pStyle w:val="BookText"/>
        <w:rPr/>
      </w:pPr>
      <w:r>
        <w:rPr>
          <w:rFonts w:ascii="Amiri" w:hAnsi="Amiri" w:eastAsia="Amiri" w:cs="Amiri"/>
          <w:color w:val="111111"/>
          <w:sz w:val="28"/>
          <w:sz w:val="28"/>
          <w:szCs w:val="28"/>
          <w:rtl w:val="true"/>
          <w:lang w:bidi="ar-SA"/>
        </w:rPr>
        <w:t>حَلالٌ وَهذا حَرامٌ لِتَفْتَرُوا عَلَى اللهِ الْكَذِبَ إِنَّ</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يَفْتَرُونَ عَلَى اللهِ الْكَذِبَ لا يُفْلِحُونَ </w:t>
      </w:r>
      <w:r>
        <w:rPr>
          <w:rFonts w:eastAsia="Amiri" w:cs="Amiri" w:ascii="Amiri" w:hAnsi="Amiri"/>
          <w:color w:val="111111"/>
          <w:sz w:val="28"/>
          <w:szCs w:val="28"/>
          <w:rtl w:val="true"/>
          <w:lang w:bidi="ar-SA"/>
        </w:rPr>
        <w:t xml:space="preserve">). </w:t>
      </w:r>
      <w:r>
        <w:rPr>
          <w:rStyle w:val="FootnoteAnchor"/>
          <w:rtl w:val="true"/>
        </w:rPr>
        <w:footnoteReference w:id="1045"/>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8" w:name="pg10144_71746"/>
      <w:bookmarkStart w:id="1049" w:name="pg10144_71746"/>
      <w:bookmarkEnd w:id="1049"/>
    </w:p>
    <w:p>
      <w:pPr>
        <w:pStyle w:val="Heading2"/>
        <w:numPr>
          <w:ilvl w:val="1"/>
          <w:numId w:val="1"/>
        </w:numPr>
        <w:rPr/>
      </w:pPr>
      <w:bookmarkStart w:id="1050" w:name="pg10144_71746"/>
      <w:bookmarkStart w:id="1051" w:name="__RefHeading___Toc1166153_1067777946"/>
      <w:bookmarkStart w:id="1052" w:name="_Toc384"/>
      <w:bookmarkEnd w:id="1050"/>
      <w:bookmarkEnd w:id="1051"/>
      <w:r>
        <w:rPr>
          <w:rtl w:val="true"/>
        </w:rPr>
        <w:t>الفهارس</w:t>
      </w:r>
      <w:bookmarkEnd w:id="1052"/>
    </w:p>
    <w:p>
      <w:pPr>
        <w:pStyle w:val="Heading3"/>
        <w:numPr>
          <w:ilvl w:val="2"/>
          <w:numId w:val="1"/>
        </w:numPr>
        <w:rPr/>
      </w:pPr>
      <w:bookmarkStart w:id="1053" w:name="__RefHeading___Toc1166155_1067777946"/>
      <w:bookmarkStart w:id="1054" w:name="_Toc385"/>
      <w:bookmarkEnd w:id="1053"/>
      <w:r>
        <w:rPr>
          <w:rtl w:val="true"/>
        </w:rPr>
        <w:t>اشارة</w:t>
      </w:r>
      <w:bookmarkEnd w:id="10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المصادر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المحتويات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5" w:name="pg10144_71748"/>
      <w:bookmarkStart w:id="1056" w:name="pg10144_71748"/>
      <w:bookmarkEnd w:id="1056"/>
    </w:p>
    <w:p>
      <w:pPr>
        <w:pStyle w:val="Heading3"/>
        <w:numPr>
          <w:ilvl w:val="2"/>
          <w:numId w:val="1"/>
        </w:numPr>
        <w:rPr/>
      </w:pPr>
      <w:bookmarkStart w:id="1057" w:name="pg10144_71748"/>
      <w:bookmarkStart w:id="1058" w:name="__RefHeading___Toc1166157_1067777946"/>
      <w:bookmarkStart w:id="1059" w:name="_Toc386"/>
      <w:bookmarkEnd w:id="1057"/>
      <w:bookmarkEnd w:id="1058"/>
      <w:r>
        <w:rPr>
          <w:rtl w:val="true"/>
        </w:rPr>
        <w:t>فهرس المصادر</w:t>
      </w:r>
      <w:bookmarkEnd w:id="1059"/>
    </w:p>
    <w:p>
      <w:pPr>
        <w:pStyle w:val="BookText"/>
        <w:rPr/>
      </w:pPr>
      <w:r>
        <w:rPr>
          <w:rFonts w:ascii="Amiri" w:hAnsi="Amiri" w:eastAsia="Amiri" w:cs="Amiri"/>
          <w:color w:val="111111"/>
          <w:sz w:val="28"/>
          <w:sz w:val="28"/>
          <w:szCs w:val="28"/>
          <w:rtl w:val="true"/>
          <w:lang w:bidi="ar-SA"/>
        </w:rPr>
        <w:t>نبدأ تبرّكاً بالقرآن الكريم</w:t>
      </w:r>
    </w:p>
    <w:p>
      <w:pPr>
        <w:pStyle w:val="BookText"/>
        <w:rPr/>
      </w:pPr>
      <w:r>
        <w:rPr>
          <w:rFonts w:ascii="IRNazanin" w:hAnsi="IRNazanin" w:eastAsia="IRNazanin"/>
          <w:color w:val="111111"/>
          <w:sz w:val="28"/>
          <w:sz w:val="28"/>
          <w:szCs w:val="28"/>
          <w:rtl w:val="true"/>
          <w:lang w:bidi="fa-IR"/>
        </w:rPr>
        <w:t>حرف الألف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الرازي الجصّاص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 بيروت ـ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الإحكام في أُصول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حزم الأندلسي الظاهري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 بيروت ـ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اخبار اصبهان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الأصفهاني 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جهان ،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الأذكياء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بن علي 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السادس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القرآن ، القاهرة ،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الساري لشرح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القسطلاني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الأرض والتربة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حسين آل كاشف الغطاء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p>
    <w:p>
      <w:pPr>
        <w:pStyle w:val="BookText"/>
        <w:rPr/>
      </w:pP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المجمع العالمي لأهل البيت عليهم السلام ، قم المقدسة ـ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علي بن أبي 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إسلامنا في التوفيق بين السنّة والشيعة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الرافعي ، مؤسسة الأعلمي ، بيروت ـ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أسماء الصحابة والرواة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حزم الأندلسي الظاهري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بيروت ـ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أحمد بن علي العسقلاني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أصل الشيعة وأُصولها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حسين آل كاشف الغطاء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علي ، قم المقدسة ـ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الاعتصام بالكتاب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السبحاني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تولد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عليه السلام ، قم المقدسةـ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علي بن الحسين الموسوي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المطبعة الحيدرية ، النجف الأشرف ـ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أنوار التنزيل وأسرار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بتفسير البيضاوي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عمر بن محمد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بيروت ـ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الباء</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المتوفّـى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 بيروت ـ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بداية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رشد القرطبي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 بيروت ـ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الدمشقي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بيروت ـ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السبحاني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تولّد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عليه السلام ، قم المقدسة ـ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والتبيين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عثمان عمرو بن بحر الجاحظ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التاء</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العروس من جواهر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مرتضى الحسيني الزبيدي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الهداية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الخطيب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السلفية ، المدينة المنورة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إبراهيم الجعفي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المذاهب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العربي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تحرير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عليه السلام ، قم المقدسة ـ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الذهبي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قم المقدسة ـ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كثير الدمشقي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 بيروت ـ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الخازن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 التأويل في معاني التنزيل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إبراهيم البغدادي الشهير بالخازن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بيروت ـ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بن محمد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الثالث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المكتبة الإسلامية ،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غرائب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تفسير 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النيشابوري الحسن بن محمد بن حسين القمي ، دار المعرفة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الثالث والرابع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الكتاب ، قم ـ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رشيد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المنار ، مصر ـ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النهر الماد من البحر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حيان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الكتب الثقافية ودار الجنان ، بيروت ـ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w:t>
      </w:r>
    </w:p>
    <w:p>
      <w:pPr>
        <w:pStyle w:val="BookText"/>
        <w:rPr/>
      </w:pPr>
      <w:r>
        <w:rPr>
          <w:rFonts w:ascii="IRNazanin" w:hAnsi="IRNazanin" w:eastAsia="IRNazanin"/>
          <w:color w:val="111111"/>
          <w:sz w:val="28"/>
          <w:sz w:val="28"/>
          <w:szCs w:val="28"/>
          <w:rtl w:val="true"/>
          <w:lang w:bidi="fa-IR"/>
        </w:rPr>
        <w:t xml:space="preserve">طهران ـ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الأسماء واللغات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زكريا محيى الدين بن شرف النووي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 بيروت ـ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بيروت ـ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الكمال في أسماء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المزي أبو الحجاج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 بيروت ـ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الثاء</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حبّان التميمي البستي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العثمانية حيدر آباد الدكن ، الهند ـ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الصدوق ،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الجيم</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أحاديث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المعزّي الملايري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إشراف السيد حسين الطباطبائي البروجردي قدس سره ، قم المقدسة ـ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الجزري المبارك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 بيروت ـ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أحمد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بيروت ـ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 المسانيد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محمود الخوارزمي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 بيروت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حاتم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بيروت ـ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الجمع بين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فتوح 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حزم ودار الصميعي ، بيروت والرياض ـ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جمع الفوائد من جامع الأُصول ومجمع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سليمان المغربي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حسن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بيروت ـ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الحاء</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الحدائق الناظرة في أحكام 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البحراني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 قم المشرفة ـ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أحمد بن عبد اللّه الاصبهاني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 بيروت ـ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العلماء في معرفة مذهب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الشاشي القفّال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الرسالة الحديثة ، المملكة الأردنية الهاشمية ـ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الخاء</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الخصائص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أحمد بن شعيب النسائي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محمدباقر المحمودي ، قم المقدسة ـ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 قم ـ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الخطط المقريزية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المقريزي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 قم المشرفة ـ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الدال</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السيوطي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بيروت ـ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الراء</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رحمة الأُمّة في اختلاف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الرحمن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الثامن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بيروت ـ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علي بن الحسين الموسوي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القرآن الكريم ، قم المقدسة ـ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مختصرة في السدل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مبارك ، الإمارات العربية المتحدة ـ</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روح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محمود البغدادي الآلوسي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 الجنان في شرح إرشاد الأذهان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 الطبعة الحجرية ،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أحمد الشهير بالمحب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 بيروت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حرف الزاء</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زاد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قيّم الجوزية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الزواج المؤقت عند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شهلا حائري ، ترجمة فادي حمود ، شركة المطبوعات للتوزيع والنشر ، بيروت ـ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السين</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سبل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الصنعاني محمد بن إسماعيل الكحلاني المعروف بالأمير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بيروت ـ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السجود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علي الأحمدي ، مؤسسة في طريق الحق ،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ماجة محمد بن يزيد القزويني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سليمان بن الأشعث السجستاني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بن سورة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الدار 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عمر الدار 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ـ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السنّة النبوية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 بيروت ـ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أحمد بن شعيب النسائي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بيروت ـ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السنّة والشيعة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رشيد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 بيروت ـ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سيرتنا وسنتنا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عبد الحسين الأميني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 ،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برهان الدين الحلبي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عبد الملك بن أيوب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التراث العربي ،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الشين</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عماد الحنبلي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بيروت ـ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جعفر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عبد الحسين محمد علي ، النجف الأشرف ـ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الدين القوشجي ، طبعة حجر ، تبريز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النووي أبو زكريا محيي الدين بن 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 بيروت ـ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 القاهرة ـ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شعب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أبو بكر أحمد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 بيروت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حرف الصاد</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إسحاق بن خزيمة النيسابوري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ـ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عبد الحميد أحمد حنفي ، مصر ـ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الحجاج القشيري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الطاء</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الرحمن السيوطي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بيروت ـ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 بيروت ـ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العين</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كاظم الطباطبائي اليزدي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طهران ـ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العزيز شرح الوجيز المعروف بالشرح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محمد الرافعي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بيروت ـ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 بيروت ـ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عمدة القاري في شرح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أحمد العيني الحنفي ، طبع مصر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عون المعبود في شرح 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شمس الحق العظيم آبادي ، تحقيق عبد الرحمن محمد عثمان ، دار الفكر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 بيروت ـ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الغين</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عبد الحسين أحمد الأميني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 بيروت ـ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غرر الحكم ودرر الكلم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الآمدي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القرن الخامس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 بيروت ـ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الفاء</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حجر العسقلاني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أمين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 الكتاب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الفقه الإسلامي وأدلّته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وهبة الزحيلي ، دار الفكر ، دمشق ـ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الشيعة الإمامية ومواضع الخلاف بينه وبين المذاهب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السالوس ، مكتبة ابن تيمية ، الكويت ـ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الفقه على المذاهب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الجزيري ، دار إحياء التراث العربي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الفقه على المذاهب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مغنية ، دار العلم للملايين ، بيروت ـ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سعيد بن هبة اللّه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مكتبة المرعشي النجفي ، قم المقدسة ـ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الفلسفة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محمود العقاد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الكاف</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طهران ـ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محمد بن محمد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عمر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مصطفى البابي الحلبي ، القاهرة ـ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 بيروت ـ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اللام</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منظور محمد بن 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ـ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حجر العسقلاني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الميم</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السرخسي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 بيروت ـ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الحسن الطبرسي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 بيروت ـ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بكر الهيثمي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 بيروت ـ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المجموع شرح المهذب للشيرازي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زكريا محيي الدين بن شرف النووي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الإرشاد ، جدّة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 ،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محاسن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القاسمي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بيروت ـ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المحاضرات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الراغب الاصفهاني حسين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حدود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 قم المقدسة ـ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حزم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الآفاق الجديدة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المراجعات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عبدالحسين شرف الدين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أُسوة التابعة لمنظمة الأوقاف ، قم ـ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مسائل 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شرف الدين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منظمة الأعلام الإسلامي ، طهران ـ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المعرفة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النوري الحسين بن محمد تقي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مؤسسة آل البيت عليهم السلام ، قم المقدسة ـ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عمرو 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إدريس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داود البصري الشهير بأبي داود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علي المقري الفيّومي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ـ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بيروت ـ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بن همام الصنعاني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حبيب الرحمن الأعظمي ، دار الكتب السلفية ،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القرآن وإعرابه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السري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 بيروت ـ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سليمان بن أحمد بن أيوب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بيروت ـ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سليمان بن أحمد الطبراني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بيروت ـ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قدامة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الإمام ،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مغني اللبيب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عبد اللّه بن يوسف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ـ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مفاتيح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 الخطيب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الاصفهاني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منتخب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هامش مسند أحمد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المتقي الهندي ،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منتهى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 مشهد ، إيران ـ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الموسوعة العربية العالمية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اعمال الموسوعة للنشر والتوزيع ، الرياض ، المملكة العربية السعودية ـ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الموسوعة الفقهية الكويتية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الأوقاف والشؤون الإسلامية ، الكويت ـ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الآفاق الجديدة ، بيروت ـ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الميزان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الطباطبائي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 بيروت ـ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النون</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النص والاجتهاد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عبد الحسين شرف الدين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الثقافي لمنتدى النشر ، النجف الأشرف ـ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نظام النكاح في الشريعة الإسلامية الغرّاء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السبحاني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تولّد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عليه السلام ، قم المقدسة ـ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في 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الجزري مبارك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 قم المقدسة ـ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علي بن جمعة العروسي الحويزي ، مؤسسة إسماعيليان ، قم ـ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نيل الأوطار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محمد الشوكاني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الهاء</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الهداية في شرح 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بكر المرغيناني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الواو</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محمد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بيروت ـ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الياء</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اليواقيت والجواهر في عقائد الأكابر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الشعراني ، مكتبة ومطبعة مصطفى البابي الحلبي وأولاده ، مصر ـ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bookmarkStart w:id="1060" w:name="pg10144_71764"/>
    </w:p>
    <w:p>
      <w:pPr>
        <w:pStyle w:val="Heading3"/>
        <w:numPr>
          <w:ilvl w:val="2"/>
          <w:numId w:val="1"/>
        </w:numPr>
        <w:rPr/>
      </w:pPr>
      <w:bookmarkStart w:id="1061" w:name="__RefHeading___Toc1166159_1067777946"/>
      <w:bookmarkStart w:id="1062" w:name="_Toc387"/>
      <w:bookmarkEnd w:id="1060"/>
      <w:bookmarkEnd w:id="1061"/>
      <w:r>
        <w:rPr>
          <w:rtl w:val="true"/>
        </w:rPr>
        <w:t>فهرس المحتويات</w:t>
      </w:r>
      <w:bookmarkEnd w:id="1062"/>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الوضوء في الكتاب والسنة</w:t>
      </w:r>
    </w:p>
    <w:p>
      <w:pPr>
        <w:pStyle w:val="BookText"/>
        <w:rPr/>
      </w:pPr>
      <w:r>
        <w:rPr>
          <w:rFonts w:ascii="Amiri" w:hAnsi="Amiri" w:eastAsia="Amiri" w:cs="Amiri"/>
          <w:color w:val="111111"/>
          <w:sz w:val="28"/>
          <w:sz w:val="28"/>
          <w:szCs w:val="28"/>
          <w:rtl w:val="true"/>
          <w:lang w:bidi="ar-SA"/>
        </w:rPr>
        <w:t>آية الوضوء آية محكمة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بداية الاختلاف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القرآن هو المهيمن والمرجع الوحيد عند اختلاف الآثار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سورة المائدة آخر سورة نزلت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مصدر الاختلاف في كيفية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اختلاف القراءة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التمسّك بروايات الغسل المنسوخة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إشاعة الغسل من قبل السلطة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ما هو العامل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القراءتان والمسح على الأرجل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القراءتان وغسل الأرجل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الغسل وقراءة النصب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الغسل وقراءة الجر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الجر بالجوار صحة وشرطا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الاجتهاد تجاه النص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الغسل يشمل المسح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نسخ السنّة للكتاب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التنبيه على وجوب الاقتصاد في صب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سهولة غسل الرجلين دون الشعر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اتّباع السلف في 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التحديد آية 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المرجع هو السنّة بعد تعارض القراءتين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الغسل إضافة من النبي صلى الله عليه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التمسّك بالمصالح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اعتراض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الترتب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المسح على الأرجل في الأحاديث الصحيحة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ما روي عن رسول الله صلى الله عليه وآله وسلم حول مسح الأرجل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ما حكي عن الصحابة والتابعين حول مسح الأرجل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التجاهل لروايات المسح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أسماء أعلام الصحابة والتابعين القائلين بالمسح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تأمّلات واهية في أخبار المسح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عثرة لا تقال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وضوء النبي صلى الله عليه وآله وسلم عن لسان أئمّة أهل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نظرة عامّة في أخبار 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معالجة روايات 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 بالقرآن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إشاعة الغسل بعد نزول القرآن من قبل السلطة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خاتمة المطاف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حصحص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إكمال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الوضوء وكيفية غسل الأيدي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المسح على الخفّين</w:t>
      </w:r>
    </w:p>
    <w:p>
      <w:pPr>
        <w:pStyle w:val="BookText"/>
        <w:rPr/>
      </w:pPr>
      <w:r>
        <w:rPr>
          <w:rFonts w:ascii="Amiri" w:hAnsi="Amiri" w:eastAsia="Amiri" w:cs="Amiri"/>
          <w:color w:val="111111"/>
          <w:sz w:val="28"/>
          <w:sz w:val="28"/>
          <w:szCs w:val="28"/>
          <w:rtl w:val="true"/>
          <w:lang w:bidi="ar-SA"/>
        </w:rPr>
        <w:t>اختيارا</w:t>
      </w:r>
    </w:p>
    <w:p>
      <w:pPr>
        <w:pStyle w:val="BookText"/>
        <w:rPr/>
      </w:pPr>
      <w:r>
        <w:rPr>
          <w:rFonts w:ascii="Amiri" w:hAnsi="Amiri" w:eastAsia="Amiri" w:cs="Amiri"/>
          <w:color w:val="111111"/>
          <w:sz w:val="28"/>
          <w:sz w:val="28"/>
          <w:szCs w:val="28"/>
          <w:rtl w:val="true"/>
          <w:lang w:bidi="ar-SA"/>
        </w:rPr>
        <w:t>في الحضر والسفر</w:t>
      </w:r>
    </w:p>
    <w:p>
      <w:pPr>
        <w:pStyle w:val="BookText"/>
        <w:rPr/>
      </w:pPr>
      <w:r>
        <w:rPr>
          <w:rFonts w:ascii="Amiri" w:hAnsi="Amiri" w:eastAsia="Amiri" w:cs="Amiri"/>
          <w:color w:val="111111"/>
          <w:sz w:val="28"/>
          <w:sz w:val="28"/>
          <w:szCs w:val="28"/>
          <w:rtl w:val="true"/>
          <w:lang w:bidi="ar-SA"/>
        </w:rPr>
        <w:t>حكم المسح على الخفين في حال الاختيار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 بالكتاب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 بالسنّة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إجماع أئمة أهل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ما يدعم القول بعدم جواز المسح على الخفين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أدلّة القائلين بجواز المسح على الخفين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جرير بن عبد الله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المغيرة بن شعبة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سائر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تساؤلات حول مسألة المسح على الخفّين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فروع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تشريع الأذان و التثويب في أذان الفجر</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أُمور</w:t>
      </w:r>
    </w:p>
    <w:p>
      <w:pPr>
        <w:pStyle w:val="BookText"/>
        <w:rPr/>
      </w:pPr>
      <w:r>
        <w:rPr>
          <w:rFonts w:ascii="Amiri" w:hAnsi="Amiri" w:eastAsia="Amiri" w:cs="Amiri"/>
          <w:color w:val="111111"/>
          <w:sz w:val="28"/>
          <w:sz w:val="28"/>
          <w:szCs w:val="28"/>
          <w:rtl w:val="true"/>
          <w:lang w:bidi="ar-SA"/>
        </w:rPr>
        <w:t>الأذان لغة وشرعا ومكانة المؤذن عند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منزلة الأذان في التشريع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تاريخ تشريع الأذان في أحاديث أهل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كيفيّة تشريع الأذان عند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استعراض ما روي في كيفية تشريع الأذان في السنن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تحليل مضمون الروايات بوجوه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تتّفق هذه الروايات مع مقام 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متعارضة جوهرا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الرائي كان أربعة عشر شخصا لا واحدا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بين نقل البخاري وغيره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مناقشة الأسانيد والروايات في الكتب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روايات الأذان في غير الكتب الستّة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التثويب في الأذان</w:t>
      </w:r>
    </w:p>
    <w:p>
      <w:pPr>
        <w:pStyle w:val="BookText"/>
        <w:rPr/>
      </w:pPr>
      <w:r>
        <w:rPr>
          <w:rFonts w:ascii="Amiri" w:hAnsi="Amiri" w:eastAsia="Amiri" w:cs="Amiri"/>
          <w:color w:val="111111"/>
          <w:sz w:val="28"/>
          <w:sz w:val="28"/>
          <w:szCs w:val="28"/>
          <w:rtl w:val="true"/>
          <w:lang w:bidi="ar-SA"/>
        </w:rPr>
        <w:t>دراسة تاريخ دخول التثويب في أذان صلاة 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كلمات الأعلام في التثويب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خاتمة المطاف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تلو بدعة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حذف الحيعلة من الأذان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القبض</w:t>
      </w:r>
    </w:p>
    <w:p>
      <w:pPr>
        <w:pStyle w:val="BookText"/>
        <w:rPr/>
      </w:pPr>
      <w:r>
        <w:rPr>
          <w:rFonts w:ascii="Amiri" w:hAnsi="Amiri" w:eastAsia="Amiri" w:cs="Amiri"/>
          <w:color w:val="111111"/>
          <w:sz w:val="28"/>
          <w:sz w:val="28"/>
          <w:szCs w:val="28"/>
          <w:rtl w:val="true"/>
          <w:lang w:bidi="ar-SA"/>
        </w:rPr>
        <w:t>بين البدعة والسنة</w:t>
      </w:r>
    </w:p>
    <w:p>
      <w:pPr>
        <w:pStyle w:val="BookText"/>
        <w:rPr/>
      </w:pPr>
      <w:r>
        <w:rPr>
          <w:rFonts w:ascii="Amiri" w:hAnsi="Amiri" w:eastAsia="Amiri" w:cs="Amiri"/>
          <w:color w:val="111111"/>
          <w:sz w:val="28"/>
          <w:sz w:val="28"/>
          <w:szCs w:val="28"/>
          <w:rtl w:val="true"/>
          <w:lang w:bidi="ar-SA"/>
        </w:rPr>
        <w:t>حكم القبض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القبض بدعة محدثة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أبي حميد الساعدي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حمّاد بن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دليل القائلين بلزوم القبض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سهل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وائل بن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عبد الله بن مسعود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أحاديث ضعاف لا يحتجّ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الآن حصحص الحق</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أحاديث أئمة أهل البيت عليهم السلام في القبض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البسملة</w:t>
      </w:r>
    </w:p>
    <w:p>
      <w:pPr>
        <w:pStyle w:val="BookText"/>
        <w:rPr/>
      </w:pPr>
      <w:r>
        <w:rPr>
          <w:rFonts w:ascii="Amiri" w:hAnsi="Amiri" w:eastAsia="Amiri" w:cs="Amiri"/>
          <w:color w:val="111111"/>
          <w:sz w:val="28"/>
          <w:sz w:val="28"/>
          <w:szCs w:val="28"/>
          <w:rtl w:val="true"/>
          <w:lang w:bidi="ar-SA"/>
        </w:rPr>
        <w:t>جزئيّتها والجهر بها</w:t>
      </w:r>
    </w:p>
    <w:p>
      <w:pPr>
        <w:pStyle w:val="BookText"/>
        <w:rPr/>
      </w:pPr>
      <w:r>
        <w:rPr>
          <w:rFonts w:ascii="Amiri" w:hAnsi="Amiri" w:eastAsia="Amiri" w:cs="Amiri"/>
          <w:color w:val="111111"/>
          <w:sz w:val="28"/>
          <w:sz w:val="28"/>
          <w:szCs w:val="28"/>
          <w:rtl w:val="true"/>
          <w:lang w:bidi="ar-SA"/>
        </w:rPr>
        <w:t>البسملة في اللغة والاصطلاح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فضل البسملة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أقوال الفقهاء في جزئيّة البسملة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البسملة جزء من الفاتحة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السبع المثاني هي فاتحة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فاتحة الكتاب سبع آيات مع البسملة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روايات أئمّة أهل البيت عليهم السلام حول البسملة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التسمية ولزوم الجهر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أئمّة أهل البيت عليهم السلام والجهر بالبسملة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حجّة القائلين بعدم جزئية البسملة وحكم الجهر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ما يزيّفه التأريخ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البسملة جزء من مفتتح كلّ سورة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السجود على الأرض</w:t>
      </w:r>
    </w:p>
    <w:p>
      <w:pPr>
        <w:pStyle w:val="BookText"/>
        <w:rPr/>
      </w:pPr>
      <w:r>
        <w:rPr>
          <w:rFonts w:ascii="Amiri" w:hAnsi="Amiri" w:eastAsia="Amiri" w:cs="Amiri"/>
          <w:color w:val="111111"/>
          <w:sz w:val="28"/>
          <w:sz w:val="28"/>
          <w:szCs w:val="28"/>
          <w:rtl w:val="true"/>
          <w:lang w:bidi="ar-SA"/>
        </w:rPr>
        <w:t>السجود على الأرض مظهر ناصع من مظاهر العبودية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اختلاف الفقهاء في شرائط المسجود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الفرق بين المسجود له والمسجود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السجدة في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سرّ كشف الجبهة في 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السجود في عصر الرسول صلى الله عليه وآله وسلم ومراحل بعد السجود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المرحلة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تبريد الحصى للسجود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الأمر بالتتريب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الأمر بحسر العمامة عن الجبهة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سيرة النبي في السجود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سيرة الصحابة والتابعين في السجود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الترخيص في السجود على الخُمُر والحُصر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المرحلة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الثياب لعذر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حصيلة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هو السرّ في اتّخاذ تربة طاهرة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خاتمة المطاف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فيها أمران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فرض العقيدة والفقه على الزائر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صيرورة السنّة بدعة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الجمع بين الصلاتين</w:t>
      </w:r>
    </w:p>
    <w:p>
      <w:pPr>
        <w:pStyle w:val="BookText"/>
        <w:rPr/>
      </w:pPr>
      <w:r>
        <w:rPr>
          <w:rFonts w:ascii="Amiri" w:hAnsi="Amiri" w:eastAsia="Amiri" w:cs="Amiri"/>
          <w:color w:val="111111"/>
          <w:sz w:val="28"/>
          <w:sz w:val="28"/>
          <w:szCs w:val="28"/>
          <w:rtl w:val="true"/>
          <w:lang w:bidi="ar-SA"/>
        </w:rPr>
        <w:t>أقسام الجمع بين الصلاتين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الجمع بين الصلاتين في عرفة والمزدلفة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الجمع بين الصلاتين في 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الجمع بين الصلاتين في الحضر لأجل العذر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الجمع بين الصلاتين في الحضر اختيارا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التنويع في الوقت في فقه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من يوافق الإمامية بعض الموافقة من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من يوافق الإمامية تمام الموافقة من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الكتاب والجمع بين الصلاتين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السنّة والجمع بين الصلاتين في الحضر اختيارا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تبريرات غير ناجحة لرفض الجمع بين الصلاتين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 الجمهور العمل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لا ينص على جمع التقديم والتأخير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الجمع بين الصلاتين جمعا صوريا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أدلّة الشوكاني على أنّ الجمع كان صوريّا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الجمع لعذر المطر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الجمع للغيم في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الجمع لمرض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الجمع لأحد الأعذار المبهمة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أسئلة وأجوبة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وحديث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وحديث ليلة التعريس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حبيب بن أبي ثابت لا يحتجّ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القصر في السفر</w:t>
      </w:r>
    </w:p>
    <w:p>
      <w:pPr>
        <w:pStyle w:val="BookText"/>
        <w:rPr/>
      </w:pPr>
      <w:r>
        <w:rPr>
          <w:rFonts w:ascii="Amiri" w:hAnsi="Amiri" w:eastAsia="Amiri" w:cs="Amiri"/>
          <w:color w:val="111111"/>
          <w:sz w:val="28"/>
          <w:sz w:val="28"/>
          <w:szCs w:val="28"/>
          <w:rtl w:val="true"/>
          <w:lang w:bidi="ar-SA"/>
        </w:rPr>
        <w:t>هل القصر في السفر عزيمة أو رخصة؟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أدلّة القول بأنّ القصر عزيمة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قصر الصلاة بمنى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أدلّة القائلين بأنّ القصر رخصة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الاحتجاج بفعل عثمان وعائشة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إفطار المسافر في شهر رمضان</w:t>
      </w:r>
    </w:p>
    <w:p>
      <w:pPr>
        <w:pStyle w:val="BookText"/>
        <w:rPr/>
      </w:pPr>
      <w:r>
        <w:rPr>
          <w:rFonts w:ascii="Amiri" w:hAnsi="Amiri" w:eastAsia="Amiri" w:cs="Amiri"/>
          <w:color w:val="111111"/>
          <w:sz w:val="28"/>
          <w:sz w:val="28"/>
          <w:szCs w:val="28"/>
          <w:rtl w:val="true"/>
          <w:lang w:bidi="ar-SA"/>
        </w:rPr>
        <w:t>الإفطار في 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الكتاب وصوم رمضان في 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الاستدلال بالآية على أن الإفطار في شهر رمضان للمسافر عزيمة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تفسير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تصوموا خير لكم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السنّة وصوم رمضان في 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ما اتّخذ ذريعة لجواز الصوم في 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التراويح</w:t>
      </w:r>
    </w:p>
    <w:p>
      <w:pPr>
        <w:pStyle w:val="BookText"/>
        <w:rPr/>
      </w:pPr>
      <w:r>
        <w:rPr>
          <w:rFonts w:ascii="Amiri" w:hAnsi="Amiri" w:eastAsia="Amiri" w:cs="Amiri"/>
          <w:color w:val="111111"/>
          <w:sz w:val="28"/>
          <w:sz w:val="28"/>
          <w:szCs w:val="28"/>
          <w:rtl w:val="true"/>
          <w:lang w:bidi="ar-SA"/>
        </w:rPr>
        <w:t>التراويح لغة واصطلاحا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قيام ليالي رمضان بالتطوع سنّة مؤكّدة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خير صلاة المرء في بيته إلاّ المكتوبة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صلاة التراويح جماعة عند الإماميّة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صلاة التراويح جماعة عند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التراويح جماعة في حديث الرسول صلى الله عليه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الاختلاف في عدد الليالي وتواليها ومواضعها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عدم إناطة التشريع برغبة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مخالفة التعليل لنداء المعراج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رغبة الصحابة لا يكون ملاكا للتشريع في حقّ الأجيال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القدر المتيقّن من فعل النبيّ صلى الله عليه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صلاة التراويح بين اللغوية وعدم التشريع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الاختلاف الكبير في عدد ركعاتها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صلاة التراويح جماعة في كلام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التشريع مختص بالله سبحانه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استنباط مشروعيتها من تقرير النبي صلى الله عليه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خاتمة المطاف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أمور</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التراويح جماعة غفلة عن حكمة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المصلحة على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البدعة إلى الحسنة والسيئة بدعة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السنة والبدعة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متعة الحجّ</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المتعة وأقسامها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أقسام الحج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الأحكام الواردة في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إتمام الحج والعمرة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إذا أحصر بالعدو أو المرض</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لا يتحلّل قبل الذبح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حكم المريض ومن برأسه أذى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التمتّع بالعمرة إلى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الفاقد للهدي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التمتع بالعمرة إلى الحجّ وظيفة الآفاقي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الحجّ سنّة أبدية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العرب قبل الإسلام في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احتدام النزاع بين الصحابة في حياة النبي صلى الله عليه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عودة التقاليد الجاهلية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IRNazanin" w:hAnsi="IRNazanin" w:eastAsia="IRNazanin"/>
          <w:color w:val="111111"/>
          <w:sz w:val="28"/>
          <w:sz w:val="28"/>
          <w:szCs w:val="28"/>
          <w:rtl w:val="true"/>
          <w:lang w:bidi="fa-IR"/>
        </w:rPr>
        <w:t>حجّ التمتع على عهد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 وتحريم متعة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التمتّع بالعمرة إلى الحج وشروطه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التبريرات المختلقة للحظر المفروض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فسخ الحجّ إلى العمرة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اختصاص التمتّع بالصحابة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عزوه إلى النبي صلى الله عليه وآله وسلم وطروء النسيان على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خاتمة المطاف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مر بن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إحرام علي وإحرام أبي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حظر متعة الحج لعبرة لمن سبر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الخليفة حرم خصوص التحلل بين العمرة والحج؟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متعة النساء أو الزواج المؤقت</w:t>
      </w:r>
    </w:p>
    <w:p>
      <w:pPr>
        <w:pStyle w:val="BookText"/>
        <w:rPr/>
      </w:pPr>
      <w:r>
        <w:rPr>
          <w:rFonts w:ascii="Amiri" w:hAnsi="Amiri" w:eastAsia="Amiri" w:cs="Amiri"/>
          <w:color w:val="111111"/>
          <w:sz w:val="28"/>
          <w:sz w:val="28"/>
          <w:szCs w:val="28"/>
          <w:rtl w:val="true"/>
          <w:lang w:bidi="ar-SA"/>
        </w:rPr>
        <w:t>الغريزة الجنسية بين التحديد والإباحة الغربية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والزواج المؤقت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آراء الفقهاء في الزواج المؤقت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الزواج الؤقت ، تعريفها ونبذ من أحكامها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الزواج المؤقت في صدر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المتعة في الذكر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القرائن الست على أن المراد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عقد النكاح المؤقت لا التلذذ الجنسي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المتعة في السنّة النبوية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المتعة في التفاسير غير الروائية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IRNazanin" w:hAnsi="IRNazanin" w:eastAsia="IRNazanin"/>
          <w:color w:val="111111"/>
          <w:sz w:val="28"/>
          <w:sz w:val="28"/>
          <w:szCs w:val="28"/>
          <w:rtl w:val="true"/>
          <w:lang w:bidi="fa-IR"/>
        </w:rPr>
        <w:t>شبهات وحلول</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 xml:space="preserve">الشبهة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 وتكوين الأسرة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الشبهة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 خارجة عنالحصر المحلل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الشبهة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زوجة لمذا لا ينفق عليها ولا ترث؟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الشبهة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جائزة لما أمر بنكاح الإماء والاستعفاف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الشبهة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اندراج المتعة ضمن السفاح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الشبهة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المتمتع يقصد السفح لا الإحصان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الشبهة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النبي حلية 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الشبهة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 المؤقت ومشكلة الإنجاب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الشبهة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اكذوبة المتعة الدورية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الشبهة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تحاشي الأشراف عن تعاطيها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خاتمة المطاف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توجيه نهي الخليفة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حوار دار بين الإمام علي عليه السلام وبعض اليهود بعد رحيل النبي وظهور الاختلاف في أمر الخلافة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أو التفسير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سنة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كان لا يرى المسح ، الباب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كان لا يرى المسح ، الباب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للطبري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مبحث العطف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العطف على المحل ثمّ ذكر شروطه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النهر الماد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المتملي في شرح منية المصلي المعروف بالحلبي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 الباب الثامن ، القاعدة الثانية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 الباب الثامن ، القاعدة الثانية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التأويل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صلاة المسافرين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ولذا ترى حفاة الشيعة والعمال منهم ـ كأهل الحرث وأمثالهم وسائر من لا يبالون بطهارة أرجلهم في غير أوقات العبادة المشروطة بالطهارة ـ إذا أرادوا الوضوء غسلوا أرجلهم ثمّ توضّئوا فمسحوا عليها نقيّة جافّة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الفيصل العدد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مقالة أبي عبد الرحمن الظاهري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26863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26922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26908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26822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رفع صوته بالعلم من كتاب العلم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كلّها منقولة من 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محاسن التأويل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26856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التأريخ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الأسماء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الأسماء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مختصر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الفيصل ، العدد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دار الفكر ،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26949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غرائب القرآن بهامش 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ونسبه إلى الحسن البصري أيضا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الشعراني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عام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متّفق عليه رواه أصحاب الصحاح والمسانيد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باب مقدار الماء الذي يجزي للوضوء والغسل ومن تعدّى في الوضوء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باب صفة الوضوء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باب صفة الوضوء ،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الحديث برقم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أخرجه البخاري أيضا بسنده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الوضوء ثلاثا ثلاثا ؛ 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باب حدّ الغسل ؛ جامع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برقم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الطهارة ؛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غسل الرجلين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صفة الوضوء وكماله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الطهارة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التأريخ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الترجمة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الترجمة </w:t>
      </w:r>
      <w:r>
        <w:rPr>
          <w:rFonts w:eastAsia="IRNazanin" w:cs="IRNazanin"/>
          <w:b w:val="false"/>
          <w:bCs w:val="false"/>
          <w:i w:val="false"/>
          <w:iCs w:val="false"/>
          <w:color w:val="333333"/>
          <w:sz w:val="20"/>
          <w:szCs w:val="20"/>
        </w:rPr>
        <w:t>6032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الطهارة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7334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زهير بن معاوية برقم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9000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6659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7360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الخطط المقريزية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الموصلية الثالثة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صغير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الوجوب التعيّني لمن له خفّ</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التكرار في الوضوء ، ورواه ابن ماجة في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أحكام القرآن للجصاص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أحاديث حدّ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ففيها ما يؤيد مضمون ذلك الحديث</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لفظ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لأمسح على جلد حمار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للنووي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جرير ، برقم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العربية العالمية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للنووي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الترجمة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الترجمة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الأذكياء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دار الفكر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الترجمة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في الوقوف على هذه المأثورات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مكان أين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الإيمان ، باب من قال لأخيه يا كافر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الإكليل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الموسوعة الفقهية الكويتية ،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مسح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المجموع شرح المهذّب للنووي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لبيان كفاية القليل عن الكثير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منافاة بين الروايتين ، وكم نزل أمين الوحي بآية واحدة مرّتين ، والغاية من التأذين في الأوّل غيرها في الثاني ، كما هو واضح لمن تدبّر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علي عليه السلام محدّثا وهو يسمع كلام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 باب رجال يُكلّمون من غير أن يكونوا 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أبو هريرة عن النبيّ 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لقد كان فيمن قبلكم من بني إسرائيل</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بدء الأذان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أنّه ادّعى رؤية الأذان في النوم ما يقرب من أربعة عشر رجلا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نقله عن السنن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الأذان والإقامة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عنهم عليهم السلام أنّ الإقامة مثنى مثنى إلاّ الفصل الأخير وهو مرة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معرفة الصحابة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35354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في الأذان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بدء الأذان ومشروعيته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أفيصح في منطق العقل أن يكتم الإنسان تلك الرؤيا التي فيها إراحة للنبيّ وأصحابه عشرين يوما ، ثم يعلّل ذلك ـ بعد سماعها من ابن زيد ـ بأنّه استحيا؟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أجلّ الخليفة عن هذا المنطق ، مضافا إلى وجود التنافي بينه وبين الحديث الثاني</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محمد محيي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حاك عن اطّلاع عمر بعد أذان بلال ، خلافا للحديث السابق</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بدء الأذان ، برقم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بدء الأذان برقم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بدء الأذان ، الحديث الأوّل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بدء الأذان ، الحديث الأوّل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بدء الأذان ، الحديث الأوّل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بدء الأذان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والاجتهاد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7545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3755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5178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2997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بدء الأذان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النداء للصلاة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وسيوافيك تفصيله في المقام الثاني</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5925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النهاية في 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والقاموس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التعليقة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الرواية الرابعة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وكلمة الشوكاني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نقلناه عن الإمام أحمد ، بعد أحاديث السنن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سعيد بن المسيب عام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وتوفّى عام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الصحابة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3075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عثمان بن السائب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الذهبي في 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تفرّد عن حفص ، الزهري</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عبد الرزاق في 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أيضا المتقي الهندي في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23250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في شرح بلوغ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ولاحظ أحاديث الباب</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 أذان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الدين القوشجي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عام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بالقسطنطينية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التجريد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اقرأ ترجمته في كتابنا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الملل والنحل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الخمسة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رسالة مختصرة في السدل للدكتور عبد الحميد بن مبارك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افتتاح الصلاة ، الحديث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الصلاة ؛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خزيمة في صحيحه ، باب الاعتدال في الركوع ، برقم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هريرة ، وسهل الساعدي ، وأبو أسيد الساعدي ، وأبو قتادة الحارث بن ربعي ، ومحمد بن مسلمة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مختصرة في السدل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وضع اليدين إحداهما على الأُخرى في الصلاة ، الحديث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مختصرة في السدل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وللقبض أدلة أخرى غير صحيحة كما هو المفهوم من كلام الإمام النووي في شرحه على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وسيوافيك الكلام فيها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في شرح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وضع اليمنى على اليسرى ،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وضع يده اليمنى على اليسرى ، ورواه البيهقي في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وضع اليمنى على اليسرى في الصلاة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أبي أويس شيخ البخاري كما جزم به الحميدي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الصلاة ، باب وضع يده اليمنى على اليسرى ، وفي سند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كان المقصود ، هو همام بن يحيى فقد قال ابن عمار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يحيى القطّان لا يعبأ بـ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عمر بن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عفان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يحيى بن سعيد يعترض على همام في كثير من 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في حفظه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هدى الساري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وضع اليمين على الشمال في الصلاة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وضع اليد اليمنى على اليسرى في الصلاة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موضع اليمين من الشمال في الصلاة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وضع اليد اليمنى على اليسرى في الصلاة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الاتقاء عن البرد والتحرز عن إسبال الثوب</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في الإمام إذا رأى الرجل قد وضع شماله على يمينه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6863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التأريخ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7129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التأريخ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قسم الهامش</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4057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التأريخ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6912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5183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وضع اليد اليمنى على اليسرى في الصلاة برقم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وضع اليد اليمنى على اليسرى في الصلاة برقم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الشيعة الإمامية ومواضع الخلاف بينه وبين المذاهب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والمصباح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بسملة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الرازي بتمامه في تفسيره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سورة الفاتحة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4049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تعظيم القرآن ،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4456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المائة فما فوقه ،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حجّة من قال لا يجهر بالبسملة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وَلِلَّهِ يَسْجُدُ مَنْ فِي السَّماواتِ وَالْأَرْضِ طَوْعاً وَكَرْهاً وَظِلالُهُمْ بِالْغُدُوِّ وَالْآصالِ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أعلام الشيعة في القرن الخامس صاحب التصانيف والمؤلّفات ولد عام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وتوفّى عام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من تلاميذ 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الشريف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رضي الله عنهم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يوسف بن المطهر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زعيم الشيعة في أواخر القرن السابع والثامن ، لا يسمح الدهر بمثله إلاّ في فترات خاصة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وهناك روايات بمضمونه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والكلّ يتضمّن أنّ الغاية من السجود التي هي التذلّل لا تحصل بالسجود على غير الأرض وما ينبت غير المأكول والملبوس فلاحظ</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اليواقيت والجواهر في عقائد الأكابر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الفوائد من جامع الأصول ومجمع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وغيرها من المصادر المتوفرة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الشيخان البخاري في صحيحه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في صحيحه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 سجد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 سجد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 سجد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على متن الخرقي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المغني</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 شرح الوجيز المعروف بالشرح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ومعنى ذلك انّه ليس شرطا للصحة بل شرط للكمال</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في معرفة مذهب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نشر بيروت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الكشف عن الجبهة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شكا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19776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19777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19810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في السجود على الأرض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المطبوع في هامش المسند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مكة للأزرقي</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سيرتنا وسنّتنا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أيضا قال للجارية وهو في 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ناوليني الخمرة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دار الفكر ، بيروت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خزيمة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المكتب الإسلامي ،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في سيرتنا وسنّتنا ، والسجدة على التربة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 باب بسط الثوب في الصلاة للسجود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3660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سيرتنا وسنّتنا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سيرتنا وسنّتنا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الفكر ـ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والتربة الحسينية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سيرتنا وسنّتنا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الأمّة في اختلاف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أيضا العلاّمة الأميني في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تحت عنوان الفصل الثاني في الجمع</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حجّة النبي صلى الله عليه وآله وسلم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الجمع بين الصلاتين في السفر من كتاب الصلاة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الجمع بين الصلاتين في السفر من كتاب الصلاة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الجمع بين الصلاتين في السفر من كتاب الصلاة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جواز الجمع بين الصلاتين في السفر من كتاب الصلاة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جواز الجمع بين الصلاتين في السفر من كتاب الصلاة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جواز الجمع بين الصلاتين في السفر من كتاب الصلاة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 باب الجمع بين الصلاتين ، الحديث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باب الجمع بين الصلاتين ، الحديث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طبعه أخرى 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طبعه أخرى 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ذكرناه هو رءوس الاختلاف ، وأمّا فروعها فكثيرة لا حاجة للتعرّض إليها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قسم المتن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موضعين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قسم الذيل</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ستوافيك مصادر هذه الروايات في الصورة الرابعة من صور الجمع</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وسيوافيك ما بينه في أوقات الصلوات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العروة الوثقى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في أوقات اليومية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أيضا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المحققة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وكم للإمام الرازي من مواقف مشرقة في تحقيق ما هو الحقّ ، الذي هو الأحقّ بالاتّباع لكنّه عدل عنه لوجوه واهية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حقّقه حول مسح الرجلين في تفسير قوله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وَامْسَحُوا بِرُؤُسِكُمْ وَأَرْجُلَكُمْ إِلَى الْكَعْبَيْنِ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ذكره حول المراد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وَأُولِي الْأَمْرِ مِنْكُمْ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أَطِيعُوا اللهَ وَأَطِيعُوا الرَّسُولَ وَأُولِي الْأَمْرِ مِنْكُمْ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 ذلك رسول الله صلى الله عليه وآله وسلم بالمدينة بقرينة الحديث الخامس</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 ونشر غير مرتب ، والمرتب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ثمانيا وسبعا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للنووي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الجمع بين الصلاتين في الحضر ومع أنّ العنوان خاص بالحضر نقل فيه ثلاث روايات جاء فيها الجمع بين الصلاتين في السفر تركنا نقلها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نقلها في هذا الباب إيعازا بأنّ كيفية الجمع في الحضر مثلها في السفر كما سيوافيك بيانه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تأخير الظهر إلى العصر من كتاب الصلاة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وقت المغرب من كتاب الصلاة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ذكر العشاء والعتمة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جاء في الجمع في الحضر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محقّق الكتاب أشار في الهامش إلى الوجوه التي روي بها هذا الحديث عن ابن عباس 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للترمذي تفسيرا مرفوضا بالنسبة إلى هذا الحديث سيوافيك في محلّه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ظنه ان أراد به الجمع الصوري كما سيوافيك فهو ليس بحجّة حتى للظان ، والظن لا يغني عن الحقّ شيئا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موطإ مالك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الجمع بين الصلاتين في الحضر والسفر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الجمع بين الصلاتين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وسيوافيك الكلام في تفسير مالك للحديث</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الحديث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الجمع بين الصلاتين في الحضر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الجمع بين الصلاتين في الحضر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الجمع بين الصلاتين في الحضر</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الوقت الذي يجمع فيه المقيم والمراد من ثمان سجدات ثمان ركعات</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4435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4435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4436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جابر بن زيد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جابر بن زيد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رقم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10525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22778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للنووي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باب جمع المقيم في مطر أو غيره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أَقِمِ الصَّلاةَ لِدُلُوكِ الشَّمْسِ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السيد محمد بن إسماعيل الصنعاني المعروف بالأمير في كتابه سبل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الرواية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فصل الجمع بين الصلاتين في السفر من الصنف الثاني ،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للنووي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الجمع بين الصلاتين ،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ذكره في نقد كلام من حمل الجمع بين الصلاتين في السفر ، ولما كان المناط واحدا نقلناه في المقام</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في ذيل 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السنن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عون المعبود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من أحاديث سيد الأخيار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المسير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الرواية 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جواز الجمع بين الصلاتين في السفر ، برقم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جواز الجمع بين الصلاتين في السفر ، برقم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للنووي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للنووي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نيل الأوطار للشوكاني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السنن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قسم التعليقة بقلم أحمد محمد شاكر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بشرح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بتعاليق عبد العزيز بن باز</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إزالة الحظر عمّن جمع بين الصلاتين في الحضر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الترجمة رقم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أَقِمِ الصَّلاةَ لِدُلُوكِ الشَّمْسِ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الرواية 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السنن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الفريقان هذا الحديث بصيغ مختلفة بهذا المضمون اخترنا منها ما 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الاقتصاد في العبادة ،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للنووي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المسافرين وقصرها من كتاب الصلاة 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المسألة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الإسلامي وأدلّته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الشرح الكبير ومغني المحتاج</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أبي البقاء الآلوسي في روح 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دار المعرفة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سورة العلق</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للنووي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للنووي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النسائي</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يوسف كما في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ورجاله موثقون</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ومرّ نظير هذا الحديث عن عائشة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منى تذكر وتؤنث بحسب القصد ، إن قصد الموضع فيذكّر ، وإن قصد البقعة فتؤنّث</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للنووي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قصر الصلاة بمنى من كتاب صلاة المسافرين وقصرها</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للنووي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قصر الصلاة بمنى من كتاب صلاة المسافرين وقصرها</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للنووي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قصر الصلاة بمنى من كتاب صلاة المسافرين وقصرها</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للنووي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قصر الصلاة بمنى من كتاب صلاة المسافرين وقصرها</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التقصير ؛ شرح صحيح مسلم للنووي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قصر الصلاة بمنى</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 للشافعي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المطبوع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فأبى علي</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البدر المنير</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أيضا الشوكاني في 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وذكره النووي في شرح صحيح مسلم</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شرح صحيح مسلم للنووي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جواز الصوم والفطر في شهر رمضان للمسافر الحديث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جواز الصوم والفطر في شهر رمضان للمسافر من كتاب الصوم</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صلاة المسافرين</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صلاة المسافرين وقصرها</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ولعلّ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 الجواز</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في ذيل 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الوجه الرابع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تغفل</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نقله عن بعض المفسرين وردّ عليه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غير مطرد ولا متفق عليه</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وجوه الصوم</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كراهية الصوم في السفر ،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هذا المضمون في غير واحد من روايات أهل السنّة روى مسلم في رواية خرج رسول الله عام الفتح في رمضان فصام حتى بلغ الكديد ثمّ أفطر وكان صحابة رسول الله صلى الله عليه وآله وسلم يتبعون الأحدث فالأحدث من أمره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للنووي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جواز الصوم والفطر</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جواز الصوم والفطر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 روح</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سنّة مؤكّدة عند الإمامية وثلاثة من الأئمة وخالفت المالكية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من قام رمضان ،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الترغيب في قيام رمضان وهو التراويح</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نفسه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فضل شهر رمضان والصلاة فيه زيادة على النوافل</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شهر رمضان ،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شهر رمضان ،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صلاة النافلة في بيته وجوازها في المسجد</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صلاة النافلة في بيته وجوازها في المسجد</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صلاة النافلة في بيته وجوازها في المسجد</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صلاة النافلة في بيته وجوازها في المسجد</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صلاة النافلة في بيته وجوازها في المسجد</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قيام الليل وتطوع النهار</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قيام الليل وتطوع النهار ؛ وأخرجه أحمد في المسند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أحمد في المسند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المقياس ابن حجر العسقلاني في 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وسوف يوافيك نصه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 المسألة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شهر رمضان ، 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فضل شهر رمضان ،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الصوم</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للنووي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استحباب صلاة النافلة في بيته وجوازها في المسجد</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تحريض النبي على صلاة الليل</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الترغيب في قيام رمضان</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فضل من قام رمضان</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الترغيب في قيام رمضان</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زعم أنّها بالجماعة أفضل ، ونقله الشوكاني في 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الخمسة وصححه الترمذي</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الصوم</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 فرضت الصلوات في الاسراء ،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كم فرض الله على عباده من الصلوات ، الحديث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واللفظ للترمذي</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الخمسة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 مبحث صلاة التراويح</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الساري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تكلّفوا في الجمع بين هذه الأقوال المتشتّتة</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فضل من قام رمضان من كتاب الصوم</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الترغيب في قيام رمضان</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في شرح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وجاء نفس السؤال والجواب في فتح الباري</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للنووي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الرهط بين الثلاثة إلى العشرة</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فضل من قام رمضان من كتاب الصوم</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وقد سقط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هذه الجملة في النسخة مصحّف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المناظر كما في النص والاجتهاد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المذاهب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بحوث مع أهل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الفقهية الكويتية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فتح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والاجتهاد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نشر دار الكتاب</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قيل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 ، فيعادل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كيلومترا</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جواهر الكلام ، وغيرها من الكتب الفقهية للشيعة الإمامية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في شرح البداية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الفقه على المذاهب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حاضري المسجد الحرام كما سيأتي في الآية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وجوه الإحرام</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وجوه الإحرام</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وجوه الإحرام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وجوه الإحرام</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وجوه الإحرام</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حجة النبي صلى الله عليه وآله وسلم</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كيف تحل الحائض والنفساء</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لَمْ يَكُنْ أَهْلُهُ حاضِرِي الْمَسْجِدِ الْحَرامِ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الترديد لأجل اختلاف الروايات في ذلك ، فلاحظ</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بيان وجوه الإحرام وانّه يجوز إفراد الحجّ والتمتع والقران</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بيان وجوه الإحرام وانّه يجوز إفراد الحجّ والتمتع والقران</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بيان وجوه الإحرام</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فليتأنّ</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في نسخ التحلّل من الإحرام</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سيوافيك البحث عن سبب استنكاره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جواز التمتع</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جواز التمتع</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جواز التمتع</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التمتع</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مصر ، المطبعة المصرية</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12477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منشورات دار الآفاق الجديدة ، بيروت</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التمتع والإقران والإفراد بالحج</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التمتع</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موطإ مالك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القران في الحج ، الحديث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باب حج التمتع ، مستدرك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دار الكتب الحديثة ، مصر</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مصغّر عروة</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دار الفكر</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التمتع ؛ 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دار الفكر</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جواز التمتع</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في شرح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مصر</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للنووي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المراجعة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كتابة العلم</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شرح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بلاد فلان</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كلامه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كلامه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ضروب الحجّ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36412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الزواج المؤقت عند الشيعة للكاتبة شهلا 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الفلسفة القرآنية لعباس محمود العقاد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النكاح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يكره من التبتل والخصاء من كتاب النكاح</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نكاح المتعة</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نكاح المتعة</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نكاح المتعة</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نكاح المتعة من كتاب النكاح</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صيدا</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تفسير الآية</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عند بيان أحكام نكاح المتعة ، انّه لو نسي ذكر المهر أو لم يذكره بطل العقد ، فنكاح المتعة من أوضح مصاديق قوله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تَبْتَغُوا بِأَمْوالِكُمْ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المتعة ،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المتعة ،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في المتعة بالحجّ والعمرة من كتاب الحجّ</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صفحة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وانظر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نهي الرسول عن نكاح المتعة من كتاب النكاح</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نكاح المتعة من كتاب النكاح</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نكاح المتعة من كتاب النكاح</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نكاح المتعة من كتاب النكاح</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نكاح المتعة من كتاب النكاح</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تفسير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الشوكاني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الدريني في تقديمه 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في الأشياء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المتعة 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وكلّما ننقله منه فهو من تقديمه لهذا الكتاب ولاحظ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عامة اعتراضاته مأخوذة من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المنار ، في طرح الشبهات عيال على غيره حيّا الله الأمانة</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تفسير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الثالثة في بيان نكاح المتعة</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آياتِهِ أَنْ خَلَقَ لَكُمْ مِنْ أَنْفُسِكُمْ أَزْواجاً لِتَسْكُنُوا إِلَيْها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الدريني في تقديمه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محمد خليل ، ولاحظ الخلاف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العيوب المجوّزة للفسخ المسألة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إسلامنا في التوفيق بين السنّة والشيعة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فصل زواج المتعة</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الدريني في تقديمه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والشيعة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القائلون بالتحريم يعرّجون على تلك الشبهة أكثر من سائر الشّبه ، بسطنا الكلام في دحضها بوجوه سبعة على نحو لا يبقى لمشكّك شك ولا لمرتاب ريب في عدم صدور أيّ تحريم من النبي الأعظم صلى الله عليه وآله وسلم</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نكاح المتعة من كتاب النكاح</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نكاح المتعة من كتاب النكاح</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نكاح المتعة من كتاب النكاح</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نكاح المتعة من كتاب النكاح</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نكاح المتعة</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نكاح المتعة</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نكاح المتعة</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نكاح المتعة</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نكاح المتعة</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التمتع وفي الحديث إشارة إلى كلتا المتعتين</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نكاح المتعة</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في المتعة بالحجّ والعمرة</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45726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الشيعة وأصولها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مطبعة العرفان ، صيدا</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الشيعة وأصولها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مطبعة العرفان ، صيدا</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الشيعة وأصولها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الشيعة وأصولها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image" Target="media/image2.jpeg"/><Relationship Id="rId591" Type="http://schemas.openxmlformats.org/officeDocument/2006/relationships/image" Target="media/image2.jpeg"/><Relationship Id="rId592" Type="http://schemas.openxmlformats.org/officeDocument/2006/relationships/footer" Target="footer585.xml"/><Relationship Id="rId593" Type="http://schemas.openxmlformats.org/officeDocument/2006/relationships/footnotes" Target="footnotes.xml"/><Relationship Id="rId594" Type="http://schemas.openxmlformats.org/officeDocument/2006/relationships/numbering" Target="numbering.xml"/><Relationship Id="rId595" Type="http://schemas.openxmlformats.org/officeDocument/2006/relationships/fontTable" Target="fontTable.xml"/><Relationship Id="rId596" Type="http://schemas.openxmlformats.org/officeDocument/2006/relationships/settings" Target="settings.xml"/><Relationship Id="rId5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595</Pages>
  <Words>62140</Words>
  <Characters>241449</Characters>
  <CharactersWithSpaces>300959</CharactersWithSpaces>
  <Paragraphs>2868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2026-08-21T00:08:19Z</dcterms:created>
  <dc:creator>ghaemiyeh.com</dc:creator>
  <dc:description/>
  <dc:language>en-US</dc:language>
  <cp:lastModifiedBy/>
  <dcterms:modified xsi:type="dcterms:W3CDTF">2026-08-21T03:38:37Z</dcterms:modified>
  <cp:revision>1</cp:revision>
  <dc:subject/>
  <dc:title>الانصاف فی مسائل دام فیها الخلاف جلد 1</dc:title>
</cp:coreProperties>
</file>

<file path=docProps/custom.xml><?xml version="1.0" encoding="utf-8"?>
<Properties xmlns="http://schemas.openxmlformats.org/officeDocument/2006/custom-properties" xmlns:vt="http://schemas.openxmlformats.org/officeDocument/2006/docPropsVTypes"/>
</file>