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چهره نگاری معصومین علیهم السلام در آینه فقه و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4664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24664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246647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8246649_2870459653">
            <w:r>
              <w:rPr>
                <w:webHidden/>
                <w:rStyle w:val="IndexLink"/>
                <w:rtl w:val="true"/>
              </w:rPr>
              <w:t>حکم نگارگری در فقه</w:t>
            </w:r>
            <w:r>
              <w:rPr>
                <w:rStyle w:val="IndexLink"/>
                <w:rtl w:val="true"/>
              </w:rPr>
              <w:tab/>
            </w:r>
            <w:r>
              <w:rPr>
                <w:rStyle w:val="IndexLink"/>
              </w:rPr>
              <w:t>12</w:t>
            </w:r>
          </w:hyperlink>
        </w:p>
        <w:p>
          <w:pPr>
            <w:pStyle w:val="Contents3"/>
            <w:tabs>
              <w:tab w:val="clear" w:pos="8459"/>
              <w:tab w:val="right" w:pos="9026" w:leader="dot"/>
            </w:tabs>
            <w:rPr/>
          </w:pPr>
          <w:hyperlink w:anchor="__RefHeading___Toc8246651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8246653_2870459653">
            <w:r>
              <w:rPr>
                <w:webHidden/>
                <w:rStyle w:val="IndexLink"/>
                <w:rtl w:val="true"/>
              </w:rPr>
              <w:t xml:space="preserve">واژه </w:t>
            </w:r>
            <w:r>
              <w:rPr>
                <w:rStyle w:val="IndexLink"/>
                <w:rtl w:val="true"/>
              </w:rPr>
              <w:t>"</w:t>
            </w:r>
            <w:r>
              <w:rPr>
                <w:rStyle w:val="IndexLink"/>
                <w:rtl w:val="true"/>
              </w:rPr>
              <w:t>تمثال</w:t>
            </w:r>
            <w:r>
              <w:rPr>
                <w:rStyle w:val="IndexLink"/>
                <w:rtl w:val="true"/>
              </w:rPr>
              <w:t xml:space="preserve">" </w:t>
            </w:r>
            <w:r>
              <w:rPr>
                <w:rStyle w:val="IndexLink"/>
                <w:rtl w:val="true"/>
              </w:rPr>
              <w:t>در روایات</w:t>
            </w:r>
            <w:r>
              <w:rPr>
                <w:rStyle w:val="IndexLink"/>
                <w:rtl w:val="true"/>
              </w:rPr>
              <w:tab/>
            </w:r>
            <w:r>
              <w:rPr>
                <w:rStyle w:val="IndexLink"/>
              </w:rPr>
              <w:t>12</w:t>
            </w:r>
          </w:hyperlink>
        </w:p>
        <w:p>
          <w:pPr>
            <w:pStyle w:val="Contents3"/>
            <w:tabs>
              <w:tab w:val="clear" w:pos="8459"/>
              <w:tab w:val="right" w:pos="9026" w:leader="dot"/>
            </w:tabs>
            <w:rPr/>
          </w:pPr>
          <w:hyperlink w:anchor="__RefHeading___Toc8246655_2870459653">
            <w:r>
              <w:rPr>
                <w:webHidden/>
                <w:rStyle w:val="IndexLink"/>
                <w:rtl w:val="true"/>
              </w:rPr>
              <w:t>نظرات و دیدگاه های فقها</w:t>
            </w:r>
            <w:r>
              <w:rPr>
                <w:rStyle w:val="IndexLink"/>
                <w:rtl w:val="true"/>
              </w:rPr>
              <w:tab/>
            </w:r>
            <w:r>
              <w:rPr>
                <w:rStyle w:val="IndexLink"/>
              </w:rPr>
              <w:t>18</w:t>
            </w:r>
          </w:hyperlink>
        </w:p>
        <w:p>
          <w:pPr>
            <w:pStyle w:val="Contents4"/>
            <w:tabs>
              <w:tab w:val="clear" w:pos="8176"/>
              <w:tab w:val="right" w:pos="9026" w:leader="dot"/>
            </w:tabs>
            <w:rPr/>
          </w:pPr>
          <w:hyperlink w:anchor="__RefHeading___Toc8246657_2870459653">
            <w:r>
              <w:rPr>
                <w:webHidden/>
                <w:rStyle w:val="IndexLink"/>
                <w:rtl w:val="true"/>
              </w:rPr>
              <w:t>اجماع بر حرام بودن نگارگری موجودات دارای روح به صورت تندیس</w:t>
            </w:r>
            <w:r>
              <w:rPr>
                <w:rStyle w:val="IndexLink"/>
                <w:rtl w:val="true"/>
              </w:rPr>
              <w:tab/>
            </w:r>
            <w:r>
              <w:rPr>
                <w:rStyle w:val="IndexLink"/>
              </w:rPr>
              <w:t>18</w:t>
            </w:r>
          </w:hyperlink>
        </w:p>
        <w:p>
          <w:pPr>
            <w:pStyle w:val="Contents4"/>
            <w:tabs>
              <w:tab w:val="clear" w:pos="8176"/>
              <w:tab w:val="right" w:pos="9026" w:leader="dot"/>
            </w:tabs>
            <w:rPr/>
          </w:pPr>
          <w:hyperlink w:anchor="__RefHeading___Toc8246659_2870459653">
            <w:r>
              <w:rPr>
                <w:webHidden/>
                <w:rStyle w:val="IndexLink"/>
                <w:rtl w:val="true"/>
              </w:rPr>
              <w:t>جایز بودن نگارگری تندیس ها از نظر برخی از متأخران</w:t>
            </w:r>
            <w:r>
              <w:rPr>
                <w:rStyle w:val="IndexLink"/>
                <w:rtl w:val="true"/>
              </w:rPr>
              <w:tab/>
            </w:r>
            <w:r>
              <w:rPr>
                <w:rStyle w:val="IndexLink"/>
              </w:rPr>
              <w:t>20</w:t>
            </w:r>
          </w:hyperlink>
        </w:p>
        <w:p>
          <w:pPr>
            <w:pStyle w:val="Contents4"/>
            <w:tabs>
              <w:tab w:val="clear" w:pos="8176"/>
              <w:tab w:val="right" w:pos="9026" w:leader="dot"/>
            </w:tabs>
            <w:rPr/>
          </w:pPr>
          <w:hyperlink w:anchor="__RefHeading___Toc8246661_2870459653">
            <w:r>
              <w:rPr>
                <w:webHidden/>
                <w:rStyle w:val="IndexLink"/>
                <w:rtl w:val="true"/>
              </w:rPr>
              <w:t>نظرات چهارگانه درباره حرمت نگارگری</w:t>
            </w:r>
            <w:r>
              <w:rPr>
                <w:rStyle w:val="IndexLink"/>
                <w:rtl w:val="true"/>
              </w:rPr>
              <w:tab/>
            </w:r>
            <w:r>
              <w:rPr>
                <w:rStyle w:val="IndexLink"/>
              </w:rPr>
              <w:t>23</w:t>
            </w:r>
          </w:hyperlink>
        </w:p>
        <w:p>
          <w:pPr>
            <w:pStyle w:val="Contents4"/>
            <w:tabs>
              <w:tab w:val="clear" w:pos="8176"/>
              <w:tab w:val="right" w:pos="9026" w:leader="dot"/>
            </w:tabs>
            <w:rPr/>
          </w:pPr>
          <w:hyperlink w:anchor="__RefHeading___Toc8246663_2870459653">
            <w:r>
              <w:rPr>
                <w:webHidden/>
                <w:rStyle w:val="IndexLink"/>
                <w:rtl w:val="true"/>
              </w:rPr>
              <w:t>ضعف حدیث هایی که نشان از اطلاق دارند</w:t>
            </w:r>
            <w:r>
              <w:rPr>
                <w:rStyle w:val="IndexLink"/>
                <w:rtl w:val="true"/>
              </w:rPr>
              <w:tab/>
            </w:r>
            <w:r>
              <w:rPr>
                <w:rStyle w:val="IndexLink"/>
              </w:rPr>
              <w:t>26</w:t>
            </w:r>
          </w:hyperlink>
        </w:p>
        <w:p>
          <w:pPr>
            <w:pStyle w:val="Contents4"/>
            <w:tabs>
              <w:tab w:val="clear" w:pos="8176"/>
              <w:tab w:val="right" w:pos="9026" w:leader="dot"/>
            </w:tabs>
            <w:rPr/>
          </w:pPr>
          <w:hyperlink w:anchor="__RefHeading___Toc8246665_2870459653">
            <w:r>
              <w:rPr>
                <w:webHidden/>
                <w:rStyle w:val="IndexLink"/>
                <w:rtl w:val="true"/>
              </w:rPr>
              <w:t>روایات حرمت نگارگری تندیس</w:t>
            </w:r>
            <w:r>
              <w:rPr>
                <w:rStyle w:val="IndexLink"/>
                <w:rtl w:val="true"/>
              </w:rPr>
              <w:tab/>
            </w:r>
            <w:r>
              <w:rPr>
                <w:rStyle w:val="IndexLink"/>
              </w:rPr>
              <w:t>29</w:t>
            </w:r>
          </w:hyperlink>
        </w:p>
        <w:p>
          <w:pPr>
            <w:pStyle w:val="Contents5"/>
            <w:tabs>
              <w:tab w:val="clear" w:pos="7892"/>
              <w:tab w:val="right" w:pos="9026" w:leader="dot"/>
            </w:tabs>
            <w:rPr/>
          </w:pPr>
          <w:hyperlink w:anchor="__RefHeading___Toc8246667_2870459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8246669_2870459653">
            <w:r>
              <w:rPr>
                <w:webHidden/>
                <w:rStyle w:val="IndexLink"/>
                <w:rtl w:val="true"/>
              </w:rPr>
              <w:t>دلایل اختصاص به نگارگری تندیس</w:t>
            </w:r>
            <w:r>
              <w:rPr>
                <w:rStyle w:val="IndexLink"/>
                <w:rtl w:val="true"/>
              </w:rPr>
              <w:tab/>
            </w:r>
            <w:r>
              <w:rPr>
                <w:rStyle w:val="IndexLink"/>
              </w:rPr>
              <w:t>29</w:t>
            </w:r>
          </w:hyperlink>
        </w:p>
        <w:p>
          <w:pPr>
            <w:pStyle w:val="Contents5"/>
            <w:tabs>
              <w:tab w:val="clear" w:pos="7892"/>
              <w:tab w:val="right" w:pos="9026" w:leader="dot"/>
            </w:tabs>
            <w:rPr/>
          </w:pPr>
          <w:hyperlink w:anchor="__RefHeading___Toc8246671_2870459653">
            <w:r>
              <w:rPr>
                <w:webHidden/>
                <w:rStyle w:val="IndexLink"/>
                <w:rtl w:val="true"/>
              </w:rPr>
              <w:t>دلیل نخست</w:t>
            </w:r>
            <w:r>
              <w:rPr>
                <w:rStyle w:val="IndexLink"/>
                <w:rtl w:val="true"/>
              </w:rPr>
              <w:tab/>
            </w:r>
            <w:r>
              <w:rPr>
                <w:rStyle w:val="IndexLink"/>
              </w:rPr>
              <w:t>29</w:t>
            </w:r>
          </w:hyperlink>
        </w:p>
        <w:p>
          <w:pPr>
            <w:pStyle w:val="Contents5"/>
            <w:tabs>
              <w:tab w:val="clear" w:pos="7892"/>
              <w:tab w:val="right" w:pos="9026" w:leader="dot"/>
            </w:tabs>
            <w:rPr/>
          </w:pPr>
          <w:hyperlink w:anchor="__RefHeading___Toc8246673_2870459653">
            <w:r>
              <w:rPr>
                <w:webHidden/>
                <w:rStyle w:val="IndexLink"/>
                <w:rtl w:val="true"/>
              </w:rPr>
              <w:t>دلیل دوم</w:t>
            </w:r>
            <w:r>
              <w:rPr>
                <w:rStyle w:val="IndexLink"/>
                <w:rtl w:val="true"/>
              </w:rPr>
              <w:tab/>
            </w:r>
            <w:r>
              <w:rPr>
                <w:rStyle w:val="IndexLink"/>
              </w:rPr>
              <w:t>32</w:t>
            </w:r>
          </w:hyperlink>
        </w:p>
        <w:p>
          <w:pPr>
            <w:pStyle w:val="Contents3"/>
            <w:tabs>
              <w:tab w:val="clear" w:pos="8459"/>
              <w:tab w:val="right" w:pos="9026" w:leader="dot"/>
            </w:tabs>
            <w:rPr/>
          </w:pPr>
          <w:hyperlink w:anchor="__RefHeading___Toc8246675_2870459653">
            <w:r>
              <w:rPr>
                <w:webHidden/>
                <w:rStyle w:val="IndexLink"/>
                <w:rtl w:val="true"/>
              </w:rPr>
              <w:t>اختلاف دانشوران شیعه درباره حکم تصاوير غير تنديس</w:t>
            </w:r>
            <w:r>
              <w:rPr>
                <w:rStyle w:val="IndexLink"/>
                <w:rtl w:val="true"/>
              </w:rPr>
              <w:tab/>
            </w:r>
            <w:r>
              <w:rPr>
                <w:rStyle w:val="IndexLink"/>
              </w:rPr>
              <w:t>34</w:t>
            </w:r>
          </w:hyperlink>
        </w:p>
        <w:p>
          <w:pPr>
            <w:pStyle w:val="Contents3"/>
            <w:tabs>
              <w:tab w:val="clear" w:pos="8459"/>
              <w:tab w:val="right" w:pos="9026" w:leader="dot"/>
            </w:tabs>
            <w:rPr/>
          </w:pPr>
          <w:hyperlink w:anchor="__RefHeading___Toc8246677_2870459653">
            <w:r>
              <w:rPr>
                <w:webHidden/>
                <w:rStyle w:val="IndexLink"/>
                <w:rtl w:val="true"/>
              </w:rPr>
              <w:t>اشکالات و پاسخ به آنها</w:t>
            </w:r>
            <w:r>
              <w:rPr>
                <w:rStyle w:val="IndexLink"/>
                <w:rtl w:val="true"/>
              </w:rPr>
              <w:tab/>
            </w:r>
            <w:r>
              <w:rPr>
                <w:rStyle w:val="IndexLink"/>
              </w:rPr>
              <w:t>34</w:t>
            </w:r>
          </w:hyperlink>
        </w:p>
        <w:p>
          <w:pPr>
            <w:pStyle w:val="Contents4"/>
            <w:tabs>
              <w:tab w:val="clear" w:pos="8176"/>
              <w:tab w:val="right" w:pos="9026" w:leader="dot"/>
            </w:tabs>
            <w:rPr/>
          </w:pPr>
          <w:hyperlink w:anchor="__RefHeading___Toc8246679_2870459653">
            <w:r>
              <w:rPr>
                <w:webHidden/>
                <w:rStyle w:val="IndexLink"/>
                <w:rtl w:val="true"/>
              </w:rPr>
              <w:t>اشکال نخست</w:t>
            </w:r>
            <w:r>
              <w:rPr>
                <w:rStyle w:val="IndexLink"/>
                <w:rtl w:val="true"/>
              </w:rPr>
              <w:tab/>
            </w:r>
            <w:r>
              <w:rPr>
                <w:rStyle w:val="IndexLink"/>
              </w:rPr>
              <w:t>34</w:t>
            </w:r>
          </w:hyperlink>
        </w:p>
        <w:p>
          <w:pPr>
            <w:pStyle w:val="Contents4"/>
            <w:tabs>
              <w:tab w:val="clear" w:pos="8176"/>
              <w:tab w:val="right" w:pos="9026" w:leader="dot"/>
            </w:tabs>
            <w:rPr/>
          </w:pPr>
          <w:hyperlink w:anchor="__RefHeading___Toc8246681_2870459653">
            <w:r>
              <w:rPr>
                <w:webHidden/>
                <w:rStyle w:val="IndexLink"/>
                <w:rtl w:val="true"/>
              </w:rPr>
              <w:t>اشکال دوم</w:t>
            </w:r>
            <w:r>
              <w:rPr>
                <w:rStyle w:val="IndexLink"/>
                <w:rtl w:val="true"/>
              </w:rPr>
              <w:tab/>
            </w:r>
            <w:r>
              <w:rPr>
                <w:rStyle w:val="IndexLink"/>
              </w:rPr>
              <w:t>35</w:t>
            </w:r>
          </w:hyperlink>
        </w:p>
        <w:p>
          <w:pPr>
            <w:pStyle w:val="Contents4"/>
            <w:tabs>
              <w:tab w:val="clear" w:pos="8176"/>
              <w:tab w:val="right" w:pos="9026" w:leader="dot"/>
            </w:tabs>
            <w:rPr/>
          </w:pPr>
          <w:hyperlink w:anchor="__RefHeading___Toc8246683_2870459653">
            <w:r>
              <w:rPr>
                <w:webHidden/>
                <w:rStyle w:val="IndexLink"/>
                <w:rtl w:val="true"/>
              </w:rPr>
              <w:t>اشکال سوم</w:t>
            </w:r>
            <w:r>
              <w:rPr>
                <w:rStyle w:val="IndexLink"/>
                <w:rtl w:val="true"/>
              </w:rPr>
              <w:tab/>
            </w:r>
            <w:r>
              <w:rPr>
                <w:rStyle w:val="IndexLink"/>
              </w:rPr>
              <w:t>36</w:t>
            </w:r>
          </w:hyperlink>
        </w:p>
        <w:p>
          <w:pPr>
            <w:pStyle w:val="Contents4"/>
            <w:tabs>
              <w:tab w:val="clear" w:pos="8176"/>
              <w:tab w:val="right" w:pos="9026" w:leader="dot"/>
            </w:tabs>
            <w:rPr/>
          </w:pPr>
          <w:hyperlink w:anchor="__RefHeading___Toc8246685_2870459653">
            <w:r>
              <w:rPr>
                <w:webHidden/>
                <w:rStyle w:val="IndexLink"/>
                <w:rtl w:val="true"/>
              </w:rPr>
              <w:t>اشکال چهارم</w:t>
            </w:r>
            <w:r>
              <w:rPr>
                <w:rStyle w:val="IndexLink"/>
                <w:rtl w:val="true"/>
              </w:rPr>
              <w:tab/>
            </w:r>
            <w:r>
              <w:rPr>
                <w:rStyle w:val="IndexLink"/>
              </w:rPr>
              <w:t>37</w:t>
            </w:r>
          </w:hyperlink>
        </w:p>
        <w:p>
          <w:pPr>
            <w:pStyle w:val="Contents4"/>
            <w:tabs>
              <w:tab w:val="clear" w:pos="8176"/>
              <w:tab w:val="right" w:pos="9026" w:leader="dot"/>
            </w:tabs>
            <w:rPr/>
          </w:pPr>
          <w:hyperlink w:anchor="__RefHeading___Toc8246687_2870459653">
            <w:r>
              <w:rPr>
                <w:webHidden/>
                <w:rStyle w:val="IndexLink"/>
                <w:rtl w:val="true"/>
              </w:rPr>
              <w:t>اشکال پنجم</w:t>
            </w:r>
            <w:r>
              <w:rPr>
                <w:rStyle w:val="IndexLink"/>
                <w:rtl w:val="true"/>
              </w:rPr>
              <w:tab/>
            </w:r>
            <w:r>
              <w:rPr>
                <w:rStyle w:val="IndexLink"/>
              </w:rPr>
              <w:t>38</w:t>
            </w:r>
          </w:hyperlink>
        </w:p>
        <w:p>
          <w:pPr>
            <w:pStyle w:val="Contents3"/>
            <w:tabs>
              <w:tab w:val="clear" w:pos="8459"/>
              <w:tab w:val="right" w:pos="9026" w:leader="dot"/>
            </w:tabs>
            <w:rPr/>
          </w:pPr>
          <w:hyperlink w:anchor="__RefHeading___Toc8246689_2870459653">
            <w:r>
              <w:rPr>
                <w:webHidden/>
                <w:rStyle w:val="IndexLink"/>
                <w:rtl w:val="true"/>
              </w:rPr>
              <w:t>ثمره بحث</w:t>
            </w:r>
            <w:r>
              <w:rPr>
                <w:rStyle w:val="IndexLink"/>
                <w:rtl w:val="true"/>
              </w:rPr>
              <w:tab/>
            </w:r>
            <w:r>
              <w:rPr>
                <w:rStyle w:val="IndexLink"/>
              </w:rPr>
              <w:t>39</w:t>
            </w:r>
          </w:hyperlink>
        </w:p>
        <w:p>
          <w:pPr>
            <w:pStyle w:val="Contents2"/>
            <w:tabs>
              <w:tab w:val="clear" w:pos="8743"/>
              <w:tab w:val="right" w:pos="9026" w:leader="dot"/>
            </w:tabs>
            <w:rPr/>
          </w:pPr>
          <w:hyperlink w:anchor="__RefHeading___Toc8246691_2870459653">
            <w:r>
              <w:rPr>
                <w:webHidden/>
                <w:rStyle w:val="IndexLink"/>
                <w:rtl w:val="true"/>
              </w:rPr>
              <w:t xml:space="preserve">کشیدن نگاره های اهل بیت </w:t>
            </w:r>
            <w:r>
              <w:rPr>
                <w:rStyle w:val="IndexLink"/>
                <w:rtl w:val="true"/>
              </w:rPr>
              <w:t>(</w:t>
            </w:r>
            <w:r>
              <w:rPr>
                <w:rStyle w:val="IndexLink"/>
                <w:rtl w:val="true"/>
              </w:rPr>
              <w:t>علیهم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8246693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8246695_2870459653">
            <w:r>
              <w:rPr>
                <w:webHidden/>
                <w:rStyle w:val="IndexLink"/>
                <w:rtl w:val="true"/>
              </w:rPr>
              <w:t>درستی انتساب نگاره ها</w:t>
            </w:r>
            <w:r>
              <w:rPr>
                <w:rStyle w:val="IndexLink"/>
                <w:rtl w:val="true"/>
              </w:rPr>
              <w:tab/>
            </w:r>
            <w:r>
              <w:rPr>
                <w:rStyle w:val="IndexLink"/>
              </w:rPr>
              <w:t>42</w:t>
            </w:r>
          </w:hyperlink>
        </w:p>
        <w:p>
          <w:pPr>
            <w:pStyle w:val="Contents3"/>
            <w:tabs>
              <w:tab w:val="clear" w:pos="8459"/>
              <w:tab w:val="right" w:pos="9026" w:leader="dot"/>
            </w:tabs>
            <w:rPr/>
          </w:pPr>
          <w:hyperlink w:anchor="__RefHeading___Toc8246697_2870459653">
            <w:r>
              <w:rPr>
                <w:webHidden/>
                <w:rStyle w:val="IndexLink"/>
                <w:rtl w:val="true"/>
              </w:rPr>
              <w:t>کشیدن نگاره ها بر اساس نقل ویژگی ها</w:t>
            </w:r>
            <w:r>
              <w:rPr>
                <w:rStyle w:val="IndexLink"/>
                <w:rtl w:val="true"/>
              </w:rPr>
              <w:tab/>
            </w:r>
            <w:r>
              <w:rPr>
                <w:rStyle w:val="IndexLink"/>
              </w:rPr>
              <w:t>43</w:t>
            </w:r>
          </w:hyperlink>
        </w:p>
        <w:p>
          <w:pPr>
            <w:pStyle w:val="Contents3"/>
            <w:tabs>
              <w:tab w:val="clear" w:pos="8459"/>
              <w:tab w:val="right" w:pos="9026" w:leader="dot"/>
            </w:tabs>
            <w:rPr/>
          </w:pPr>
          <w:hyperlink w:anchor="__RefHeading___Toc8246699_2870459653">
            <w:r>
              <w:rPr>
                <w:webHidden/>
                <w:rStyle w:val="IndexLink"/>
                <w:rtl w:val="true"/>
              </w:rPr>
              <w:t>معیار بودن تلاش و پژوهش</w:t>
            </w:r>
            <w:r>
              <w:rPr>
                <w:rStyle w:val="IndexLink"/>
                <w:rtl w:val="true"/>
              </w:rPr>
              <w:tab/>
            </w:r>
            <w:r>
              <w:rPr>
                <w:rStyle w:val="IndexLink"/>
              </w:rPr>
              <w:t>43</w:t>
            </w:r>
          </w:hyperlink>
        </w:p>
        <w:p>
          <w:pPr>
            <w:pStyle w:val="Contents2"/>
            <w:tabs>
              <w:tab w:val="clear" w:pos="8743"/>
              <w:tab w:val="right" w:pos="9026" w:leader="dot"/>
            </w:tabs>
            <w:rPr/>
          </w:pPr>
          <w:hyperlink w:anchor="__RefHeading___Toc8246701_2870459653">
            <w:r>
              <w:rPr>
                <w:webHidden/>
                <w:rStyle w:val="IndexLink"/>
                <w:rtl w:val="true"/>
              </w:rPr>
              <w:t xml:space="preserve">روایاتی که شمایل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را گزارش می دهند</w:t>
            </w:r>
            <w:r>
              <w:rPr>
                <w:rStyle w:val="IndexLink"/>
                <w:rtl w:val="true"/>
              </w:rPr>
              <w:tab/>
            </w:r>
            <w:r>
              <w:rPr>
                <w:rStyle w:val="IndexLink"/>
              </w:rPr>
              <w:t>45</w:t>
            </w:r>
          </w:hyperlink>
        </w:p>
        <w:p>
          <w:pPr>
            <w:pStyle w:val="Contents3"/>
            <w:tabs>
              <w:tab w:val="clear" w:pos="8459"/>
              <w:tab w:val="right" w:pos="9026" w:leader="dot"/>
            </w:tabs>
            <w:rPr/>
          </w:pPr>
          <w:hyperlink w:anchor="__RefHeading___Toc8246703_2870459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8246705_2870459653">
            <w:r>
              <w:rPr>
                <w:webHidden/>
                <w:rStyle w:val="IndexLink"/>
                <w:rtl w:val="true"/>
              </w:rPr>
              <w:t xml:space="preserve">ویژگی های رسول خدا </w:t>
            </w:r>
            <w:r>
              <w:rPr>
                <w:rStyle w:val="IndexLink"/>
                <w:rtl w:val="true"/>
              </w:rPr>
              <w:t>(</w:t>
            </w:r>
            <w:r>
              <w:rPr>
                <w:rStyle w:val="IndexLink"/>
                <w:rtl w:val="true"/>
              </w:rPr>
              <w:t>صلی الله علیه و اله</w:t>
            </w:r>
            <w:r>
              <w:rPr>
                <w:rStyle w:val="IndexLink"/>
                <w:rtl w:val="true"/>
              </w:rPr>
              <w:t>)</w:t>
              <w:tab/>
            </w:r>
            <w:r>
              <w:rPr>
                <w:rStyle w:val="IndexLink"/>
              </w:rPr>
              <w:t>45</w:t>
            </w:r>
          </w:hyperlink>
        </w:p>
        <w:p>
          <w:pPr>
            <w:pStyle w:val="Contents3"/>
            <w:tabs>
              <w:tab w:val="clear" w:pos="8459"/>
              <w:tab w:val="right" w:pos="9026" w:leader="dot"/>
            </w:tabs>
            <w:rPr/>
          </w:pPr>
          <w:hyperlink w:anchor="__RefHeading___Toc8246707_2870459653">
            <w:r>
              <w:rPr>
                <w:webHidden/>
                <w:rStyle w:val="IndexLink"/>
                <w:rtl w:val="true"/>
              </w:rPr>
              <w:t xml:space="preserve">ویژگی های امیرالمؤمنین علی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8246709_2870459653">
            <w:r>
              <w:rPr>
                <w:webHidden/>
                <w:rStyle w:val="IndexLink"/>
                <w:rtl w:val="true"/>
              </w:rPr>
              <w:t xml:space="preserve">ویژگی های امام حسن مجتبی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8246711_2870459653">
            <w:r>
              <w:rPr>
                <w:webHidden/>
                <w:rStyle w:val="IndexLink"/>
                <w:rtl w:val="true"/>
              </w:rPr>
              <w:t xml:space="preserve">ویژگی های امام حسین، سیدالشهدا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8246713_2870459653">
            <w:r>
              <w:rPr>
                <w:webHidden/>
                <w:rStyle w:val="IndexLink"/>
                <w:rtl w:val="true"/>
              </w:rPr>
              <w:t xml:space="preserve">ویژگی های امام سجاد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8246715_2870459653">
            <w:r>
              <w:rPr>
                <w:webHidden/>
                <w:rStyle w:val="IndexLink"/>
                <w:rtl w:val="true"/>
              </w:rPr>
              <w:t xml:space="preserve">ویژگی های امام محمد باقر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8246717_2870459653">
            <w:r>
              <w:rPr>
                <w:webHidden/>
                <w:rStyle w:val="IndexLink"/>
                <w:rtl w:val="true"/>
              </w:rPr>
              <w:t xml:space="preserve">ویژگی های امام جعفر صادق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8246719_2870459653">
            <w:r>
              <w:rPr>
                <w:webHidden/>
                <w:rStyle w:val="IndexLink"/>
                <w:rtl w:val="true"/>
              </w:rPr>
              <w:t xml:space="preserve">ویژگی های امام موسی کاظم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8246721_2870459653">
            <w:r>
              <w:rPr>
                <w:webHidden/>
                <w:rStyle w:val="IndexLink"/>
                <w:rtl w:val="true"/>
              </w:rPr>
              <w:t xml:space="preserve">ویژگی های امام رضا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8246723_2870459653">
            <w:r>
              <w:rPr>
                <w:webHidden/>
                <w:rStyle w:val="IndexLink"/>
                <w:rtl w:val="true"/>
              </w:rPr>
              <w:t xml:space="preserve">ویژگی های امام جواد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8246725_2870459653">
            <w:r>
              <w:rPr>
                <w:webHidden/>
                <w:rStyle w:val="IndexLink"/>
                <w:rtl w:val="true"/>
              </w:rPr>
              <w:t xml:space="preserve">ویژگی های امام هادی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8246727_2870459653">
            <w:r>
              <w:rPr>
                <w:webHidden/>
                <w:rStyle w:val="IndexLink"/>
                <w:rtl w:val="true"/>
              </w:rPr>
              <w:t xml:space="preserve">ویژگی های امام حسن عسکری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8246729_2870459653">
            <w:r>
              <w:rPr>
                <w:webHidden/>
                <w:rStyle w:val="IndexLink"/>
                <w:rtl w:val="true"/>
              </w:rPr>
              <w:t xml:space="preserve">ویژگی های امام عصر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8246731_2870459653">
            <w:r>
              <w:rPr>
                <w:webHidden/>
                <w:rStyle w:val="IndexLink"/>
                <w:rtl w:val="true"/>
              </w:rPr>
              <w:t>مقدس دانستن و تبرک کردن به این نگاره ها</w:t>
            </w:r>
            <w:r>
              <w:rPr>
                <w:rStyle w:val="IndexLink"/>
                <w:rtl w:val="true"/>
              </w:rPr>
              <w:tab/>
            </w:r>
            <w:r>
              <w:rPr>
                <w:rStyle w:val="IndexLink"/>
              </w:rPr>
              <w:t>67</w:t>
            </w:r>
          </w:hyperlink>
        </w:p>
        <w:p>
          <w:pPr>
            <w:pStyle w:val="Contents3"/>
            <w:tabs>
              <w:tab w:val="clear" w:pos="8459"/>
              <w:tab w:val="right" w:pos="9026" w:leader="dot"/>
            </w:tabs>
            <w:rPr/>
          </w:pPr>
          <w:hyperlink w:anchor="__RefHeading___Toc8246733_2870459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8246735_2870459653">
            <w:r>
              <w:rPr>
                <w:webHidden/>
                <w:rStyle w:val="IndexLink"/>
                <w:rtl w:val="true"/>
              </w:rPr>
              <w:t>مصداق شعائر بودن</w:t>
            </w:r>
            <w:r>
              <w:rPr>
                <w:rStyle w:val="IndexLink"/>
                <w:rtl w:val="true"/>
              </w:rPr>
              <w:tab/>
            </w:r>
            <w:r>
              <w:rPr>
                <w:rStyle w:val="IndexLink"/>
              </w:rPr>
              <w:t>67</w:t>
            </w:r>
          </w:hyperlink>
        </w:p>
        <w:p>
          <w:pPr>
            <w:pStyle w:val="Contents3"/>
            <w:tabs>
              <w:tab w:val="clear" w:pos="8459"/>
              <w:tab w:val="right" w:pos="9026" w:leader="dot"/>
            </w:tabs>
            <w:rPr/>
          </w:pPr>
          <w:hyperlink w:anchor="__RefHeading___Toc8246737_2870459653">
            <w:r>
              <w:rPr>
                <w:webHidden/>
                <w:rStyle w:val="IndexLink"/>
                <w:rtl w:val="true"/>
              </w:rPr>
              <w:t>شرايط شعائر</w:t>
            </w:r>
            <w:r>
              <w:rPr>
                <w:rStyle w:val="IndexLink"/>
                <w:rtl w:val="true"/>
              </w:rPr>
              <w:tab/>
            </w:r>
            <w:r>
              <w:rPr>
                <w:rStyle w:val="IndexLink"/>
              </w:rPr>
              <w:t>69</w:t>
            </w:r>
          </w:hyperlink>
        </w:p>
        <w:p>
          <w:pPr>
            <w:pStyle w:val="Contents3"/>
            <w:tabs>
              <w:tab w:val="clear" w:pos="8459"/>
              <w:tab w:val="right" w:pos="9026" w:leader="dot"/>
            </w:tabs>
            <w:rPr/>
          </w:pPr>
          <w:hyperlink w:anchor="__RefHeading___Toc8246739_2870459653">
            <w:r>
              <w:rPr>
                <w:webHidden/>
                <w:rStyle w:val="IndexLink"/>
                <w:rtl w:val="true"/>
              </w:rPr>
              <w:t>تطبیق مصادیق یاد شده با عنوان شعائر</w:t>
            </w:r>
            <w:r>
              <w:rPr>
                <w:rStyle w:val="IndexLink"/>
                <w:rtl w:val="true"/>
              </w:rPr>
              <w:tab/>
            </w:r>
            <w:r>
              <w:rPr>
                <w:rStyle w:val="IndexLink"/>
              </w:rPr>
              <w:t>72</w:t>
            </w:r>
          </w:hyperlink>
        </w:p>
        <w:p>
          <w:pPr>
            <w:pStyle w:val="Contents2"/>
            <w:tabs>
              <w:tab w:val="clear" w:pos="8743"/>
              <w:tab w:val="right" w:pos="9026" w:leader="dot"/>
            </w:tabs>
            <w:rPr/>
          </w:pPr>
          <w:hyperlink w:anchor="__RefHeading___Toc8246741_2870459653">
            <w:r>
              <w:rPr>
                <w:webHidden/>
                <w:rStyle w:val="IndexLink"/>
                <w:rtl w:val="true"/>
              </w:rPr>
              <w:t xml:space="preserve">مقدس دانستن و تبرک به تندیس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شب معراج</w:t>
            </w:r>
            <w:r>
              <w:rPr>
                <w:rStyle w:val="IndexLink"/>
                <w:rtl w:val="true"/>
              </w:rPr>
              <w:tab/>
            </w:r>
            <w:r>
              <w:rPr>
                <w:rStyle w:val="IndexLink"/>
              </w:rPr>
              <w:t>72</w:t>
            </w:r>
          </w:hyperlink>
        </w:p>
        <w:p>
          <w:pPr>
            <w:pStyle w:val="Contents2"/>
            <w:tabs>
              <w:tab w:val="clear" w:pos="8743"/>
              <w:tab w:val="right" w:pos="9026" w:leader="dot"/>
            </w:tabs>
            <w:rPr/>
          </w:pPr>
          <w:hyperlink w:anchor="__RefHeading___Toc8246743_2870459653">
            <w:r>
              <w:rPr>
                <w:webHidden/>
                <w:rStyle w:val="IndexLink"/>
                <w:rtl w:val="true"/>
              </w:rPr>
              <w:t xml:space="preserve">توسل به نگاره مزار رسول خدا </w:t>
            </w:r>
            <w:r>
              <w:rPr>
                <w:rStyle w:val="IndexLink"/>
                <w:rtl w:val="true"/>
              </w:rPr>
              <w:t>(</w:t>
            </w:r>
            <w:r>
              <w:rPr>
                <w:rStyle w:val="IndexLink"/>
                <w:rtl w:val="true"/>
              </w:rPr>
              <w:t>صلی اله علیه و اله</w:t>
            </w:r>
            <w:r>
              <w:rPr>
                <w:rStyle w:val="IndexLink"/>
                <w:rtl w:val="true"/>
              </w:rPr>
              <w:t xml:space="preserve">) </w:t>
            </w:r>
            <w:r>
              <w:rPr>
                <w:rStyle w:val="IndexLink"/>
                <w:rtl w:val="true"/>
              </w:rPr>
              <w:t>در زیارت آن حضرت از دور</w:t>
            </w:r>
            <w:r>
              <w:rPr>
                <w:rStyle w:val="IndexLink"/>
                <w:rtl w:val="true"/>
              </w:rPr>
              <w:tab/>
            </w:r>
            <w:r>
              <w:rPr>
                <w:rStyle w:val="IndexLink"/>
              </w:rPr>
              <w:t>73</w:t>
            </w:r>
          </w:hyperlink>
        </w:p>
        <w:p>
          <w:pPr>
            <w:pStyle w:val="Contents2"/>
            <w:tabs>
              <w:tab w:val="clear" w:pos="8743"/>
              <w:tab w:val="right" w:pos="9026" w:leader="dot"/>
            </w:tabs>
            <w:rPr/>
          </w:pPr>
          <w:hyperlink w:anchor="__RefHeading___Toc8246745_2870459653">
            <w:r>
              <w:rPr>
                <w:webHidden/>
                <w:rStyle w:val="IndexLink"/>
                <w:rtl w:val="true"/>
              </w:rPr>
              <w:t>ملحقات</w:t>
            </w:r>
            <w:r>
              <w:rPr>
                <w:rStyle w:val="IndexLink"/>
                <w:rtl w:val="true"/>
              </w:rPr>
              <w:tab/>
            </w:r>
            <w:r>
              <w:rPr>
                <w:rStyle w:val="IndexLink"/>
              </w:rPr>
              <w:t>76</w:t>
            </w:r>
          </w:hyperlink>
        </w:p>
        <w:p>
          <w:pPr>
            <w:pStyle w:val="Contents3"/>
            <w:tabs>
              <w:tab w:val="clear" w:pos="8459"/>
              <w:tab w:val="right" w:pos="9026" w:leader="dot"/>
            </w:tabs>
            <w:rPr/>
          </w:pPr>
          <w:hyperlink w:anchor="__RefHeading___Toc8246747_2870459653">
            <w:r>
              <w:rPr>
                <w:webHidden/>
                <w:rStyle w:val="IndexLink"/>
                <w:rtl w:val="true"/>
              </w:rPr>
              <w:t>حکم فیلم و کلیپ</w:t>
            </w:r>
            <w:r>
              <w:rPr>
                <w:rStyle w:val="IndexLink"/>
                <w:rtl w:val="true"/>
              </w:rPr>
              <w:tab/>
            </w:r>
            <w:r>
              <w:rPr>
                <w:rStyle w:val="IndexLink"/>
              </w:rPr>
              <w:t>76</w:t>
            </w:r>
          </w:hyperlink>
        </w:p>
        <w:p>
          <w:pPr>
            <w:pStyle w:val="Contents3"/>
            <w:tabs>
              <w:tab w:val="clear" w:pos="8459"/>
              <w:tab w:val="right" w:pos="9026" w:leader="dot"/>
            </w:tabs>
            <w:rPr/>
          </w:pPr>
          <w:hyperlink w:anchor="__RefHeading___Toc8246749_2870459653">
            <w:r>
              <w:rPr>
                <w:webHidden/>
                <w:rStyle w:val="IndexLink"/>
                <w:rtl w:val="true"/>
              </w:rPr>
              <w:t>تفاوت طرح ها</w:t>
            </w:r>
            <w:r>
              <w:rPr>
                <w:rStyle w:val="IndexLink"/>
                <w:rtl w:val="true"/>
              </w:rPr>
              <w:tab/>
            </w:r>
            <w:r>
              <w:rPr>
                <w:rStyle w:val="IndexLink"/>
              </w:rPr>
              <w:t>76</w:t>
            </w:r>
          </w:hyperlink>
        </w:p>
        <w:p>
          <w:pPr>
            <w:pStyle w:val="Contents2"/>
            <w:tabs>
              <w:tab w:val="clear" w:pos="8743"/>
              <w:tab w:val="right" w:pos="9026" w:leader="dot"/>
            </w:tabs>
            <w:rPr/>
          </w:pPr>
          <w:hyperlink w:anchor="__RefHeading___Toc8246751_2870459653">
            <w:r>
              <w:rPr>
                <w:webHidden/>
                <w:rStyle w:val="IndexLink"/>
                <w:rtl w:val="true"/>
              </w:rPr>
              <w:t>دیدگاه مراجع و دانشوران</w:t>
            </w:r>
            <w:r>
              <w:rPr>
                <w:rStyle w:val="IndexLink"/>
                <w:rtl w:val="true"/>
              </w:rPr>
              <w:tab/>
            </w:r>
            <w:r>
              <w:rPr>
                <w:rStyle w:val="IndexLink"/>
              </w:rPr>
              <w:t>78</w:t>
            </w:r>
          </w:hyperlink>
        </w:p>
        <w:p>
          <w:pPr>
            <w:pStyle w:val="Contents3"/>
            <w:tabs>
              <w:tab w:val="clear" w:pos="8459"/>
              <w:tab w:val="right" w:pos="9026" w:leader="dot"/>
            </w:tabs>
            <w:rPr/>
          </w:pPr>
          <w:hyperlink w:anchor="__RefHeading___Toc8246753_2870459653">
            <w:r>
              <w:rPr>
                <w:webHidden/>
                <w:rStyle w:val="IndexLink"/>
                <w:rtl w:val="true"/>
              </w:rPr>
              <w:t xml:space="preserve">دیدگاه حضرت آیت الله العظمی سید صادق شیرازی </w:t>
            </w:r>
            <w:r>
              <w:rPr>
                <w:rStyle w:val="IndexLink"/>
                <w:rtl w:val="true"/>
              </w:rPr>
              <w:t>(</w:t>
            </w:r>
            <w:r>
              <w:rPr>
                <w:rStyle w:val="IndexLink"/>
                <w:rtl w:val="true"/>
              </w:rPr>
              <w:t>مد ظله</w:t>
            </w:r>
            <w:r>
              <w:rPr>
                <w:rStyle w:val="IndexLink"/>
                <w:rtl w:val="true"/>
              </w:rPr>
              <w:t>)</w:t>
              <w:tab/>
            </w:r>
            <w:r>
              <w:rPr>
                <w:rStyle w:val="IndexLink"/>
              </w:rPr>
              <w:t>78</w:t>
            </w:r>
          </w:hyperlink>
        </w:p>
        <w:p>
          <w:pPr>
            <w:pStyle w:val="Contents3"/>
            <w:tabs>
              <w:tab w:val="clear" w:pos="8459"/>
              <w:tab w:val="right" w:pos="9026" w:leader="dot"/>
            </w:tabs>
            <w:rPr/>
          </w:pPr>
          <w:hyperlink w:anchor="__RefHeading___Toc8246755_2870459653">
            <w:r>
              <w:rPr>
                <w:webHidden/>
                <w:rStyle w:val="IndexLink"/>
                <w:rtl w:val="true"/>
              </w:rPr>
              <w:t xml:space="preserve">دیدگاه حضرت آیت الله العظمی سید علی سیستانی </w:t>
            </w:r>
            <w:r>
              <w:rPr>
                <w:rStyle w:val="IndexLink"/>
                <w:rtl w:val="true"/>
              </w:rPr>
              <w:t>(</w:t>
            </w:r>
            <w:r>
              <w:rPr>
                <w:rStyle w:val="IndexLink"/>
                <w:rtl w:val="true"/>
              </w:rPr>
              <w:t>مد ظله</w:t>
            </w:r>
            <w:r>
              <w:rPr>
                <w:rStyle w:val="IndexLink"/>
                <w:rtl w:val="true"/>
              </w:rPr>
              <w:t>)</w:t>
              <w:tab/>
            </w:r>
            <w:r>
              <w:rPr>
                <w:rStyle w:val="IndexLink"/>
              </w:rPr>
              <w:t>78</w:t>
            </w:r>
          </w:hyperlink>
        </w:p>
        <w:p>
          <w:pPr>
            <w:pStyle w:val="Contents3"/>
            <w:tabs>
              <w:tab w:val="clear" w:pos="8459"/>
              <w:tab w:val="right" w:pos="9026" w:leader="dot"/>
            </w:tabs>
            <w:rPr/>
          </w:pPr>
          <w:hyperlink w:anchor="__RefHeading___Toc8246757_2870459653">
            <w:r>
              <w:rPr>
                <w:webHidden/>
                <w:rStyle w:val="IndexLink"/>
                <w:rtl w:val="true"/>
              </w:rPr>
              <w:t xml:space="preserve">دیدگاه حضرت آیت الله العظمی سید محمد سعید </w:t>
            </w:r>
            <w:r>
              <w:rPr>
                <w:rStyle w:val="IndexLink"/>
                <w:rtl w:val="true"/>
              </w:rPr>
              <w:t>(</w:t>
            </w:r>
            <w:r>
              <w:rPr>
                <w:rStyle w:val="IndexLink"/>
                <w:rtl w:val="true"/>
              </w:rPr>
              <w:t>رحمت الله علیه</w:t>
            </w:r>
            <w:r>
              <w:rPr>
                <w:rStyle w:val="IndexLink"/>
                <w:rtl w:val="true"/>
              </w:rPr>
              <w:t>)</w:t>
              <w:tab/>
            </w:r>
            <w:r>
              <w:rPr>
                <w:rStyle w:val="IndexLink"/>
              </w:rPr>
              <w:t>79</w:t>
            </w:r>
          </w:hyperlink>
        </w:p>
        <w:p>
          <w:pPr>
            <w:pStyle w:val="Contents3"/>
            <w:tabs>
              <w:tab w:val="clear" w:pos="8459"/>
              <w:tab w:val="right" w:pos="9026" w:leader="dot"/>
            </w:tabs>
            <w:rPr/>
          </w:pPr>
          <w:hyperlink w:anchor="__RefHeading___Toc8246759_2870459653">
            <w:r>
              <w:rPr>
                <w:webHidden/>
                <w:rStyle w:val="IndexLink"/>
                <w:rtl w:val="true"/>
              </w:rPr>
              <w:t xml:space="preserve">دیدگاه حضرت آیت الله العظمی میرزا جواد تبریزی </w:t>
            </w:r>
            <w:r>
              <w:rPr>
                <w:rStyle w:val="IndexLink"/>
                <w:rtl w:val="true"/>
              </w:rPr>
              <w:t>(</w:t>
            </w:r>
            <w:r>
              <w:rPr>
                <w:rStyle w:val="IndexLink"/>
                <w:rtl w:val="true"/>
              </w:rPr>
              <w:t>رحمت الله علیه</w:t>
            </w:r>
            <w:r>
              <w:rPr>
                <w:rStyle w:val="IndexLink"/>
                <w:rtl w:val="true"/>
              </w:rPr>
              <w:t>)</w:t>
              <w:tab/>
            </w:r>
            <w:r>
              <w:rPr>
                <w:rStyle w:val="IndexLink"/>
              </w:rPr>
              <w:t>79</w:t>
            </w:r>
          </w:hyperlink>
        </w:p>
        <w:p>
          <w:pPr>
            <w:pStyle w:val="Contents3"/>
            <w:tabs>
              <w:tab w:val="clear" w:pos="8459"/>
              <w:tab w:val="right" w:pos="9026" w:leader="dot"/>
            </w:tabs>
            <w:rPr/>
          </w:pPr>
          <w:hyperlink w:anchor="__RefHeading___Toc8246761_2870459653">
            <w:r>
              <w:rPr>
                <w:webHidden/>
                <w:rStyle w:val="IndexLink"/>
                <w:rtl w:val="true"/>
              </w:rPr>
              <w:t>دیدگاه اندیشوران دیگر</w:t>
            </w:r>
            <w:r>
              <w:rPr>
                <w:rStyle w:val="IndexLink"/>
                <w:rtl w:val="true"/>
              </w:rPr>
              <w:tab/>
            </w:r>
            <w:r>
              <w:rPr>
                <w:rStyle w:val="IndexLink"/>
              </w:rPr>
              <w:t>80</w:t>
            </w:r>
          </w:hyperlink>
        </w:p>
        <w:p>
          <w:pPr>
            <w:pStyle w:val="Contents2"/>
            <w:tabs>
              <w:tab w:val="clear" w:pos="8743"/>
              <w:tab w:val="right" w:pos="9026" w:leader="dot"/>
            </w:tabs>
            <w:rPr/>
          </w:pPr>
          <w:hyperlink w:anchor="__RefHeading___Toc8246763_2870459653">
            <w:r>
              <w:rPr>
                <w:webHidden/>
                <w:rStyle w:val="IndexLink"/>
                <w:rtl w:val="true"/>
              </w:rPr>
              <w:t>معجزه ها و کرامت ها</w:t>
            </w:r>
            <w:r>
              <w:rPr>
                <w:rStyle w:val="IndexLink"/>
                <w:rtl w:val="true"/>
              </w:rPr>
              <w:tab/>
            </w:r>
            <w:r>
              <w:rPr>
                <w:rStyle w:val="IndexLink"/>
              </w:rPr>
              <w:t>80</w:t>
            </w:r>
          </w:hyperlink>
        </w:p>
        <w:p>
          <w:pPr>
            <w:pStyle w:val="Contents2"/>
            <w:tabs>
              <w:tab w:val="clear" w:pos="8743"/>
              <w:tab w:val="right" w:pos="9026" w:leader="dot"/>
            </w:tabs>
            <w:rPr/>
          </w:pPr>
          <w:hyperlink w:anchor="__RefHeading___Toc8246765_2870459653">
            <w:r>
              <w:rPr>
                <w:webHidden/>
                <w:rStyle w:val="IndexLink"/>
                <w:rtl w:val="true"/>
              </w:rPr>
              <w:t>قدمت و تاریخ نگاره</w:t>
            </w:r>
            <w:r>
              <w:rPr>
                <w:rStyle w:val="IndexLink"/>
                <w:rtl w:val="true"/>
              </w:rPr>
              <w:tab/>
            </w:r>
            <w:r>
              <w:rPr>
                <w:rStyle w:val="IndexLink"/>
              </w:rPr>
              <w:t>81</w:t>
            </w:r>
          </w:hyperlink>
        </w:p>
        <w:p>
          <w:pPr>
            <w:pStyle w:val="Contents2"/>
            <w:tabs>
              <w:tab w:val="clear" w:pos="8743"/>
              <w:tab w:val="right" w:pos="9026" w:leader="dot"/>
            </w:tabs>
            <w:rPr/>
          </w:pPr>
          <w:hyperlink w:anchor="__RefHeading___Toc8246767_2870459653">
            <w:r>
              <w:rPr>
                <w:webHidden/>
                <w:rStyle w:val="IndexLink"/>
                <w:rtl w:val="true"/>
              </w:rPr>
              <w:t>فهرست</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06_84554"/>
      <w:bookmarkStart w:id="1" w:name="pg9706_84554"/>
      <w:bookmarkEnd w:id="1"/>
    </w:p>
    <w:p>
      <w:pPr>
        <w:pStyle w:val="Heading2"/>
        <w:numPr>
          <w:ilvl w:val="1"/>
          <w:numId w:val="1"/>
        </w:numPr>
        <w:rPr/>
      </w:pPr>
      <w:bookmarkStart w:id="2" w:name="pg9706_84554"/>
      <w:bookmarkStart w:id="3" w:name="__RefHeading___Toc824664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چهره نگاری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آینه فقه و تاریخ</w:t>
      </w:r>
    </w:p>
    <w:p>
      <w:pPr>
        <w:pStyle w:val="BookText"/>
        <w:rPr/>
      </w:pPr>
      <w:r>
        <w:rPr>
          <w:rFonts w:ascii="IRNazanin" w:hAnsi="IRNazanin" w:eastAsia="IRNazanin"/>
          <w:color w:val="111111"/>
          <w:sz w:val="28"/>
          <w:sz w:val="28"/>
          <w:szCs w:val="28"/>
          <w:rtl w:val="true"/>
          <w:lang w:bidi="fa-IR"/>
        </w:rPr>
        <w:t>سید حسین موسوی اهوازی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دلیر</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محمدی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4664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06_84558"/>
      <w:bookmarkStart w:id="8" w:name="pg9706_84558"/>
      <w:bookmarkEnd w:id="8"/>
    </w:p>
    <w:p>
      <w:pPr>
        <w:pStyle w:val="Heading2"/>
        <w:numPr>
          <w:ilvl w:val="1"/>
          <w:numId w:val="1"/>
        </w:numPr>
        <w:rPr/>
      </w:pPr>
      <w:bookmarkStart w:id="9" w:name="pg9706_84558"/>
      <w:bookmarkStart w:id="10" w:name="__RefHeading___Toc8246647_2870459653"/>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خدای را سزاست که پروردگار جهانیان است و درود و سلام بر بهترین آفریده و پیام آور او، محمد مصطفی و حبیب برگزیده اش و درود بر حضرت مرتضی، علی بن ابی طالب، پسر عمو و جانشینش که خدای متعال او را پشتیبان و وزیر پیامبرش قرار داد و خاندان معصوم او یعنی امامانی که خدای متعال پلیدی را از ایشان دور ساخت و پاک و پاکیزه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هر کس به ولایت ایشان درآید نجات یابد و هرکس با ایشان دشمنی کند، به زودی در آتشی سوزان درخواهد افتاد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تبرک و مقدس دانستن هر آنچه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دارد، بخشی از موضوعات وابسته به شعائر است که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 مَنْ يُعَظِّمْ شَعَائِرَ اللهِ فَإِنَّهَا مِنْ تَقْوَى الْقُلُوبِ</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 آن باور دارند و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شیعیان به مقدس بودن و متبرک بودن تمثال ها و تصاویر منتسب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دارند و احترام به آن ها را از مصادیق </w:t>
      </w:r>
    </w:p>
    <w:p>
      <w:pPr>
        <w:pStyle w:val="BookText"/>
        <w:rPr/>
      </w:pPr>
      <w:r>
        <w:rPr>
          <w:rFonts w:ascii="IRNazanin" w:hAnsi="IRNazanin" w:eastAsia="IRNazanin"/>
          <w:color w:val="111111"/>
          <w:sz w:val="28"/>
          <w:sz w:val="28"/>
          <w:szCs w:val="28"/>
          <w:rtl w:val="true"/>
          <w:lang w:bidi="fa-IR"/>
        </w:rPr>
        <w:t xml:space="preserve">احترام به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بی حرمتی به آن ها را ملازم با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حرمتی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اشکالاتی در این باره مطرح شده که در این کتاب به توضیح و بررسی آن 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اشکالات، اصالت برائت به دلیل نبودن دلایل و قرینه هایی کافی برای تبرک و مقدس دانستن این تصاویر و یقین نداشتن به انتساب تصاویر و تمثال های مورد بحث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به این اشکالات می پرسند که چطور به چیزهایی وهمی و غیر حقیقی یقین کنیم و به آن ها تبرک بجوییم و آن ها را مقدس بدانیم و جایگاهی هم سنگ شعار دینی برای آن ها قائل شویم و بگوییم بی احترامی به آن ها ممنوع است؟</w:t>
      </w:r>
    </w:p>
    <w:p>
      <w:pPr>
        <w:pStyle w:val="BookText"/>
        <w:rPr/>
      </w:pPr>
      <w:r>
        <w:rPr>
          <w:rFonts w:ascii="IRNazanin" w:hAnsi="IRNazanin" w:eastAsia="IRNazanin"/>
          <w:color w:val="111111"/>
          <w:sz w:val="28"/>
          <w:sz w:val="28"/>
          <w:szCs w:val="28"/>
          <w:rtl w:val="true"/>
          <w:lang w:bidi="fa-IR"/>
        </w:rPr>
        <w:t>باید توجه داشت که بحث درباره تصاویر یاد شده جنبه های متعدد و مختلفی دارد و بیشتر کسانی که اشکالات مورد بحث را مطرح می کنند و جزو توده جامعه هستند، به این جنبه ها توجه ندارند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اشکالات قابل طرح در این زمینه که ریشه فقهی دارد و در عین حال منحصر در نگاره های منسوب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استدلال به حرام بودن مطلق نگارگری یا تحریم تصویرگری موجودات صاحب روح است که نظر اخیر بر اساس فتوای برخی از دانشوران شیعه طرح می شود</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نظر مشهور که در بین اغلب دانشوران ثابت است، غیر این دیدگاه است که در ادامه به تشریح آن و تطبیق نظر ایشان بر موضوع خواهیم پرداخت</w:t>
      </w:r>
      <w:r>
        <w:rPr>
          <w:rFonts w:eastAsia="IRNazanin" w:cs="IRNazanin"/>
          <w:color w:val="111111"/>
          <w:sz w:val="28"/>
          <w:szCs w:val="28"/>
          <w:rtl w:val="true"/>
          <w:lang w:bidi="fa-IR"/>
        </w:rPr>
        <w:t xml:space="preserve">. </w:t>
      </w:r>
      <w:bookmarkStart w:id="12" w:name="pg9706_84561"/>
    </w:p>
    <w:p>
      <w:pPr>
        <w:pStyle w:val="Heading2"/>
        <w:numPr>
          <w:ilvl w:val="1"/>
          <w:numId w:val="1"/>
        </w:numPr>
        <w:rPr/>
      </w:pPr>
      <w:bookmarkStart w:id="13" w:name="__RefHeading___Toc8246649_2870459653"/>
      <w:bookmarkStart w:id="14" w:name="_Toc4"/>
      <w:bookmarkEnd w:id="12"/>
      <w:bookmarkEnd w:id="13"/>
      <w:r>
        <w:rPr>
          <w:rtl w:val="true"/>
        </w:rPr>
        <w:t>حکم نگارگری در فقه</w:t>
      </w:r>
      <w:bookmarkEnd w:id="14"/>
    </w:p>
    <w:p>
      <w:pPr>
        <w:pStyle w:val="Heading3"/>
        <w:numPr>
          <w:ilvl w:val="2"/>
          <w:numId w:val="1"/>
        </w:numPr>
        <w:rPr/>
      </w:pPr>
      <w:bookmarkStart w:id="15" w:name="__RefHeading___Toc8246651_2870459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در میان دانشوران شیعی در موضوع حرمت نگارگری با توجه به آنچه در روایات آمده، اختلاف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گاهی مربوط به تعیین مصادیق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و گاهی به اطلاق و تقیید این واژه بستگی دارد</w:t>
      </w:r>
      <w:r>
        <w:rPr>
          <w:rFonts w:eastAsia="IRNazanin" w:cs="IRNazanin"/>
          <w:color w:val="111111"/>
          <w:sz w:val="28"/>
          <w:szCs w:val="28"/>
          <w:rtl w:val="true"/>
          <w:lang w:bidi="fa-IR"/>
        </w:rPr>
        <w:t>.</w:t>
      </w:r>
    </w:p>
    <w:p>
      <w:pPr>
        <w:pStyle w:val="Heading3"/>
        <w:numPr>
          <w:ilvl w:val="2"/>
          <w:numId w:val="1"/>
        </w:numPr>
        <w:rPr/>
      </w:pPr>
      <w:bookmarkStart w:id="17" w:name="__RefHeading___Toc8246653_2870459653"/>
      <w:bookmarkStart w:id="18" w:name="_Toc6"/>
      <w:bookmarkEnd w:id="17"/>
      <w:r>
        <w:rPr>
          <w:rtl w:val="true"/>
        </w:rPr>
        <w:t xml:space="preserve">واژه </w:t>
      </w:r>
      <w:r>
        <w:rPr>
          <w:rtl w:val="true"/>
        </w:rPr>
        <w:t>"</w:t>
      </w:r>
      <w:r>
        <w:rPr>
          <w:rtl w:val="true"/>
        </w:rPr>
        <w:t>تمثال</w:t>
      </w:r>
      <w:r>
        <w:rPr>
          <w:rtl w:val="true"/>
        </w:rPr>
        <w:t xml:space="preserve">" </w:t>
      </w:r>
      <w:r>
        <w:rPr>
          <w:rtl w:val="true"/>
        </w:rPr>
        <w:t>در روایات</w:t>
      </w:r>
      <w:bookmarkEnd w:id="18"/>
    </w:p>
    <w:p>
      <w:pPr>
        <w:pStyle w:val="BookText"/>
        <w:rPr/>
      </w:pPr>
      <w:r>
        <w:rPr>
          <w:rFonts w:ascii="Amiri" w:hAnsi="Amiri" w:eastAsia="Amiri" w:cs="Amiri"/>
          <w:color w:val="111111"/>
          <w:sz w:val="28"/>
          <w:sz w:val="28"/>
          <w:szCs w:val="28"/>
          <w:rtl w:val="true"/>
          <w:lang w:bidi="ar-SA"/>
        </w:rPr>
        <w:t xml:space="preserve">شیخ حر عاملی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بخشی از کتاب وسائل الشيعة که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عَمَلِ الصُّوَرِ الْمُجَسَّمَةِ وَ التَّمَاثِيلِ ذَوَاتِ الأَرْوَاحِ خَاصَّةً وَ اللَّعِبِ بِهَا وَ جَوَازِ افْتِرَاشِهَا</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نامیده، روایاتی در این موضوع نقل کرده است </w:t>
      </w:r>
      <w:r>
        <w:rPr>
          <w:rStyle w:val="FootnoteAnchor"/>
          <w:rtl w:val="true"/>
        </w:rPr>
        <w:footnoteReference w:id="4"/>
      </w:r>
      <w:r>
        <w:rPr>
          <w:rFonts w:ascii="IRNazanin" w:hAnsi="IRNazanin" w:eastAsia="IRNazanin"/>
          <w:color w:val="111111"/>
          <w:sz w:val="28"/>
          <w:sz w:val="28"/>
          <w:szCs w:val="28"/>
          <w:rtl w:val="true"/>
          <w:lang w:bidi="fa-IR"/>
        </w:rPr>
        <w:t>که در ابتدا آن ها را یاد می کنیم و سپس به بررسی آن ها می پردازیم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هِيَ تَمَاثِيلَ الرِّجَالِ وَ النِّسَاءِ وَ لَكِنَّهَا الشَّجَرُ وَ شِبْهُهُ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هرچه می خواست، می ساختند از نمازخانه ها، و مجسمه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نگاره های مردان و زنان نبودند، بلکه نگاره هایی از درخت و امثال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برقی روایتی مثل این روایت را در کتاب المحاسن خویش نقل کرده است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بِتَمَاثِيلِ الشَّجَرِ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نگاره های درخت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وَالشَّمْسِ وَالْقَمَرِ؟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نگاره های درخت و خورشید و ماه پرسیدم و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تصویر حیوانی در آن ها نباشد،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نَبْسُطُ عِنْدَنَا الْوَسَائِدَ فِيهَا التَّمَاثِيلُ وَ نَفْتَرِشُهَا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يُبْسَطُ مِنْهَا وَ يُفْتَرَشُ وَ يُوطَأُ إِنَّمَا يُكْرَهُ مِنْهَا مَا نُصِبَ عَلَى الْحَائِطِ وَ السَّرِيرِ</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هایی داریم که روی آن ها تصاویر و نگاره هایی نقش بسته و آن ها را زیر پا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زیر پا می اندازید و روی زمین پهن می کنید، اشکال ندارد، ولی اگر روی دیوار و تخته نصب می شوند،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جَالِسٌ عَلَى نُمْرُقَةٍ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هَاتِي النُّمْرُقَةَ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قالیچه ای کوچک یا بالشتکی و تشکچه ای معنی کرده اند که روی پالان می گذارند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بنابر این، ابو حمزه می گوید خدمت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روی تشکچه ای نشسته بود و امر فرمود تشکچه ای بیاورند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التَصَاوِيرِ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صُورَةٌ كَلَّفَهُ اللهُ تَعَالَى يَوْمَ الْقِيَامَةِ أَنْ </w:t>
      </w:r>
    </w:p>
    <w:p>
      <w:pPr>
        <w:pStyle w:val="BookText"/>
        <w:rPr/>
      </w:pPr>
      <w:r>
        <w:rPr>
          <w:rFonts w:ascii="Amiri" w:hAnsi="Amiri" w:eastAsia="Amiri" w:cs="Amiri"/>
          <w:color w:val="111111"/>
          <w:sz w:val="28"/>
          <w:sz w:val="28"/>
          <w:szCs w:val="28"/>
          <w:rtl w:val="true"/>
          <w:lang w:bidi="ar-SA"/>
        </w:rPr>
        <w:t>يَنْفُخَ فِيهَا وَ لَيْسَ بِنَافِخِ وَ نَهَى أَنْ يُحْرَقَ شَيْءٌ مِنَ الْحَيَوَانِ بِالنَّارِ وَ نَهَى عَنِ التَّخَتُم بِخَاتَمِ صُفْرٍ أَوْ حَدِيدٍ وَ نَهَى أَنْ يُنْقَشَ شَيْءٌ مِنَ الْحَيَوَانِ عَلَى الْخَاتَمِ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نگارگری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نقشی بکشد، خدای متعال در روز قیامت او را تکلیف به دمیدن روح در آن می کند، در حالی که چنین کاری از دست او ساخته نیست و نهی فرمود از اینکه جایی از بدن حیوان را با آتش بسوزانند و نیز به دست کردن انگشتر مسی یا آهنی و کشیدن تصویری از حیوان روی نگین انگشتری را نهی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يُعَذِّبُونَ يَوْمَ الْقِيَامَةِ، مَنْ صَوَّرَ صُورَةً مِنَ الْحَيَوَانِ يُعَذِّبُ حَتَّى يَنْفُخَ فِيهَا وَ لَيْسَ بِنَافِحَ فِيهَا وَالْمُكَذَّبُ فِي مَنَامِهِ يُعَذِّبُ حَتَّى يَعْقِدَ بَيْنَ شَعِيرَتَيْنِ وَ لَيْسَ بِعَاقِدٍ بَيْنَهُمَا وَ الْمُسْتَمِعُ إِلَى حَدِيثِ قَوْمٍ وَ هُمْ لَهُ كَارِهُونَ يُصَبُّ فِي أُذُنِهِ الْآنْكُ وَ هُوَ الْأُسْرُبُ</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در روز قیامت عذاب می شوند، کسی که نگاره ای از حیوانی بکشد که تا وقتی بتواند روح در آن بدمد، عذاب خواهد شد، ولی چنین توانی پیدا نخواهد کرد و کسی که خوابی دروغین از خود نقل کند تا زمانی که دو دانه جو را به هم گره بزند، عذاب </w:t>
      </w:r>
    </w:p>
    <w:p>
      <w:pPr>
        <w:pStyle w:val="BookText"/>
        <w:rPr/>
      </w:pPr>
      <w:r>
        <w:rPr>
          <w:rFonts w:ascii="IRNazanin" w:hAnsi="IRNazanin" w:eastAsia="IRNazanin"/>
          <w:color w:val="111111"/>
          <w:sz w:val="28"/>
          <w:sz w:val="28"/>
          <w:szCs w:val="28"/>
          <w:rtl w:val="true"/>
          <w:lang w:bidi="fa-IR"/>
        </w:rPr>
        <w:t>خواهد شد، در حالی که چنین توانایی ندارد و کسی که به سخن دیگران گوش بدهد، در حالی که آن ها خوش نداشته باشند که سخنشان را بشنود، در گوشش سرب می ریزند و گوشش پُر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وَالْمُسْتَمِعُ مِنْ قَوْمِ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روایت هشتم که مثل روایت هفتم است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شنودگر از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عُذِّبَ وَ كُلَّفَ أَنْ يَنْفُخَ فِيهَا وَ لَيْسَ بِفَاعِلِ، وَ مَنْ كَذَبَ فِي حُلْمِهِ عُذِّبَ وَ كُلِفَ أَنْ يَعْقِدَ بَيْنَ شَعِيرَتَيْنِ وَ لَيْسَ بِفَاعِلٍ، وَ مَنِ اسْتَمَعَ إِلَى حَدِيثِ قَوْمِ وَ هُمْ لَهُ كَارِهُونَ يُصَبُّ فِي أُذُنَيْهِ الْآنُكُ يَوْمَ الْقِيَامَةِ</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تصویری بکشد، عذاب می شود و به او تکلیف خواهد شد که در آن روح بدمد، در حالی که توان آن را ندارد، همچنین کسی که خواب دروغ نقل کند، عذاب خواهد شد و به او تکلیف می شود که دو دانه جو را به هم گره بزند که چنین توانی ندارد، همچنین کسی که به سخن گروهی گوش فرادهد، در حالی که از او کراهت داشته باشند، در روز قیامت در گوش او سرب ریخته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روایت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التَّمَاثِيلِ هَلْ يَصْلُحُ أَنْ يُلْعَبَ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راوی می گوید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نگاره ها پرسیدم که آیا جایز است با آن ها بازی شود؟ فرمود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نشان دهنده این موضوع هستند، پیشتر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المساكن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المصلى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المصلى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شدند</w:t>
      </w:r>
      <w:r>
        <w:rPr>
          <w:rFonts w:eastAsia="IRNazanin" w:cs="IRNazanin"/>
          <w:color w:val="111111"/>
          <w:sz w:val="28"/>
          <w:szCs w:val="28"/>
          <w:rtl w:val="true"/>
          <w:lang w:bidi="fa-IR"/>
        </w:rPr>
        <w:t xml:space="preserve">. </w:t>
      </w:r>
      <w:bookmarkStart w:id="19" w:name="pg9706_84567"/>
    </w:p>
    <w:p>
      <w:pPr>
        <w:pStyle w:val="Heading3"/>
        <w:numPr>
          <w:ilvl w:val="2"/>
          <w:numId w:val="1"/>
        </w:numPr>
        <w:rPr/>
      </w:pPr>
      <w:bookmarkStart w:id="20" w:name="__RefHeading___Toc8246655_2870459653"/>
      <w:bookmarkStart w:id="21" w:name="_Toc7"/>
      <w:bookmarkEnd w:id="19"/>
      <w:bookmarkEnd w:id="20"/>
      <w:r>
        <w:rPr>
          <w:rtl w:val="true"/>
        </w:rPr>
        <w:t>نظرات و دیدگاه های فقها</w:t>
      </w:r>
      <w:bookmarkEnd w:id="21"/>
    </w:p>
    <w:p>
      <w:pPr>
        <w:pStyle w:val="Heading4"/>
        <w:numPr>
          <w:ilvl w:val="3"/>
          <w:numId w:val="1"/>
        </w:numPr>
        <w:rPr/>
      </w:pPr>
      <w:bookmarkStart w:id="22" w:name="__RefHeading___Toc8246657_2870459653"/>
      <w:bookmarkStart w:id="23" w:name="_Toc8"/>
      <w:bookmarkEnd w:id="22"/>
      <w:r>
        <w:rPr>
          <w:rtl w:val="true"/>
        </w:rPr>
        <w:t>اجماع بر حرام بودن نگارگری موجودات دارای روح به صورت تندیس</w:t>
      </w:r>
      <w:bookmarkEnd w:id="23"/>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 موجوداتی که روح دارند، اگر به صورت تندیس و مجسمه باشدف بدون هیچ اختلافی حرام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مقرّر ایشان </w:t>
      </w:r>
      <w:r>
        <w:rPr>
          <w:rStyle w:val="FootnoteAnchor"/>
          <w:rtl w:val="true"/>
        </w:rPr>
        <w:footnoteReference w:id="22"/>
      </w:r>
      <w:r>
        <w:rPr>
          <w:rFonts w:ascii="IRNazanin" w:hAnsi="IRNazanin" w:eastAsia="IRNazanin"/>
          <w:color w:val="111111"/>
          <w:sz w:val="28"/>
          <w:sz w:val="28"/>
          <w:szCs w:val="28"/>
          <w:rtl w:val="true"/>
          <w:lang w:bidi="fa-IR"/>
        </w:rPr>
        <w:t>در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میان شیعیان و عامه اختلافی در حرام بودن نگارگری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الفقه على المذاهب الاربعة آمده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مالکی ها نگارگری با چهار شرط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نگاره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این حکم را مقید کرده اند به اینکه از ماده ای باشد که باقی می ماند و در غیر این صورت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تصاویری که به صورت تندیس نیستند، اختلاف وجود دارد؛ زیرا گروهی معتقد به مباح بودن مطلق آن شده اند و گروهی آن را در صورتی که روی لباس و فرش و انواع زیراندازها باشد، مباح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به صورت کامل کشیده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شافعی ها نگارگری غیر حیوان جایز است، ولی نگارگری حیوان جایز نیست و پس از کشیدن اگر تصویر به صورت تندیس بود، بهره مندی از آن جایز نیست، مگر اینکه اعضای بدن آن ناقص باشند، اما اگر به صورت تندیس نبود، استفاده از آن برای نصب روی دیوار، جایز نیست، ولی اگر به صورت سینمایی باشد، جایز است و از این موارد اسباب بازی و عروسک دختران استثنا شده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نظر حنبلی ها نگارگری موجوداتی که حیوان نیستند، جایز است و اما نگارگری حیوان جایز نیست، مگر اینکه بر روی زیرانداز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حنفی ها نگارگری غیر حیوان جایز است، اما نگارگری حیوان جایز نیست، مگر اینکه روی زیراندازهایی باشد که بر زمین می اندازند یا اعضای نگاره ناقص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المستند ادعا کرده که برای حرمت کشیدن نگاره های موجودات دارای روح، به شرطی که به صورت تندیس باشند، اجماع وجود دارد و اختلاف موجود درباره انواع دیگر نگاره ها را یادآور شده است</w:t>
      </w:r>
      <w:r>
        <w:rPr>
          <w:rFonts w:eastAsia="IRNazanin" w:cs="IRNazanin"/>
          <w:color w:val="111111"/>
          <w:sz w:val="28"/>
          <w:szCs w:val="28"/>
          <w:rtl w:val="true"/>
          <w:lang w:bidi="fa-IR"/>
        </w:rPr>
        <w:t xml:space="preserve">. </w:t>
      </w:r>
      <w:r>
        <w:rPr>
          <w:rStyle w:val="FootnoteAnchor"/>
          <w:rtl w:val="true"/>
        </w:rPr>
        <w:footnoteReference w:id="24"/>
      </w:r>
      <w:bookmarkStart w:id="24" w:name="pg9706_84569"/>
    </w:p>
    <w:p>
      <w:pPr>
        <w:pStyle w:val="Heading4"/>
        <w:numPr>
          <w:ilvl w:val="3"/>
          <w:numId w:val="1"/>
        </w:numPr>
        <w:rPr/>
      </w:pPr>
      <w:bookmarkStart w:id="25" w:name="__RefHeading___Toc8246659_2870459653"/>
      <w:bookmarkStart w:id="26" w:name="_Toc9"/>
      <w:bookmarkEnd w:id="24"/>
      <w:bookmarkEnd w:id="25"/>
      <w:r>
        <w:rPr>
          <w:rtl w:val="true"/>
        </w:rPr>
        <w:t>جایز بودن نگارگری تندیس ها از نظر برخی از متأخران</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متأخران مدعی شده اند که ساخت تندیس جایز است و برای نظر خویش استدلال کرده اند به اینکه حرمت شدید این کار به دلیل آن بوده که </w:t>
      </w:r>
    </w:p>
    <w:p>
      <w:pPr>
        <w:pStyle w:val="BookText"/>
        <w:rPr/>
      </w:pPr>
      <w:r>
        <w:rPr>
          <w:rFonts w:ascii="IRNazanin" w:hAnsi="IRNazanin" w:eastAsia="IRNazanin"/>
          <w:color w:val="111111"/>
          <w:sz w:val="28"/>
          <w:sz w:val="28"/>
          <w:szCs w:val="28"/>
          <w:rtl w:val="true"/>
          <w:lang w:bidi="fa-IR"/>
        </w:rPr>
        <w:t xml:space="preserve">تندیس ها نشان مشرکان و مخالفان اسلام بوده اند، چنان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يَوْمَ الْقِيَامَةِ رَجُلٌ قَتَلَ نَبِيا أَوْ قَتَلَهُ نَبِيٌّ وَ رَجُلٌ يُضِلُّ النَّاسَ بِغَيْرِ عِلْمٍ أَوْ مُصَوّرٌ يُصَوِّرُ التَّمَاثِيلَ</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شدیدترین عذاب را در روز قیامت کسانی دارند که پیامبری را کشته باشند یا پیامبری ایشان را کشته باشد و کسی که مردم را بدون علم، گمراه سازد یا نگارگر نگاره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جایگاه جمله مورد بحث از نظر سبب حرام بودن واضح باشد که همان سمبل و نشانه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این کار جزو محرمات است، چطور خدای متعال آن را در این حدیث در ردیف گناهان کبیره ای قرار داده که دیگر گناهان، مثل شرب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قابل قیاس نیستند؟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دلیل مجازات برخی از کارهای حرام را بدانیم تا به حرام بودن آن ها اعتقاد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روش که حرمت بیان شده در روایت را به دلیل تناسب نداشتن آن ها با مجازات عموماً در فقه رد شده است؛ زیرا دلیل مجازات سخت برخی کارهای حرام که حتمی هستند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 xml:space="preserve">این روایات، روایتی است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عقاب الاعمال نقل کرده و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وَ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امام جماعتی در نماز اقتدا کند، ولی قرائت را خودش بخواند و بعد بمیرد، بر خلاف فطرت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استدلال یاد شده برای حلال شمردن ساختن تندیس،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کار از نشان ها و سمبل های مشرکان بوده باشد، پس از زمان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هم بر جواز این کار وجود ندارد؛ زیرا پس از همه گیر شدن اسلام، روایات بسیاری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که حاکی از حرمت آن هستند، در حالی که پدیده بت پرستی که در روزگار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 در آن زمان از بین رفته بود، پس چرا سمبل هایی را که نشان بودن خود را از دست داده بودند، حرام کردند؟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از قرار گرفتن نگارگری در کنار گمراه ساختن مردم و کشتن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یاد شده، فهمید که نگارگری هم با آن ها از یک سنخ و گروه است</w:t>
      </w:r>
      <w:r>
        <w:rPr>
          <w:rFonts w:eastAsia="IRNazanin" w:cs="IRNazanin"/>
          <w:color w:val="111111"/>
          <w:sz w:val="28"/>
          <w:szCs w:val="28"/>
          <w:rtl w:val="true"/>
          <w:lang w:bidi="fa-IR"/>
        </w:rPr>
        <w:t xml:space="preserve">. </w:t>
      </w:r>
      <w:bookmarkStart w:id="27" w:name="pg9706_84572"/>
    </w:p>
    <w:p>
      <w:pPr>
        <w:pStyle w:val="BookText"/>
        <w:rPr/>
      </w:pPr>
      <w:bookmarkEnd w:id="27"/>
      <w:r>
        <w:rPr>
          <w:rFonts w:ascii="IRNazanin" w:hAnsi="IRNazanin" w:eastAsia="IRNazanin"/>
          <w:color w:val="111111"/>
          <w:sz w:val="28"/>
          <w:sz w:val="28"/>
          <w:szCs w:val="28"/>
          <w:rtl w:val="true"/>
          <w:lang w:bidi="fa-IR"/>
        </w:rPr>
        <w:t>اجمالاً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جواز نگارگری به صورت تندیس زیاد قانع کننده نیستند و استدلال به آن ها مشکل است، در عین اینکه دلایل جواز نگارگری بدون ساختن تندیس که گاهی از آن به نقاشی یا کشیدن تصویر یاد می شود، استوار و مورد قبول اکثر دانشوران هستند</w:t>
      </w:r>
      <w:r>
        <w:rPr>
          <w:rFonts w:eastAsia="IRNazanin" w:cs="IRNazanin"/>
          <w:color w:val="111111"/>
          <w:sz w:val="28"/>
          <w:szCs w:val="28"/>
          <w:rtl w:val="true"/>
          <w:lang w:bidi="fa-IR"/>
        </w:rPr>
        <w:t>.</w:t>
      </w:r>
    </w:p>
    <w:p>
      <w:pPr>
        <w:pStyle w:val="Heading4"/>
        <w:numPr>
          <w:ilvl w:val="3"/>
          <w:numId w:val="1"/>
        </w:numPr>
        <w:rPr/>
      </w:pPr>
      <w:bookmarkStart w:id="28" w:name="__RefHeading___Toc8246661_2870459653"/>
      <w:bookmarkStart w:id="29" w:name="_Toc10"/>
      <w:bookmarkEnd w:id="28"/>
      <w:r>
        <w:rPr>
          <w:rtl w:val="true"/>
        </w:rPr>
        <w:t>نظرات چهارگانه درباره حرمت نگارگری</w:t>
      </w:r>
      <w:bookmarkEnd w:id="29"/>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دانشوران شیعه چهار نظر درباره حرمت نگارگری بدست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نگارگری زمانی حرام است که روی تندیس موجودی که روح دارد،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دانشوران شیعه اختلافی در حرمت این کار وجود ندارد، بلکه برای آن ادعای اجماع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نگارگری موجودات دارای روح حرام است، چه به صورت تندیس باشد و چه تندیس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و قاضی و علمای دیگری این نظر را برگزیده اند و نظر برگزیده مصنف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مطلق نگارگری اگر تندیس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مطلق نگارگری، چه تندیس باشد و چه تندیس نباشد و چه دارای روح باشد یا نباشد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دانشوران درباره دو نظر اخیر نیز اختلاف دارند، چنان که نراقی و محقق ثانی به این مسأله اشاره کرده اند، ولی کسی را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نیافتیم که چنین نظری داشته باشد و فقط از ظاهر عبارت های برخی چنین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اینجا مهم این است که دلایل این چهار نظر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مطلق که هم از طریق شیعیان و هم از طریق عامه نقل شده اند، حرمت مطلق نگارگری برداشت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حتی اگر از موجوداتی باشد که روح ندارند و تندیس نباشد، مثل این روایت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 عَمَلَ الصُّوَر فَتُسْأَلُوا عَنْهَا يَوْمَ الْقِيَامَة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روایتی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بیهقی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أَشَدِ النَّاسِ عَذَاباً يَوْمَ القِيامَةِ المُصَوّرونَ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این روایات مطلق را با روایاتی که بر جواز نگارگری موجودات بی روح دلالت دارند، مقید ساخت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روایات مطلق بر نگارگری موجودات دارای روح حمل شده و حکم به جواز نگارگری به شکل های دیگر می شود، چه نگاره تندیس باشد یا تندیس نباشد که این حکم موافق اصل و اطلاق ها و عمومات آیات و روایات وارده در طلب رزق و جواز کسب و کار با هر روشی، جز مواردی که با دلیل خارج می شوند،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تمام روایات مطلقه یاد شده از نظر سندی ضعیف هستند و ضعف آن ها با چیزی جبران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مقتضای سیره قطعیه مستمره تا زمان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نگارگری موجودات است بی روح و کسی را ندیده ایم و از کسی نقل قول نشده که منکر جواز نگارگری درختان و میوه ها و کوه ها و دریاها و رود ها و بوستان ها شود، بلکه سیره یاد شده در آموختن برخی از اشیا به ویژه در برخی از دانش ها مثل ریاضیات ثابت است؛ زیرا نگارگری را برای آسان ساختن تفهیم مطالب می</w:t>
      </w:r>
      <w:r>
        <w:rPr>
          <w:rFonts w:eastAsia="IRNazanin" w:cs="IRNazanin"/>
          <w:color w:val="111111"/>
          <w:sz w:val="28"/>
          <w:szCs w:val="28"/>
          <w:rtl w:val="true"/>
          <w:lang w:bidi="fa-IR"/>
        </w:rPr>
        <w:t xml:space="preserve">- </w:t>
      </w:r>
      <w:bookmarkStart w:id="30" w:name="pg9706_84575"/>
    </w:p>
    <w:p>
      <w:pPr>
        <w:pStyle w:val="BookText"/>
        <w:rPr/>
      </w:pPr>
      <w:bookmarkEnd w:id="30"/>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کردیم را محتوایی که در برخی از روایات آمده، تأیید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از بین بردن قبرها و شکستن نگاره ها کرد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نگاره ای باقی مگذار، جز اینکه همه را محو کن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گزارش نشده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نگاره هایی را که برای موجودات بی روح باشند، شکسته باشد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چنین فرمانی داده باشد</w:t>
      </w:r>
      <w:r>
        <w:rPr>
          <w:rFonts w:eastAsia="IRNazanin" w:cs="IRNazanin"/>
          <w:color w:val="111111"/>
          <w:sz w:val="28"/>
          <w:szCs w:val="28"/>
          <w:rtl w:val="true"/>
          <w:lang w:bidi="fa-IR"/>
        </w:rPr>
        <w:t>.</w:t>
      </w:r>
    </w:p>
    <w:p>
      <w:pPr>
        <w:pStyle w:val="Heading4"/>
        <w:numPr>
          <w:ilvl w:val="3"/>
          <w:numId w:val="1"/>
        </w:numPr>
        <w:rPr/>
      </w:pPr>
      <w:bookmarkStart w:id="31" w:name="__RefHeading___Toc8246663_2870459653"/>
      <w:bookmarkStart w:id="32" w:name="_Toc11"/>
      <w:bookmarkEnd w:id="31"/>
      <w:r>
        <w:rPr>
          <w:rtl w:val="true"/>
        </w:rPr>
        <w:t>ضعف حدیث هایی که نشان از اطلاق دارند</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نگارگری نگاره های موجودات دارای روح، چه تندیس باشند و چه تندیس نباشند، مستند به روایاتی مستفیض از هر دو مذهب است که پیشتر به آن ها اشاره شد که در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نگاره ای بکشد در روز قیامت مجازات خواهد شد و به او تکلیف می شود تا در آن روح بدمد، در حالی که توان چنین کاری ندارد و حتی در برخی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أَحْيُوا مَا خَلَقْتُم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روایت با وجود فراوانی، از نظر سندی ضعیف هستند و ضعف آن ها با چیزی جبران نشده است، پس شایستگی استناد آن ها برای حکم شرعی را ندارند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برای ما تقسیم بندی خویش از روایاتی را که شامل نگاره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تندیسی و غیر آن ها می شوند، توضیح داده است، در حالی که ظاهر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مختلفی که در این تقسیم بندی آمده، مشابه است و درک عبارت های آن به آسانی ممکن نیست و در عین حال نظر ایشان درباره حرام بودن نگاره های تندیس موجودات دارای روح مورد قبول و مشهور است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دیگر در این باره ادعای اجماع کرده اند و دلیلی بر خلاف آن نیافتیم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اینکه ضعیف شمردن این روایات به صورت کلی، جای تأمل دارد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این روایات را در تحریم نگارگری پذیرفته ایم، ولی از آن ها برداشت کرده ایم که مراد از نگارگری در آن ها، منحصراً نگارگری به شکل تندیس است، چنان که در ادامه بحث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می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روایات به طور خاص دلالت بر حرمت نگارگری موجودات دارای روح دارند، مثل صحیحه بقباق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يَعْمَلُونَ لَهُ ما يَشاءُ مِنْ مَحارِيبَ وَ تَماثِيلَ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آن ها کشیدن نگاره های مردان و زنان نبود، بلکه درخت و امثال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ذکر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است؛ چنان که بخشی از روایت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درخت و امثال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موضوع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روایات معتبر دیگری نیز بر آن دلالت دارند</w:t>
      </w:r>
      <w:r>
        <w:rPr>
          <w:rFonts w:eastAsia="IRNazanin" w:cs="IRNazanin"/>
          <w:color w:val="111111"/>
          <w:sz w:val="28"/>
          <w:szCs w:val="28"/>
          <w:rtl w:val="true"/>
          <w:lang w:bidi="fa-IR"/>
        </w:rPr>
        <w:t xml:space="preserve">. </w:t>
      </w:r>
      <w:bookmarkStart w:id="33" w:name="pg9706_84578"/>
    </w:p>
    <w:p>
      <w:pPr>
        <w:pStyle w:val="Heading4"/>
        <w:numPr>
          <w:ilvl w:val="3"/>
          <w:numId w:val="1"/>
        </w:numPr>
        <w:rPr/>
      </w:pPr>
      <w:bookmarkStart w:id="34" w:name="__RefHeading___Toc8246665_2870459653"/>
      <w:bookmarkStart w:id="35" w:name="_Toc12"/>
      <w:bookmarkEnd w:id="33"/>
      <w:bookmarkEnd w:id="34"/>
      <w:r>
        <w:rPr>
          <w:rtl w:val="true"/>
        </w:rPr>
        <w:t>روایات حرمت نگارگری تندیس</w:t>
      </w:r>
      <w:bookmarkEnd w:id="35"/>
    </w:p>
    <w:p>
      <w:pPr>
        <w:pStyle w:val="Heading5"/>
        <w:numPr>
          <w:ilvl w:val="4"/>
          <w:numId w:val="1"/>
        </w:numPr>
        <w:rPr/>
      </w:pPr>
      <w:bookmarkStart w:id="36" w:name="__RefHeading___Toc8246667_287045965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دلایل اختصاص به نگارگری تندیس که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دانشوران دیگر ذکر کرده اند، بسیار هستند که همه آن ها جای بحث دارند که در این بخش به آن ها می پردازیم</w:t>
      </w:r>
      <w:r>
        <w:rPr>
          <w:rFonts w:eastAsia="IRNazanin" w:cs="IRNazanin"/>
          <w:color w:val="111111"/>
          <w:sz w:val="28"/>
          <w:szCs w:val="28"/>
          <w:rtl w:val="true"/>
          <w:lang w:bidi="fa-IR"/>
        </w:rPr>
        <w:t>:</w:t>
      </w:r>
    </w:p>
    <w:p>
      <w:pPr>
        <w:pStyle w:val="Heading4"/>
        <w:numPr>
          <w:ilvl w:val="3"/>
          <w:numId w:val="1"/>
        </w:numPr>
        <w:rPr/>
      </w:pPr>
      <w:bookmarkStart w:id="38" w:name="__RefHeading___Toc8246669_2870459653"/>
      <w:bookmarkStart w:id="39" w:name="_Toc14"/>
      <w:bookmarkEnd w:id="38"/>
      <w:r>
        <w:rPr>
          <w:rtl w:val="true"/>
        </w:rPr>
        <w:t>دلایل اختصاص به نگارگری تندیس</w:t>
      </w:r>
      <w:bookmarkEnd w:id="39"/>
    </w:p>
    <w:p>
      <w:pPr>
        <w:pStyle w:val="Heading5"/>
        <w:numPr>
          <w:ilvl w:val="4"/>
          <w:numId w:val="1"/>
        </w:numPr>
        <w:rPr/>
      </w:pPr>
      <w:bookmarkStart w:id="40" w:name="__RefHeading___Toc8246671_2870459653"/>
      <w:bookmarkStart w:id="41" w:name="_Toc15"/>
      <w:bookmarkEnd w:id="40"/>
      <w:r>
        <w:rPr>
          <w:rtl w:val="true"/>
        </w:rPr>
        <w:t>دلیل نخست</w:t>
      </w:r>
      <w:bookmarkEnd w:id="41"/>
    </w:p>
    <w:p>
      <w:pPr>
        <w:pStyle w:val="BookText"/>
        <w:rPr/>
      </w:pPr>
      <w:r>
        <w:rPr>
          <w:rFonts w:ascii="IRNazanin" w:hAnsi="IRNazanin" w:eastAsia="IRNazanin"/>
          <w:color w:val="111111"/>
          <w:sz w:val="28"/>
          <w:sz w:val="28"/>
          <w:szCs w:val="28"/>
          <w:rtl w:val="true"/>
          <w:lang w:bidi="fa-IR"/>
        </w:rPr>
        <w:t>روایاتی که مضمون نفخ روح را دارند که ظهور در این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روایات ظاهر می شود، آن است که نگارگر نگاره را به طور کامل و شامل همه چیزهایی که حیوان برای زندگی به آن نیاز دارد، بسازد، جز روح و این کار در هیچ نگاره ای جز تندیس ممکن نیست که دارای جسم و هیکل و ابعاد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باشد، زیرا امر به دمیدن روح در نقاشی های بدون جسم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دمیدن روح نخواهد بود، مگر در محلی که قابلیت آن را داشته باشد، در حالی که نگاره های کشیده شده روی تابلو یا کاغذ و چیزهایی مشابه آن ها چنین قابلیتی ندارند، به دلیل محال بودن تبدیل عرض به جوهر و ادعای اراده جسم دادن به نگاره پیش از دمیدن و دمیدن روح پس از آن، خلاف ظاهر این روایات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دمیدن روح را با ملاحظه محل آن و نیز بدون آن، در نگاره تصور کرد، چنان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شیری که روی پارچه کشیده شده بود </w:t>
      </w:r>
    </w:p>
    <w:p>
      <w:pPr>
        <w:pStyle w:val="BookText"/>
        <w:rPr/>
      </w:pPr>
      <w:r>
        <w:rPr>
          <w:rFonts w:ascii="IRNazanin" w:hAnsi="IRNazanin" w:eastAsia="IRNazanin"/>
          <w:color w:val="111111"/>
          <w:sz w:val="28"/>
          <w:sz w:val="28"/>
          <w:szCs w:val="28"/>
          <w:rtl w:val="true"/>
          <w:lang w:bidi="fa-IR"/>
        </w:rPr>
        <w:t xml:space="preserve">فرمان داد تا جادوگر را در جلسه خلیفه بگیرد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به این استدلال وارد می شود آن است که این خلاف ظواهر روایات است؛ زیرا آنچه از آن ها ظاهر می شود این است که تکلیف به زنده کردن خود نگاره هاست، نه محل آن ها و اما پاسخ استدلال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شیری که روی پارچه کشیده شده بود تا جادوگر را بگیرد، در ادامه خواهد آمد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فقید، سید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خلاف ظاهر است و خلاف ظاهر قابل پذیرش نیست</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دمیدن روحف زنده کردن و جان بخشیدن است و روایتی که صاحب جواهر ذکر کرده، درباره دمیدن روح صحبت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مقدمه جان بخشیدن است و بعید نیست که استدلال شود، دمیدن روح در واقع جزئی از موضوع جان بخشیدن باشد؛ زیرا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أَنِّي أَخْلُقُ لَكُمْ مِنَ الطِينِ كَهَيْئَةِ الطَّيْرِ فَأَنْفُخُ فِيهِ فَيَكُونُ طَيْراً بِإِذْنِ اللهِ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گِل برای شما چیزی به شکل پرنده می سازم و در آن می دمم که به اراده و مشیت خدا 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قادر به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مرتبط با جان بخشیدن قرار داده شده و این چیزی است که در روز قیامت از نگارگران خواسته می شود و از ایشان خواسته می شود تا برای جان بخشیدن، در نگاره هایشان روح بدمند</w:t>
      </w:r>
      <w:r>
        <w:rPr>
          <w:rFonts w:eastAsia="IRNazanin" w:cs="IRNazanin"/>
          <w:color w:val="111111"/>
          <w:sz w:val="28"/>
          <w:szCs w:val="28"/>
          <w:rtl w:val="true"/>
          <w:lang w:bidi="fa-IR"/>
        </w:rPr>
        <w:t xml:space="preserve">. </w:t>
      </w:r>
      <w:bookmarkStart w:id="42" w:name="pg9706_84581"/>
    </w:p>
    <w:p>
      <w:pPr>
        <w:pStyle w:val="Heading5"/>
        <w:numPr>
          <w:ilvl w:val="4"/>
          <w:numId w:val="1"/>
        </w:numPr>
        <w:rPr/>
      </w:pPr>
      <w:bookmarkStart w:id="43" w:name="__RefHeading___Toc8246673_2870459653"/>
      <w:bookmarkStart w:id="44" w:name="_Toc16"/>
      <w:bookmarkEnd w:id="42"/>
      <w:bookmarkEnd w:id="43"/>
      <w:r>
        <w:rPr>
          <w:rtl w:val="true"/>
        </w:rPr>
        <w:t>دلیل دوم</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متاجر از کتاب جواهر آمده که برخی از روایاتی که در صلاة نقل شده که اگر سر آن ها را تغییر دهد </w:t>
      </w:r>
      <w:r>
        <w:rPr>
          <w:rStyle w:val="FootnoteAnchor"/>
          <w:rtl w:val="true"/>
        </w:rPr>
        <w:footnoteReference w:id="37"/>
      </w:r>
      <w:r>
        <w:rPr>
          <w:rFonts w:ascii="IRNazanin" w:hAnsi="IRNazanin" w:eastAsia="IRNazanin"/>
          <w:color w:val="111111"/>
          <w:sz w:val="28"/>
          <w:sz w:val="28"/>
          <w:szCs w:val="28"/>
          <w:rtl w:val="true"/>
          <w:lang w:bidi="fa-IR"/>
        </w:rPr>
        <w:t xml:space="preserve">و در روایتی دیگر، سر آن را قطع کند </w:t>
      </w:r>
      <w:r>
        <w:rPr>
          <w:rStyle w:val="FootnoteAnchor"/>
          <w:rtl w:val="true"/>
        </w:rPr>
        <w:footnoteReference w:id="38"/>
      </w:r>
      <w:r>
        <w:rPr>
          <w:rFonts w:ascii="IRNazanin" w:hAnsi="IRNazanin" w:eastAsia="IRNazanin"/>
          <w:color w:val="111111"/>
          <w:sz w:val="28"/>
          <w:sz w:val="28"/>
          <w:szCs w:val="28"/>
          <w:rtl w:val="true"/>
          <w:lang w:bidi="fa-IR"/>
        </w:rPr>
        <w:t xml:space="preserve">و در روایت سوم، سرش را بشکند </w:t>
      </w:r>
      <w:r>
        <w:rPr>
          <w:rStyle w:val="FootnoteAnchor"/>
          <w:rtl w:val="true"/>
        </w:rPr>
        <w:footnoteReference w:id="39"/>
      </w:r>
      <w:r>
        <w:rPr>
          <w:rFonts w:ascii="IRNazanin" w:hAnsi="IRNazanin" w:eastAsia="IRNazanin"/>
          <w:color w:val="111111"/>
          <w:sz w:val="28"/>
          <w:sz w:val="28"/>
          <w:szCs w:val="28"/>
          <w:rtl w:val="true"/>
          <w:lang w:bidi="fa-IR"/>
        </w:rPr>
        <w:t>، اشکال ندارد که نوعی اشاره به جسم داشتن نگاره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شده که ظاهر برخی از این روایات مشترک بین تندیس و غیر تندیس است که این طور نقد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 بر غیر تندیس قابل تطبیق است؟ در حالی که بیشتر نقاشی ها از الیاف یا رنگی بوده که دستیابی به آن 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ممکن است که گفته شود به خیاط یا رفوگری بدهند تا روی آن را بدوزد و تغییر دهد، آن طور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پارچه ای که از شام برایش هدیه آورده بودند </w:t>
      </w:r>
      <w:r>
        <w:rPr>
          <w:rStyle w:val="FootnoteAnchor"/>
          <w:rtl w:val="true"/>
        </w:rPr>
        <w:footnoteReference w:id="40"/>
      </w:r>
      <w:r>
        <w:rPr>
          <w:rFonts w:ascii="IRNazanin" w:hAnsi="IRNazanin" w:eastAsia="IRNazanin"/>
          <w:color w:val="111111"/>
          <w:sz w:val="28"/>
          <w:sz w:val="28"/>
          <w:szCs w:val="28"/>
          <w:rtl w:val="true"/>
          <w:lang w:bidi="fa-IR"/>
        </w:rPr>
        <w:t xml:space="preserve">، این کار را انجام داد،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فَتَقْطَعَ رُؤُوسَهَا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با تندیس بودن بیشتر از دیگر معناها سازگاری دارد و از همین جهت، موجب شده تا دلالت آن شکسته شود و شکی نیست که با هر دو روایت دیگر موافق و سازگار است</w:t>
      </w:r>
      <w:r>
        <w:rPr>
          <w:rFonts w:eastAsia="IRNazanin" w:cs="IRNazanin"/>
          <w:color w:val="111111"/>
          <w:sz w:val="28"/>
          <w:szCs w:val="28"/>
          <w:rtl w:val="true"/>
          <w:lang w:bidi="fa-IR"/>
        </w:rPr>
        <w:t xml:space="preserve">. </w:t>
      </w:r>
      <w:bookmarkStart w:id="45" w:name="pg9706_84583"/>
    </w:p>
    <w:p>
      <w:pPr>
        <w:pStyle w:val="Heading3"/>
        <w:numPr>
          <w:ilvl w:val="2"/>
          <w:numId w:val="1"/>
        </w:numPr>
        <w:rPr/>
      </w:pPr>
      <w:bookmarkStart w:id="46" w:name="__RefHeading___Toc8246675_2870459653"/>
      <w:bookmarkStart w:id="47" w:name="_Toc17"/>
      <w:bookmarkEnd w:id="45"/>
      <w:bookmarkEnd w:id="46"/>
      <w:r>
        <w:rPr>
          <w:rtl w:val="true"/>
        </w:rPr>
        <w:t>اختلاف دانشوران شیعه درباره حکم تصاوير غير تنديس</w:t>
      </w:r>
      <w:bookmarkEnd w:id="47"/>
    </w:p>
    <w:p>
      <w:pPr>
        <w:pStyle w:val="BookText"/>
        <w:rPr/>
      </w:pPr>
      <w:r>
        <w:rPr>
          <w:rFonts w:ascii="IRNazanin" w:hAnsi="IRNazanin" w:eastAsia="IRNazanin"/>
          <w:color w:val="111111"/>
          <w:sz w:val="28"/>
          <w:sz w:val="28"/>
          <w:szCs w:val="28"/>
          <w:rtl w:val="true"/>
          <w:lang w:bidi="fa-IR"/>
        </w:rPr>
        <w:t xml:space="preserve">در کتاب المختلف آمده است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ابن البراج گفته است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نگاره ها چه تندیس باشند و چه غیر تندیس،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ادریس گفته است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نگاره های دیگر و نگارگری موجوداتی که روح دارند، چه تندیس باشند و چه نباشند،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ابوالصلاح گفته است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نگاره ها حرام هستند و حکم را بدون قید ذکر کرده و مطلق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محقق ثانی نگارگری را به چهار بخش تقسیم کرده </w:t>
      </w:r>
      <w:r>
        <w:rPr>
          <w:rStyle w:val="FootnoteAnchor"/>
          <w:rtl w:val="true"/>
        </w:rPr>
        <w:footnoteReference w:id="45"/>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اجماعاً حرام است و آن نگارگری به صورت تندیس از موجودات دارای روح است، در حالی که درباره حکم دیگر بخش ها اختلاف پدید آمده است</w:t>
      </w:r>
      <w:r>
        <w:rPr>
          <w:rFonts w:eastAsia="IRNazanin" w:cs="IRNazanin"/>
          <w:color w:val="111111"/>
          <w:sz w:val="28"/>
          <w:szCs w:val="28"/>
          <w:rtl w:val="true"/>
          <w:lang w:bidi="fa-IR"/>
        </w:rPr>
        <w:t>.</w:t>
      </w:r>
    </w:p>
    <w:p>
      <w:pPr>
        <w:pStyle w:val="Heading3"/>
        <w:numPr>
          <w:ilvl w:val="2"/>
          <w:numId w:val="1"/>
        </w:numPr>
        <w:rPr/>
      </w:pPr>
      <w:bookmarkStart w:id="48" w:name="__RefHeading___Toc8246677_2870459653"/>
      <w:bookmarkStart w:id="49" w:name="_Toc18"/>
      <w:bookmarkEnd w:id="48"/>
      <w:r>
        <w:rPr>
          <w:rtl w:val="true"/>
        </w:rPr>
        <w:t>اشکالات و پاسخ به آنها</w:t>
      </w:r>
      <w:bookmarkEnd w:id="49"/>
    </w:p>
    <w:p>
      <w:pPr>
        <w:pStyle w:val="Heading4"/>
        <w:numPr>
          <w:ilvl w:val="3"/>
          <w:numId w:val="1"/>
        </w:numPr>
        <w:rPr/>
      </w:pPr>
      <w:bookmarkStart w:id="50" w:name="__RefHeading___Toc8246679_2870459653"/>
      <w:bookmarkStart w:id="51" w:name="_Toc19"/>
      <w:bookmarkEnd w:id="50"/>
      <w:r>
        <w:rPr>
          <w:rtl w:val="true"/>
        </w:rPr>
        <w:t>اشکال نخست</w:t>
      </w:r>
      <w:bookmarkEnd w:id="51"/>
    </w:p>
    <w:p>
      <w:pPr>
        <w:pStyle w:val="BookText"/>
        <w:rPr/>
      </w:pPr>
      <w:r>
        <w:rPr>
          <w:rFonts w:ascii="IRNazanin" w:hAnsi="IRNazanin" w:eastAsia="IRNazanin"/>
          <w:color w:val="111111"/>
          <w:sz w:val="28"/>
          <w:sz w:val="28"/>
          <w:szCs w:val="28"/>
          <w:rtl w:val="true"/>
          <w:lang w:bidi="fa-IR"/>
        </w:rPr>
        <w:t xml:space="preserve">گفته شده است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نهی کننده از مجسمه سازی و ساخت تندیس، همچون روایت محمد بن مسلم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تَمَاثِيلِ الشَّجَرِ وَ الشَّمْسِ وَ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يَكُنْ شَيْئاً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تندیس های درخت و خورشید و ماه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تا وقتی که حیوانی در آن نباشد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دهند نگارگری غیر حیوان اشکال ندارد و م یتوان از آن برداشت کرد که نگارگری حیوان اشکال دارد، ولی آیا فقط تندیس یا شامل غیر تندیس هم می شود؟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شامل موارد غیر تندیس و نقاشی هم می شود؛ زیرا ساختن تندیس ماه و خورشید ممکن نیست، پس روشن است که صحبت از نقاشی آن هاست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تندیس ماه و امثال آن محال نیست و شاید در آن زمان متداول بوده باشد و پیش از اسلام و پس از آن تندیس طلایی و نقره 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شده</w:t>
      </w:r>
      <w:r>
        <w:rPr>
          <w:rFonts w:eastAsia="IRNazanin" w:cs="IRNazanin"/>
          <w:color w:val="111111"/>
          <w:sz w:val="28"/>
          <w:szCs w:val="28"/>
          <w:rtl w:val="true"/>
          <w:lang w:bidi="fa-IR"/>
        </w:rPr>
        <w:t xml:space="preserve">. </w:t>
      </w:r>
      <w:bookmarkStart w:id="52" w:name="pg9706_84584"/>
    </w:p>
    <w:p>
      <w:pPr>
        <w:pStyle w:val="Heading4"/>
        <w:numPr>
          <w:ilvl w:val="3"/>
          <w:numId w:val="1"/>
        </w:numPr>
        <w:rPr/>
      </w:pPr>
      <w:bookmarkStart w:id="53" w:name="__RefHeading___Toc8246681_2870459653"/>
      <w:bookmarkStart w:id="54" w:name="_Toc20"/>
      <w:bookmarkEnd w:id="52"/>
      <w:bookmarkEnd w:id="53"/>
      <w:r>
        <w:rPr>
          <w:rtl w:val="true"/>
        </w:rPr>
        <w:t>اشکال دوم</w:t>
      </w:r>
      <w:bookmarkEnd w:id="54"/>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 حرام است، چه تندیس باشد و چه غیر تندیس، چون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 يَنْهَى عَنْ تَزْوِيقِ الْبُيُوتِ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التَّزْوِيقُ؟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تَصَاوِيرُ التَّمَاثِيل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در روایت،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تصاویر التماثيل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اشکال کرده،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از آن هر نوع نگارگری، چه تندیس باشد و چه نباشد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جمعی در منابع واژه شناسی وجود ندارد و اعتباری ندارد، بلکه مراد از آن، همان تصویر است که دلالتی بر حالت های مختلف آن ندارد، چنان که از روایتی دیگر چنین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يَنْهَى عَنِ التَّمَاثِيل </w:t>
      </w:r>
      <w:r>
        <w:rPr>
          <w:rStyle w:val="FootnoteAnchor"/>
          <w:rtl w:val="true"/>
        </w:rPr>
        <w:footnoteReference w:id="49"/>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از نگاره ها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نهایت محتوای این روایات، نهی از تزیین خانه با آن هاست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نهی هایی غالباً نشان دهنده کراهت هستند، چنان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تَبْنُوا عَلَى الْقُبُورِ وَلَا تُصَوّرُوا </w:t>
      </w:r>
      <w:bookmarkStart w:id="55" w:name="pg9706_84585"/>
    </w:p>
    <w:p>
      <w:pPr>
        <w:pStyle w:val="BookText"/>
        <w:rPr/>
      </w:pPr>
      <w:bookmarkEnd w:id="55"/>
      <w:r>
        <w:rPr>
          <w:rFonts w:ascii="IRNazanin" w:hAnsi="IRNazanin" w:eastAsia="IRNazanin"/>
          <w:color w:val="111111"/>
          <w:sz w:val="28"/>
          <w:sz w:val="28"/>
          <w:szCs w:val="28"/>
          <w:rtl w:val="true"/>
          <w:lang w:bidi="fa-IR"/>
        </w:rPr>
        <w:t xml:space="preserve">سُقُوفَ الْبُيُوتِ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قبرها بنا نسازید و روی سقف ها را نقش و نگار نکشید؛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کراهت داشت</w:t>
      </w:r>
      <w:r>
        <w:rPr>
          <w:rFonts w:eastAsia="IRNazanin" w:cs="IRNazanin"/>
          <w:color w:val="111111"/>
          <w:sz w:val="28"/>
          <w:szCs w:val="28"/>
          <w:rtl w:val="true"/>
          <w:lang w:bidi="fa-IR"/>
        </w:rPr>
        <w:t>.</w:t>
      </w:r>
    </w:p>
    <w:p>
      <w:pPr>
        <w:pStyle w:val="Heading4"/>
        <w:numPr>
          <w:ilvl w:val="3"/>
          <w:numId w:val="1"/>
        </w:numPr>
        <w:rPr/>
      </w:pPr>
      <w:bookmarkStart w:id="56" w:name="__RefHeading___Toc8246683_2870459653"/>
      <w:bookmarkStart w:id="57" w:name="_Toc21"/>
      <w:bookmarkEnd w:id="56"/>
      <w:r>
        <w:rPr>
          <w:rtl w:val="true"/>
        </w:rPr>
        <w:t>اشکال سوم</w:t>
      </w:r>
      <w:bookmarkEnd w:id="57"/>
    </w:p>
    <w:p>
      <w:pPr>
        <w:pStyle w:val="BookText"/>
        <w:rPr/>
      </w:pPr>
      <w:r>
        <w:rPr>
          <w:rFonts w:ascii="IRNazanin" w:hAnsi="IRNazanin" w:eastAsia="IRNazanin"/>
          <w:color w:val="111111"/>
          <w:sz w:val="28"/>
          <w:sz w:val="28"/>
          <w:szCs w:val="28"/>
          <w:rtl w:val="true"/>
          <w:lang w:bidi="fa-IR"/>
        </w:rPr>
        <w:t xml:space="preserve">گفته شده که این کار به دلیل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مناهی حرام است و حدیث یادشده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التَّصَاوِيرِ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صُورَةً كَلَّفَهُ اللهُ تَعَالَى يَوْمَ الْقِيَامَةِ أَنْ يَنْفُخَ فِيهَا وَ لَيْسَ بِنَافِحَ وَ نَهَى أَنْ يُحْرَقَ شَيْءٌ مِنَ الْحَيَوَانِ بِالنَّارِ وَ نَهَى عَنِ التَّخَتُمِ بِخَاتَمِ صُفْرٍ أَوْ حَدِيدٍ وَ نَهَى أَنْ يُنْقَشَ شَيْءٌ مِنَ الْحَيَوَانِ عَلَى الْخَاتَمِ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این روایت نهی از نگارگری و نقاشی واضح بیان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خبر دادن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نهی کرد، حکایت دارد و واژه مزبور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نهی می کند یا شما را نهی می کند که انشائی هستند، نیامده است و به همین دلیل استدلال به آن برای حرمت مشکل است، نتیجه اینکه از آن مضمونی مخصوص حرمت فهمیده نمی شود؛ زیرا در ضمن مواردی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نهی فرموده است، انگشتر مس و آهن به دست کردن هم وجود دارد که مکروه هستند، </w:t>
      </w:r>
      <w:bookmarkStart w:id="58" w:name="pg9706_84586"/>
    </w:p>
    <w:p>
      <w:pPr>
        <w:pStyle w:val="BookText"/>
        <w:rPr/>
      </w:pPr>
      <w:bookmarkEnd w:id="58"/>
      <w:r>
        <w:rPr>
          <w:rFonts w:ascii="IRNazanin" w:hAnsi="IRNazanin" w:eastAsia="IRNazanin"/>
          <w:color w:val="111111"/>
          <w:sz w:val="28"/>
          <w:sz w:val="28"/>
          <w:szCs w:val="28"/>
          <w:rtl w:val="true"/>
          <w:lang w:bidi="fa-IR"/>
        </w:rPr>
        <w:t>افزون بر اینکه در آن نهی از نگارگری به صورت مطلق و نهی از نقاشی مقید به حیوان و خاتم آمده که نشان دهنده اختلاف این دو عمل است و از نقاشی به طور مطلق نهی نفرموده که محل درنگ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موراد، این روایت به دلیل مجهول بودن راویانش، ضعیف است</w:t>
      </w:r>
      <w:r>
        <w:rPr>
          <w:rFonts w:eastAsia="IRNazanin" w:cs="IRNazanin"/>
          <w:color w:val="111111"/>
          <w:sz w:val="28"/>
          <w:szCs w:val="28"/>
          <w:rtl w:val="true"/>
          <w:lang w:bidi="fa-IR"/>
        </w:rPr>
        <w:t>.</w:t>
      </w:r>
    </w:p>
    <w:p>
      <w:pPr>
        <w:pStyle w:val="Heading4"/>
        <w:numPr>
          <w:ilvl w:val="3"/>
          <w:numId w:val="1"/>
        </w:numPr>
        <w:rPr/>
      </w:pPr>
      <w:bookmarkStart w:id="59" w:name="__RefHeading___Toc8246685_2870459653"/>
      <w:bookmarkStart w:id="60" w:name="_Toc22"/>
      <w:bookmarkEnd w:id="59"/>
      <w:r>
        <w:rPr>
          <w:rtl w:val="true"/>
        </w:rPr>
        <w:t>اشکال چهارم</w:t>
      </w:r>
      <w:bookmarkEnd w:id="60"/>
    </w:p>
    <w:p>
      <w:pPr>
        <w:pStyle w:val="BookText"/>
        <w:rPr/>
      </w:pPr>
      <w:r>
        <w:rPr>
          <w:rFonts w:ascii="IRNazanin" w:hAnsi="IRNazanin" w:eastAsia="IRNazanin"/>
          <w:color w:val="111111"/>
          <w:sz w:val="28"/>
          <w:sz w:val="28"/>
          <w:szCs w:val="28"/>
          <w:rtl w:val="true"/>
          <w:lang w:bidi="fa-IR"/>
        </w:rPr>
        <w:t>گفته شده که زمان دلیلی که حرمت نگارگری داشت، گذشته و تاریخ آن منقضی شده است؛ زیرا این عمل از نشانه ها و سمبل های مشرکان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هَدْمِ الْقُبُورِ وَ كَسْرِ الصُّوَرِ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از بین بردن قبرها و شکستن نگاره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می شود که آن جزو نشانه ها و سمبل های مشرکان بوده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نگاره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حکم را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برای برداشتن حرمت نگاره هایی که تندیس نیستند، بسیار آسان تر است از برداشتن حرمت نگاره هایی که تندیس هستند، به دلایل فراوان دیگری که برای استدلال به حرمت ساخت تندیس قوی و برای استدلال به حرمت موارد دیگر ضعیف هستند</w:t>
      </w:r>
      <w:r>
        <w:rPr>
          <w:rFonts w:eastAsia="IRNazanin" w:cs="IRNazanin"/>
          <w:color w:val="111111"/>
          <w:sz w:val="28"/>
          <w:szCs w:val="28"/>
          <w:rtl w:val="true"/>
          <w:lang w:bidi="fa-IR"/>
        </w:rPr>
        <w:t xml:space="preserve">. </w:t>
      </w:r>
      <w:bookmarkStart w:id="61" w:name="pg9706_84587"/>
    </w:p>
    <w:p>
      <w:pPr>
        <w:pStyle w:val="Heading4"/>
        <w:numPr>
          <w:ilvl w:val="3"/>
          <w:numId w:val="1"/>
        </w:numPr>
        <w:rPr/>
      </w:pPr>
      <w:bookmarkStart w:id="62" w:name="__RefHeading___Toc8246687_2870459653"/>
      <w:bookmarkStart w:id="63" w:name="_Toc23"/>
      <w:bookmarkEnd w:id="61"/>
      <w:bookmarkEnd w:id="62"/>
      <w:r>
        <w:rPr>
          <w:rtl w:val="true"/>
        </w:rPr>
        <w:t>اشکال پنجم</w:t>
      </w:r>
      <w:bookmarkEnd w:id="63"/>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نگاره هایی که از آن ها نهی شده،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صحیحه محمد بن مسلم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وَ فِي ثَوْبِهِ دَرَاهِمُ فِيهَا تَمَاثِيلُ؟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نماز خواندن در لباسی پرسیدم که روی آن سکه هایی دوخته اند که نگاره هایی دارند؟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دیگری 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تُصَلِّي عَلَى كُلِّ الثَّمَاثِيلِ إِذَا جَعَلْتَهَا تَحْتَكَ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خواندن با هر نگاره ای اشکال ندارد، به شرطی که آن را زیر پایت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معادل نقاشی بکار رفته است؛ زیرا از گونه های مختلف نگارگری تنها نقاشی است که روی سکه امکان اجرا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شتر بیان شد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تندیس و هم به غیر تندیس که از جمله آن ها نقاشی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گفتیم حکم تحریم در خصوص تندیس و مجسمه است که به آن ها تمثال و نگاره نیز گفته می شود و </w:t>
      </w:r>
      <w:bookmarkStart w:id="64" w:name="pg9706_84588"/>
    </w:p>
    <w:p>
      <w:pPr>
        <w:pStyle w:val="BookText"/>
        <w:rPr/>
      </w:pPr>
      <w:bookmarkEnd w:id="64"/>
      <w:r>
        <w:rPr>
          <w:rFonts w:ascii="IRNazanin" w:hAnsi="IRNazanin" w:eastAsia="IRNazanin"/>
          <w:color w:val="111111"/>
          <w:sz w:val="28"/>
          <w:sz w:val="28"/>
          <w:szCs w:val="28"/>
          <w:rtl w:val="true"/>
          <w:lang w:bidi="fa-IR"/>
        </w:rPr>
        <w:t>حکم نگاره هایی که تندیس نیستند،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 و این بحث در پی روشن ساختن مصداق نگاره هایی است که حکم تحریم شده اندم و اگرچه روایات تحریم، درباره نگاره های نقاشی شده هستند و تندیس نیستند، صحبت می کنند، اما حکم حرمت را نمی توان از آن ها برداشت کرد</w:t>
      </w:r>
      <w:r>
        <w:rPr>
          <w:rFonts w:eastAsia="IRNazanin" w:cs="IRNazanin"/>
          <w:color w:val="111111"/>
          <w:sz w:val="28"/>
          <w:szCs w:val="28"/>
          <w:rtl w:val="true"/>
          <w:lang w:bidi="fa-IR"/>
        </w:rPr>
        <w:t>.</w:t>
      </w:r>
    </w:p>
    <w:p>
      <w:pPr>
        <w:pStyle w:val="Heading3"/>
        <w:numPr>
          <w:ilvl w:val="2"/>
          <w:numId w:val="1"/>
        </w:numPr>
        <w:rPr/>
      </w:pPr>
      <w:bookmarkStart w:id="65" w:name="__RefHeading___Toc8246689_2870459653"/>
      <w:bookmarkStart w:id="66" w:name="_Toc24"/>
      <w:bookmarkEnd w:id="65"/>
      <w:r>
        <w:rPr>
          <w:rtl w:val="true"/>
        </w:rPr>
        <w:t>ثمره بحث</w:t>
      </w:r>
      <w:bookmarkEnd w:id="66"/>
    </w:p>
    <w:p>
      <w:pPr>
        <w:pStyle w:val="BookText"/>
        <w:rPr/>
      </w:pPr>
      <w:r>
        <w:rPr>
          <w:rFonts w:ascii="IRNazanin" w:hAnsi="IRNazanin" w:eastAsia="IRNazanin"/>
          <w:color w:val="111111"/>
          <w:sz w:val="28"/>
          <w:sz w:val="28"/>
          <w:szCs w:val="28"/>
          <w:rtl w:val="true"/>
          <w:lang w:bidi="fa-IR"/>
        </w:rPr>
        <w:t xml:space="preserve">از تمام آنچه بیان شد، روشن می شود که دلایل جواز نگارگری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نگاره هایی که تندیس و مجسمه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برخی از متأخرین گفته اند، استوار نیستند، بلکه واقعاً ضعیف و مخالف اجماع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دلایل جواز نگارگری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نگاره هایی که تندیس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استوار و قابل پذیرش هستند و بیشتر دانشوران آن ها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روایات حاکی از حرام بودن نگاره ها، بر اساس دلایل موجود، ویژه نگارگری نگاره هایی هستند که تندیس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درباره نقاشی سخن می گویند، حرمت فهمیده نمی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اشکالاتی که برخی ذکر کرده اند این است که این مسأله دلیلی ندارد و بر اساس اصل برائت، حکم به جواز این عمل ثابت می شود، چنان که </w:t>
      </w:r>
    </w:p>
    <w:p>
      <w:pPr>
        <w:pStyle w:val="BookText"/>
        <w:rPr/>
      </w:pPr>
      <w:r>
        <w:rPr>
          <w:rFonts w:ascii="IRNazanin" w:hAnsi="IRNazanin" w:eastAsia="IRNazanin"/>
          <w:color w:val="111111"/>
          <w:sz w:val="28"/>
          <w:sz w:val="28"/>
          <w:szCs w:val="28"/>
          <w:rtl w:val="true"/>
          <w:lang w:bidi="fa-IR"/>
        </w:rPr>
        <w:t>به دلیل عدم امکان اجرای این اصل، حکم به حرمت نگاره هایی که تندیس هستند،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ها و نقاشی های رایج از موجوداتی که روح دارند و دیگر موجودات، جایز هستند و کشیدن نگاره انسان و حیوانات اشکالی ندارد و بر این اساس موضوع مورد بحث کامل می شود و حکم جواز را بر رسم نگاره های منتسب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کنیم</w:t>
      </w:r>
      <w:r>
        <w:rPr>
          <w:rFonts w:eastAsia="IRNazanin" w:cs="IRNazanin"/>
          <w:color w:val="111111"/>
          <w:sz w:val="28"/>
          <w:szCs w:val="28"/>
          <w:rtl w:val="true"/>
          <w:lang w:bidi="fa-IR"/>
        </w:rPr>
        <w:t xml:space="preserve">. </w:t>
      </w:r>
      <w:bookmarkStart w:id="67" w:name="pg9706_84590"/>
    </w:p>
    <w:p>
      <w:pPr>
        <w:pStyle w:val="Heading2"/>
        <w:numPr>
          <w:ilvl w:val="1"/>
          <w:numId w:val="1"/>
        </w:numPr>
        <w:rPr/>
      </w:pPr>
      <w:bookmarkStart w:id="68" w:name="__RefHeading___Toc8246691_2870459653"/>
      <w:bookmarkStart w:id="69" w:name="_Toc25"/>
      <w:bookmarkEnd w:id="67"/>
      <w:bookmarkEnd w:id="68"/>
      <w:r>
        <w:rPr>
          <w:rtl w:val="true"/>
        </w:rPr>
        <w:t xml:space="preserve">کشیدن نگاره های اهل بیت </w:t>
      </w:r>
      <w:r>
        <w:rPr>
          <w:rtl w:val="true"/>
        </w:rPr>
        <w:t>(</w:t>
      </w:r>
      <w:r>
        <w:rPr>
          <w:rtl w:val="true"/>
        </w:rPr>
        <w:t>علیهم السلام</w:t>
      </w:r>
      <w:r>
        <w:rPr>
          <w:rtl w:val="true"/>
        </w:rPr>
        <w:t>)</w:t>
      </w:r>
      <w:bookmarkEnd w:id="69"/>
    </w:p>
    <w:p>
      <w:pPr>
        <w:pStyle w:val="Heading3"/>
        <w:numPr>
          <w:ilvl w:val="2"/>
          <w:numId w:val="1"/>
        </w:numPr>
        <w:rPr/>
      </w:pPr>
      <w:bookmarkStart w:id="70" w:name="__RefHeading___Toc8246693_2870459653"/>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نگارگری از شخصیت های مهم دینی، سیاسی، قهرمان های ورزشی جهانی و ملی، دانشمندان و اندیشمندان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ابراز محبت مردم نسبت به ایشان و یادآوری دیگران نسبت به شمائل و صفت های ایشان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دلیل عدم وجود نگاره های واقعی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مشخص نیست، اگرچه گفته شده که به دلیل وجود دیدگاه منفی و سلبی در زمان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نسبت به نقاشی بوده که سخنی غیر قابل پذیرش است، چون گزارش های تاریخی از وجود برخی از نگاره ها همچون نگاره شیر در آن زمان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زمان آغاز پدیده نگارگری از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تأسیس سلسله شیعی آل بویه دانسته اند و گفته اند که این کار، بر اساس برخی از اسناد یافته شده، پس از انقراض سلسله عباسیان رواج یافت و تا روزگار حاضر، ده ها نگاره منسوب به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شیعیان، مقدس دانسته شده و مورد احترام قرار گرفته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موجب شده اشکالاتی درباره این نگاره ها مطرح شود که نخستین آن ها اشکال به مطابقت نداشتن نگاره ها با چهره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این اساس، این شبهه ایجاد می شود که چرا باید این نگاره ها مقدس شمرده شوند؟ </w:t>
      </w:r>
      <w:bookmarkStart w:id="72" w:name="pg9706_84591"/>
    </w:p>
    <w:p>
      <w:pPr>
        <w:pStyle w:val="Heading3"/>
        <w:numPr>
          <w:ilvl w:val="2"/>
          <w:numId w:val="1"/>
        </w:numPr>
        <w:rPr/>
      </w:pPr>
      <w:bookmarkStart w:id="73" w:name="__RefHeading___Toc8246695_2870459653"/>
      <w:bookmarkStart w:id="74" w:name="_Toc27"/>
      <w:bookmarkEnd w:id="72"/>
      <w:bookmarkEnd w:id="73"/>
      <w:r>
        <w:rPr>
          <w:rtl w:val="true"/>
        </w:rPr>
        <w:t>درستی انتساب نگاره ها</w:t>
      </w:r>
      <w:bookmarkEnd w:id="74"/>
    </w:p>
    <w:p>
      <w:pPr>
        <w:pStyle w:val="BookText"/>
        <w:rPr/>
      </w:pPr>
      <w:r>
        <w:rPr>
          <w:rFonts w:ascii="IRNazanin" w:hAnsi="IRNazanin" w:eastAsia="IRNazanin"/>
          <w:color w:val="111111"/>
          <w:sz w:val="28"/>
          <w:sz w:val="28"/>
          <w:szCs w:val="28"/>
          <w:rtl w:val="true"/>
          <w:lang w:bidi="fa-IR"/>
        </w:rPr>
        <w:t xml:space="preserve">شکی نیست که این نگاره ها به دلایل مختلف و فراوان، با واقعیت مطابقت ندارند؛ زیرا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آفریده های الهی هستند، بنابر این، چطور نگارگران بتوانند نگاره هایی همچون نگاره های خدای متعال بیافرینند؟ در حالی که خدای متعال درباره آفریده های خویش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بحثی در این موضوع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پس از ثابت شدن جواز نگارگری و نقاشی، می پرسیم که آیا جواز این کار وابسته به دیدن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کشیدن چهره واقعی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دلیلی برای پاسخ مثبت به این پرسش وجود ندارد و اصل اباحه در این موضوع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نگارگر می تواند نگاره را بر اساس شنیده ها از ویژگی های کسی که نگاره او را می کشد، بکشد یا از روی نگاره ای دیگر، بکشد یا از روشی دیگر بهره ببرد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با دیدن، بهتر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طور است، ولی به هر حال ممکن نیست آنچه کشیده می شود، مطابق با واقع باشد، بلکه نگارگر به تلاش و دقت خویش تکیه می کند و به همین دلیل است که گاهی دو نفر از یک نفر نگارگری می کنند، ولی نگاره هایشان با هم فرق دارد، آیا دو نفر متفاوت می توانند یک نقاشی کاملاً یکسان بکشند؟ </w:t>
      </w:r>
      <w:bookmarkStart w:id="75" w:name="pg9706_84592"/>
    </w:p>
    <w:p>
      <w:pPr>
        <w:pStyle w:val="Heading3"/>
        <w:numPr>
          <w:ilvl w:val="2"/>
          <w:numId w:val="1"/>
        </w:numPr>
        <w:rPr/>
      </w:pPr>
      <w:bookmarkStart w:id="76" w:name="__RefHeading___Toc8246697_2870459653"/>
      <w:bookmarkStart w:id="77" w:name="_Toc28"/>
      <w:bookmarkEnd w:id="75"/>
      <w:bookmarkEnd w:id="76"/>
      <w:r>
        <w:rPr>
          <w:rtl w:val="true"/>
        </w:rPr>
        <w:t>کشیدن نگاره ها بر اساس نقل ویژگی ها</w:t>
      </w:r>
      <w:bookmarkEnd w:id="77"/>
    </w:p>
    <w:p>
      <w:pPr>
        <w:pStyle w:val="BookText"/>
        <w:rPr/>
      </w:pPr>
      <w:r>
        <w:rPr>
          <w:rFonts w:ascii="IRNazanin" w:hAnsi="IRNazanin" w:eastAsia="IRNazanin"/>
          <w:color w:val="111111"/>
          <w:sz w:val="28"/>
          <w:sz w:val="28"/>
          <w:szCs w:val="28"/>
          <w:rtl w:val="true"/>
          <w:lang w:bidi="fa-IR"/>
        </w:rPr>
        <w:t>نگارگری گاهی با دیدن موضوع و گاهی بر اساس شنیده ها درباره آن انجام می پذیرد که در هر دو حالت، امکان مطابقت کامل نگاره با موضوع وجود ندارد و دلیل جواز هر دو گونه یکی است و حکم آن ها از هم قابل تفکیک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نگاره های منسوب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گونه دوم هستند و اشکالی در ریشه آن ها وجود ندارد، جز اینکه باید دو نکته بررسی شود</w:t>
      </w:r>
      <w:r>
        <w:rPr>
          <w:rFonts w:eastAsia="IRNazanin" w:cs="IRNazanin"/>
          <w:color w:val="111111"/>
          <w:sz w:val="28"/>
          <w:szCs w:val="28"/>
          <w:rtl w:val="true"/>
          <w:lang w:bidi="fa-IR"/>
        </w:rPr>
        <w:t>:</w:t>
      </w:r>
    </w:p>
    <w:p>
      <w:pPr>
        <w:pStyle w:val="Heading3"/>
        <w:numPr>
          <w:ilvl w:val="2"/>
          <w:numId w:val="1"/>
        </w:numPr>
        <w:rPr/>
      </w:pPr>
      <w:bookmarkStart w:id="78" w:name="__RefHeading___Toc8246699_2870459653"/>
      <w:bookmarkStart w:id="79" w:name="_Toc29"/>
      <w:bookmarkEnd w:id="78"/>
      <w:r>
        <w:rPr>
          <w:rtl w:val="true"/>
        </w:rPr>
        <w:t>معیار بودن تلاش و پژوهش</w:t>
      </w:r>
      <w:bookmarkEnd w:id="79"/>
    </w:p>
    <w:p>
      <w:pPr>
        <w:pStyle w:val="BookText"/>
        <w:rPr/>
      </w:pPr>
      <w:r>
        <w:rPr>
          <w:rFonts w:ascii="IRNazanin" w:hAnsi="IRNazanin" w:eastAsia="IRNazanin"/>
          <w:color w:val="111111"/>
          <w:sz w:val="28"/>
          <w:sz w:val="28"/>
          <w:szCs w:val="28"/>
          <w:rtl w:val="true"/>
          <w:lang w:bidi="fa-IR"/>
        </w:rPr>
        <w:t xml:space="preserve">نخست؛ قابلیت احترام نگاره ها بر اساس امکان انتساب آن ها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این قابلیت تلاش و کوشش نگارگر برای فهمیدن شمائل و یژگی های ظاهری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هیچ کسی مدعی انطباق کامل نگاره ها با چهره واقعی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معیار می توان ترجمه آیات قرآن کریم را مثال زد که با وجود اعتراف مترجم به اینکه ترجمه با عبارت های عربی قرآن مطابقت کامل ندارد، محترم و مقدس است و هیچ صاحب خردی به انتساب ترجمه اشکال نمی گیرد، چون مترجم نهایت تلاش خود را بکار برده و با پژوهش به آن ترجمه دست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نگاره ها را مقدس می دانید در حالی که یقین به تطبیق آن ها با واقع ندارید؟</w:t>
      </w:r>
    </w:p>
    <w:p>
      <w:pPr>
        <w:pStyle w:val="BookText"/>
        <w:rPr/>
      </w:pPr>
      <w:r>
        <w:rPr>
          <w:rFonts w:ascii="IRNazanin" w:hAnsi="IRNazanin" w:eastAsia="IRNazanin"/>
          <w:color w:val="111111"/>
          <w:sz w:val="28"/>
          <w:sz w:val="28"/>
          <w:szCs w:val="28"/>
          <w:rtl w:val="true"/>
          <w:lang w:bidi="fa-IR"/>
        </w:rPr>
        <w:t>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ترجمه قرآن در زبان های مختلف مقدس است، در حالی که یقین به تطبیق کامل آن با اصل عربی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نهایت تلاش خود را برای ترجمه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 نیز برای به تصویر کشیدن نگاره همین طور است و ادعای خلاف آن نیاز به شاهد و مدرک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 اساس قواعد و مبانی ترجمه کار خود را انجام می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نگارگران برای کشیدن نگاره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قواعدی دارند و از مبانی ویژه ای پیروی می کنند و بیشتر ایشان بر اساس فهم خویش از روایاتی که ظاهر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 کنند، دست به نگارگری از آن حضرات می زنند</w:t>
      </w:r>
      <w:r>
        <w:rPr>
          <w:rFonts w:eastAsia="IRNazanin" w:cs="IRNazanin"/>
          <w:color w:val="111111"/>
          <w:sz w:val="28"/>
          <w:szCs w:val="28"/>
          <w:rtl w:val="true"/>
          <w:lang w:bidi="fa-IR"/>
        </w:rPr>
        <w:t xml:space="preserve">. </w:t>
      </w:r>
      <w:bookmarkStart w:id="80" w:name="pg9706_84594"/>
    </w:p>
    <w:p>
      <w:pPr>
        <w:pStyle w:val="Heading2"/>
        <w:numPr>
          <w:ilvl w:val="1"/>
          <w:numId w:val="1"/>
        </w:numPr>
        <w:rPr/>
      </w:pPr>
      <w:bookmarkStart w:id="81" w:name="__RefHeading___Toc8246701_2870459653"/>
      <w:bookmarkStart w:id="82" w:name="_Toc30"/>
      <w:bookmarkEnd w:id="80"/>
      <w:bookmarkEnd w:id="81"/>
      <w:r>
        <w:rPr>
          <w:rtl w:val="true"/>
        </w:rPr>
        <w:t xml:space="preserve">روایاتی که شمایل معصومین </w:t>
      </w:r>
      <w:r>
        <w:rPr>
          <w:rtl w:val="true"/>
        </w:rPr>
        <w:t>(</w:t>
      </w:r>
      <w:r>
        <w:rPr>
          <w:rtl w:val="true"/>
        </w:rPr>
        <w:t>علیهم السلام</w:t>
      </w:r>
      <w:r>
        <w:rPr>
          <w:rtl w:val="true"/>
        </w:rPr>
        <w:t xml:space="preserve">) </w:t>
      </w:r>
      <w:r>
        <w:rPr>
          <w:rtl w:val="true"/>
        </w:rPr>
        <w:t>را گزارش می دهند</w:t>
      </w:r>
      <w:bookmarkEnd w:id="82"/>
    </w:p>
    <w:p>
      <w:pPr>
        <w:pStyle w:val="Heading3"/>
        <w:numPr>
          <w:ilvl w:val="2"/>
          <w:numId w:val="1"/>
        </w:numPr>
        <w:rPr/>
      </w:pPr>
      <w:bookmarkStart w:id="83" w:name="__RefHeading___Toc8246703_2870459653"/>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شمار چنین روایاتی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توصیف می کنند، بسیار است که در این بخش به نقل برخی از آن ها می پردازیم</w:t>
      </w:r>
      <w:r>
        <w:rPr>
          <w:rFonts w:eastAsia="IRNazanin" w:cs="IRNazanin"/>
          <w:color w:val="111111"/>
          <w:sz w:val="28"/>
          <w:szCs w:val="28"/>
          <w:rtl w:val="true"/>
          <w:lang w:bidi="fa-IR"/>
        </w:rPr>
        <w:t>.</w:t>
      </w:r>
    </w:p>
    <w:p>
      <w:pPr>
        <w:pStyle w:val="Heading3"/>
        <w:numPr>
          <w:ilvl w:val="2"/>
          <w:numId w:val="1"/>
        </w:numPr>
        <w:rPr/>
      </w:pPr>
      <w:bookmarkStart w:id="85" w:name="__RefHeading___Toc8246705_2870459653"/>
      <w:bookmarkStart w:id="86" w:name="_Toc32"/>
      <w:bookmarkEnd w:id="85"/>
      <w:r>
        <w:rPr>
          <w:rtl w:val="true"/>
        </w:rPr>
        <w:t xml:space="preserve">ویژگی های رسول خدا </w:t>
      </w:r>
      <w:r>
        <w:rPr>
          <w:rtl w:val="true"/>
        </w:rPr>
        <w:t>(</w:t>
      </w:r>
      <w:r>
        <w:rPr>
          <w:rtl w:val="true"/>
        </w:rPr>
        <w:t>صلی الله علیه و اله</w:t>
      </w:r>
      <w:r>
        <w:rPr>
          <w:rtl w:val="true"/>
        </w:rPr>
        <w:t>)</w:t>
      </w:r>
      <w:bookmarkEnd w:id="86"/>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ضَخْمَ الرَّأْسِ، عَظِيمَ الْعَيْنَيْنِ، هَدِبَ الْأَشْفَارِ، مُشْرَبَ الْعَيْنَيْن حُمْرَةً، كَثَ اللَّحْيَةِ، أَزْهَرَ اللَّوْنِ، شَنَ الْكَفَّيْنِ وَالْقَدَمَيْنِ، إِذَا مَشَى تَكَفَّأَ كَأَنَّمَا يَمْشِي فِي صَعَدٍ، وَ إِذَا الْتَفَتَ الْتَفَتَ جَمِيعاً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سر و چشمان حضرت بزرگ و مژه هایش بلند بودند، رنگ سفیدی دو چشمش با سرخی کمرنگی آمیخته بود، موهای محاسنش نه خیلی مجعد بود و نه کاملاً صاف و نرم، رنگ پوستش درخشان، ساق دستشان کشیده، کف دست ها و پاهای مبارکشان درشت و زبر بود، هنگامی که راه می رفتند چنان بود که گویی از بالا به پایین سرازیر شده اند؛ هنگامی که رو به کسی می کردند، با تمامی اندامشان به سوی او برمی گشتند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مُشْرَباً بَيَاضُهُ حُمْرَةً أَهْدَبَ الْأَشْفَارِ أَسْوَدَ الْحَدَقَةِ لَا قَصِيرٌ وَ لَا طَوِيلٌ وَ هُوَ </w:t>
      </w:r>
    </w:p>
    <w:p>
      <w:pPr>
        <w:pStyle w:val="BookText"/>
        <w:rPr/>
      </w:pPr>
      <w:r>
        <w:rPr>
          <w:rFonts w:ascii="Amiri" w:hAnsi="Amiri" w:eastAsia="Amiri" w:cs="Amiri"/>
          <w:color w:val="111111"/>
          <w:sz w:val="28"/>
          <w:sz w:val="28"/>
          <w:szCs w:val="28"/>
          <w:rtl w:val="true"/>
          <w:lang w:bidi="ar-SA"/>
        </w:rPr>
        <w:t>إِلَى القُولِ أَقْرَبُ لَا جَعْدٌ وَ لَا سَبِطْ عَظِيمُ الْمَنَاكِبِ فِي صَدْرِهِ مَسْرُبَةٌ شَئْنُ الْكَفِ وَالْقَدَم كَأَنَّ عَرَقَهُ اللُّؤْلُؤُ إِذَا مَشَى تَكَفَّا كَأَنَّهُ يَمْشِي فِي صَعَدٍ لَمْ أَرَ قَبْلَهُ وَ لَا بَعْدَهُ مثله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 سفید مایل به سرخی داشتند و مژه هایش بلند بودند، رنگ چشمشان سیاه بود، قدشان نه کوتاه بود و نه بلند، در حالی که به بلند قدی نزدیک تر بود، نه موهایش مجعد و پر پیچ و تاب بود و نه کاملاً صاف بودند، چهار شانه بودند، روی سینه ایشان موهای کم پشتی بود، دست ها و پاهای مبارکشان درشت و زبر بود، دانه های عرقشان همانند مروارید بودند، هنگامی که راه می رفتند چنان بود که گویی از بالا به پایین سرازیر شده اند، پیش از ایشان و پس از ایشان کسی مثل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بِالذَّاهِبِ طُولًا وَ فَوْقَ الرَّبْعَةِ إِذَا جَاءَ مَعَ الْقَوْمِ غَمَرَهُمْ أَبْيَضُ ضَخْمُ الْهَامَةِ أَغَرُّ أَبْلَجُ أَهْدَبُ الْأَشْفَارِ شَئْنُ الْكَفَّيْنِ وَ الْقَدَمَيْنِ إِذَا مَشَى يَتَقَلَّعُ كَأَنَّمَا يَنْحَدِرُ مِنْ صبب كَأَنَّ الْعَرَقَ فِي وَجْهِهِ اللُّؤْلُو أَرَ قَبْلَهُ وَ لَا بَعْدَهُ مِثْلَهُ بِأَبِي هُوَ وَ 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حد بلند قد نبود، اما بالاتر از حد متوسط بود، زمانی که با گروهی حرکت می کرد، آن ها را تحت شعاع قرار می داد، سفید با سری بزرگ </w:t>
      </w:r>
    </w:p>
    <w:p>
      <w:pPr>
        <w:pStyle w:val="BookText"/>
        <w:rPr/>
      </w:pPr>
      <w:r>
        <w:rPr>
          <w:rFonts w:ascii="IRNazanin" w:hAnsi="IRNazanin" w:eastAsia="IRNazanin"/>
          <w:color w:val="111111"/>
          <w:sz w:val="28"/>
          <w:sz w:val="28"/>
          <w:szCs w:val="28"/>
          <w:rtl w:val="true"/>
          <w:lang w:bidi="fa-IR"/>
        </w:rPr>
        <w:t xml:space="preserve">بود، نورانی و زیبا روی بود، مژه هایش بلند بودند، دست ها و پاهای مبارکشان درشت و زبر بود، هنگامی که راه می رفتند چنان بود که گویی از بالا به پایین سرازیر شده اند، دانه های عرق روی صورتشان همانند مروارید بودند، پیش از ایشان و پس از ایشان کسی مثل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 پدر و مادرم به فدای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روایتی از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بِالطَّوِيلِ الْمُمَّغِطِ </w:t>
      </w:r>
      <w:r>
        <w:rPr>
          <w:rStyle w:val="FootnoteAnchor"/>
          <w:rtl w:val="true"/>
        </w:rPr>
        <w:footnoteReference w:id="58"/>
      </w:r>
      <w:r>
        <w:rPr>
          <w:rFonts w:ascii="Amiri" w:hAnsi="Amiri" w:eastAsia="Amiri" w:cs="Amiri"/>
          <w:color w:val="111111"/>
          <w:sz w:val="28"/>
          <w:sz w:val="28"/>
          <w:szCs w:val="28"/>
          <w:rtl w:val="true"/>
          <w:lang w:bidi="ar-SA"/>
        </w:rPr>
        <w:t xml:space="preserve">وَ لَا الْقَصِيرِ الْمُتَرَدِدِ </w:t>
      </w:r>
      <w:r>
        <w:rPr>
          <w:rStyle w:val="FootnoteAnchor"/>
          <w:rtl w:val="true"/>
        </w:rPr>
        <w:footnoteReference w:id="59"/>
      </w:r>
      <w:r>
        <w:rPr>
          <w:rFonts w:ascii="Amiri" w:hAnsi="Amiri" w:eastAsia="Amiri" w:cs="Amiri"/>
          <w:color w:val="111111"/>
          <w:sz w:val="28"/>
          <w:sz w:val="28"/>
          <w:szCs w:val="28"/>
          <w:rtl w:val="true"/>
          <w:lang w:bidi="ar-SA"/>
        </w:rPr>
        <w:t xml:space="preserve">كَأَنَّهُ رَبْعَةٌ مِنَ الْقَوْمِ وَ لَمْ يَكُنْ بِالْجَعْدِ الْقَطَطِ وَ لَا بِالسَّبِطِ كَانَ جَعْداً رَجِلًا وَ لَمْ يَكُنْ بِالْمُطَهَّمِ </w:t>
      </w:r>
      <w:r>
        <w:rPr>
          <w:rStyle w:val="FootnoteAnchor"/>
          <w:rtl w:val="true"/>
        </w:rPr>
        <w:footnoteReference w:id="60"/>
      </w:r>
      <w:r>
        <w:rPr>
          <w:rFonts w:ascii="Amiri" w:hAnsi="Amiri" w:eastAsia="Amiri" w:cs="Amiri"/>
          <w:color w:val="111111"/>
          <w:sz w:val="28"/>
          <w:sz w:val="28"/>
          <w:szCs w:val="28"/>
          <w:rtl w:val="true"/>
          <w:lang w:bidi="ar-SA"/>
        </w:rPr>
        <w:t xml:space="preserve">وَ لَا الْمُكَلْثمِ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زیاد گرد نبود، بلکه بین کشیده و گرد بود، مثل بهترین شکلی که ممکن است موجودی به آن شکل آفریده شود، آن حضرت، متعادل بود؛ زیرا افراد در هر چیز ناپسند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الْوَجْهِ</w:t>
      </w:r>
    </w:p>
    <w:p>
      <w:pPr>
        <w:pStyle w:val="BookText"/>
        <w:rPr/>
      </w:pPr>
      <w:r>
        <w:rPr>
          <w:rFonts w:ascii="Amiri" w:hAnsi="Amiri" w:eastAsia="Amiri" w:cs="Amiri"/>
          <w:color w:val="111111"/>
          <w:sz w:val="28"/>
          <w:sz w:val="28"/>
          <w:szCs w:val="28"/>
          <w:rtl w:val="true"/>
          <w:lang w:bidi="ar-SA"/>
        </w:rPr>
        <w:t>تَدْوِيرٌ أَبْيَضَ مُشْرَبٍ أَدْعَجَ الْعَيْنَيْنِ أَهْدَبَ الْأَشْفَارِ جَلِيلَ الْمُشَاشِ وَ الْكَتَدِ أَجْرَدَ شَئْنَ الْكَفَّيْنِ وَ الْقَدَمَيْنِ إِذَا مَشَى يَتَقَلَّعُ كَأَنَّمَا يَمْشِي فِي صَبَبٍ وَ إِذَا الْتَفَتَ الْتَفَتَ جَمِيعُهُ بَيْنَ كَتِفَيْهِ خَاتَمُ النُّبُوَّةِ وَ هُوَ خَاتَمُ النَّبِيِّينَ أَجْوَدُ النَّاسِ كَفَاً وَ أَرْحَبُ النَّاسِ صَدْراً وَ أَصْدَقُ النَّاسِ لَهْجَةً وَ أَوْفَى النَّاسِ ذِمَّةً وَ أَلْيَتُهُمْ عَرِيكَةً وَ أَكْرَمُهُمْ عِشْرَةً مَنْ رَآهُ بَدِيهَةً هَابَهُ وَ مَنْ خَالَطَهُ مَعْرِفَةٌ أَحَبَّهُ يَقُولُ نَاعِتُهُ لَمْ أَرَ قَبْلَهُ وَ لَا بَعْدَهُ مِثْلَهُ</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قد بلند و کشیده بود و نه کوتاه قد بود، گویی قدش از متوسط قامت مردم بلندتر بود، همین طور موهایش نه زیاد مجعد بود و نه صاف، پاهایش کشیده بود، زیاد هیکلی و پرگوشت و کشیده صورت نبود، چهره اش گرد بود، پوستش سفید ملایم بود، چشمانش سیاه و مژگانش بلند بود، سر و کتفش بزرگ، کم مو و موهایش کم پشت بود، هنگامی که راه می رفتند چنان بود که گویی از بالا به پایین سرازیر شده اند، هنگامی که رو به کسی می کردند، با تمامی اندامشان به سوی او برمی گشتند، بین دو کتف ایشان مُهر نبوت وجود داشت و آن حضرت، خاتم پیامبران بود، بهترین مردم در پاداش دادن و سینه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پرحوصله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راستگوترین و با وفاترین مردم به تعهدات و نرم خوترین و با کرامت ترین ایشان در معاشرت بود، کسی که برای نخستین بار او را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 از او می ترسید و هر کس با شناخت با او معاشرت می کرد، دوستش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وصف او گفته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و پس از او همچون او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 دیگری در این موضوع وجود دارد، تا جایی که درباره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محاسن ایشان هفده موی سفید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قاعده کلیه ای که نگارگران از این روایات برای نگاره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اند، زیبایی محض است که مصداق های زیبایی بر اساس مکان و زمان تفاوت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همه ایشان روایت شده است که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زیبایی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اسْتَأْذَنَتْ زَلیخا عَلَى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زَلِيخَا مَا الَّذِي دَعَاكِ إِلَى مَا كَانَ؟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وَجْهِكَ يَا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لَوْ رَأَيْتِ نَبِيّاً يُقَالُ لَهُ مُحَمَّدٌ يَكُونُ فِي آخِرِ الزَّمَانِ أَحْسَنَ مِنِّي وَجْهَا وَ أَحْسَنَ مِنِّي خُلُقاً وَ أَسْمَحَ مِنِّي كَفَّاً؟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عَلِمْتِ أَنِّي صَدَقْتُ؟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حِينَ ذَكَرْتَهُ وَقَعَ حُبُّهُ 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 جَلَّ إِلَى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صَدَقَتْ وَ قَدْ أَحْبَبْتُهَا لِحُتِهَا مُحَمَّداً فَأَمَرَهُ اللَّهُ تَبَارَكَ وَ تَعَالَى أَنْ تَزَوَّجْهَا</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از یوسف اجازه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به آنجا می رسد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انگیزه تو از کاری که کردی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روی تو مرا وادار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پیامبری را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در آخرالزمان خواهد بود چه خواهی کرد که از من زیبا روی تر و از نظر آفرینش از من نیکوتر و جوانمردتر از من است؟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راست می گویم؟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از او یاد کردی، محبتش در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خدای عزوجل به یوسف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 و او را به دلیل محبت محمد، دوست دارم، پس خدای تبارک و تعالی به او فرمان داد تا زلیخا را به همسری خود درآورد</w:t>
      </w:r>
      <w:r>
        <w:rPr>
          <w:rFonts w:eastAsia="IRNazanin" w:cs="IRNazanin"/>
          <w:color w:val="111111"/>
          <w:sz w:val="28"/>
          <w:szCs w:val="28"/>
          <w:rtl w:val="true"/>
          <w:lang w:bidi="fa-IR"/>
        </w:rPr>
        <w:t xml:space="preserve">. </w:t>
      </w:r>
      <w:bookmarkStart w:id="87" w:name="pg9706_84600"/>
    </w:p>
    <w:p>
      <w:pPr>
        <w:pStyle w:val="Heading3"/>
        <w:numPr>
          <w:ilvl w:val="2"/>
          <w:numId w:val="1"/>
        </w:numPr>
        <w:rPr/>
      </w:pPr>
      <w:bookmarkStart w:id="88" w:name="__RefHeading___Toc8246707_2870459653"/>
      <w:bookmarkStart w:id="89" w:name="_Toc33"/>
      <w:bookmarkEnd w:id="87"/>
      <w:bookmarkEnd w:id="88"/>
      <w:r>
        <w:rPr>
          <w:rtl w:val="true"/>
        </w:rPr>
        <w:t xml:space="preserve">ویژگی های امیرالمؤمنین علی </w:t>
      </w:r>
      <w:r>
        <w:rPr>
          <w:rtl w:val="true"/>
        </w:rPr>
        <w:t>(</w:t>
      </w:r>
      <w:r>
        <w:rPr>
          <w:rtl w:val="true"/>
        </w:rPr>
        <w:t>علیه السلام</w:t>
      </w:r>
      <w:r>
        <w:rPr>
          <w:rtl w:val="true"/>
        </w:rPr>
        <w:t>)</w:t>
      </w:r>
      <w:bookmarkEnd w:id="89"/>
    </w:p>
    <w:p>
      <w:pPr>
        <w:pStyle w:val="BookText"/>
        <w:rPr/>
      </w:pPr>
      <w:r>
        <w:rPr>
          <w:rFonts w:ascii="IRNazanin" w:hAnsi="IRNazanin" w:eastAsia="IRNazanin"/>
          <w:color w:val="111111"/>
          <w:sz w:val="28"/>
          <w:sz w:val="28"/>
          <w:szCs w:val="28"/>
          <w:rtl w:val="true"/>
          <w:lang w:bidi="fa-IR"/>
        </w:rPr>
        <w:t xml:space="preserve">عامه و خاصه نقل کرده اند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نهایت زیبایی در آفرینش و اخلاق نیکو بودند و از روایاتی که عامه در توصیف جمال مولی الموحدین و سید الوصیین،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يُشْبِهُ القَمَر الباهِرَ و الأَسَدَ الخادِرَ و الفُراتَ الزَّاخِرَ و الرَّبيعَ الباكِرَ، أَشْبَهَ مِن القَمَرِ ضَوْءَهُ و بَهاءَهُ وَ مِنَ الْأَسَدِ شَجَاعَتَهُ و مَضاءَهُ و من الفُراتِ جُودَه و سَخاءَهُ و من الرَّبيع خِصْبَه و حَياءَه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شبیه ماه تابان و شیر غرّان و رود فرات خروشان و بهار سرسبز بود، نورانیت و زیبایی او بسیار شبیه ماه و شجاعت و برش او بیش از شیر و جود و سخاوتش بیشتر از رود فرات و طراوت و شرم او بیشتر از بهار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مندة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 الْأُدْمَةِ ثَقِيلَ الْعَيْنَيْنِ عَظِيمَهُمَا ذَا بَطْنِ وَ هُوَ إِلَى الْقَصْرِ أَقْرَبُ أَبْيَضَ الرَّأْسِ وَ اللَّحْيَة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سبزه روی و چشمانش سنگین و در هر دو بزرگوار بود، شکم داشت و قدش به کوتاهی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محاسنش سفید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حبيب البغدادی نویسنده المحبر الکبیر در بیان ویژگی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شَدِيدَ الْأُدْمَةِ ثَقِيلَ الْعَيْنَيْنِ عَظِيمَهُمَا ذَا بَطْنٍ وَ هُوَ إِلَى الْقَصْر أَقْرَبُ أَبْيَضَ الرَّأْس وَ اللَّحْيَة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پوستش بسیار سبزه بود و چشمانی گشاده داشت و بزرگ داشت، شکم داشت و قد مبارکش به کوتاهی نزدیک و سرش و محاسن مبارکش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حبيب البغدادی نویسنده المحبر الکبیر در بیان ویژگی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اللَّوْن حَسَنَ الْوَجْهِ ضَخْمَ الْكَرَادِيسِ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سبزه، زيبا روی و چهار شانه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سبزه است و دو استخوان در مفصل به هم می 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مفصل های شانه ها و زانو و آرنج می گویند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5"/>
      </w:r>
      <w:r>
        <w:rPr>
          <w:rFonts w:ascii="IRNazanin" w:hAnsi="IRNazanin" w:eastAsia="IRNazanin"/>
          <w:color w:val="111111"/>
          <w:sz w:val="28"/>
          <w:sz w:val="28"/>
          <w:szCs w:val="28"/>
          <w:rtl w:val="true"/>
          <w:lang w:bidi="fa-IR"/>
        </w:rPr>
        <w:t xml:space="preserve">و بر همین اساس در زبان فارسی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 الْكَرَادِیس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چهارشانه ترجمه شد</w:t>
      </w:r>
      <w:r>
        <w:rPr>
          <w:rFonts w:eastAsia="IRNazanin" w:cs="IRNazanin"/>
          <w:color w:val="111111"/>
          <w:sz w:val="28"/>
          <w:szCs w:val="28"/>
          <w:rtl w:val="true"/>
          <w:lang w:bidi="fa-IR"/>
        </w:rPr>
        <w:t xml:space="preserve">. </w:t>
      </w:r>
      <w:bookmarkStart w:id="90" w:name="pg9706_84602"/>
    </w:p>
    <w:p>
      <w:pPr>
        <w:pStyle w:val="Heading3"/>
        <w:numPr>
          <w:ilvl w:val="2"/>
          <w:numId w:val="1"/>
        </w:numPr>
        <w:rPr/>
      </w:pPr>
      <w:bookmarkStart w:id="91" w:name="__RefHeading___Toc8246709_2870459653"/>
      <w:bookmarkStart w:id="92" w:name="_Toc34"/>
      <w:bookmarkEnd w:id="90"/>
      <w:bookmarkEnd w:id="91"/>
      <w:r>
        <w:rPr>
          <w:rtl w:val="true"/>
        </w:rPr>
        <w:t xml:space="preserve">ویژگی های امام حسن مجتبی </w:t>
      </w:r>
      <w:r>
        <w:rPr>
          <w:rtl w:val="true"/>
        </w:rPr>
        <w:t>(</w:t>
      </w:r>
      <w:r>
        <w:rPr>
          <w:rtl w:val="true"/>
        </w:rPr>
        <w:t>علیه السلام</w:t>
      </w:r>
      <w:r>
        <w:rPr>
          <w:rtl w:val="true"/>
        </w:rPr>
        <w:t>)</w:t>
      </w:r>
      <w:bookmarkEnd w:id="92"/>
    </w:p>
    <w:p>
      <w:pPr>
        <w:pStyle w:val="BookText"/>
        <w:rPr/>
      </w:pPr>
      <w:r>
        <w:rPr>
          <w:rFonts w:ascii="IRNazanin" w:hAnsi="IRNazanin" w:eastAsia="IRNazanin"/>
          <w:color w:val="111111"/>
          <w:sz w:val="28"/>
          <w:sz w:val="28"/>
          <w:szCs w:val="28"/>
          <w:rtl w:val="true"/>
          <w:lang w:bidi="fa-IR"/>
        </w:rPr>
        <w:t>به صورت مرفوع از احمد بن محمد بن ایوب المغیری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مُشْرَباً حُمْرَةٌ أَدْعَجَ الْعَيْنَيْنِ سَهْلَ الْخَدَّيْنِ دَقِيقَ الْمَسْرُبَةِ كَثَ اللَّحْيَةِ ذَا وَفْرَةٍ وَ كَأَنَّ عُنُقَهُ إِبْرِيقُ فِضَّةٍ عَظِيمَ الْكَرَادِيسِ بَعِيدَ مَا بَيْنَ الْمَنْكِبَيْنِ رَبْعَةً لَيْسَ بِالطَّوِيل وَ لَا الْقَصِيرِ مَلِيحاً مِنْ أَحْسَن النَّاس وَجْهاً وَ كَانَ يَخْضِبُ بِالسَّوَادِ وَ كَانَ جَعْدَ الشَّعْرِ حَسَنَ الْبَدَنِ</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متمایل به سرخی با چشمانی درشت و گونه ای صاف و پوستی نازک و محاسنی پرپشت و مودار و گردنی کشیده و نقره گون و چهارشانه بود که شانه هایش از هم فاصله داشتند و قدش متوسط بود، نه بلند و نه کوتاه، چهره اش نمکین و نیکو روترین مردم بود که با رنگ سیاه محاسن خویش را رنگ می کرد و موهایش مجعد بود و خوش هیکل بود</w:t>
      </w:r>
      <w:r>
        <w:rPr>
          <w:rFonts w:eastAsia="IRNazanin" w:cs="IRNazanin"/>
          <w:color w:val="111111"/>
          <w:sz w:val="28"/>
          <w:szCs w:val="28"/>
          <w:rtl w:val="true"/>
          <w:lang w:bidi="fa-IR"/>
        </w:rPr>
        <w:t xml:space="preserve">. </w:t>
      </w:r>
      <w:bookmarkStart w:id="93" w:name="pg9706_84603"/>
    </w:p>
    <w:p>
      <w:pPr>
        <w:pStyle w:val="Heading3"/>
        <w:numPr>
          <w:ilvl w:val="2"/>
          <w:numId w:val="1"/>
        </w:numPr>
        <w:rPr/>
      </w:pPr>
      <w:bookmarkStart w:id="94" w:name="__RefHeading___Toc8246711_2870459653"/>
      <w:bookmarkStart w:id="95" w:name="_Toc35"/>
      <w:bookmarkEnd w:id="93"/>
      <w:bookmarkEnd w:id="94"/>
      <w:r>
        <w:rPr>
          <w:rtl w:val="true"/>
        </w:rPr>
        <w:t xml:space="preserve">ویژگی های امام حسین، سیدالشهدا </w:t>
      </w:r>
      <w:r>
        <w:rPr>
          <w:rtl w:val="true"/>
        </w:rPr>
        <w:t>(</w:t>
      </w:r>
      <w:r>
        <w:rPr>
          <w:rtl w:val="true"/>
        </w:rPr>
        <w:t>علیه السلام</w:t>
      </w:r>
      <w:r>
        <w:rPr>
          <w:rtl w:val="true"/>
        </w:rPr>
        <w:t>)</w:t>
      </w:r>
      <w:bookmarkEnd w:id="95"/>
    </w:p>
    <w:p>
      <w:pPr>
        <w:pStyle w:val="BookText"/>
        <w:rPr/>
      </w:pPr>
      <w:r>
        <w:rPr>
          <w:rFonts w:ascii="IRNazanin" w:hAnsi="IRNazanin" w:eastAsia="IRNazanin"/>
          <w:color w:val="111111"/>
          <w:sz w:val="28"/>
          <w:sz w:val="28"/>
          <w:szCs w:val="28"/>
          <w:rtl w:val="true"/>
          <w:lang w:bidi="fa-IR"/>
        </w:rPr>
        <w:t xml:space="preserve">روایات بسیاری حکایت از آن دارند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ویژگی های جسمی جدشان،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يَنْظُرَ إِلَى أَشْبَهِ النَّاسِ بِرَسُولِ اللهِ صَلَّى اللهُ عَلَيْهِ وَسَلَّمَ مَا بَيْنَ عُنُقِهِ إِلَى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الْحَسَنِ بْنِ عَلِقی، وَ مَنْ سَرَّهُ أَنْ يَنْظُرَ إِلَى أَشْبَهِ النَّاسِ بِرَسُولِ اللهِ صَلَّى اللهُ عَلَيْهِ وَ آلِهِ وسَلَّمَ مَا بَيْنَ عُنُقِهِ إِلَى كَعْبِهِ خَلْقًا وَ لَوْنًا فَلْيَنْظُرْ إِلَى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دوست دارد به شبیه ترین مردم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گردن تا 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نسخه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کند،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و هر کس دوست دارد به شبیه ترین مردم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گردن تا زانو از نظر آفرینش و رنگ پوست نگاه کند،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کتاب محاضرات الاوائل والاواخر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آبستن او بود، در حالی که شنیده نشده است نوزادی شش ماه به دنیا بیاید، جز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همچینی او </w:t>
      </w:r>
    </w:p>
    <w:p>
      <w:pPr>
        <w:pStyle w:val="BookText"/>
        <w:rPr/>
      </w:pPr>
      <w:r>
        <w:rPr>
          <w:rFonts w:ascii="IRNazanin" w:hAnsi="IRNazanin" w:eastAsia="IRNazanin"/>
          <w:color w:val="111111"/>
          <w:sz w:val="28"/>
          <w:sz w:val="28"/>
          <w:szCs w:val="28"/>
          <w:rtl w:val="true"/>
          <w:lang w:bidi="fa-IR"/>
        </w:rPr>
        <w:t xml:space="preserve">زیبایی فراوانی داشت و نور از پیشانی او میردرخشید و گونه اش شب های تاریک را روشن می ساخت و شبیه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از امام 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أيّ صُورَةٍ ما شاءَ رَكَّبَكَ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 را در هر نقش و صورتی که خواست ترکیب کرد،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 اللهُ عَزَّ وَ جَلَّ عَلِيَّ بْنَ أَبِي طَالِبٍ فِي ظَهْرِ أَبِي طَالِبٍ عَلَى صُورَةِ مُحَمَّدٍ فَكَانَ عَلِيُّ بْنُ أَبِي طَالِبٍ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بْنُ عَلِي أَشْبَهَ النَّاسِ بِفَاطِمَةَ وَ كُنْتُ أَنَا أَشْبَهَ النَّاسِ بِخَدِيجَةَ الْكُبْرَى</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 عزوجل علی بن ابی طالب را در کمر ابی طالب به صورت محمد تصویر کرد و در نتیجه علی بن ابی طالب شبیه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حسین بن علی شبیه ترین مردم به فاطمه بود و من شبیه ترین مردم به خدیجه کبری هستم</w:t>
      </w:r>
      <w:r>
        <w:rPr>
          <w:rFonts w:eastAsia="IRNazanin" w:cs="IRNazanin"/>
          <w:color w:val="111111"/>
          <w:sz w:val="28"/>
          <w:szCs w:val="28"/>
          <w:rtl w:val="true"/>
          <w:lang w:bidi="fa-IR"/>
        </w:rPr>
        <w:t xml:space="preserve">. </w:t>
      </w:r>
      <w:bookmarkStart w:id="96" w:name="pg9706_84605"/>
    </w:p>
    <w:p>
      <w:pPr>
        <w:pStyle w:val="Heading3"/>
        <w:numPr>
          <w:ilvl w:val="2"/>
          <w:numId w:val="1"/>
        </w:numPr>
        <w:rPr/>
      </w:pPr>
      <w:bookmarkStart w:id="97" w:name="__RefHeading___Toc8246713_2870459653"/>
      <w:bookmarkStart w:id="98" w:name="_Toc36"/>
      <w:bookmarkEnd w:id="96"/>
      <w:bookmarkEnd w:id="97"/>
      <w:r>
        <w:rPr>
          <w:rtl w:val="true"/>
        </w:rPr>
        <w:t xml:space="preserve">ویژگی های امام سجاد </w:t>
      </w:r>
      <w:r>
        <w:rPr>
          <w:rtl w:val="true"/>
        </w:rPr>
        <w:t>(</w:t>
      </w:r>
      <w:r>
        <w:rPr>
          <w:rtl w:val="true"/>
        </w:rPr>
        <w:t>علیه السلام</w:t>
      </w:r>
      <w:r>
        <w:rPr>
          <w:rtl w:val="true"/>
        </w:rPr>
        <w:t>)</w:t>
      </w:r>
      <w:bookmarkEnd w:id="98"/>
    </w:p>
    <w:p>
      <w:pPr>
        <w:pStyle w:val="BookText"/>
        <w:rPr/>
      </w:pPr>
      <w:r>
        <w:rPr>
          <w:rFonts w:ascii="IRNazanin" w:hAnsi="IRNazanin" w:eastAsia="IRNazanin"/>
          <w:color w:val="111111"/>
          <w:sz w:val="28"/>
          <w:sz w:val="28"/>
          <w:szCs w:val="28"/>
          <w:rtl w:val="true"/>
          <w:lang w:bidi="fa-IR"/>
        </w:rPr>
        <w:t xml:space="preserve">شیخانی قادری </w:t>
      </w:r>
      <w:r>
        <w:rPr>
          <w:rStyle w:val="FootnoteAnchor"/>
          <w:rtl w:val="true"/>
        </w:rPr>
        <w:footnoteReference w:id="7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جلوه و زیبایی سیمایش چشم بیننده سیر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شکوه و جلال او حکایت از شکوه جدش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پیشه خونخوار، مسلم بن عقبه که تمام ارزش ها و مقام ها را ناچیز و بی ارزش می دانست موقعی که امام را دید، مبهوت شد و به خود لرزید و بیش از حد، احترام و تعظیم کرد و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العابدين سيماي انبيا را دارد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إِذَا تَوَضَّأَ لِلصَّلَاةِ يَصْفَرُّ لَوْنُهُ فَيَقُولُ لَهُ أَهْلُهُ مَا هَذَا الَّذِي يَعْتَادُكَ عِنْدَ الْوُضُوءِ فَيَقُولُ أَتَدْرُونَ بَيْنَ يَدَيْ مَنْ أُرِيدُ أَنْ أَقُومَ</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والا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وضو می گرفت، رنگش به زردی 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به او می گفتند این چه حالتی است که هنگام وضو گرفتن همیشه دچار آن می شوید، حضرت پاسخ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در برابر چه کسی بایستم؟ </w:t>
      </w:r>
    </w:p>
    <w:p>
      <w:pPr>
        <w:pStyle w:val="BookText"/>
        <w:rPr/>
      </w:pPr>
      <w:r>
        <w:rPr>
          <w:rFonts w:ascii="Amiri" w:hAnsi="Amiri" w:eastAsia="Amiri" w:cs="Amiri"/>
          <w:color w:val="111111"/>
          <w:sz w:val="28"/>
          <w:sz w:val="28"/>
          <w:szCs w:val="28"/>
          <w:rtl w:val="true"/>
          <w:lang w:bidi="ar-SA"/>
        </w:rPr>
        <w:t>از جمله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لا يُجاوِزُ يَدُهُ فَخِذَهُ، و لا يَحْطِرُ بِيَدِهِ، و علَيهِ السَّكِينَةُ والخُشْوعُ وَ إِذَا قَامَ إِلَى الصَّلَاةِ أَخَذَتْهُ الرِّعْدَةُ فَيَقُولُ لِمَنْ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أَقُومَ بَيْنَ يَدَيْ رَبِّي وَ أَناجِيَهُ فَلِهَذَا تَأْخُذُنِي الرَّعْدَةُ</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می رفت دستش را از ران خود جلوتر نمی برد و دست هایش را بالا و پایین نمی برد، بلکه با وقار و فروتنی راه می رفت و وقتی برای نماز بپا می خاست، لرزشی او را فرامی گرفت و به کسانی که از این حال او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برابر پروردگارم بایستم و با او مناجات کنم، به همین سبب مرا لرزش فرامی گیرد</w:t>
      </w:r>
      <w:r>
        <w:rPr>
          <w:rFonts w:eastAsia="IRNazanin" w:cs="IRNazanin"/>
          <w:color w:val="111111"/>
          <w:sz w:val="28"/>
          <w:szCs w:val="28"/>
          <w:rtl w:val="true"/>
          <w:lang w:bidi="fa-IR"/>
        </w:rPr>
        <w:t xml:space="preserve">. </w:t>
      </w:r>
      <w:bookmarkStart w:id="99" w:name="pg9706_84607"/>
    </w:p>
    <w:p>
      <w:pPr>
        <w:pStyle w:val="Heading3"/>
        <w:numPr>
          <w:ilvl w:val="2"/>
          <w:numId w:val="1"/>
        </w:numPr>
        <w:rPr/>
      </w:pPr>
      <w:bookmarkStart w:id="100" w:name="__RefHeading___Toc8246715_2870459653"/>
      <w:bookmarkStart w:id="101" w:name="_Toc37"/>
      <w:bookmarkEnd w:id="99"/>
      <w:bookmarkEnd w:id="100"/>
      <w:r>
        <w:rPr>
          <w:rtl w:val="true"/>
        </w:rPr>
        <w:t xml:space="preserve">ویژگی های امام محمد باقر </w:t>
      </w:r>
      <w:r>
        <w:rPr>
          <w:rtl w:val="true"/>
        </w:rPr>
        <w:t>(</w:t>
      </w:r>
      <w:r>
        <w:rPr>
          <w:rtl w:val="true"/>
        </w:rPr>
        <w:t>علیه السلام</w:t>
      </w:r>
      <w:r>
        <w:rPr>
          <w:rtl w:val="true"/>
        </w:rPr>
        <w:t>)</w:t>
      </w:r>
      <w:bookmarkEnd w:id="101"/>
    </w:p>
    <w:p>
      <w:pPr>
        <w:pStyle w:val="BookText"/>
        <w:rPr/>
      </w:pPr>
      <w:r>
        <w:rPr>
          <w:rFonts w:ascii="Amiri" w:hAnsi="Amiri" w:eastAsia="Amiri" w:cs="Amiri"/>
          <w:color w:val="111111"/>
          <w:sz w:val="28"/>
          <w:sz w:val="28"/>
          <w:szCs w:val="28"/>
          <w:rtl w:val="true"/>
          <w:lang w:bidi="ar-SA"/>
        </w:rPr>
        <w:t xml:space="preserve">درباره امام محمد بن علی، باقرالعلوم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الْإِمَامُ أَبُو الْأَئِمَّةِ مَعْدِنُ الْحِلْمِ وَ مَوْضِعُ الْعِلْمِ يَنقُرُهُ بَقْراً وَ اللَّهِ لَهُوَ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اله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او امام، پدر امامان، معدن بردباری و محل علم بود که علم را می شکافت، شکافتنی، به خدا سوگند که او شبیه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ربعُ القامَةِ، دَقيقُ البَشَرَةِ، جَعدُ الشَّعرِ، أَسمَرٌ لَهُ خالٌ عَلى خَدِهِ، وَ حَالٌ أَحمَرٌ فِي جَسَدِهِ، ضَامِرُ الكَشحِ حَسَنُ الصَّوتِ، مطرَقُ الرأس</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متوسط، چهارشانه، موهایش مجعد، سفید رو معتدل و خالی بر گونه و خالی سرخ بر پیکر مبارکشان بود، سر و گردن بلند، صدایی گرم و جذاب و سری برافراشته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الفصول المهمة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معتدل</w:t>
      </w:r>
      <w:r>
        <w:rPr>
          <w:rFonts w:eastAsia="IRNazanin" w:cs="IRNazanin"/>
          <w:color w:val="111111"/>
          <w:sz w:val="28"/>
          <w:szCs w:val="28"/>
          <w:rtl w:val="true"/>
          <w:lang w:bidi="fa-IR"/>
        </w:rPr>
        <w:t xml:space="preserve">. </w:t>
      </w:r>
      <w:r>
        <w:rPr>
          <w:rStyle w:val="FootnoteAnchor"/>
          <w:rtl w:val="true"/>
        </w:rPr>
        <w:footnoteReference w:id="77"/>
      </w:r>
      <w:bookmarkStart w:id="102" w:name="pg9706_84608"/>
    </w:p>
    <w:p>
      <w:pPr>
        <w:pStyle w:val="Heading3"/>
        <w:numPr>
          <w:ilvl w:val="2"/>
          <w:numId w:val="1"/>
        </w:numPr>
        <w:rPr/>
      </w:pPr>
      <w:bookmarkStart w:id="103" w:name="__RefHeading___Toc8246717_2870459653"/>
      <w:bookmarkStart w:id="104" w:name="_Toc38"/>
      <w:bookmarkEnd w:id="102"/>
      <w:bookmarkEnd w:id="103"/>
      <w:r>
        <w:rPr>
          <w:rtl w:val="true"/>
        </w:rPr>
        <w:t xml:space="preserve">ویژگی های امام جعفر صادق </w:t>
      </w:r>
      <w:r>
        <w:rPr>
          <w:rtl w:val="true"/>
        </w:rPr>
        <w:t>(</w:t>
      </w:r>
      <w:r>
        <w:rPr>
          <w:rtl w:val="true"/>
        </w:rPr>
        <w:t>علیه السلام</w:t>
      </w:r>
      <w:r>
        <w:rPr>
          <w:rtl w:val="true"/>
        </w:rPr>
        <w:t>)</w:t>
      </w:r>
      <w:bookmarkEnd w:id="104"/>
    </w:p>
    <w:p>
      <w:pPr>
        <w:pStyle w:val="BookText"/>
        <w:rPr/>
      </w:pPr>
      <w:r>
        <w:rPr>
          <w:rFonts w:ascii="Amiri" w:hAnsi="Amiri" w:eastAsia="Amiri" w:cs="Amiri"/>
          <w:color w:val="111111"/>
          <w:sz w:val="28"/>
          <w:sz w:val="28"/>
          <w:szCs w:val="28"/>
          <w:rtl w:val="true"/>
          <w:lang w:bidi="ar-SA"/>
        </w:rPr>
        <w:t>در کتاب مناقب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الْقَامَةِ أَزْهَرَ الْوَجْهِ حَالِكَ الشَّعْرِ 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الْأَنْفِ أَنْزَعَ رَقِيقَ الْبَشَرَةِ دَقِيقَ الْمَسْرُبَةِ عَلَى خَدِهِ خَالٌ أَسْوَدُ وَ عَلَى جَسَدِهِ خِيلَانٌ حُمْرَة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چهارشانه بود و سیمایی نورانی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سیاه و پرپشت و بینی او کشیده و باریک یعنی زیبا و پوستش نازک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اش خالی سیاه و بر بدنش دو خال سرخ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رَبْعَةً لَيْسَ بِالطَّوِيلِ وَ لَا الْقَصِيرِ، أَبْيَضُ الْوَجْه أَزْهَرُ، لَهُ لَمَعَانٌ كلَمَعانِ السّراج، أَسْوَدُ الشَّعْر جعده، أَشَمُ الْأَنْفَ، قَد انحسَرَ الشَّعَرُ عَن جَبينِهِ وَ عَلَى خَدِهِ حَالٌ أَسْوَدٌ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چهارشانه بود، نه بلند قد و نه کوتاه، چهره اش سفید و نورانی و نوری همچون نور چراغ داشت، موهای سرش سیاه و مجعد و بینی او کشیده بود و موهای سرش در بخش پیشانی عقب رفته بود و روی گونه اش خالی سیاه داشت</w:t>
      </w:r>
      <w:r>
        <w:rPr>
          <w:rFonts w:eastAsia="IRNazanin" w:cs="IRNazanin"/>
          <w:color w:val="111111"/>
          <w:sz w:val="28"/>
          <w:szCs w:val="28"/>
          <w:rtl w:val="true"/>
          <w:lang w:bidi="fa-IR"/>
        </w:rPr>
        <w:t xml:space="preserve">... </w:t>
      </w:r>
      <w:bookmarkStart w:id="105" w:name="pg9706_84609"/>
    </w:p>
    <w:p>
      <w:pPr>
        <w:pStyle w:val="Heading3"/>
        <w:numPr>
          <w:ilvl w:val="2"/>
          <w:numId w:val="1"/>
        </w:numPr>
        <w:rPr/>
      </w:pPr>
      <w:bookmarkStart w:id="106" w:name="__RefHeading___Toc8246719_2870459653"/>
      <w:bookmarkStart w:id="107" w:name="_Toc39"/>
      <w:bookmarkEnd w:id="105"/>
      <w:bookmarkEnd w:id="106"/>
      <w:r>
        <w:rPr>
          <w:rtl w:val="true"/>
        </w:rPr>
        <w:t xml:space="preserve">ویژگی های امام موسی کاظم </w:t>
      </w:r>
      <w:r>
        <w:rPr>
          <w:rtl w:val="true"/>
        </w:rPr>
        <w:t>(</w:t>
      </w:r>
      <w:r>
        <w:rPr>
          <w:rtl w:val="true"/>
        </w:rPr>
        <w:t>علیه السلام</w:t>
      </w:r>
      <w:r>
        <w:rPr>
          <w:rtl w:val="true"/>
        </w:rPr>
        <w:t>)</w:t>
      </w:r>
      <w:bookmarkEnd w:id="107"/>
    </w:p>
    <w:p>
      <w:pPr>
        <w:pStyle w:val="BookText"/>
        <w:rPr/>
      </w:pPr>
      <w:r>
        <w:rPr>
          <w:rFonts w:ascii="Amiri" w:hAnsi="Amiri" w:eastAsia="Amiri" w:cs="Amiri"/>
          <w:color w:val="111111"/>
          <w:sz w:val="28"/>
          <w:sz w:val="28"/>
          <w:szCs w:val="28"/>
          <w:rtl w:val="true"/>
          <w:lang w:bidi="ar-SA"/>
        </w:rPr>
        <w:t xml:space="preserve">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إِلَّا فِي الْقَيْظِ لِحَرَارَةِ مِزَاجِهِ رَبِّعٌ تَمَامٌ خَضِرٌ حَالِكٌ كَثُ اللَّحْيَة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بود، جز در چله تابستان به دلیل گرمی مزاجشان، قد مبارکشان متوسط، رنگ پوستشان گندم گون، موهایش مشکی و انبوه بود و محاسنی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نورانی بودن، درخشان بودن چهره است، نه سفید بودن آن و اینکه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گرمی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دلیل این است که در چله تابستان نورانی نبود و ربع یعنی کسی که قدی متوسط دارد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نیکو صورت، بسیار گندم گون و لاغر بود که روی لباسش، لباسی از پشم می پوشید</w:t>
      </w:r>
      <w:r>
        <w:rPr>
          <w:rFonts w:eastAsia="IRNazanin" w:cs="IRNazanin"/>
          <w:color w:val="111111"/>
          <w:sz w:val="28"/>
          <w:szCs w:val="28"/>
          <w:rtl w:val="true"/>
          <w:lang w:bidi="fa-IR"/>
        </w:rPr>
        <w:t xml:space="preserve">. </w:t>
      </w:r>
      <w:r>
        <w:rPr>
          <w:rStyle w:val="FootnoteAnchor"/>
          <w:rtl w:val="true"/>
        </w:rPr>
        <w:footnoteReference w:id="82"/>
      </w:r>
      <w:bookmarkStart w:id="108" w:name="pg9706_84610"/>
    </w:p>
    <w:p>
      <w:pPr>
        <w:pStyle w:val="Heading3"/>
        <w:numPr>
          <w:ilvl w:val="2"/>
          <w:numId w:val="1"/>
        </w:numPr>
        <w:rPr/>
      </w:pPr>
      <w:bookmarkStart w:id="109" w:name="__RefHeading___Toc8246721_2870459653"/>
      <w:bookmarkStart w:id="110" w:name="_Toc40"/>
      <w:bookmarkEnd w:id="108"/>
      <w:bookmarkEnd w:id="109"/>
      <w:r>
        <w:rPr>
          <w:rtl w:val="true"/>
        </w:rPr>
        <w:t xml:space="preserve">ویژگی های امام رضا </w:t>
      </w:r>
      <w:r>
        <w:rPr>
          <w:rtl w:val="true"/>
        </w:rPr>
        <w:t>(</w:t>
      </w:r>
      <w:r>
        <w:rPr>
          <w:rtl w:val="true"/>
        </w:rPr>
        <w:t>علیه 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در كتاب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مردم به رسول خدا بود و هر کس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به صورت او دیده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گون یا سرخ 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اسناد گفته شده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روی بود و قدی متوسط داشت و شبیه ترین مردم به حضرت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خویش بود و هر کس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خواب می دید به شکل و صورت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و آن امام قد و هیکلی متعادل و معتدل داشت</w:t>
      </w:r>
      <w:r>
        <w:rPr>
          <w:rFonts w:eastAsia="IRNazanin" w:cs="IRNazanin"/>
          <w:color w:val="111111"/>
          <w:sz w:val="28"/>
          <w:szCs w:val="28"/>
          <w:rtl w:val="true"/>
          <w:lang w:bidi="fa-IR"/>
        </w:rPr>
        <w:t xml:space="preserve">. </w:t>
      </w:r>
      <w:r>
        <w:rPr>
          <w:rStyle w:val="FootnoteAnchor"/>
          <w:rtl w:val="true"/>
        </w:rPr>
        <w:footnoteReference w:id="84"/>
      </w:r>
      <w:bookmarkStart w:id="111" w:name="pg9706_84611"/>
    </w:p>
    <w:p>
      <w:pPr>
        <w:pStyle w:val="Heading3"/>
        <w:numPr>
          <w:ilvl w:val="2"/>
          <w:numId w:val="1"/>
        </w:numPr>
        <w:rPr/>
      </w:pPr>
      <w:bookmarkStart w:id="112" w:name="__RefHeading___Toc8246723_2870459653"/>
      <w:bookmarkStart w:id="113" w:name="_Toc41"/>
      <w:bookmarkEnd w:id="111"/>
      <w:bookmarkEnd w:id="112"/>
      <w:r>
        <w:rPr>
          <w:rtl w:val="true"/>
        </w:rPr>
        <w:t xml:space="preserve">ویژگی های امام جواد </w:t>
      </w:r>
      <w:r>
        <w:rPr>
          <w:rtl w:val="true"/>
        </w:rPr>
        <w:t>(</w:t>
      </w:r>
      <w:r>
        <w:rPr>
          <w:rtl w:val="true"/>
        </w:rPr>
        <w:t>علیه السلام</w:t>
      </w:r>
      <w:r>
        <w:rPr>
          <w:rtl w:val="true"/>
        </w:rPr>
        <w:t>)</w:t>
      </w:r>
      <w:bookmarkEnd w:id="1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امام محمد بن علی، حضرت جواد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متعادل، روی با طراوت، ابروانی پیوندی و به هم چسبیده، چشمانی درشت، بینی نازک و کشیده، دندان هایی سفید و منظم، کمری باریک، سین های ستبر و دستان و انگشتان کشیده و گردنی کشیده و موهایی سیاه و بلند و شکمی صاف و ساق هایی قوی داشتند، روی مبارک امام سفید و قدش متوسط بود</w:t>
      </w:r>
      <w:r>
        <w:rPr>
          <w:rFonts w:eastAsia="IRNazanin" w:cs="IRNazanin"/>
          <w:color w:val="111111"/>
          <w:sz w:val="28"/>
          <w:szCs w:val="28"/>
          <w:rtl w:val="true"/>
          <w:lang w:bidi="fa-IR"/>
        </w:rPr>
        <w:t xml:space="preserve">. </w:t>
      </w:r>
      <w:r>
        <w:rPr>
          <w:rStyle w:val="FootnoteAnchor"/>
          <w:rtl w:val="true"/>
        </w:rPr>
        <w:footnoteReference w:id="85"/>
      </w:r>
      <w:bookmarkStart w:id="114" w:name="pg9706_84612"/>
    </w:p>
    <w:p>
      <w:pPr>
        <w:pStyle w:val="Heading3"/>
        <w:numPr>
          <w:ilvl w:val="2"/>
          <w:numId w:val="1"/>
        </w:numPr>
        <w:rPr/>
      </w:pPr>
      <w:bookmarkStart w:id="115" w:name="__RefHeading___Toc8246725_2870459653"/>
      <w:bookmarkStart w:id="116" w:name="_Toc42"/>
      <w:bookmarkEnd w:id="114"/>
      <w:bookmarkEnd w:id="115"/>
      <w:r>
        <w:rPr>
          <w:rtl w:val="true"/>
        </w:rPr>
        <w:t xml:space="preserve">ویژگی های امام هادی </w:t>
      </w:r>
      <w:r>
        <w:rPr>
          <w:rtl w:val="true"/>
        </w:rPr>
        <w:t>(</w:t>
      </w:r>
      <w:r>
        <w:rPr>
          <w:rtl w:val="true"/>
        </w:rPr>
        <w:t>علیه السلام</w:t>
      </w:r>
      <w:r>
        <w:rPr>
          <w:rtl w:val="true"/>
        </w:rPr>
        <w:t>)</w:t>
      </w:r>
      <w:bookmarkEnd w:id="116"/>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نویسنده کتاب جنات الخلود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متوسط و رویی سفید مایل به سرخی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ابروانش کشیده و چشمانش بزرگ و چهره اش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ایشان نگاه می کرد، همّ و غمّش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محبوب دل ها و دارای هیبتی بود که حتی دشمنان نزد او تملقش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لبخند و ذکر خدا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قدم های کوتاه برمی داشت و راه رفتن برایش سنگین بود و در هنگام راه رفتن عرق می ریخت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نیکویی های شمایل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بشماریم این کتاب طولانی خواهد شد</w:t>
      </w:r>
      <w:r>
        <w:rPr>
          <w:rFonts w:eastAsia="IRNazanin" w:cs="IRNazanin"/>
          <w:color w:val="111111"/>
          <w:sz w:val="28"/>
          <w:szCs w:val="28"/>
          <w:rtl w:val="true"/>
          <w:lang w:bidi="fa-IR"/>
        </w:rPr>
        <w:t xml:space="preserve">. </w:t>
      </w:r>
      <w:r>
        <w:rPr>
          <w:rStyle w:val="FootnoteAnchor"/>
          <w:rtl w:val="true"/>
        </w:rPr>
        <w:footnoteReference w:id="87"/>
      </w:r>
      <w:bookmarkStart w:id="117" w:name="pg9706_84613"/>
    </w:p>
    <w:p>
      <w:pPr>
        <w:pStyle w:val="Heading3"/>
        <w:numPr>
          <w:ilvl w:val="2"/>
          <w:numId w:val="1"/>
        </w:numPr>
        <w:rPr/>
      </w:pPr>
      <w:bookmarkStart w:id="118" w:name="__RefHeading___Toc8246727_2870459653"/>
      <w:bookmarkStart w:id="119" w:name="_Toc43"/>
      <w:bookmarkEnd w:id="117"/>
      <w:bookmarkEnd w:id="118"/>
      <w:r>
        <w:rPr>
          <w:rtl w:val="true"/>
        </w:rPr>
        <w:t xml:space="preserve">ویژگی های امام حسن عسکری </w:t>
      </w:r>
      <w:r>
        <w:rPr>
          <w:rtl w:val="true"/>
        </w:rPr>
        <w:t>(</w:t>
      </w:r>
      <w:r>
        <w:rPr>
          <w:rtl w:val="true"/>
        </w:rPr>
        <w:t>علیه السلام</w:t>
      </w:r>
      <w:r>
        <w:rPr>
          <w:rtl w:val="true"/>
        </w:rPr>
        <w:t>)</w:t>
      </w:r>
      <w:bookmarkEnd w:id="1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 گون با چشمانی درشت، نیکو قامت، زیبا روی، خوش هیکل و کم سن بود و جلالت و هیبت داشت</w:t>
      </w:r>
      <w:r>
        <w:rPr>
          <w:rFonts w:eastAsia="IRNazanin" w:cs="IRNazanin"/>
          <w:color w:val="111111"/>
          <w:sz w:val="28"/>
          <w:szCs w:val="28"/>
          <w:rtl w:val="true"/>
          <w:lang w:bidi="fa-IR"/>
        </w:rPr>
        <w:t xml:space="preserve">. </w:t>
      </w:r>
      <w:r>
        <w:rPr>
          <w:rStyle w:val="FootnoteAnchor"/>
          <w:rtl w:val="true"/>
        </w:rPr>
        <w:footnoteReference w:id="88"/>
      </w:r>
      <w:bookmarkStart w:id="120" w:name="pg9706_84614"/>
    </w:p>
    <w:p>
      <w:pPr>
        <w:pStyle w:val="Heading3"/>
        <w:numPr>
          <w:ilvl w:val="2"/>
          <w:numId w:val="1"/>
        </w:numPr>
        <w:rPr/>
      </w:pPr>
      <w:bookmarkStart w:id="121" w:name="__RefHeading___Toc8246729_2870459653"/>
      <w:bookmarkStart w:id="122" w:name="_Toc44"/>
      <w:bookmarkEnd w:id="120"/>
      <w:bookmarkEnd w:id="121"/>
      <w:r>
        <w:rPr>
          <w:rtl w:val="true"/>
        </w:rPr>
        <w:t xml:space="preserve">ویژگی های امام عصر </w:t>
      </w:r>
      <w:r>
        <w:rPr>
          <w:rtl w:val="true"/>
        </w:rPr>
        <w:t>(</w:t>
      </w:r>
      <w:r>
        <w:rPr>
          <w:rtl w:val="true"/>
        </w:rPr>
        <w:t>علیه السلام</w:t>
      </w:r>
      <w:r>
        <w:rPr>
          <w:rtl w:val="true"/>
        </w:rPr>
        <w:t>)</w:t>
      </w:r>
      <w:bookmarkEnd w:id="122"/>
    </w:p>
    <w:p>
      <w:pPr>
        <w:pStyle w:val="BookText"/>
        <w:rPr/>
      </w:pPr>
      <w:r>
        <w:rPr>
          <w:rFonts w:ascii="Amiri" w:hAnsi="Amiri" w:eastAsia="Amiri" w:cs="Amiri"/>
          <w:color w:val="111111"/>
          <w:sz w:val="28"/>
          <w:sz w:val="28"/>
          <w:szCs w:val="28"/>
          <w:rtl w:val="true"/>
          <w:lang w:bidi="ar-SA"/>
        </w:rPr>
        <w:t xml:space="preserve">از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يُخْرِجْنِي مِنَ الدُّنْيَا حَتَّى أَرَانِي الْخَلَفَ مِنْ بَعْدِي مَا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خُلُقاً يَحْفَظُهُ اللهُ تَبَارَكَ وَ تَعَالَى فِي غَيْبَتِهِ وَ يُظْهِرُهُ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ستایش خدای را سزاست که مرا از دنیا بیرون نبرد تا اینکه جانشین پس از مرا به من نشان داد که شبیه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آفرینش و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دوره غیبتش او را حفظ می کند و او را چیزه خواهد کرد و زمین را از عدل و قسط پر خواهد کرد، آن طور که از جور و ستم پر شده باشد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 بینی کشیده، با شکمی بزرگ، ران هایی استوار، دندان های پیشین جدا از هم که روی ران راستش خالی وجود دارد</w:t>
      </w:r>
      <w:r>
        <w:rPr>
          <w:rFonts w:eastAsia="IRNazanin" w:cs="IRNazanin"/>
          <w:color w:val="111111"/>
          <w:sz w:val="28"/>
          <w:szCs w:val="28"/>
          <w:rtl w:val="true"/>
          <w:lang w:bidi="fa-IR"/>
        </w:rPr>
        <w:t xml:space="preserve">... . </w:t>
      </w:r>
      <w:r>
        <w:rPr>
          <w:rStyle w:val="FootnoteAnchor"/>
          <w:rtl w:val="true"/>
        </w:rPr>
        <w:footnoteReference w:id="9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چنین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سفید رنگ مایل به سرخی، با شکمی ستبر، ران هایی </w:t>
      </w:r>
    </w:p>
    <w:p>
      <w:pPr>
        <w:pStyle w:val="BookText"/>
        <w:rPr/>
      </w:pPr>
      <w:r>
        <w:rPr>
          <w:rFonts w:ascii="IRNazanin" w:hAnsi="IRNazanin" w:eastAsia="IRNazanin"/>
          <w:color w:val="111111"/>
          <w:sz w:val="28"/>
          <w:sz w:val="28"/>
          <w:szCs w:val="28"/>
          <w:rtl w:val="true"/>
          <w:lang w:bidi="fa-IR"/>
        </w:rPr>
        <w:t xml:space="preserve">استوار، چهارشانه، روی کمرش دو خال وجود دارد، خالی به رنگ پوستش و خالی شبیه خال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او نیروی چهل مرد را داده است</w:t>
      </w:r>
      <w:r>
        <w:rPr>
          <w:rFonts w:eastAsia="IRNazanin" w:cs="IRNazanin"/>
          <w:color w:val="111111"/>
          <w:sz w:val="28"/>
          <w:szCs w:val="28"/>
          <w:rtl w:val="true"/>
          <w:lang w:bidi="fa-IR"/>
        </w:rPr>
        <w:t xml:space="preserve">... . </w:t>
      </w:r>
      <w:r>
        <w:rPr>
          <w:rStyle w:val="FootnoteAnchor"/>
          <w:rtl w:val="true"/>
        </w:rPr>
        <w:footnoteReference w:id="91"/>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نگارگری از نظر شرع و عقل جایز است، چه با نگاه کردن صورت و بدن موضوع و چه با تکیه به منابعی که ویژگی های موضوع را حکایت می کنند که یکی از مصداق های تلاش در راه تبیین و روشن ساختن زیبایی الهی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آن حضرات انداختن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نگارگری داخل در گروه شعائر دینی می شود که اگر به آنها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حرمتی شود، توهن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زیرا این نگاره ها از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ایشان برداشت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پایه های تبرک به آنها و مقدس دانستند آنها را در ادامه بحث تشریح خواهیم کرد</w:t>
      </w:r>
      <w:r>
        <w:rPr>
          <w:rFonts w:eastAsia="IRNazanin" w:cs="IRNazanin"/>
          <w:color w:val="111111"/>
          <w:sz w:val="28"/>
          <w:szCs w:val="28"/>
          <w:rtl w:val="true"/>
          <w:lang w:bidi="fa-IR"/>
        </w:rPr>
        <w:t xml:space="preserve">. </w:t>
      </w:r>
      <w:bookmarkStart w:id="123" w:name="pg9706_84616"/>
    </w:p>
    <w:p>
      <w:pPr>
        <w:pStyle w:val="Heading2"/>
        <w:numPr>
          <w:ilvl w:val="1"/>
          <w:numId w:val="1"/>
        </w:numPr>
        <w:rPr/>
      </w:pPr>
      <w:bookmarkStart w:id="124" w:name="__RefHeading___Toc8246731_2870459653"/>
      <w:bookmarkStart w:id="125" w:name="_Toc45"/>
      <w:bookmarkEnd w:id="123"/>
      <w:bookmarkEnd w:id="124"/>
      <w:r>
        <w:rPr>
          <w:rtl w:val="true"/>
        </w:rPr>
        <w:t>مقدس دانستن و تبرک کردن به این نگاره ها</w:t>
      </w:r>
      <w:bookmarkEnd w:id="125"/>
    </w:p>
    <w:p>
      <w:pPr>
        <w:pStyle w:val="Heading3"/>
        <w:numPr>
          <w:ilvl w:val="2"/>
          <w:numId w:val="1"/>
        </w:numPr>
        <w:rPr/>
      </w:pPr>
      <w:bookmarkStart w:id="126" w:name="__RefHeading___Toc8246733_2870459653"/>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دلیل نخست برای مقدس بودن این نگاره ها، جزو شعائر به شمار آمدن آنهاست که در کتابی دیگر به تشریح این مطلب خواهیم پراخت </w:t>
      </w:r>
      <w:r>
        <w:rPr>
          <w:rStyle w:val="FootnoteAnchor"/>
          <w:rtl w:val="true"/>
        </w:rPr>
        <w:footnoteReference w:id="92"/>
      </w:r>
      <w:r>
        <w:rPr>
          <w:rFonts w:ascii="IRNazanin" w:hAnsi="IRNazanin" w:eastAsia="IRNazanin"/>
          <w:color w:val="111111"/>
          <w:sz w:val="28"/>
          <w:sz w:val="28"/>
          <w:szCs w:val="28"/>
          <w:rtl w:val="true"/>
          <w:lang w:bidi="fa-IR"/>
        </w:rPr>
        <w:t>و در اینجا بخشی از آن را که ضروری است، نقل می کنیم</w:t>
      </w:r>
      <w:r>
        <w:rPr>
          <w:rFonts w:eastAsia="IRNazanin" w:cs="IRNazanin"/>
          <w:color w:val="111111"/>
          <w:sz w:val="28"/>
          <w:szCs w:val="28"/>
          <w:rtl w:val="true"/>
          <w:lang w:bidi="fa-IR"/>
        </w:rPr>
        <w:t>.</w:t>
      </w:r>
    </w:p>
    <w:p>
      <w:pPr>
        <w:pStyle w:val="Heading3"/>
        <w:numPr>
          <w:ilvl w:val="2"/>
          <w:numId w:val="1"/>
        </w:numPr>
        <w:rPr/>
      </w:pPr>
      <w:bookmarkStart w:id="128" w:name="__RefHeading___Toc8246735_2870459653"/>
      <w:bookmarkStart w:id="129" w:name="_Toc47"/>
      <w:bookmarkEnd w:id="128"/>
      <w:r>
        <w:rPr>
          <w:rtl w:val="true"/>
        </w:rPr>
        <w:t>مصداق شعائر بودن</w:t>
      </w:r>
      <w:bookmarkEnd w:id="12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معنای لغوی دارد، ولی معنای مناسب با بحث حاضر، معنای مربوط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وَ مَنْ يُعَظِّمْ شَعَائِرَ اللَّهِ فَإِنَّهَا مِنْ تَقْوَى الْقُلُوبِ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نخست، همان جمع شعار است، یعنی سخنی که یک گروه در جنگ فریاد می زند تا هنگام شب از گروه مقابل بازشناخته شود، یعنی سبب توجه و التفات به یک موضوع، مثلاً در میان عرب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می دانستم یا توجه داشتم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شعور، یعنی احساس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مشاعر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احساسات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شعيرة است، یعنی هر چیزی که شرع به انجام آن فراخوانده است و هر جایی را که محل انجام منسک و عملی شرعی است را مشعر می نامد، چون محل عبادت خدای متعال و محل امر به انجام آن عبادت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 چنان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الَّذِینَ آمَنُوا لا تُحِلُّوا شَعائِرَ اللهِ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چیزهایی که به خانه خدا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الْفَقْرُ شِعَارُ الصَّالِحِين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فقر شعار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نشان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درباره شعائر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است که به عنوان نشانی برای فرمانبرداری خدا قرار داده شده باشد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معنی های یاد شده به اختلاف دیدگاه ها بازمی گردد و ظاهراً معنای جامع شعائر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به موضوعی اشاره داشته باشد و نشان دهنده آن باشد</w:t>
      </w:r>
      <w:r>
        <w:rPr>
          <w:rFonts w:eastAsia="IRNazanin" w:cs="IRNazanin"/>
          <w:color w:val="111111"/>
          <w:sz w:val="28"/>
          <w:szCs w:val="28"/>
          <w:rtl w:val="true"/>
          <w:lang w:bidi="fa-IR"/>
        </w:rPr>
        <w:t xml:space="preserve">." </w:t>
      </w:r>
      <w:r>
        <w:rPr>
          <w:rStyle w:val="FootnoteAnchor"/>
          <w:rtl w:val="true"/>
        </w:rPr>
        <w:footnoteReference w:id="98"/>
      </w:r>
      <w:bookmarkStart w:id="130" w:name="pg9706_84618"/>
    </w:p>
    <w:p>
      <w:pPr>
        <w:pStyle w:val="BookText"/>
        <w:rPr/>
      </w:pPr>
      <w:bookmarkEnd w:id="130"/>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ها و علائم یا کارهایی هستند که موجب می شوند ما به فرمان ها و اوامر الهی توجه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که نشان از مصیبت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موجب می شود متوجه ستمی که بر او رفته باشیم</w:t>
      </w:r>
      <w:r>
        <w:rPr>
          <w:rFonts w:eastAsia="IRNazanin" w:cs="IRNazanin"/>
          <w:color w:val="111111"/>
          <w:sz w:val="28"/>
          <w:szCs w:val="28"/>
          <w:rtl w:val="true"/>
          <w:lang w:bidi="fa-IR"/>
        </w:rPr>
        <w:t>.</w:t>
      </w:r>
    </w:p>
    <w:p>
      <w:pPr>
        <w:pStyle w:val="Heading3"/>
        <w:numPr>
          <w:ilvl w:val="2"/>
          <w:numId w:val="1"/>
        </w:numPr>
        <w:rPr/>
      </w:pPr>
      <w:bookmarkStart w:id="131" w:name="__RefHeading___Toc8246737_2870459653"/>
      <w:bookmarkStart w:id="132" w:name="_Toc48"/>
      <w:bookmarkEnd w:id="131"/>
      <w:r>
        <w:rPr>
          <w:rtl w:val="true"/>
        </w:rPr>
        <w:t>شرايط شعائر</w:t>
      </w:r>
      <w:bookmarkEnd w:id="132"/>
    </w:p>
    <w:p>
      <w:pPr>
        <w:pStyle w:val="BookText"/>
        <w:rPr/>
      </w:pPr>
      <w:r>
        <w:rPr>
          <w:rFonts w:ascii="IRNazanin" w:hAnsi="IRNazanin" w:eastAsia="IRNazanin"/>
          <w:color w:val="111111"/>
          <w:sz w:val="28"/>
          <w:sz w:val="28"/>
          <w:szCs w:val="28"/>
          <w:rtl w:val="true"/>
          <w:lang w:bidi="fa-IR"/>
        </w:rPr>
        <w:t>گاهی به دلایل مختلف، همچون تناقض با شریعت اسلامی، ممکن است موضوع استحقاق قرار گرفتن جزو شعائر را نداشته باشد و گاهی ممکن است جزو شعائر باشد که در این صورت زیر مجموعه یکی از این دو عنوان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موضوعی که جزو شعائر است، ذاتاً جزو شعائر به شمار رود؛ همچون حج خانه خدا و بزرگداشت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موضوع به صورت عَرَضی یا سببی جزو شعائر به شمار رود، یعنی سبب و مصداق عنوان نخست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جزو شعائر دینی عالم هستند، یعنی از نظر دینی هیچ نوع عملی که دیگران از آن احساس تحقیر عظمت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جایز نیست؛ چنان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تَرْفَعُوا أَصْوَاتَكُمْ فَوْقَ صَوْتِ النَّبِيِّ وَ لَا </w:t>
      </w:r>
    </w:p>
    <w:p>
      <w:pPr>
        <w:pStyle w:val="BookText"/>
        <w:rPr/>
      </w:pPr>
      <w:r>
        <w:rPr>
          <w:rFonts w:ascii="Amiri" w:hAnsi="Amiri" w:eastAsia="Amiri" w:cs="Amiri"/>
          <w:color w:val="111111"/>
          <w:sz w:val="28"/>
          <w:sz w:val="28"/>
          <w:szCs w:val="28"/>
          <w:rtl w:val="true"/>
          <w:lang w:bidi="ar-SA"/>
        </w:rPr>
        <w:t xml:space="preserve">تَجْهَرُوا لَهُ بِالْقَوْلِ كَجَهْرِ بَعْضِكُمْ لِبَعْضِ أَنْ تَحْبَطَ أَعْمَالُكُمْ وَ أَنْتُمْ لا تَشْعُرُونَ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بلندتر از صدای پیامبر نکنید، و آن گونه که با یکدیگر بلند سخن می گویید با او بلند سخن نگویید، مبادا آنکه اعمالتان تباه و بی اثر شود و خود آگاه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چنین بزرگداشتی ذاتاً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احترام به عمامه و لباس خاصی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می کرد، ذاتاً جزو شعائر دینی نیست، بلکه اعتباری سببی دارد و سبب داخل شدن آن در ضمن شعائر، بزرگداشت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فرزندان و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ذاتاً از شعائر نیست، بلکه سببی به شمار می رود؛ زیرا این احترام و بزرگداشت به دلیل نسبت ایشان به پیامبر و خاندان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صورت، مصادیق چنین کاری جزو شعائر دینی می شوند و احترام به ایشان از احترام به دیگر مردم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أَنَا لَهُمْ شَفِيعٌ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الْمُكْرِمُ لِذُريَّتِي وَ الْقَاضِي لَهُمْ حَوَائِجَهُمْ وَ السَّاعِي لَهُمْ فِي أُمُورِهِمْ عِنْدَ مَا اضْطَرُّوا إِلَيْهِ وَ الْمُحِبُّ لَهُمْ بِقَلْبِهِ وَ لِسَانِهِ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کس را من در روز قیامت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ذریه من را گرامی </w:t>
      </w:r>
    </w:p>
    <w:p>
      <w:pPr>
        <w:pStyle w:val="BookText"/>
        <w:rPr/>
      </w:pPr>
      <w:r>
        <w:rPr>
          <w:rFonts w:ascii="IRNazanin" w:hAnsi="IRNazanin" w:eastAsia="IRNazanin"/>
          <w:color w:val="111111"/>
          <w:sz w:val="28"/>
          <w:sz w:val="28"/>
          <w:szCs w:val="28"/>
          <w:rtl w:val="true"/>
          <w:lang w:bidi="fa-IR"/>
        </w:rPr>
        <w:t>بدارد و کسی که نیازهای ایشان را برطرف سازد و کسی که هرگاه به چیزی نیاز داشتند برای آن تلاش کند و کسی که با قلب و زبانش ایشان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شرط تعظیم و بزرگداشت شعائر این است که ذاتاً یا به سببی، ثابت شود که جزو شعائر هستند و اینکه چیزی بخواهد ثابت شود که ذاتاً از شعائر است، منحصر در دلایلی است که دین آنها را تعیین کرده است، مثل اینکه با صراحت بزرگداشت حج یا قرآن یا شخصیت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شعائر دانسته و اینکه ثابت شود سبباً از شعائر است از دو راه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روشی که از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شده باشد؛</w:t>
      </w:r>
    </w:p>
    <w:p>
      <w:pPr>
        <w:pStyle w:val="BookText"/>
        <w:rPr/>
      </w:pPr>
      <w:r>
        <w:rPr>
          <w:rFonts w:ascii="Amiri" w:hAnsi="Amiri" w:eastAsia="Amiri" w:cs="Amiri"/>
          <w:color w:val="111111"/>
          <w:sz w:val="28"/>
          <w:sz w:val="28"/>
          <w:szCs w:val="28"/>
          <w:rtl w:val="true"/>
          <w:lang w:bidi="ar-SA"/>
        </w:rPr>
        <w:t>راه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قرآن گاهی بر اساس آنچه در سیاق احادیث آمده، انجام می گیرد، مثل نهی از قرآن قرآن در حمام </w:t>
      </w:r>
      <w:r>
        <w:rPr>
          <w:rStyle w:val="FootnoteAnchor"/>
          <w:rtl w:val="true"/>
        </w:rPr>
        <w:footnoteReference w:id="101"/>
      </w:r>
      <w:r>
        <w:rPr>
          <w:rFonts w:ascii="IRNazanin" w:hAnsi="IRNazanin" w:eastAsia="IRNazanin"/>
          <w:color w:val="111111"/>
          <w:sz w:val="28"/>
          <w:sz w:val="28"/>
          <w:szCs w:val="28"/>
          <w:rtl w:val="true"/>
          <w:lang w:bidi="fa-IR"/>
        </w:rPr>
        <w:t>و گاهی احترام بر اساس عرف که عملی را برای احترام قرآن لازم می داند، انجام می شود، مثل بردن قرآن به حمام که اگر عرف این عمل را کم احترامی به عظمت قرآن به شمار آورد، جایز نیست</w:t>
      </w:r>
      <w:r>
        <w:rPr>
          <w:rFonts w:eastAsia="IRNazanin" w:cs="IRNazanin"/>
          <w:color w:val="111111"/>
          <w:sz w:val="28"/>
          <w:szCs w:val="28"/>
          <w:rtl w:val="true"/>
          <w:lang w:bidi="fa-IR"/>
        </w:rPr>
        <w:t xml:space="preserve">. </w:t>
      </w:r>
      <w:r>
        <w:rPr>
          <w:rStyle w:val="FootnoteAnchor"/>
          <w:rtl w:val="true"/>
        </w:rPr>
        <w:footnoteReference w:id="102"/>
      </w:r>
      <w:bookmarkStart w:id="133" w:name="pg9706_84621"/>
    </w:p>
    <w:p>
      <w:pPr>
        <w:pStyle w:val="Heading3"/>
        <w:numPr>
          <w:ilvl w:val="2"/>
          <w:numId w:val="1"/>
        </w:numPr>
        <w:rPr/>
      </w:pPr>
      <w:bookmarkStart w:id="134" w:name="__RefHeading___Toc8246739_2870459653"/>
      <w:bookmarkStart w:id="135" w:name="_Toc49"/>
      <w:bookmarkEnd w:id="133"/>
      <w:bookmarkEnd w:id="134"/>
      <w:r>
        <w:rPr>
          <w:rtl w:val="true"/>
        </w:rPr>
        <w:t>تطبیق مصادیق یاد شده با عنوان شعائر</w:t>
      </w:r>
      <w:bookmarkEnd w:id="135"/>
    </w:p>
    <w:p>
      <w:pPr>
        <w:pStyle w:val="BookText"/>
        <w:rPr/>
      </w:pPr>
      <w:r>
        <w:rPr>
          <w:rFonts w:ascii="IRNazanin" w:hAnsi="IRNazanin" w:eastAsia="IRNazanin"/>
          <w:color w:val="111111"/>
          <w:sz w:val="28"/>
          <w:sz w:val="28"/>
          <w:szCs w:val="28"/>
          <w:rtl w:val="true"/>
          <w:lang w:bidi="fa-IR"/>
        </w:rPr>
        <w:t>از آنچه گفته شد، ثابت می شود که نگاره های موضوع بحث، وجهى شرعی دارند و گفتیم شعائر هر چیزهایی هستند که ما را به یاد چیزی می اندازند و متوجه آن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که نگاره های منتسب به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ما می آورد و موجب می شوند در اثر نگاه به آنها که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بفرستیم یا به احترام بگذاریم یا به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راه عرف که توضیح داده شد و مضمون روایاتی که درباره تبرک به نگاره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مشابه ایشان دلیل بر این حکم هستند و روایات یاد شده در ادامه نقل می شوند</w:t>
      </w:r>
      <w:r>
        <w:rPr>
          <w:rFonts w:eastAsia="IRNazanin" w:cs="IRNazanin"/>
          <w:color w:val="111111"/>
          <w:sz w:val="28"/>
          <w:szCs w:val="28"/>
          <w:rtl w:val="true"/>
          <w:lang w:bidi="fa-IR"/>
        </w:rPr>
        <w:t>.</w:t>
      </w:r>
    </w:p>
    <w:p>
      <w:pPr>
        <w:pStyle w:val="Heading2"/>
        <w:numPr>
          <w:ilvl w:val="1"/>
          <w:numId w:val="1"/>
        </w:numPr>
        <w:rPr/>
      </w:pPr>
      <w:bookmarkStart w:id="136" w:name="__RefHeading___Toc8246741_2870459653"/>
      <w:bookmarkStart w:id="137" w:name="_Toc50"/>
      <w:bookmarkEnd w:id="136"/>
      <w:r>
        <w:rPr>
          <w:rtl w:val="true"/>
        </w:rPr>
        <w:t xml:space="preserve">مقدس دانستن و تبرک به تندیس امیرالمؤمنین </w:t>
      </w:r>
      <w:r>
        <w:rPr>
          <w:rtl w:val="true"/>
        </w:rPr>
        <w:t>(</w:t>
      </w:r>
      <w:r>
        <w:rPr>
          <w:rtl w:val="true"/>
        </w:rPr>
        <w:t>علیه السلام</w:t>
      </w:r>
      <w:r>
        <w:rPr>
          <w:rtl w:val="true"/>
        </w:rPr>
        <w:t xml:space="preserve">) </w:t>
      </w:r>
      <w:r>
        <w:rPr>
          <w:rtl w:val="true"/>
        </w:rPr>
        <w:t>در شب معراج</w:t>
      </w:r>
      <w:bookmarkEnd w:id="13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عیون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طور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أَبُو مُحَمَّدٍ الْحَسَنُ بْنُ عَلِي بْنِ مُحَمَّدِ بْنِ عَلِيِّ بْنِ مُوسَى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أَسْرَى بِي رَبِّي عَزَّ وَ جَلَّ رَأَيْتُ فِي بُطْنَانِ الْعَرْشِ مَلَكاً بِيَدِهِ سَيْفَ مِنْ نُورٍ يَلْعَبُ بِهِ كَمَا يَلْعَبُ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الْفَقَارِ وَ إِنَّ الْمَلَائِكَةَ إِذَا اشْتَاقُوا إِلَى وَجْهِ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إِلَى وَجْهِ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أَخِي عَلِيُّ بْنُ أَبِي </w:t>
      </w:r>
      <w:bookmarkStart w:id="138" w:name="pg9706_84622"/>
    </w:p>
    <w:p>
      <w:pPr>
        <w:pStyle w:val="BookText"/>
        <w:rPr/>
      </w:pPr>
      <w:bookmarkEnd w:id="138"/>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مَلَكٌ خَلَقْتُهُ عَلَى صُورَةِ عَلِي السلام يَعْبُدُنِي فِي بُطْنَانِ عَرْشِي تُكْتَبُ حَسَنَاتُهُ وَ تَسْبِيحُهُ وَ تَقْدِيسُهُ لِعَلِيِّ بْنِ أَبِي طَالِبٍ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پروردگام جلّ عزّه به اسرا برد، دیدم در داخل عرش فرشته ای شمشیری از نور در دست، همچون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ذو الفقار بازی می کند، بازی می کرد و فرشتگان وقتی مشتاق دیدن چهره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 به چهره آن فرشته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من است؟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فرشته ای است که او را به صورت علی آفریدم که در</w:t>
      </w:r>
    </w:p>
    <w:p>
      <w:pPr>
        <w:pStyle w:val="BookText"/>
        <w:rPr/>
      </w:pPr>
      <w:r>
        <w:rPr>
          <w:rFonts w:ascii="IRNazanin" w:hAnsi="IRNazanin" w:eastAsia="IRNazanin"/>
          <w:color w:val="111111"/>
          <w:sz w:val="28"/>
          <w:sz w:val="28"/>
          <w:szCs w:val="28"/>
          <w:rtl w:val="true"/>
          <w:lang w:bidi="fa-IR"/>
        </w:rPr>
        <w:t>داخل عرشم مرا عبادت می کند و حسنات و تسبیح و تقدیس او تا روز قیامت برای علی بن ابی طالب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صراحت نشان از تبرک و تقدیس به نسبت چیزی دارد که شبیه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اینکه آن فرشتگان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ندارند</w:t>
      </w:r>
      <w:r>
        <w:rPr>
          <w:rFonts w:eastAsia="IRNazanin" w:cs="IRNazanin"/>
          <w:color w:val="111111"/>
          <w:sz w:val="28"/>
          <w:szCs w:val="28"/>
          <w:rtl w:val="true"/>
          <w:lang w:bidi="fa-IR"/>
        </w:rPr>
        <w:t>.</w:t>
      </w:r>
    </w:p>
    <w:p>
      <w:pPr>
        <w:pStyle w:val="Heading2"/>
        <w:numPr>
          <w:ilvl w:val="1"/>
          <w:numId w:val="1"/>
        </w:numPr>
        <w:rPr/>
      </w:pPr>
      <w:bookmarkStart w:id="139" w:name="__RefHeading___Toc8246743_2870459653"/>
      <w:bookmarkStart w:id="140" w:name="_Toc51"/>
      <w:bookmarkEnd w:id="139"/>
      <w:r>
        <w:rPr>
          <w:rtl w:val="true"/>
        </w:rPr>
        <w:t xml:space="preserve">توسل به نگاره مزار رسول خدا </w:t>
      </w:r>
      <w:r>
        <w:rPr>
          <w:rtl w:val="true"/>
        </w:rPr>
        <w:t>(</w:t>
      </w:r>
      <w:r>
        <w:rPr>
          <w:rtl w:val="true"/>
        </w:rPr>
        <w:t>صلی اله علیه و اله</w:t>
      </w:r>
      <w:r>
        <w:rPr>
          <w:rtl w:val="true"/>
        </w:rPr>
        <w:t xml:space="preserve">) </w:t>
      </w:r>
      <w:r>
        <w:rPr>
          <w:rtl w:val="true"/>
        </w:rPr>
        <w:t>در زیارت آن حضرت از دور</w:t>
      </w:r>
      <w:bookmarkEnd w:id="1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زاد المعاد در بیان اعمال عید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هفدهم ربیع الاول از شیخ مفید و 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جایی غیر از مدینه منوره بخواهد حضرت </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پس از غسل ،چیزی شبیه قبر در برابر خویش می سازد و روی آن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نویسد و با توجه قلب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نامه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 أَشْهَدُ أَنَّ مُحَمَّداً عَبْدُهُ وَ رَسُولُهُ وَ أَنَّهُ سَيّدُ الْأَوَّلِينَ وَ الْآخِرِينَ وَ أَنَّهُ سَيِّدُ الْأَنْبِيَاءِ وَ الْمُرْسَلِينَ اللَّهُمَّ صَلَّ عَلَيْهِ وَ عَلَى أَهْلِ بَيْتِهِ الْأَئِمَّةِ الطَّيِّبِينَ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تعبیر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تمثالی در برابر خویش شبیه قبر بساز و روی آن نام شریف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 سپس بایست و با قلب خویش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این روایت روشن است با اینکه شبیه قبر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وجود اینکه معتقد هستیم مزار حقیقی نیست، ولی تبرک و زیارت آن وارد شده است و این از مواردی است که تبرک و تقدیس به سبب نسبت چیزی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شکی در مشروعیت مقدس شمردن هر چیزی به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باشد و با آموزه هایی که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سازگار باشد،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بله، موارد استثنایی در این حکم وجود دارد که عبارتند از موقعیت هایی که موجب هتک حرمت و بی احترامی شوند یا از روایات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نشده باشند که جای تردید دارند، مثل زیبایی هایی که در توصیف آن حضرت نقل شده است و یا تصاویر زشت از ایشان که از این کار به خدا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استثنا مخصوص نگاره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درباره تمام شعائر و اعمال عبادی وجود دارد که اگر به سبب آنها به شرع بی احترامی شود، انجام آنها متوقف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درباره اهمیت ترجمه قرآن با تلاش برای این کار با استفاده از منابع روایی و علمی در حالی که یقین داریم این ترجمه ها با قرآن مطابقت کامل ندارند،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اگر مترجمی بخواهد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کار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کند او را از این کار به دو دلیل منع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و هتک حرمت، همچنین مخالفت ترجمه با روایات</w:t>
      </w:r>
      <w:r>
        <w:rPr>
          <w:rFonts w:eastAsia="IRNazanin" w:cs="IRNazanin"/>
          <w:color w:val="111111"/>
          <w:sz w:val="28"/>
          <w:szCs w:val="28"/>
          <w:rtl w:val="true"/>
          <w:lang w:bidi="fa-IR"/>
        </w:rPr>
        <w:t xml:space="preserve">. </w:t>
      </w:r>
      <w:bookmarkStart w:id="141" w:name="pg9706_84625"/>
    </w:p>
    <w:p>
      <w:pPr>
        <w:pStyle w:val="Heading2"/>
        <w:numPr>
          <w:ilvl w:val="1"/>
          <w:numId w:val="1"/>
        </w:numPr>
        <w:rPr/>
      </w:pPr>
      <w:bookmarkStart w:id="142" w:name="__RefHeading___Toc8246745_2870459653"/>
      <w:bookmarkStart w:id="143" w:name="_Toc52"/>
      <w:bookmarkEnd w:id="141"/>
      <w:bookmarkEnd w:id="142"/>
      <w:r>
        <w:rPr>
          <w:rtl w:val="true"/>
        </w:rPr>
        <w:t>ملحقات</w:t>
      </w:r>
      <w:bookmarkEnd w:id="143"/>
    </w:p>
    <w:p>
      <w:pPr>
        <w:pStyle w:val="Heading3"/>
        <w:numPr>
          <w:ilvl w:val="2"/>
          <w:numId w:val="1"/>
        </w:numPr>
        <w:rPr/>
      </w:pPr>
      <w:bookmarkStart w:id="144" w:name="__RefHeading___Toc8246747_2870459653"/>
      <w:bookmarkStart w:id="145" w:name="_Toc53"/>
      <w:bookmarkEnd w:id="144"/>
      <w:r>
        <w:rPr>
          <w:rtl w:val="true"/>
        </w:rPr>
        <w:t>حکم فیلم و کلیپ</w:t>
      </w:r>
      <w:bookmarkEnd w:id="145"/>
    </w:p>
    <w:p>
      <w:pPr>
        <w:pStyle w:val="BookText"/>
        <w:rPr/>
      </w:pPr>
      <w:r>
        <w:rPr>
          <w:rFonts w:ascii="IRNazanin" w:hAnsi="IRNazanin" w:eastAsia="IRNazanin"/>
          <w:color w:val="111111"/>
          <w:sz w:val="28"/>
          <w:sz w:val="28"/>
          <w:szCs w:val="28"/>
          <w:rtl w:val="true"/>
          <w:lang w:bidi="fa-IR"/>
        </w:rPr>
        <w:t xml:space="preserve">از آنجا که حکم نگاره ها مقید به نقاشی و طراحی روی کاغذ نیست، ممکن است حکم فیلم و تصاویر دیجیتالی را به آن ملحق کرد، ولی باید این کار با استفاده از ابزارهای نوینی انجام پذیرد که از انسان نقش آفرینی آنها بهره گرفته نمی شود، چون ظاهر بشر با ظاهر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مطالبی که پیش تر بیان شد، همچون لزوم برداشت از روایات و دیگر شرایط، در نگاره های دیجیتالی و سه بعدی نیز باید رعایت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بکارگیری انسان برای بازی کردن در نقش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موجب بی احترامی به ایشان می شود، پس بهتر است که از این کار پرهیز شود، اگرچه دانشوران این کار را به طور مطلق تحریم نکرده اند، چنان که حکم شعائر تشبیه و تعزیه خوانی نیز چنین است</w:t>
      </w:r>
      <w:r>
        <w:rPr>
          <w:rFonts w:eastAsia="IRNazanin" w:cs="IRNazanin"/>
          <w:color w:val="111111"/>
          <w:sz w:val="28"/>
          <w:szCs w:val="28"/>
          <w:rtl w:val="true"/>
          <w:lang w:bidi="fa-IR"/>
        </w:rPr>
        <w:t>.</w:t>
      </w:r>
    </w:p>
    <w:p>
      <w:pPr>
        <w:pStyle w:val="Heading3"/>
        <w:numPr>
          <w:ilvl w:val="2"/>
          <w:numId w:val="1"/>
        </w:numPr>
        <w:rPr/>
      </w:pPr>
      <w:bookmarkStart w:id="146" w:name="__RefHeading___Toc8246749_2870459653"/>
      <w:bookmarkStart w:id="147" w:name="_Toc54"/>
      <w:bookmarkEnd w:id="146"/>
      <w:r>
        <w:rPr>
          <w:rtl w:val="true"/>
        </w:rPr>
        <w:t>تفاوت طرح ها</w:t>
      </w:r>
      <w:bookmarkEnd w:id="14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پرسشی که ممکن است در ذهن خواننده پدید آید این است که دلیل متفاوت بودن طرح ها و نگاره ها با هم چیست؟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 ریشه در اختلاف روایات دارند، چنان که درباره زمان ولایت و درگذشت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پدید آمده و نیز دلیل دیگر این موضوع، اختلاف در معیار زیبایی در میان نگارگران است</w:t>
      </w:r>
      <w:r>
        <w:rPr>
          <w:rFonts w:eastAsia="IRNazanin" w:cs="IRNazanin"/>
          <w:color w:val="111111"/>
          <w:sz w:val="28"/>
          <w:szCs w:val="28"/>
          <w:rtl w:val="true"/>
          <w:lang w:bidi="fa-IR"/>
        </w:rPr>
        <w:t xml:space="preserve">. </w:t>
      </w:r>
      <w:bookmarkStart w:id="148" w:name="pg9706_84627"/>
    </w:p>
    <w:p>
      <w:pPr>
        <w:pStyle w:val="Heading2"/>
        <w:numPr>
          <w:ilvl w:val="1"/>
          <w:numId w:val="1"/>
        </w:numPr>
        <w:rPr/>
      </w:pPr>
      <w:bookmarkStart w:id="149" w:name="__RefHeading___Toc8246751_2870459653"/>
      <w:bookmarkStart w:id="150" w:name="_Toc55"/>
      <w:bookmarkEnd w:id="148"/>
      <w:bookmarkEnd w:id="149"/>
      <w:r>
        <w:rPr>
          <w:rtl w:val="true"/>
        </w:rPr>
        <w:t>دیدگاه مراجع و دانشوران</w:t>
      </w:r>
      <w:bookmarkEnd w:id="150"/>
    </w:p>
    <w:p>
      <w:pPr>
        <w:pStyle w:val="Heading3"/>
        <w:numPr>
          <w:ilvl w:val="2"/>
          <w:numId w:val="1"/>
        </w:numPr>
        <w:rPr/>
      </w:pPr>
      <w:bookmarkStart w:id="151" w:name="__RefHeading___Toc8246753_2870459653"/>
      <w:bookmarkStart w:id="152" w:name="_Toc56"/>
      <w:bookmarkEnd w:id="151"/>
      <w:r>
        <w:rPr>
          <w:rtl w:val="true"/>
        </w:rPr>
        <w:t xml:space="preserve">دیدگاه حضرت آیت الله العظمی سید صادق شیرازی </w:t>
      </w:r>
      <w:r>
        <w:rPr>
          <w:rtl w:val="true"/>
        </w:rPr>
        <w:t>(</w:t>
      </w:r>
      <w:r>
        <w:rPr>
          <w:rtl w:val="true"/>
        </w:rPr>
        <w:t>مد ظله</w:t>
      </w:r>
      <w:r>
        <w:rPr>
          <w:rtl w:val="true"/>
        </w:rPr>
        <w:t>)</w:t>
      </w:r>
      <w:bookmarkEnd w:id="15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نگاره هایی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می شود چیست؟ آیا این نگاره های حقیقت چهره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منعکس می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نگاره ها تخیلی هستند و واقعیت ندارند، اما اشکالی در مقدس دانستن و تبرک به آنها وجود ندارد، و در عین حال شایسته است آنها را با سخنانی حکیمانه و روایات شریف آن حضرات عوض کنند تا از آنها پند و حکمت به ما الهام شود، ان شاء الله</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153" w:name="__RefHeading___Toc8246755_2870459653"/>
      <w:bookmarkStart w:id="154" w:name="_Toc57"/>
      <w:bookmarkEnd w:id="153"/>
      <w:r>
        <w:rPr>
          <w:rtl w:val="true"/>
        </w:rPr>
        <w:t xml:space="preserve">دیدگاه حضرت آیت الله العظمی سید علی سیستانی </w:t>
      </w:r>
      <w:r>
        <w:rPr>
          <w:rtl w:val="true"/>
        </w:rPr>
        <w:t>(</w:t>
      </w:r>
      <w:r>
        <w:rPr>
          <w:rtl w:val="true"/>
        </w:rPr>
        <w:t>مد ظله</w:t>
      </w:r>
      <w:r>
        <w:rPr>
          <w:rtl w:val="true"/>
        </w:rPr>
        <w:t>)</w:t>
      </w:r>
      <w:bookmarkEnd w:id="1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نصب نگاره هایی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می شوند، در منزل جایز است؟ و آیا اعتقاد به اینکه این نگاره ها تصویر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صحیح است؟ </w:t>
      </w:r>
      <w:bookmarkStart w:id="155" w:name="pg9706_84628"/>
    </w:p>
    <w:p>
      <w:pPr>
        <w:pStyle w:val="BookText"/>
        <w:rPr/>
      </w:pPr>
      <w:bookmarkEnd w:id="15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آنها جایز است، ولی اعتقاد به مطابقت آنها با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یقیناً باوری اشتباه و خطاست</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156" w:name="__RefHeading___Toc8246757_2870459653"/>
      <w:bookmarkStart w:id="157" w:name="_Toc58"/>
      <w:bookmarkEnd w:id="156"/>
      <w:r>
        <w:rPr>
          <w:rtl w:val="true"/>
        </w:rPr>
        <w:t xml:space="preserve">دیدگاه حضرت آیت الله العظمی سید محمد سعید </w:t>
      </w:r>
      <w:r>
        <w:rPr>
          <w:rtl w:val="true"/>
        </w:rPr>
        <w:t>(</w:t>
      </w:r>
      <w:r>
        <w:rPr>
          <w:rtl w:val="true"/>
        </w:rPr>
        <w:t>رحمت الله علیه</w:t>
      </w:r>
      <w:r>
        <w:rPr>
          <w:rtl w:val="true"/>
        </w:rPr>
        <w:t>)</w:t>
      </w:r>
      <w:bookmarkEnd w:id="15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کشیدن نگاره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و خرید و فروش آنها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نگاره ها چیزی جز تمثل و تشبیه نیست و نگاره های حقیقی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نیستند، در عین حال خرید و فروش و نگهداری آنها جایز است، ولی از آنجا که کشیدن موجودات دارای روح حرام است، کشیدن تصویرهای یادشده نیز حرام است، ولی کپی و چاپ از روی این نگاره ها با ابزارها و دستگاه های تصویر برداری نوین، جایز است</w:t>
      </w:r>
      <w:r>
        <w:rPr>
          <w:rFonts w:eastAsia="IRNazanin" w:cs="IRNazanin"/>
          <w:color w:val="111111"/>
          <w:sz w:val="28"/>
          <w:szCs w:val="28"/>
          <w:rtl w:val="true"/>
          <w:lang w:bidi="fa-IR"/>
        </w:rPr>
        <w:t>.</w:t>
      </w:r>
    </w:p>
    <w:p>
      <w:pPr>
        <w:pStyle w:val="Heading3"/>
        <w:numPr>
          <w:ilvl w:val="2"/>
          <w:numId w:val="1"/>
        </w:numPr>
        <w:rPr/>
      </w:pPr>
      <w:bookmarkStart w:id="158" w:name="__RefHeading___Toc8246759_2870459653"/>
      <w:bookmarkStart w:id="159" w:name="_Toc59"/>
      <w:bookmarkEnd w:id="158"/>
      <w:r>
        <w:rPr>
          <w:rtl w:val="true"/>
        </w:rPr>
        <w:t xml:space="preserve">دیدگاه حضرت آیت الله العظمی میرزا جواد تبریزی </w:t>
      </w:r>
      <w:r>
        <w:rPr>
          <w:rtl w:val="true"/>
        </w:rPr>
        <w:t>(</w:t>
      </w:r>
      <w:r>
        <w:rPr>
          <w:rtl w:val="true"/>
        </w:rPr>
        <w:t>رحمت الله علیه</w:t>
      </w:r>
      <w:r>
        <w:rPr>
          <w:rtl w:val="true"/>
        </w:rPr>
        <w:t>)</w:t>
      </w:r>
      <w:bookmarkEnd w:id="159"/>
    </w:p>
    <w:p>
      <w:pPr>
        <w:pStyle w:val="BookText"/>
        <w:rPr/>
      </w:pPr>
      <w:r>
        <w:rPr>
          <w:rFonts w:ascii="IRNazanin" w:hAnsi="IRNazanin" w:eastAsia="IRNazanin"/>
          <w:color w:val="111111"/>
          <w:sz w:val="28"/>
          <w:sz w:val="28"/>
          <w:szCs w:val="28"/>
          <w:rtl w:val="true"/>
          <w:lang w:bidi="fa-IR"/>
        </w:rPr>
        <w:t>اگر مقصود این است که تذکر و یادآوری آن بزرگواران باشد، مانعی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معتقد باشد که این عکس های واقعی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عقیدہ صحیح نیست و خطاست</w:t>
      </w:r>
      <w:r>
        <w:rPr>
          <w:rFonts w:eastAsia="IRNazanin" w:cs="IRNazanin"/>
          <w:color w:val="111111"/>
          <w:sz w:val="28"/>
          <w:szCs w:val="28"/>
          <w:rtl w:val="true"/>
          <w:lang w:bidi="fa-IR"/>
        </w:rPr>
        <w:t xml:space="preserve">. </w:t>
      </w:r>
      <w:bookmarkStart w:id="160" w:name="pg9706_84629"/>
    </w:p>
    <w:p>
      <w:pPr>
        <w:pStyle w:val="Heading3"/>
        <w:numPr>
          <w:ilvl w:val="2"/>
          <w:numId w:val="1"/>
        </w:numPr>
        <w:rPr/>
      </w:pPr>
      <w:bookmarkStart w:id="161" w:name="__RefHeading___Toc8246761_2870459653"/>
      <w:bookmarkStart w:id="162" w:name="_Toc60"/>
      <w:bookmarkEnd w:id="160"/>
      <w:bookmarkEnd w:id="161"/>
      <w:r>
        <w:rPr>
          <w:rtl w:val="true"/>
        </w:rPr>
        <w:t>دیدگاه اندیشوران دیگر</w:t>
      </w:r>
      <w:bookmarkEnd w:id="162"/>
    </w:p>
    <w:p>
      <w:pPr>
        <w:pStyle w:val="BookText"/>
        <w:rPr/>
      </w:pPr>
      <w:r>
        <w:rPr>
          <w:rFonts w:ascii="IRNazanin" w:hAnsi="IRNazanin" w:eastAsia="IRNazanin"/>
          <w:color w:val="111111"/>
          <w:sz w:val="28"/>
          <w:sz w:val="28"/>
          <w:szCs w:val="28"/>
          <w:rtl w:val="true"/>
          <w:lang w:bidi="fa-IR"/>
        </w:rPr>
        <w:t xml:space="preserve">بسمه تعالی اگر مقصود این است که تذکر و یاد آوری آن بزرگواران باشد مانعی ندارد ولے اگر معتقد باشند که این عکس های واقعی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عقیده صحیح نیست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تبریزی</w:t>
      </w:r>
    </w:p>
    <w:p>
      <w:pPr>
        <w:pStyle w:val="BookText"/>
        <w:rPr/>
      </w:pPr>
      <w:r>
        <w:rPr>
          <w:rFonts w:ascii="IRNazanin" w:hAnsi="IRNazanin" w:eastAsia="IRNazanin"/>
          <w:color w:val="111111"/>
          <w:sz w:val="28"/>
          <w:sz w:val="28"/>
          <w:szCs w:val="28"/>
          <w:rtl w:val="true"/>
          <w:lang w:bidi="fa-IR"/>
        </w:rPr>
        <w:t>این عکس ها اصالت ندارد ولی چون منسب آن حضرات است نباید مورد بی احترامی قرار گیرد ناصر مکارم شیرازی</w:t>
      </w:r>
    </w:p>
    <w:p>
      <w:p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انتساب آنها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فاضل لنکرانی</w:t>
      </w:r>
    </w:p>
    <w:p>
      <w:pPr>
        <w:pStyle w:val="BookText"/>
        <w:rPr/>
      </w:pPr>
      <w:r>
        <w:rPr>
          <w:rFonts w:ascii="IRNazanin" w:hAnsi="IRNazanin" w:eastAsia="IRNazanin"/>
          <w:color w:val="111111"/>
          <w:sz w:val="28"/>
          <w:sz w:val="28"/>
          <w:szCs w:val="28"/>
          <w:rtl w:val="true"/>
          <w:lang w:bidi="fa-IR"/>
        </w:rPr>
        <w:t>اگر مشتمل بر هتگ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سیستانی</w:t>
      </w:r>
    </w:p>
    <w:p>
      <w:pPr>
        <w:pStyle w:val="BookText"/>
        <w:rPr/>
      </w:pPr>
      <w:r>
        <w:rPr>
          <w:rFonts w:ascii="IRNazanin" w:hAnsi="IRNazanin" w:eastAsia="IRNazanin"/>
          <w:color w:val="111111"/>
          <w:sz w:val="28"/>
          <w:sz w:val="28"/>
          <w:szCs w:val="28"/>
          <w:rtl w:val="true"/>
          <w:lang w:bidi="fa-IR"/>
        </w:rPr>
        <w:t>بطور کلی ترک نصب آنها مناسب تر با شءون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w:t>
      </w:r>
    </w:p>
    <w:p>
      <w:pPr>
        <w:pStyle w:val="Heading2"/>
        <w:numPr>
          <w:ilvl w:val="1"/>
          <w:numId w:val="1"/>
        </w:numPr>
        <w:rPr/>
      </w:pPr>
      <w:bookmarkStart w:id="163" w:name="__RefHeading___Toc8246763_2870459653"/>
      <w:bookmarkStart w:id="164" w:name="_Toc61"/>
      <w:bookmarkEnd w:id="163"/>
      <w:r>
        <w:rPr>
          <w:rtl w:val="true"/>
        </w:rPr>
        <w:t>معجزه ها و کرامت ها</w:t>
      </w:r>
      <w:bookmarkEnd w:id="1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و کرامت های فراوانی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توسل و تبرک به این نگاره های منسوب گزارش شده است، چنان که بین مردم مشهور و معروف است، طوری که یک نفر بیست کرامت شامل شفا و حاجت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برای نگارنده نقل کرد که نقل آنها در موضوع این کتاب نیست و تنها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تبرک و احترام به این نگاره ها با شرع مخالفت داشت، چنین کرامت هایی از آنها ظهور نمی یافتند</w:t>
      </w:r>
      <w:r>
        <w:rPr>
          <w:rFonts w:eastAsia="IRNazanin" w:cs="IRNazanin"/>
          <w:color w:val="111111"/>
          <w:sz w:val="28"/>
          <w:szCs w:val="28"/>
          <w:rtl w:val="true"/>
          <w:lang w:bidi="fa-IR"/>
        </w:rPr>
        <w:t xml:space="preserve">. </w:t>
      </w:r>
      <w:bookmarkStart w:id="165" w:name="pg9706_84630"/>
    </w:p>
    <w:p>
      <w:pPr>
        <w:pStyle w:val="Heading2"/>
        <w:numPr>
          <w:ilvl w:val="1"/>
          <w:numId w:val="1"/>
        </w:numPr>
        <w:rPr/>
      </w:pPr>
      <w:bookmarkStart w:id="166" w:name="__RefHeading___Toc8246765_2870459653"/>
      <w:bookmarkStart w:id="167" w:name="_Toc62"/>
      <w:bookmarkEnd w:id="165"/>
      <w:bookmarkEnd w:id="166"/>
      <w:r>
        <w:rPr>
          <w:rtl w:val="true"/>
        </w:rPr>
        <w:t>قدمت و تاریخ نگاره</w:t>
      </w:r>
      <w:bookmarkEnd w:id="1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مطالبی که در ضمن قرائن و دلایل مطرح شده در این باب وجود دارند، شهرت نگاره های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دیده می شود که در زمان پیشوایی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و پس از آن دوره انتشار و پراکندگی بیشتر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را داشتند که فرمان به جمع آوری همه آنها بدهند، ولى مخالفتی از سوی ایشان نسبت به این نگاره ها گزارش نشده است، در حالی که نگارگران از روایات مفاهیمی را الهام می گرفتند و در منابع روایی و تاریخی قرار می دادند، چنان که در این باره نمونه ای از آنان راه آورده ایم</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نگاره ای که در آن شمایل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آثار الباقیه در قرن هفتم هجری رسم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نگاره ای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p>
    <w:p>
      <w:p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خطى شماره </w:t>
      </w:r>
      <w:r>
        <w:rPr>
          <w:rFonts w:eastAsia="IRNazanin" w:cs="IRNazanin"/>
          <w:color w:val="111111"/>
          <w:sz w:val="28"/>
          <w:szCs w:val="28"/>
          <w:lang w:bidi="fa-IR"/>
        </w:rPr>
        <w:t>11931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مجلس شورای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نگاره ای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اشعار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نگاره ای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به آیت الکرسی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نگاره ای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نگارگری مسیحی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نگاره های سبک مسیحی قواعد ویژه ای دارند که در این نگاره از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نگاره را هاکوپ هوناتانیان از جورجیا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9" o:detectmouseclick="t"/>
                <v:stroke color="#3465a4" joinstyle="round" endcap="flat"/>
                <w10:wrap type="none"/>
              </v:shape>
            </w:pict>
          </mc:Fallback>
        </mc:AlternateConten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نگاره ای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مکاشفات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بیش از نیم قرن پیش، علی اشرف والی، یکی از مؤمنین هنرمند که سیزده سال داشته، شبی در عالم رؤیا صورتی را می بیند که در حافظه او جای می گیرد و او را دیوانه خود می سازد و هر شب برای دیدن آن مشتاق تر می شود تا اینکه تصمیم به کشیدن آن می گیرد که کشیدن آن با دقت و در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خواب به او گفته می شود که این تصویر مولایت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پی آگاهی یافتن از این مطلب، نگاره را به دانشمندان ارائه می دهد و ایشان تمایل به تأیید صحت آن پیدا می کنند و هم اکنون در آستانه مقدس رضوی نگاهداری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عنهما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امیرالمؤمنين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تمثال های عاشورایی در هنر پرده خوانی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سکه و مدال </w:t>
      </w:r>
      <w:bookmarkStart w:id="168" w:name="pg9706_84645"/>
    </w:p>
    <w:p>
      <w:pPr>
        <w:pStyle w:val="Heading2"/>
        <w:numPr>
          <w:ilvl w:val="1"/>
          <w:numId w:val="1"/>
        </w:numPr>
        <w:rPr/>
      </w:pPr>
      <w:bookmarkStart w:id="169" w:name="__RefHeading___Toc8246767_2870459653"/>
      <w:bookmarkStart w:id="170" w:name="_Toc63"/>
      <w:bookmarkEnd w:id="168"/>
      <w:bookmarkEnd w:id="169"/>
      <w:r>
        <w:rPr>
          <w:rtl w:val="true"/>
        </w:rPr>
        <w:t>فهرست</w:t>
      </w:r>
      <w:bookmarkEnd w:id="170"/>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حکم نگارگری در فقه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نظرات و دیدگاه های فقها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اجماع بر حرام بودن نگارگری موجودات دارای روح به صورت تنديس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اختلاف دانشوران شیعه درباره حکم تصاوير غير تنديس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بودن نگارگری تندیس ها از نظر برخی از متأخران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نظرات چهارگانه درباره حرمت نگارگری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ضعف حدیث هایی که نشان از اطلاق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روایات حرمت نگارگری تندیس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دلایل اختصاص به نگارگری تندیس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دلیل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اشکالات و پاسخ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اشکال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اشکال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ثمره بحث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کشیدن نگاره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درستی انتساب نگاره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کشیدن نگاره ها بر اساس نقل ویژگی ها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معیار بودن تلاش و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روایاتی که شمایل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می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ویژگی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ویژگی های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 های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ویژگی های امام حسین،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ویژگی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ویژگی های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ویژگی های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ویژگی های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ویژگی 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 های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ویژگی های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ویژگی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شريف </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مقدس دانستن و تبرک کردن به این نگاره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مصداق شعائر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شرايط شعائر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تطبیق مصادیق یاد شده با عنوان شعائر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مقدس دانستن و تبرک به تندیس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توسل به نگاره مزار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آن حضرت از دور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حکم فیلم و کلیپ </w:t>
      </w:r>
      <w:r>
        <w:rPr>
          <w:rFonts w:eastAsia="IRNazanin" w:cs="IRNazanin"/>
          <w:color w:val="111111"/>
          <w:sz w:val="28"/>
          <w:szCs w:val="28"/>
          <w:lang w:bidi="fa-IR"/>
        </w:rPr>
        <w:t>72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طرح ها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 مراجع و دانشوران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دیدگاه حضرت آیت الله العظمی سید صادق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دیدگاه حضرت آیت الله العظمی سید 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دیدگاه حضرت آیت الله العظمی سید محمد سعید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دیدگاه حضرت آیت الله العظمی میرزا جواد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دیدگاه اندیشوران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معجزه ها و کرامت ها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قدمت و تاریخ نگاره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حرام بودن نگارگری تندیس ها و خصوصاً ساخت مجسمه موجودات دارای روح و بازی با آن ها و مجاز بودن نشستن روی آن 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ذیل واژه نمرق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احكام المساكن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مكان المصلی و در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العشرة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علی توحیدی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محمد بن مسلم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در سند آن قاسم بن يحيى وجود دارد و به همین دلیل تضعیف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آن در المستدرک،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از شهید ثانی در منیة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أَشَدُّ النَّاسِ عَذَاباً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 يُصَوِّرُ التَّمَاثِيل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مرسله در المستدرک،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منية المريد،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ابوالعباس البقباق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يَعْمَلُونَ لَهُ مَا يَشَاءُ مِنْ محاريبَ وَ تَماثيل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کار آن ها کشیدن نگاره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 مردان و زنان نبود، بلکه درخت و امثال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موثقه آبان بن عثمان و نیز از محمد بن مسلم نقل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 عَنْ تَمَاثِيلِ الشَّجَرِ وَ الشَّمْسِ وَالْقَمَرِ؟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مَا لَمْ يَكُنْ فِيهِ شَيْءٌ مِنَ 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درباره نگاره های درخت و خورشید و ماه از حضرت پرسیدم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در آن ها نگاره حيوان وجود نداشته باشد، اشکال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صحیحه است و در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محاسن،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نزدیکی وجود دارد که سؤال در این روایت درباره تهیه و نگهداری نگاره ها باشد که به این مسأله خواهیم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اهل سنت نیز موارد وجود دارد که جواز نگارگری موجودات بدون روح را نشان می دهند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 الله بن میمون الاسود القداح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هَدْمِ الْقُبُورِ وَ كَسْرِ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برای از بین بردن قبرها و شکستن نگاره ها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به دلیل وجود سهل در میان راویان سند آن ضعیف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که معروف به موثقه سکونی است، سکونی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مدینه فرستاد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تَدَعْ صُورَةً إِلَّا مَحَوْنَهَا وَ لَا قَبْراً إِلَّا سَوَّيْتَهُ وَ لَا كَلْباً إِلَّا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نگاره ای باقی مگذار، جز آنکه وَلَا آن را محو کنی و قبری باقی مگذار، جز اینکه با خاک یکسان کنی و سگی زنده مگذار، جز اینکه بکشی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أَهْلَ هَذِهِ الصُّوَرِ يُعَذِّبُونَ يَوْمَ الْقِيَامَةِ،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أَحْيُوا مَا خَلَقْتُمْ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یقطین نقل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در پی مردی بود تا ادعای امامت 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باطل کند و از ریشه برکند و آن حضرت را در مجلسی خجالت زده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جادوگری را به او معرفی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سر سفر حاضر شدند، جادویی برای نان انجام داد که هرگاه خادم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 تکه نانی بردارد، نان در برابر او پرواز می کرد و نمی توانست نان را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به این دلیل خوشحال شد و خندید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طولی نکشید که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به شیری که روی یکی از پرده های دربار بود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دشمن خدا را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نگاره همچون بزرگترین درنده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که وجود دارد، حمله کرد و آن جادوگر را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و ندیمان او از ترس به رو افتادند و غش کردند و کم مانده بود که از ترس و هول آنچه دیده بودند عقل خود را از دست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زراره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بِأَنْ تَكُونَ التَّمَاثِيلُ فِي الْبُيُوتِ إِذَا غُيِّرَتْ رُؤُوسُهَا مِنْهَا، وَ تُرِكَ مَا سِوى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نگاره ها در خانه به شرطی که سرهایشان از آن ها تغییر داده شده باشد و غیر آن ها باقی بماند، اشکال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دلیل وجود ابراهیم بن هاشم در سلسله سند آن حسنه است و در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جعفر از امام ابی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الدَّارِ وَالْحُجْرَةِ فِيهَا التمَائِيلُ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أَيُصَلّى فِيهَا؟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 فِيهَا وَ فِيهَا شَيْءٌ يَسْتَقْبِلُكَ إِلَّا أَنْ لَا تَجِدَ بُداً، فَتَقْطَعَ رُؤُوسَهَا، وَ إِلَّا فَلَا تُصَلِّ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از آن حضرت درباره حکم خانه و اتاقی که در آن ها نگاره وجود دارد، پرسیدم که آیا اشکال ندارد که نماز در آن ها خوانده شود؟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خانه ای نماز نخوان، اگر چیزی در برابرت باشد، مگر اینکه چاره ای نداشته باشی که سرهای آن ها را قطع کنی، وگرنه در چنین جایی نماز نخوان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صحیحه است و در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 بن جعفر از برادر بزرگوارش 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سَأَلْتُهُ عَنْ مَسْجِدٍ يَكُونُ فِيهِ تَصَاوِيرُ وَ تَمَاثِيلُ أَيُصَلَّى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 رُ ءوسُ التَّمَاثِيلِ وَ يُلَطَخُ رُءُوسُ التَّصَاوِيرِ وَ يُصَلَّى فِيهِ وَلَا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درباره حکم مسجدی از او پرسیدم که داخل آن نگاره ها و تندیس هایی وجود دارد، آیا در آن نماز خوانده می شود؟ حضرت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تندیس ها شکسته می شود و سر نگاره ها محو می شود و در آن نماز خوانده می شود و اشکالی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مجهول است به دلیل وجود عبدالله بن الحسن در سند آن و آن را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قرب الاسناد،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اصمعی به تفسیر این حدیث پرداخته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حد قد بلند را گویند و این واژه با غین و عین هر دو روایت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گویند که اعضای بدنش از شدت کوتاهی در هم فرورفته 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قوی هیکل پر گوشت را گویند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گویند که صورتش گرد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این سخن اصمعی دیگران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المكلثم من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گویند که چانه اش کوتاه و پیشانیش پایین و چهره اش گرد باشد که جز با بسیاری گوشت چنین شکلی امکان 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ابوعبیده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صورتش کشیده باشد و گرد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اختلاف زمانی قابل پذیرش بود که پس از این ترکیب،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في الوجه تدوير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موجه تر این است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کشیده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 به خط علامه سید عزیز طباطبائی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الاوائل والاواخر،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شیخانی قادری شافعی مدنی نویسنده کتاب صراط السوى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اله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چاپ قدیم،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فى النص على الائمة الإثني عشر،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اسد حيدر،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ابو زهره،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الائمة،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في تواريخ النبی و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عزاء الشور، الادلة والاشكالات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شعائر الهی و هر کس شعائر خدا را بزرگ شمارد، بدون تردید این بزرگ شمردن ناشی از تقوای دل هاست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ذيل ماده شعر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هتك 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شعایر خدا را حلال مشمارید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الشعائر،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عزاء الشور،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ماه ربیع الاول، روز شريف ميلاد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رسمی اطلاع رسانی معظم له، جمله ای که با خط زیر مشخص شده است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نوشته شده بود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رسمی اطلاع رسانی معظم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3.jpeg"/><Relationship Id="rId84" Type="http://schemas.openxmlformats.org/officeDocument/2006/relationships/image" Target="media/image3.jpeg"/><Relationship Id="rId85" Type="http://schemas.openxmlformats.org/officeDocument/2006/relationships/footer" Target="footer78.xml"/><Relationship Id="rId86" Type="http://schemas.openxmlformats.org/officeDocument/2006/relationships/image" Target="media/image4.jpeg"/><Relationship Id="rId87" Type="http://schemas.openxmlformats.org/officeDocument/2006/relationships/image" Target="media/image4.jpeg"/><Relationship Id="rId88" Type="http://schemas.openxmlformats.org/officeDocument/2006/relationships/footer" Target="footer79.xml"/><Relationship Id="rId89" Type="http://schemas.openxmlformats.org/officeDocument/2006/relationships/image" Target="media/image5.jpeg"/><Relationship Id="rId90" Type="http://schemas.openxmlformats.org/officeDocument/2006/relationships/image" Target="media/image5.jpeg"/><Relationship Id="rId91" Type="http://schemas.openxmlformats.org/officeDocument/2006/relationships/footer" Target="footer80.xml"/><Relationship Id="rId92" Type="http://schemas.openxmlformats.org/officeDocument/2006/relationships/image" Target="media/image6.jpeg"/><Relationship Id="rId93" Type="http://schemas.openxmlformats.org/officeDocument/2006/relationships/image" Target="media/image6.jpeg"/><Relationship Id="rId94" Type="http://schemas.openxmlformats.org/officeDocument/2006/relationships/footer" Target="footer81.xml"/><Relationship Id="rId95" Type="http://schemas.openxmlformats.org/officeDocument/2006/relationships/image" Target="media/image7.jpeg"/><Relationship Id="rId96" Type="http://schemas.openxmlformats.org/officeDocument/2006/relationships/image" Target="media/image7.jpeg"/><Relationship Id="rId97" Type="http://schemas.openxmlformats.org/officeDocument/2006/relationships/footer" Target="footer82.xml"/><Relationship Id="rId98" Type="http://schemas.openxmlformats.org/officeDocument/2006/relationships/image" Target="media/image8.jpeg"/><Relationship Id="rId99" Type="http://schemas.openxmlformats.org/officeDocument/2006/relationships/image" Target="media/image8.jpeg"/><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image" Target="media/image9.jpeg"/><Relationship Id="rId103" Type="http://schemas.openxmlformats.org/officeDocument/2006/relationships/image" Target="media/image9.jpeg"/><Relationship Id="rId104" Type="http://schemas.openxmlformats.org/officeDocument/2006/relationships/footer" Target="footer85.xml"/><Relationship Id="rId105" Type="http://schemas.openxmlformats.org/officeDocument/2006/relationships/image" Target="media/image10.jpeg"/><Relationship Id="rId106" Type="http://schemas.openxmlformats.org/officeDocument/2006/relationships/image" Target="media/image10.jpeg"/><Relationship Id="rId107" Type="http://schemas.openxmlformats.org/officeDocument/2006/relationships/footer" Target="footer86.xml"/><Relationship Id="rId108" Type="http://schemas.openxmlformats.org/officeDocument/2006/relationships/image" Target="media/image11.jpeg"/><Relationship Id="rId109" Type="http://schemas.openxmlformats.org/officeDocument/2006/relationships/image" Target="media/image11.jpeg"/><Relationship Id="rId110" Type="http://schemas.openxmlformats.org/officeDocument/2006/relationships/footer" Target="footer87.xml"/><Relationship Id="rId111" Type="http://schemas.openxmlformats.org/officeDocument/2006/relationships/image" Target="media/image12.jpeg"/><Relationship Id="rId112" Type="http://schemas.openxmlformats.org/officeDocument/2006/relationships/image" Target="media/image12.jpeg"/><Relationship Id="rId113" Type="http://schemas.openxmlformats.org/officeDocument/2006/relationships/footer" Target="footer88.xml"/><Relationship Id="rId114" Type="http://schemas.openxmlformats.org/officeDocument/2006/relationships/image" Target="media/image13.jpeg"/><Relationship Id="rId115" Type="http://schemas.openxmlformats.org/officeDocument/2006/relationships/image" Target="media/image13.jpeg"/><Relationship Id="rId116" Type="http://schemas.openxmlformats.org/officeDocument/2006/relationships/footer" Target="footer89.xml"/><Relationship Id="rId117" Type="http://schemas.openxmlformats.org/officeDocument/2006/relationships/image" Target="media/image14.jpeg"/><Relationship Id="rId118" Type="http://schemas.openxmlformats.org/officeDocument/2006/relationships/image" Target="media/image14.jpeg"/><Relationship Id="rId119" Type="http://schemas.openxmlformats.org/officeDocument/2006/relationships/footer" Target="footer90.xml"/><Relationship Id="rId120" Type="http://schemas.openxmlformats.org/officeDocument/2006/relationships/image" Target="media/image15.jpeg"/><Relationship Id="rId121" Type="http://schemas.openxmlformats.org/officeDocument/2006/relationships/image" Target="media/image15.jpeg"/><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97.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15376</Words>
  <Characters>57567</Characters>
  <CharactersWithSpaces>72522</CharactersWithSpaces>
  <Paragraphs>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2026-08-20T18:35:39Z</dcterms:created>
  <dc:creator>ghaemiyeh.com</dc:creator>
  <dc:description/>
  <dc:language>en-US</dc:language>
  <cp:lastModifiedBy/>
  <dcterms:modified xsi:type="dcterms:W3CDTF">2026-08-20T22:05:45Z</dcterms:modified>
  <cp:revision>1</cp:revision>
  <dc:subject/>
  <dc:title>چهره نگاری معصومین علیهم السلام در آینه فقه و تاریخ</dc:title>
</cp:coreProperties>
</file>

<file path=docProps/custom.xml><?xml version="1.0" encoding="utf-8"?>
<Properties xmlns="http://schemas.openxmlformats.org/officeDocument/2006/custom-properties" xmlns:vt="http://schemas.openxmlformats.org/officeDocument/2006/docPropsVTypes"/>
</file>