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و حقوق بشر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390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1391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13912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313914_2870459653">
            <w:r>
              <w:rPr>
                <w:webHidden/>
                <w:rStyle w:val="IndexLink"/>
                <w:rtl w:val="true"/>
              </w:rPr>
              <w:t>ديباچه</w:t>
            </w:r>
            <w:r>
              <w:rPr>
                <w:rStyle w:val="IndexLink"/>
                <w:rtl w:val="true"/>
              </w:rPr>
              <w:tab/>
            </w:r>
            <w:r>
              <w:rPr>
                <w:rStyle w:val="IndexLink"/>
              </w:rPr>
              <w:t>16</w:t>
            </w:r>
          </w:hyperlink>
        </w:p>
        <w:p>
          <w:pPr>
            <w:pStyle w:val="Contents2"/>
            <w:tabs>
              <w:tab w:val="clear" w:pos="8743"/>
              <w:tab w:val="right" w:pos="9026" w:leader="dot"/>
            </w:tabs>
            <w:rPr/>
          </w:pPr>
          <w:hyperlink w:anchor="__RefHeading___Toc1313916_2870459653">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313918_2870459653">
            <w:r>
              <w:rPr>
                <w:webHidden/>
                <w:rStyle w:val="IndexLink"/>
                <w:rtl w:val="true"/>
              </w:rPr>
              <w:t>فصل اول</w:t>
            </w:r>
            <w:r>
              <w:rPr>
                <w:rStyle w:val="IndexLink"/>
                <w:rtl w:val="true"/>
              </w:rPr>
              <w:t xml:space="preserve">: </w:t>
            </w:r>
            <w:r>
              <w:rPr>
                <w:rStyle w:val="IndexLink"/>
                <w:rtl w:val="true"/>
              </w:rPr>
              <w:t>كليات و مفاهيم</w:t>
            </w:r>
            <w:r>
              <w:rPr>
                <w:rStyle w:val="IndexLink"/>
                <w:rtl w:val="true"/>
              </w:rPr>
              <w:tab/>
            </w:r>
            <w:r>
              <w:rPr>
                <w:rStyle w:val="IndexLink"/>
              </w:rPr>
              <w:t>25</w:t>
            </w:r>
          </w:hyperlink>
        </w:p>
        <w:p>
          <w:pPr>
            <w:pStyle w:val="Contents3"/>
            <w:tabs>
              <w:tab w:val="clear" w:pos="8459"/>
              <w:tab w:val="right" w:pos="9026" w:leader="dot"/>
            </w:tabs>
            <w:rPr/>
          </w:pPr>
          <w:hyperlink w:anchor="__RefHeading___Toc1313920_2870459653">
            <w:r>
              <w:rPr>
                <w:webHidden/>
                <w:rStyle w:val="IndexLink"/>
                <w:rtl w:val="true"/>
              </w:rPr>
              <w:t>گفتار نخست</w:t>
            </w:r>
            <w:r>
              <w:rPr>
                <w:rStyle w:val="IndexLink"/>
                <w:rtl w:val="true"/>
              </w:rPr>
              <w:t xml:space="preserve">: </w:t>
            </w:r>
            <w:r>
              <w:rPr>
                <w:rStyle w:val="IndexLink"/>
                <w:rtl w:val="true"/>
              </w:rPr>
              <w:t>كليات تحقيق</w:t>
            </w:r>
            <w:r>
              <w:rPr>
                <w:rStyle w:val="IndexLink"/>
                <w:rtl w:val="true"/>
              </w:rPr>
              <w:tab/>
            </w:r>
            <w:r>
              <w:rPr>
                <w:rStyle w:val="IndexLink"/>
              </w:rPr>
              <w:t>25</w:t>
            </w:r>
          </w:hyperlink>
        </w:p>
        <w:p>
          <w:pPr>
            <w:pStyle w:val="Contents4"/>
            <w:tabs>
              <w:tab w:val="clear" w:pos="8176"/>
              <w:tab w:val="right" w:pos="9026" w:leader="dot"/>
            </w:tabs>
            <w:rPr/>
          </w:pPr>
          <w:hyperlink w:anchor="__RefHeading___Toc1313922_2870459653">
            <w:r>
              <w:rPr>
                <w:webHidden/>
                <w:rStyle w:val="IndexLink"/>
              </w:rPr>
              <w:t>1</w:t>
            </w:r>
            <w:r>
              <w:rPr>
                <w:rStyle w:val="IndexLink"/>
                <w:rtl w:val="true"/>
              </w:rPr>
              <w:t xml:space="preserve">. </w:t>
            </w:r>
            <w:r>
              <w:rPr>
                <w:rStyle w:val="IndexLink"/>
                <w:rtl w:val="true"/>
              </w:rPr>
              <w:t>بيان مسئله حقوق بشر</w:t>
            </w:r>
            <w:r>
              <w:rPr>
                <w:rStyle w:val="IndexLink"/>
                <w:rtl w:val="true"/>
              </w:rPr>
              <w:tab/>
            </w:r>
            <w:r>
              <w:rPr>
                <w:rStyle w:val="IndexLink"/>
              </w:rPr>
              <w:t>25</w:t>
            </w:r>
          </w:hyperlink>
        </w:p>
        <w:p>
          <w:pPr>
            <w:pStyle w:val="Contents4"/>
            <w:tabs>
              <w:tab w:val="clear" w:pos="8176"/>
              <w:tab w:val="right" w:pos="9026" w:leader="dot"/>
            </w:tabs>
            <w:rPr/>
          </w:pPr>
          <w:hyperlink w:anchor="__RefHeading___Toc1313924_2870459653">
            <w:r>
              <w:rPr>
                <w:webHidden/>
                <w:rStyle w:val="IndexLink"/>
              </w:rPr>
              <w:t>2</w:t>
            </w:r>
            <w:r>
              <w:rPr>
                <w:rStyle w:val="IndexLink"/>
                <w:rtl w:val="true"/>
              </w:rPr>
              <w:t xml:space="preserve">. </w:t>
            </w:r>
            <w:r>
              <w:rPr>
                <w:rStyle w:val="IndexLink"/>
                <w:rtl w:val="true"/>
              </w:rPr>
              <w:t>پرسش اصلى</w:t>
            </w:r>
            <w:r>
              <w:rPr>
                <w:rStyle w:val="IndexLink"/>
                <w:rtl w:val="true"/>
              </w:rPr>
              <w:tab/>
            </w:r>
            <w:r>
              <w:rPr>
                <w:rStyle w:val="IndexLink"/>
              </w:rPr>
              <w:t>30</w:t>
            </w:r>
          </w:hyperlink>
        </w:p>
        <w:p>
          <w:pPr>
            <w:pStyle w:val="Contents4"/>
            <w:tabs>
              <w:tab w:val="clear" w:pos="8176"/>
              <w:tab w:val="right" w:pos="9026" w:leader="dot"/>
            </w:tabs>
            <w:rPr/>
          </w:pPr>
          <w:hyperlink w:anchor="__RefHeading___Toc1313926_2870459653">
            <w:r>
              <w:rPr>
                <w:webHidden/>
                <w:rStyle w:val="IndexLink"/>
              </w:rPr>
              <w:t>3</w:t>
            </w:r>
            <w:r>
              <w:rPr>
                <w:rStyle w:val="IndexLink"/>
                <w:rtl w:val="true"/>
              </w:rPr>
              <w:t xml:space="preserve">. </w:t>
            </w:r>
            <w:r>
              <w:rPr>
                <w:rStyle w:val="IndexLink"/>
                <w:rtl w:val="true"/>
              </w:rPr>
              <w:t>فرضيه تحقيق</w:t>
            </w:r>
            <w:r>
              <w:rPr>
                <w:rStyle w:val="IndexLink"/>
                <w:rtl w:val="true"/>
              </w:rPr>
              <w:tab/>
            </w:r>
            <w:r>
              <w:rPr>
                <w:rStyle w:val="IndexLink"/>
              </w:rPr>
              <w:t>31</w:t>
            </w:r>
          </w:hyperlink>
        </w:p>
        <w:p>
          <w:pPr>
            <w:pStyle w:val="Contents4"/>
            <w:tabs>
              <w:tab w:val="clear" w:pos="8176"/>
              <w:tab w:val="right" w:pos="9026" w:leader="dot"/>
            </w:tabs>
            <w:rPr/>
          </w:pPr>
          <w:hyperlink w:anchor="__RefHeading___Toc1313928_2870459653">
            <w:r>
              <w:rPr>
                <w:webHidden/>
                <w:rStyle w:val="IndexLink"/>
              </w:rPr>
              <w:t>4</w:t>
            </w:r>
            <w:r>
              <w:rPr>
                <w:rStyle w:val="IndexLink"/>
                <w:rtl w:val="true"/>
              </w:rPr>
              <w:t xml:space="preserve">. </w:t>
            </w:r>
            <w:r>
              <w:rPr>
                <w:rStyle w:val="IndexLink"/>
                <w:rtl w:val="true"/>
              </w:rPr>
              <w:t>پيشينه تحقيق</w:t>
            </w:r>
            <w:r>
              <w:rPr>
                <w:rStyle w:val="IndexLink"/>
                <w:rtl w:val="true"/>
              </w:rPr>
              <w:tab/>
            </w:r>
            <w:r>
              <w:rPr>
                <w:rStyle w:val="IndexLink"/>
              </w:rPr>
              <w:t>31</w:t>
            </w:r>
          </w:hyperlink>
        </w:p>
        <w:p>
          <w:pPr>
            <w:pStyle w:val="Contents4"/>
            <w:tabs>
              <w:tab w:val="clear" w:pos="8176"/>
              <w:tab w:val="right" w:pos="9026" w:leader="dot"/>
            </w:tabs>
            <w:rPr/>
          </w:pPr>
          <w:hyperlink w:anchor="__RefHeading___Toc1313930_2870459653">
            <w:r>
              <w:rPr>
                <w:webHidden/>
                <w:rStyle w:val="IndexLink"/>
              </w:rPr>
              <w:t>5</w:t>
            </w:r>
            <w:r>
              <w:rPr>
                <w:rStyle w:val="IndexLink"/>
                <w:rtl w:val="true"/>
              </w:rPr>
              <w:t xml:space="preserve">. </w:t>
            </w:r>
            <w:r>
              <w:rPr>
                <w:rStyle w:val="IndexLink"/>
                <w:rtl w:val="true"/>
              </w:rPr>
              <w:t>نسبت حقوق بشر و آموزه هاى اسلامى</w:t>
            </w:r>
            <w:r>
              <w:rPr>
                <w:rStyle w:val="IndexLink"/>
                <w:rtl w:val="true"/>
              </w:rPr>
              <w:tab/>
            </w:r>
            <w:r>
              <w:rPr>
                <w:rStyle w:val="IndexLink"/>
              </w:rPr>
              <w:t>32</w:t>
            </w:r>
          </w:hyperlink>
        </w:p>
        <w:p>
          <w:pPr>
            <w:pStyle w:val="Contents4"/>
            <w:tabs>
              <w:tab w:val="clear" w:pos="8176"/>
              <w:tab w:val="right" w:pos="9026" w:leader="dot"/>
            </w:tabs>
            <w:rPr/>
          </w:pPr>
          <w:hyperlink w:anchor="__RefHeading___Toc1313932_2870459653">
            <w:r>
              <w:rPr>
                <w:webHidden/>
                <w:rStyle w:val="IndexLink"/>
              </w:rPr>
              <w:t>6</w:t>
            </w:r>
            <w:r>
              <w:rPr>
                <w:rStyle w:val="IndexLink"/>
                <w:rtl w:val="true"/>
              </w:rPr>
              <w:t xml:space="preserve">. </w:t>
            </w:r>
            <w:r>
              <w:rPr>
                <w:rStyle w:val="IndexLink"/>
                <w:rtl w:val="true"/>
              </w:rPr>
              <w:t>چارچوب نظرى بحث</w:t>
            </w:r>
            <w:r>
              <w:rPr>
                <w:rStyle w:val="IndexLink"/>
                <w:rtl w:val="true"/>
              </w:rPr>
              <w:tab/>
            </w:r>
            <w:r>
              <w:rPr>
                <w:rStyle w:val="IndexLink"/>
              </w:rPr>
              <w:t>34</w:t>
            </w:r>
          </w:hyperlink>
        </w:p>
        <w:p>
          <w:pPr>
            <w:pStyle w:val="Contents4"/>
            <w:tabs>
              <w:tab w:val="clear" w:pos="8176"/>
              <w:tab w:val="right" w:pos="9026" w:leader="dot"/>
            </w:tabs>
            <w:rPr/>
          </w:pPr>
          <w:hyperlink w:anchor="__RefHeading___Toc1313934_2870459653">
            <w:r>
              <w:rPr>
                <w:webHidden/>
                <w:rStyle w:val="IndexLink"/>
              </w:rPr>
              <w:t>7</w:t>
            </w:r>
            <w:r>
              <w:rPr>
                <w:rStyle w:val="IndexLink"/>
                <w:rtl w:val="true"/>
              </w:rPr>
              <w:t xml:space="preserve">. </w:t>
            </w:r>
            <w:r>
              <w:rPr>
                <w:rStyle w:val="IndexLink"/>
                <w:rtl w:val="true"/>
              </w:rPr>
              <w:t>جايگاه حج</w:t>
            </w:r>
            <w:r>
              <w:rPr>
                <w:rStyle w:val="IndexLink"/>
                <w:rtl w:val="true"/>
              </w:rPr>
              <w:tab/>
            </w:r>
            <w:r>
              <w:rPr>
                <w:rStyle w:val="IndexLink"/>
              </w:rPr>
              <w:t>36</w:t>
            </w:r>
          </w:hyperlink>
        </w:p>
        <w:p>
          <w:pPr>
            <w:pStyle w:val="Contents3"/>
            <w:tabs>
              <w:tab w:val="clear" w:pos="8459"/>
              <w:tab w:val="right" w:pos="9026" w:leader="dot"/>
            </w:tabs>
            <w:rPr/>
          </w:pPr>
          <w:hyperlink w:anchor="__RefHeading___Toc1313936_2870459653">
            <w:r>
              <w:rPr>
                <w:webHidden/>
                <w:rStyle w:val="IndexLink"/>
                <w:rtl w:val="true"/>
              </w:rPr>
              <w:t>گفتار دوم</w:t>
            </w:r>
            <w:r>
              <w:rPr>
                <w:rStyle w:val="IndexLink"/>
                <w:rtl w:val="true"/>
              </w:rPr>
              <w:t xml:space="preserve">: </w:t>
            </w:r>
            <w:r>
              <w:rPr>
                <w:rStyle w:val="IndexLink"/>
                <w:rtl w:val="true"/>
              </w:rPr>
              <w:t>مفاهيم</w:t>
            </w:r>
            <w:r>
              <w:rPr>
                <w:rStyle w:val="IndexLink"/>
                <w:rtl w:val="true"/>
              </w:rPr>
              <w:tab/>
            </w:r>
            <w:r>
              <w:rPr>
                <w:rStyle w:val="IndexLink"/>
              </w:rPr>
              <w:t>39</w:t>
            </w:r>
          </w:hyperlink>
        </w:p>
        <w:p>
          <w:pPr>
            <w:pStyle w:val="Contents4"/>
            <w:tabs>
              <w:tab w:val="clear" w:pos="8176"/>
              <w:tab w:val="right" w:pos="9026" w:leader="dot"/>
            </w:tabs>
            <w:rPr/>
          </w:pPr>
          <w:hyperlink w:anchor="__RefHeading___Toc1313938_2870459653">
            <w:r>
              <w:rPr>
                <w:webHidden/>
                <w:rStyle w:val="IndexLink"/>
              </w:rPr>
              <w:t>1</w:t>
            </w:r>
            <w:r>
              <w:rPr>
                <w:rStyle w:val="IndexLink"/>
                <w:rtl w:val="true"/>
              </w:rPr>
              <w:t xml:space="preserve">. </w:t>
            </w:r>
            <w:r>
              <w:rPr>
                <w:rStyle w:val="IndexLink"/>
                <w:rtl w:val="true"/>
              </w:rPr>
              <w:t>حمايت</w:t>
            </w:r>
            <w:r>
              <w:rPr>
                <w:rStyle w:val="IndexLink"/>
                <w:rtl w:val="true"/>
              </w:rPr>
              <w:tab/>
            </w:r>
            <w:r>
              <w:rPr>
                <w:rStyle w:val="IndexLink"/>
              </w:rPr>
              <w:t>39</w:t>
            </w:r>
          </w:hyperlink>
        </w:p>
        <w:p>
          <w:pPr>
            <w:pStyle w:val="Contents4"/>
            <w:tabs>
              <w:tab w:val="clear" w:pos="8176"/>
              <w:tab w:val="right" w:pos="9026" w:leader="dot"/>
            </w:tabs>
            <w:rPr/>
          </w:pPr>
          <w:hyperlink w:anchor="__RefHeading___Toc1313940_2870459653">
            <w:r>
              <w:rPr>
                <w:webHidden/>
                <w:rStyle w:val="IndexLink"/>
              </w:rPr>
              <w:t>2</w:t>
            </w:r>
            <w:r>
              <w:rPr>
                <w:rStyle w:val="IndexLink"/>
                <w:rtl w:val="true"/>
              </w:rPr>
              <w:t xml:space="preserve">. </w:t>
            </w:r>
            <w:r>
              <w:rPr>
                <w:rStyle w:val="IndexLink"/>
                <w:rtl w:val="true"/>
              </w:rPr>
              <w:t>حقوق بشر</w:t>
            </w:r>
            <w:r>
              <w:rPr>
                <w:rStyle w:val="IndexLink"/>
                <w:rtl w:val="true"/>
              </w:rPr>
              <w:tab/>
            </w:r>
            <w:r>
              <w:rPr>
                <w:rStyle w:val="IndexLink"/>
              </w:rPr>
              <w:t>40</w:t>
            </w:r>
          </w:hyperlink>
        </w:p>
        <w:p>
          <w:pPr>
            <w:pStyle w:val="Contents4"/>
            <w:tabs>
              <w:tab w:val="clear" w:pos="8176"/>
              <w:tab w:val="right" w:pos="9026" w:leader="dot"/>
            </w:tabs>
            <w:rPr/>
          </w:pPr>
          <w:hyperlink w:anchor="__RefHeading___Toc1313942_2870459653">
            <w:r>
              <w:rPr>
                <w:webHidden/>
                <w:rStyle w:val="IndexLink"/>
              </w:rPr>
              <w:t>3</w:t>
            </w:r>
            <w:r>
              <w:rPr>
                <w:rStyle w:val="IndexLink"/>
                <w:rtl w:val="true"/>
              </w:rPr>
              <w:t xml:space="preserve">. </w:t>
            </w:r>
            <w:r>
              <w:rPr>
                <w:rStyle w:val="IndexLink"/>
                <w:rtl w:val="true"/>
              </w:rPr>
              <w:t>اسناد بين المللى</w:t>
            </w:r>
            <w:r>
              <w:rPr>
                <w:rStyle w:val="IndexLink"/>
                <w:rtl w:val="true"/>
              </w:rPr>
              <w:tab/>
            </w:r>
            <w:r>
              <w:rPr>
                <w:rStyle w:val="IndexLink"/>
              </w:rPr>
              <w:t>41</w:t>
            </w:r>
          </w:hyperlink>
        </w:p>
        <w:p>
          <w:pPr>
            <w:pStyle w:val="Contents4"/>
            <w:tabs>
              <w:tab w:val="clear" w:pos="8176"/>
              <w:tab w:val="right" w:pos="9026" w:leader="dot"/>
            </w:tabs>
            <w:rPr/>
          </w:pPr>
          <w:hyperlink w:anchor="__RefHeading___Toc1313944_2870459653">
            <w:r>
              <w:rPr>
                <w:webHidden/>
                <w:rStyle w:val="IndexLink"/>
              </w:rPr>
              <w:t>4</w:t>
            </w:r>
            <w:r>
              <w:rPr>
                <w:rStyle w:val="IndexLink"/>
                <w:rtl w:val="true"/>
              </w:rPr>
              <w:t xml:space="preserve">. </w:t>
            </w:r>
            <w:r>
              <w:rPr>
                <w:rStyle w:val="IndexLink"/>
                <w:rtl w:val="true"/>
              </w:rPr>
              <w:t>كرامت انسانى</w:t>
            </w:r>
            <w:r>
              <w:rPr>
                <w:rStyle w:val="IndexLink"/>
                <w:rtl w:val="true"/>
              </w:rPr>
              <w:tab/>
            </w:r>
            <w:r>
              <w:rPr>
                <w:rStyle w:val="IndexLink"/>
              </w:rPr>
              <w:t>42</w:t>
            </w:r>
          </w:hyperlink>
        </w:p>
        <w:p>
          <w:pPr>
            <w:pStyle w:val="Contents4"/>
            <w:tabs>
              <w:tab w:val="clear" w:pos="8176"/>
              <w:tab w:val="right" w:pos="9026" w:leader="dot"/>
            </w:tabs>
            <w:rPr/>
          </w:pPr>
          <w:hyperlink w:anchor="__RefHeading___Toc1313946_2870459653">
            <w:r>
              <w:rPr>
                <w:webHidden/>
                <w:rStyle w:val="IndexLink"/>
              </w:rPr>
              <w:t>5</w:t>
            </w:r>
            <w:r>
              <w:rPr>
                <w:rStyle w:val="IndexLink"/>
                <w:rtl w:val="true"/>
              </w:rPr>
              <w:t xml:space="preserve">. </w:t>
            </w:r>
            <w:r>
              <w:rPr>
                <w:rStyle w:val="IndexLink"/>
                <w:rtl w:val="true"/>
              </w:rPr>
              <w:t>حق در معناى فقهى، حقوقى و اخلاقى</w:t>
            </w:r>
            <w:r>
              <w:rPr>
                <w:rStyle w:val="IndexLink"/>
                <w:rtl w:val="true"/>
              </w:rPr>
              <w:tab/>
            </w:r>
            <w:r>
              <w:rPr>
                <w:rStyle w:val="IndexLink"/>
              </w:rPr>
              <w:t>45</w:t>
            </w:r>
          </w:hyperlink>
        </w:p>
        <w:p>
          <w:pPr>
            <w:pStyle w:val="Contents4"/>
            <w:tabs>
              <w:tab w:val="clear" w:pos="8176"/>
              <w:tab w:val="right" w:pos="9026" w:leader="dot"/>
            </w:tabs>
            <w:rPr/>
          </w:pPr>
          <w:hyperlink w:anchor="__RefHeading___Toc1313948_2870459653">
            <w:r>
              <w:rPr>
                <w:webHidden/>
                <w:rStyle w:val="IndexLink"/>
              </w:rPr>
              <w:t>6</w:t>
            </w:r>
            <w:r>
              <w:rPr>
                <w:rStyle w:val="IndexLink"/>
                <w:rtl w:val="true"/>
              </w:rPr>
              <w:t xml:space="preserve">. </w:t>
            </w:r>
            <w:r>
              <w:rPr>
                <w:rStyle w:val="IndexLink"/>
                <w:rtl w:val="true"/>
              </w:rPr>
              <w:t>حق در معناى حق بودن و حق در معناى حق داشتن</w:t>
            </w:r>
            <w:r>
              <w:rPr>
                <w:rStyle w:val="IndexLink"/>
                <w:rtl w:val="true"/>
              </w:rPr>
              <w:tab/>
            </w:r>
            <w:r>
              <w:rPr>
                <w:rStyle w:val="IndexLink"/>
              </w:rPr>
              <w:t>49</w:t>
            </w:r>
          </w:hyperlink>
        </w:p>
        <w:p>
          <w:pPr>
            <w:pStyle w:val="Contents4"/>
            <w:tabs>
              <w:tab w:val="clear" w:pos="8176"/>
              <w:tab w:val="right" w:pos="9026" w:leader="dot"/>
            </w:tabs>
            <w:rPr/>
          </w:pPr>
          <w:hyperlink w:anchor="__RefHeading___Toc1313950_2870459653">
            <w:r>
              <w:rPr>
                <w:webHidden/>
                <w:rStyle w:val="IndexLink"/>
              </w:rPr>
              <w:t>7</w:t>
            </w:r>
            <w:r>
              <w:rPr>
                <w:rStyle w:val="IndexLink"/>
                <w:rtl w:val="true"/>
              </w:rPr>
              <w:t xml:space="preserve">. </w:t>
            </w:r>
            <w:r>
              <w:rPr>
                <w:rStyle w:val="IndexLink"/>
                <w:rtl w:val="true"/>
              </w:rPr>
              <w:t>مفاهيم مرتبط</w:t>
            </w:r>
            <w:r>
              <w:rPr>
                <w:rStyle w:val="IndexLink"/>
                <w:rtl w:val="true"/>
              </w:rPr>
              <w:tab/>
            </w:r>
            <w:r>
              <w:rPr>
                <w:rStyle w:val="IndexLink"/>
              </w:rPr>
              <w:t>51</w:t>
            </w:r>
          </w:hyperlink>
        </w:p>
        <w:p>
          <w:pPr>
            <w:pStyle w:val="Contents2"/>
            <w:tabs>
              <w:tab w:val="clear" w:pos="8743"/>
              <w:tab w:val="right" w:pos="9026" w:leader="dot"/>
            </w:tabs>
            <w:rPr/>
          </w:pPr>
          <w:hyperlink w:anchor="__RefHeading___Toc1313952_2870459653">
            <w:r>
              <w:rPr>
                <w:webHidden/>
                <w:rStyle w:val="IndexLink"/>
                <w:rtl w:val="true"/>
              </w:rPr>
              <w:t>فصل دوم</w:t>
            </w:r>
            <w:r>
              <w:rPr>
                <w:rStyle w:val="IndexLink"/>
                <w:rtl w:val="true"/>
              </w:rPr>
              <w:t xml:space="preserve">: </w:t>
            </w:r>
            <w:r>
              <w:rPr>
                <w:rStyle w:val="IndexLink"/>
                <w:rtl w:val="true"/>
              </w:rPr>
              <w:t>آموزه هاى حقوق بشرى حج</w:t>
            </w:r>
            <w:r>
              <w:rPr>
                <w:rStyle w:val="IndexLink"/>
                <w:rtl w:val="true"/>
              </w:rPr>
              <w:tab/>
            </w:r>
            <w:r>
              <w:rPr>
                <w:rStyle w:val="IndexLink"/>
              </w:rPr>
              <w:t>54</w:t>
            </w:r>
          </w:hyperlink>
        </w:p>
        <w:p>
          <w:pPr>
            <w:pStyle w:val="Contents3"/>
            <w:tabs>
              <w:tab w:val="clear" w:pos="8459"/>
              <w:tab w:val="right" w:pos="9026" w:leader="dot"/>
            </w:tabs>
            <w:rPr/>
          </w:pPr>
          <w:hyperlink w:anchor="__RefHeading___Toc1313954_2870459653">
            <w:r>
              <w:rPr>
                <w:webHidden/>
                <w:rStyle w:val="IndexLink"/>
                <w:rtl w:val="true"/>
              </w:rPr>
              <w:t>گفتار نخست</w:t>
            </w:r>
            <w:r>
              <w:rPr>
                <w:rStyle w:val="IndexLink"/>
                <w:rtl w:val="true"/>
              </w:rPr>
              <w:t xml:space="preserve">: </w:t>
            </w:r>
            <w:r>
              <w:rPr>
                <w:rStyle w:val="IndexLink"/>
                <w:rtl w:val="true"/>
              </w:rPr>
              <w:t>ابعاد مختلف حمايتى</w:t>
            </w:r>
            <w:r>
              <w:rPr>
                <w:rStyle w:val="IndexLink"/>
                <w:rtl w:val="true"/>
              </w:rPr>
              <w:tab/>
            </w:r>
            <w:r>
              <w:rPr>
                <w:rStyle w:val="IndexLink"/>
              </w:rPr>
              <w:t>54</w:t>
            </w:r>
          </w:hyperlink>
        </w:p>
        <w:p>
          <w:pPr>
            <w:pStyle w:val="Contents4"/>
            <w:tabs>
              <w:tab w:val="clear" w:pos="8176"/>
              <w:tab w:val="right" w:pos="9026" w:leader="dot"/>
            </w:tabs>
            <w:rPr/>
          </w:pPr>
          <w:hyperlink w:anchor="__RefHeading___Toc1313956_2870459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313958_2870459653">
            <w:r>
              <w:rPr>
                <w:webHidden/>
                <w:rStyle w:val="IndexLink"/>
                <w:rtl w:val="true"/>
              </w:rPr>
              <w:t>شناسايى حقوق حمايتى از سوى خداوند</w:t>
            </w:r>
            <w:r>
              <w:rPr>
                <w:rStyle w:val="IndexLink"/>
                <w:rtl w:val="true"/>
              </w:rPr>
              <w:tab/>
            </w:r>
            <w:r>
              <w:rPr>
                <w:rStyle w:val="IndexLink"/>
              </w:rPr>
              <w:t>55</w:t>
            </w:r>
          </w:hyperlink>
        </w:p>
        <w:p>
          <w:pPr>
            <w:pStyle w:val="Contents4"/>
            <w:tabs>
              <w:tab w:val="clear" w:pos="8176"/>
              <w:tab w:val="right" w:pos="9026" w:leader="dot"/>
            </w:tabs>
            <w:rPr/>
          </w:pPr>
          <w:hyperlink w:anchor="__RefHeading___Toc1313960_2870459653">
            <w:r>
              <w:rPr>
                <w:webHidden/>
                <w:rStyle w:val="IndexLink"/>
                <w:rtl w:val="true"/>
              </w:rPr>
              <w:t>تمهيدات سرزمينى</w:t>
            </w:r>
            <w:r>
              <w:rPr>
                <w:rStyle w:val="IndexLink"/>
                <w:rtl w:val="true"/>
              </w:rPr>
              <w:tab/>
            </w:r>
            <w:r>
              <w:rPr>
                <w:rStyle w:val="IndexLink"/>
              </w:rPr>
              <w:t>56</w:t>
            </w:r>
          </w:hyperlink>
        </w:p>
        <w:p>
          <w:pPr>
            <w:pStyle w:val="Contents4"/>
            <w:tabs>
              <w:tab w:val="clear" w:pos="8176"/>
              <w:tab w:val="right" w:pos="9026" w:leader="dot"/>
            </w:tabs>
            <w:rPr/>
          </w:pPr>
          <w:hyperlink w:anchor="__RefHeading___Toc1313962_2870459653">
            <w:r>
              <w:rPr>
                <w:webHidden/>
                <w:rStyle w:val="IndexLink"/>
                <w:rtl w:val="true"/>
              </w:rPr>
              <w:t>حمايت هاى آيينى و نمادين</w:t>
            </w:r>
            <w:r>
              <w:rPr>
                <w:rStyle w:val="IndexLink"/>
                <w:rtl w:val="true"/>
              </w:rPr>
              <w:tab/>
            </w:r>
            <w:r>
              <w:rPr>
                <w:rStyle w:val="IndexLink"/>
              </w:rPr>
              <w:t>59</w:t>
            </w:r>
          </w:hyperlink>
        </w:p>
        <w:p>
          <w:pPr>
            <w:pStyle w:val="Contents5"/>
            <w:tabs>
              <w:tab w:val="clear" w:pos="7892"/>
              <w:tab w:val="right" w:pos="9026" w:leader="dot"/>
            </w:tabs>
            <w:rPr/>
          </w:pPr>
          <w:hyperlink w:anchor="__RefHeading___Toc1313964_287045965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313966_2870459653">
            <w:r>
              <w:rPr>
                <w:webHidden/>
                <w:rStyle w:val="IndexLink"/>
                <w:rtl w:val="true"/>
              </w:rPr>
              <w:t>الف</w:t>
            </w:r>
            <w:r>
              <w:rPr>
                <w:rStyle w:val="IndexLink"/>
                <w:rtl w:val="true"/>
              </w:rPr>
              <w:t xml:space="preserve">) </w:t>
            </w:r>
            <w:r>
              <w:rPr>
                <w:rStyle w:val="IndexLink"/>
                <w:rtl w:val="true"/>
              </w:rPr>
              <w:t>مكه</w:t>
            </w:r>
            <w:r>
              <w:rPr>
                <w:rStyle w:val="IndexLink"/>
                <w:rtl w:val="true"/>
              </w:rPr>
              <w:tab/>
            </w:r>
            <w:r>
              <w:rPr>
                <w:rStyle w:val="IndexLink"/>
              </w:rPr>
              <w:t>60</w:t>
            </w:r>
          </w:hyperlink>
        </w:p>
        <w:p>
          <w:pPr>
            <w:pStyle w:val="Contents5"/>
            <w:tabs>
              <w:tab w:val="clear" w:pos="7892"/>
              <w:tab w:val="right" w:pos="9026" w:leader="dot"/>
            </w:tabs>
            <w:rPr/>
          </w:pPr>
          <w:hyperlink w:anchor="__RefHeading___Toc1313968_2870459653">
            <w:r>
              <w:rPr>
                <w:webHidden/>
                <w:rStyle w:val="IndexLink"/>
                <w:rtl w:val="true"/>
              </w:rPr>
              <w:t>ب</w:t>
            </w:r>
            <w:r>
              <w:rPr>
                <w:rStyle w:val="IndexLink"/>
                <w:rtl w:val="true"/>
              </w:rPr>
              <w:t xml:space="preserve">) </w:t>
            </w:r>
            <w:r>
              <w:rPr>
                <w:rStyle w:val="IndexLink"/>
                <w:rtl w:val="true"/>
              </w:rPr>
              <w:t>واژه ام القرى</w:t>
            </w:r>
            <w:r>
              <w:rPr>
                <w:rStyle w:val="IndexLink"/>
                <w:rtl w:val="true"/>
              </w:rPr>
              <w:tab/>
            </w:r>
            <w:r>
              <w:rPr>
                <w:rStyle w:val="IndexLink"/>
              </w:rPr>
              <w:t>63</w:t>
            </w:r>
          </w:hyperlink>
        </w:p>
        <w:p>
          <w:pPr>
            <w:pStyle w:val="Contents5"/>
            <w:tabs>
              <w:tab w:val="clear" w:pos="7892"/>
              <w:tab w:val="right" w:pos="9026" w:leader="dot"/>
            </w:tabs>
            <w:rPr/>
          </w:pPr>
          <w:hyperlink w:anchor="__RefHeading___Toc1313970_2870459653">
            <w:r>
              <w:rPr>
                <w:webHidden/>
                <w:rStyle w:val="IndexLink"/>
                <w:rtl w:val="true"/>
              </w:rPr>
              <w:t>ج</w:t>
            </w:r>
            <w:r>
              <w:rPr>
                <w:rStyle w:val="IndexLink"/>
                <w:rtl w:val="true"/>
              </w:rPr>
              <w:t xml:space="preserve">) </w:t>
            </w:r>
            <w:r>
              <w:rPr>
                <w:rStyle w:val="IndexLink"/>
                <w:rtl w:val="true"/>
              </w:rPr>
              <w:t>واژه بلد</w:t>
            </w:r>
            <w:r>
              <w:rPr>
                <w:rStyle w:val="IndexLink"/>
                <w:rtl w:val="true"/>
              </w:rPr>
              <w:tab/>
            </w:r>
            <w:r>
              <w:rPr>
                <w:rStyle w:val="IndexLink"/>
              </w:rPr>
              <w:t>64</w:t>
            </w:r>
          </w:hyperlink>
        </w:p>
        <w:p>
          <w:pPr>
            <w:pStyle w:val="Contents5"/>
            <w:tabs>
              <w:tab w:val="clear" w:pos="7892"/>
              <w:tab w:val="right" w:pos="9026" w:leader="dot"/>
            </w:tabs>
            <w:rPr/>
          </w:pPr>
          <w:hyperlink w:anchor="__RefHeading___Toc1313972_2870459653">
            <w:r>
              <w:rPr>
                <w:webHidden/>
                <w:rStyle w:val="IndexLink"/>
                <w:rtl w:val="true"/>
              </w:rPr>
              <w:t>د</w:t>
            </w:r>
            <w:r>
              <w:rPr>
                <w:rStyle w:val="IndexLink"/>
                <w:rtl w:val="true"/>
              </w:rPr>
              <w:t xml:space="preserve">) </w:t>
            </w:r>
            <w:r>
              <w:rPr>
                <w:rStyle w:val="IndexLink"/>
                <w:rtl w:val="true"/>
              </w:rPr>
              <w:t>حرماً آمناً</w:t>
            </w:r>
            <w:r>
              <w:rPr>
                <w:rStyle w:val="IndexLink"/>
                <w:rtl w:val="true"/>
              </w:rPr>
              <w:tab/>
            </w:r>
            <w:r>
              <w:rPr>
                <w:rStyle w:val="IndexLink"/>
              </w:rPr>
              <w:t>66</w:t>
            </w:r>
          </w:hyperlink>
        </w:p>
        <w:p>
          <w:pPr>
            <w:pStyle w:val="Contents4"/>
            <w:tabs>
              <w:tab w:val="clear" w:pos="8176"/>
              <w:tab w:val="right" w:pos="9026" w:leader="dot"/>
            </w:tabs>
            <w:rPr/>
          </w:pPr>
          <w:hyperlink w:anchor="__RefHeading___Toc1313974_2870459653">
            <w:r>
              <w:rPr>
                <w:webHidden/>
                <w:rStyle w:val="IndexLink"/>
                <w:rtl w:val="true"/>
              </w:rPr>
              <w:t>حمايت الهى و حفاظت پنهانى</w:t>
            </w:r>
            <w:r>
              <w:rPr>
                <w:rStyle w:val="IndexLink"/>
                <w:rtl w:val="true"/>
              </w:rPr>
              <w:tab/>
            </w:r>
            <w:r>
              <w:rPr>
                <w:rStyle w:val="IndexLink"/>
              </w:rPr>
              <w:t>67</w:t>
            </w:r>
          </w:hyperlink>
        </w:p>
        <w:p>
          <w:pPr>
            <w:pStyle w:val="Contents4"/>
            <w:tabs>
              <w:tab w:val="clear" w:pos="8176"/>
              <w:tab w:val="right" w:pos="9026" w:leader="dot"/>
            </w:tabs>
            <w:rPr/>
          </w:pPr>
          <w:hyperlink w:anchor="__RefHeading___Toc1313976_2870459653">
            <w:r>
              <w:rPr>
                <w:webHidden/>
                <w:rStyle w:val="IndexLink"/>
                <w:rtl w:val="true"/>
              </w:rPr>
              <w:t>وضع احكام خاص حمايتى</w:t>
            </w:r>
            <w:r>
              <w:rPr>
                <w:rStyle w:val="IndexLink"/>
                <w:rtl w:val="true"/>
              </w:rPr>
              <w:tab/>
            </w:r>
            <w:r>
              <w:rPr>
                <w:rStyle w:val="IndexLink"/>
              </w:rPr>
              <w:t>69</w:t>
            </w:r>
          </w:hyperlink>
        </w:p>
        <w:p>
          <w:pPr>
            <w:pStyle w:val="Contents4"/>
            <w:tabs>
              <w:tab w:val="clear" w:pos="8176"/>
              <w:tab w:val="right" w:pos="9026" w:leader="dot"/>
            </w:tabs>
            <w:rPr/>
          </w:pPr>
          <w:hyperlink w:anchor="__RefHeading___Toc1313978_2870459653">
            <w:r>
              <w:rPr>
                <w:webHidden/>
                <w:rStyle w:val="IndexLink"/>
                <w:rtl w:val="true"/>
              </w:rPr>
              <w:t>حمايت چند جانبه و چند لايه اى</w:t>
            </w:r>
            <w:r>
              <w:rPr>
                <w:rStyle w:val="IndexLink"/>
                <w:rtl w:val="true"/>
              </w:rPr>
              <w:tab/>
            </w:r>
            <w:r>
              <w:rPr>
                <w:rStyle w:val="IndexLink"/>
              </w:rPr>
              <w:t>73</w:t>
            </w:r>
          </w:hyperlink>
        </w:p>
        <w:p>
          <w:pPr>
            <w:pStyle w:val="Contents4"/>
            <w:tabs>
              <w:tab w:val="clear" w:pos="8176"/>
              <w:tab w:val="right" w:pos="9026" w:leader="dot"/>
            </w:tabs>
            <w:rPr/>
          </w:pPr>
          <w:hyperlink w:anchor="__RefHeading___Toc1313980_2870459653">
            <w:r>
              <w:rPr>
                <w:webHidden/>
                <w:rStyle w:val="IndexLink"/>
                <w:rtl w:val="true"/>
              </w:rPr>
              <w:t>ممنوعيت جنگ و خونريزى</w:t>
            </w:r>
            <w:r>
              <w:rPr>
                <w:rStyle w:val="IndexLink"/>
                <w:rtl w:val="true"/>
              </w:rPr>
              <w:tab/>
            </w:r>
            <w:r>
              <w:rPr>
                <w:rStyle w:val="IndexLink"/>
              </w:rPr>
              <w:t>75</w:t>
            </w:r>
          </w:hyperlink>
        </w:p>
        <w:p>
          <w:pPr>
            <w:pStyle w:val="Contents4"/>
            <w:tabs>
              <w:tab w:val="clear" w:pos="8176"/>
              <w:tab w:val="right" w:pos="9026" w:leader="dot"/>
            </w:tabs>
            <w:rPr/>
          </w:pPr>
          <w:hyperlink w:anchor="__RefHeading___Toc1313982_2870459653">
            <w:r>
              <w:rPr>
                <w:webHidden/>
                <w:rStyle w:val="IndexLink"/>
                <w:rtl w:val="true"/>
              </w:rPr>
              <w:t>حمايت و مقابله با عوامل تهديدزا</w:t>
            </w:r>
            <w:r>
              <w:rPr>
                <w:rStyle w:val="IndexLink"/>
                <w:rtl w:val="true"/>
              </w:rPr>
              <w:tab/>
            </w:r>
            <w:r>
              <w:rPr>
                <w:rStyle w:val="IndexLink"/>
              </w:rPr>
              <w:t>76</w:t>
            </w:r>
          </w:hyperlink>
        </w:p>
        <w:p>
          <w:pPr>
            <w:pStyle w:val="Contents4"/>
            <w:tabs>
              <w:tab w:val="clear" w:pos="8176"/>
              <w:tab w:val="right" w:pos="9026" w:leader="dot"/>
            </w:tabs>
            <w:rPr/>
          </w:pPr>
          <w:hyperlink w:anchor="__RefHeading___Toc1313984_2870459653">
            <w:r>
              <w:rPr>
                <w:webHidden/>
                <w:rStyle w:val="IndexLink"/>
                <w:rtl w:val="true"/>
              </w:rPr>
              <w:t>حمايت و تعهدات ايمانى حجاج نسبت به يكديگر</w:t>
            </w:r>
            <w:r>
              <w:rPr>
                <w:rStyle w:val="IndexLink"/>
                <w:rtl w:val="true"/>
              </w:rPr>
              <w:tab/>
            </w:r>
            <w:r>
              <w:rPr>
                <w:rStyle w:val="IndexLink"/>
              </w:rPr>
              <w:t>78</w:t>
            </w:r>
          </w:hyperlink>
        </w:p>
        <w:p>
          <w:pPr>
            <w:pStyle w:val="Contents4"/>
            <w:tabs>
              <w:tab w:val="clear" w:pos="8176"/>
              <w:tab w:val="right" w:pos="9026" w:leader="dot"/>
            </w:tabs>
            <w:rPr/>
          </w:pPr>
          <w:hyperlink w:anchor="__RefHeading___Toc1313986_2870459653">
            <w:r>
              <w:rPr>
                <w:webHidden/>
                <w:rStyle w:val="IndexLink"/>
                <w:rtl w:val="true"/>
              </w:rPr>
              <w:t>حمايت حجاج از يكديگر و امر به تعاون</w:t>
            </w:r>
            <w:r>
              <w:rPr>
                <w:rStyle w:val="IndexLink"/>
                <w:rtl w:val="true"/>
              </w:rPr>
              <w:tab/>
            </w:r>
            <w:r>
              <w:rPr>
                <w:rStyle w:val="IndexLink"/>
              </w:rPr>
              <w:t>81</w:t>
            </w:r>
          </w:hyperlink>
        </w:p>
        <w:p>
          <w:pPr>
            <w:pStyle w:val="Contents4"/>
            <w:tabs>
              <w:tab w:val="clear" w:pos="8176"/>
              <w:tab w:val="right" w:pos="9026" w:leader="dot"/>
            </w:tabs>
            <w:rPr/>
          </w:pPr>
          <w:hyperlink w:anchor="__RefHeading___Toc1313988_2870459653">
            <w:r>
              <w:rPr>
                <w:webHidden/>
                <w:rStyle w:val="IndexLink"/>
                <w:rtl w:val="true"/>
              </w:rPr>
              <w:t>حمايت و بهره مندى يكسان از حقوق</w:t>
            </w:r>
            <w:r>
              <w:rPr>
                <w:rStyle w:val="IndexLink"/>
                <w:rtl w:val="true"/>
              </w:rPr>
              <w:tab/>
            </w:r>
            <w:r>
              <w:rPr>
                <w:rStyle w:val="IndexLink"/>
              </w:rPr>
              <w:t>83</w:t>
            </w:r>
          </w:hyperlink>
        </w:p>
        <w:p>
          <w:pPr>
            <w:pStyle w:val="Contents4"/>
            <w:tabs>
              <w:tab w:val="clear" w:pos="8176"/>
              <w:tab w:val="right" w:pos="9026" w:leader="dot"/>
            </w:tabs>
            <w:rPr/>
          </w:pPr>
          <w:hyperlink w:anchor="__RefHeading___Toc1313990_2870459653">
            <w:r>
              <w:rPr>
                <w:webHidden/>
                <w:rStyle w:val="IndexLink"/>
                <w:rtl w:val="true"/>
              </w:rPr>
              <w:t>ضرورت قيام حج گزار بر حقوق خود</w:t>
            </w:r>
            <w:r>
              <w:rPr>
                <w:rStyle w:val="IndexLink"/>
                <w:rtl w:val="true"/>
              </w:rPr>
              <w:tab/>
            </w:r>
            <w:r>
              <w:rPr>
                <w:rStyle w:val="IndexLink"/>
              </w:rPr>
              <w:t>85</w:t>
            </w:r>
          </w:hyperlink>
        </w:p>
        <w:p>
          <w:pPr>
            <w:pStyle w:val="Contents4"/>
            <w:tabs>
              <w:tab w:val="clear" w:pos="8176"/>
              <w:tab w:val="right" w:pos="9026" w:leader="dot"/>
            </w:tabs>
            <w:rPr/>
          </w:pPr>
          <w:hyperlink w:anchor="__RefHeading___Toc1313992_2870459653">
            <w:r>
              <w:rPr>
                <w:webHidden/>
                <w:rStyle w:val="IndexLink"/>
                <w:rtl w:val="true"/>
              </w:rPr>
              <w:t>حمايت از ديگر اتباع و تعهدات دولت ميزبان</w:t>
            </w:r>
            <w:r>
              <w:rPr>
                <w:rStyle w:val="IndexLink"/>
                <w:rtl w:val="true"/>
              </w:rPr>
              <w:tab/>
            </w:r>
            <w:r>
              <w:rPr>
                <w:rStyle w:val="IndexLink"/>
              </w:rPr>
              <w:t>87</w:t>
            </w:r>
          </w:hyperlink>
        </w:p>
        <w:p>
          <w:pPr>
            <w:pStyle w:val="Contents4"/>
            <w:tabs>
              <w:tab w:val="clear" w:pos="8176"/>
              <w:tab w:val="right" w:pos="9026" w:leader="dot"/>
            </w:tabs>
            <w:rPr/>
          </w:pPr>
          <w:hyperlink w:anchor="__RefHeading___Toc1313994_2870459653">
            <w:r>
              <w:rPr>
                <w:webHidden/>
                <w:rStyle w:val="IndexLink"/>
                <w:rtl w:val="true"/>
              </w:rPr>
              <w:t>حمايت الهى و طرد</w:t>
            </w:r>
            <w:r>
              <w:rPr>
                <w:rStyle w:val="IndexLink"/>
                <w:rtl w:val="true"/>
              </w:rPr>
              <w:tab/>
            </w:r>
            <w:r>
              <w:rPr>
                <w:rStyle w:val="IndexLink"/>
              </w:rPr>
              <w:t>92</w:t>
            </w:r>
          </w:hyperlink>
        </w:p>
        <w:p>
          <w:pPr>
            <w:pStyle w:val="Contents4"/>
            <w:tabs>
              <w:tab w:val="clear" w:pos="8176"/>
              <w:tab w:val="right" w:pos="9026" w:leader="dot"/>
            </w:tabs>
            <w:rPr/>
          </w:pPr>
          <w:hyperlink w:anchor="__RefHeading___Toc1313996_2870459653">
            <w:r>
              <w:rPr>
                <w:webHidden/>
                <w:rStyle w:val="IndexLink"/>
                <w:rtl w:val="true"/>
              </w:rPr>
              <w:t>حمايت از حج گزار آسيب پذير</w:t>
            </w:r>
            <w:r>
              <w:rPr>
                <w:rStyle w:val="IndexLink"/>
                <w:rtl w:val="true"/>
              </w:rPr>
              <w:tab/>
            </w:r>
            <w:r>
              <w:rPr>
                <w:rStyle w:val="IndexLink"/>
              </w:rPr>
              <w:t>93</w:t>
            </w:r>
          </w:hyperlink>
        </w:p>
        <w:p>
          <w:pPr>
            <w:pStyle w:val="Contents3"/>
            <w:tabs>
              <w:tab w:val="clear" w:pos="8459"/>
              <w:tab w:val="right" w:pos="9026" w:leader="dot"/>
            </w:tabs>
            <w:rPr/>
          </w:pPr>
          <w:hyperlink w:anchor="__RefHeading___Toc1313998_2870459653">
            <w:r>
              <w:rPr>
                <w:webHidden/>
                <w:rStyle w:val="IndexLink"/>
                <w:rtl w:val="true"/>
              </w:rPr>
              <w:t>گفتار دوم</w:t>
            </w:r>
            <w:r>
              <w:rPr>
                <w:rStyle w:val="IndexLink"/>
                <w:rtl w:val="true"/>
              </w:rPr>
              <w:t xml:space="preserve">: </w:t>
            </w:r>
            <w:r>
              <w:rPr>
                <w:rStyle w:val="IndexLink"/>
                <w:rtl w:val="true"/>
              </w:rPr>
              <w:t>حقوق حمايتى حجاج</w:t>
            </w:r>
            <w:r>
              <w:rPr>
                <w:rStyle w:val="IndexLink"/>
                <w:rtl w:val="true"/>
              </w:rPr>
              <w:tab/>
            </w:r>
            <w:r>
              <w:rPr>
                <w:rStyle w:val="IndexLink"/>
              </w:rPr>
              <w:t>96</w:t>
            </w:r>
          </w:hyperlink>
        </w:p>
        <w:p>
          <w:pPr>
            <w:pStyle w:val="Contents4"/>
            <w:tabs>
              <w:tab w:val="clear" w:pos="8176"/>
              <w:tab w:val="right" w:pos="9026" w:leader="dot"/>
            </w:tabs>
            <w:rPr/>
          </w:pPr>
          <w:hyperlink w:anchor="__RefHeading___Toc1314000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314002_2870459653">
            <w:r>
              <w:rPr>
                <w:webHidden/>
                <w:rStyle w:val="IndexLink"/>
              </w:rPr>
              <w:t>1</w:t>
            </w:r>
            <w:r>
              <w:rPr>
                <w:rStyle w:val="IndexLink"/>
                <w:rtl w:val="true"/>
              </w:rPr>
              <w:t xml:space="preserve">. </w:t>
            </w:r>
            <w:r>
              <w:rPr>
                <w:rStyle w:val="IndexLink"/>
                <w:rtl w:val="true"/>
              </w:rPr>
              <w:t>حق انجام مناسك</w:t>
            </w:r>
            <w:r>
              <w:rPr>
                <w:rStyle w:val="IndexLink"/>
                <w:rtl w:val="true"/>
              </w:rPr>
              <w:tab/>
            </w:r>
            <w:r>
              <w:rPr>
                <w:rStyle w:val="IndexLink"/>
              </w:rPr>
              <w:t>96</w:t>
            </w:r>
          </w:hyperlink>
        </w:p>
        <w:p>
          <w:pPr>
            <w:pStyle w:val="Contents4"/>
            <w:tabs>
              <w:tab w:val="clear" w:pos="8176"/>
              <w:tab w:val="right" w:pos="9026" w:leader="dot"/>
            </w:tabs>
            <w:rPr/>
          </w:pPr>
          <w:hyperlink w:anchor="__RefHeading___Toc1314004_2870459653">
            <w:r>
              <w:rPr>
                <w:webHidden/>
                <w:rStyle w:val="IndexLink"/>
              </w:rPr>
              <w:t>2</w:t>
            </w:r>
            <w:r>
              <w:rPr>
                <w:rStyle w:val="IndexLink"/>
                <w:rtl w:val="true"/>
              </w:rPr>
              <w:t xml:space="preserve">. </w:t>
            </w:r>
            <w:r>
              <w:rPr>
                <w:rStyle w:val="IndexLink"/>
                <w:rtl w:val="true"/>
              </w:rPr>
              <w:t>حق نقد و اعتراض</w:t>
            </w:r>
            <w:r>
              <w:rPr>
                <w:rStyle w:val="IndexLink"/>
                <w:rtl w:val="true"/>
              </w:rPr>
              <w:tab/>
            </w:r>
            <w:r>
              <w:rPr>
                <w:rStyle w:val="IndexLink"/>
              </w:rPr>
              <w:t>100</w:t>
            </w:r>
          </w:hyperlink>
        </w:p>
        <w:p>
          <w:pPr>
            <w:pStyle w:val="Contents4"/>
            <w:tabs>
              <w:tab w:val="clear" w:pos="8176"/>
              <w:tab w:val="right" w:pos="9026" w:leader="dot"/>
            </w:tabs>
            <w:rPr/>
          </w:pPr>
          <w:hyperlink w:anchor="__RefHeading___Toc1314006_2870459653">
            <w:r>
              <w:rPr>
                <w:webHidden/>
                <w:rStyle w:val="IndexLink"/>
              </w:rPr>
              <w:t>3</w:t>
            </w:r>
            <w:r>
              <w:rPr>
                <w:rStyle w:val="IndexLink"/>
                <w:rtl w:val="true"/>
              </w:rPr>
              <w:t xml:space="preserve">. </w:t>
            </w:r>
            <w:r>
              <w:rPr>
                <w:rStyle w:val="IndexLink"/>
                <w:rtl w:val="true"/>
              </w:rPr>
              <w:t>حق همزيستى و صلح</w:t>
            </w:r>
            <w:r>
              <w:rPr>
                <w:rStyle w:val="IndexLink"/>
                <w:rtl w:val="true"/>
              </w:rPr>
              <w:tab/>
            </w:r>
            <w:r>
              <w:rPr>
                <w:rStyle w:val="IndexLink"/>
              </w:rPr>
              <w:t>103</w:t>
            </w:r>
          </w:hyperlink>
        </w:p>
        <w:p>
          <w:pPr>
            <w:pStyle w:val="Contents4"/>
            <w:tabs>
              <w:tab w:val="clear" w:pos="8176"/>
              <w:tab w:val="right" w:pos="9026" w:leader="dot"/>
            </w:tabs>
            <w:rPr/>
          </w:pPr>
          <w:hyperlink w:anchor="__RefHeading___Toc1314008_2870459653">
            <w:r>
              <w:rPr>
                <w:webHidden/>
                <w:rStyle w:val="IndexLink"/>
              </w:rPr>
              <w:t>4</w:t>
            </w:r>
            <w:r>
              <w:rPr>
                <w:rStyle w:val="IndexLink"/>
                <w:rtl w:val="true"/>
              </w:rPr>
              <w:t xml:space="preserve">. </w:t>
            </w:r>
            <w:r>
              <w:rPr>
                <w:rStyle w:val="IndexLink"/>
                <w:rtl w:val="true"/>
              </w:rPr>
              <w:t>حق داشتن شهر امن</w:t>
            </w:r>
            <w:r>
              <w:rPr>
                <w:rStyle w:val="IndexLink"/>
                <w:rtl w:val="true"/>
              </w:rPr>
              <w:tab/>
            </w:r>
            <w:r>
              <w:rPr>
                <w:rStyle w:val="IndexLink"/>
              </w:rPr>
              <w:t>104</w:t>
            </w:r>
          </w:hyperlink>
        </w:p>
        <w:p>
          <w:pPr>
            <w:pStyle w:val="Contents4"/>
            <w:tabs>
              <w:tab w:val="clear" w:pos="8176"/>
              <w:tab w:val="right" w:pos="9026" w:leader="dot"/>
            </w:tabs>
            <w:rPr/>
          </w:pPr>
          <w:hyperlink w:anchor="__RefHeading___Toc1314010_2870459653">
            <w:r>
              <w:rPr>
                <w:webHidden/>
                <w:rStyle w:val="IndexLink"/>
              </w:rPr>
              <w:t>5</w:t>
            </w:r>
            <w:r>
              <w:rPr>
                <w:rStyle w:val="IndexLink"/>
                <w:rtl w:val="true"/>
              </w:rPr>
              <w:t xml:space="preserve">. </w:t>
            </w:r>
            <w:r>
              <w:rPr>
                <w:rStyle w:val="IndexLink"/>
                <w:rtl w:val="true"/>
              </w:rPr>
              <w:t>حق انجام دادن عبادت</w:t>
            </w:r>
            <w:r>
              <w:rPr>
                <w:rStyle w:val="IndexLink"/>
                <w:rtl w:val="true"/>
              </w:rPr>
              <w:tab/>
            </w:r>
            <w:r>
              <w:rPr>
                <w:rStyle w:val="IndexLink"/>
              </w:rPr>
              <w:t>107</w:t>
            </w:r>
          </w:hyperlink>
        </w:p>
        <w:p>
          <w:pPr>
            <w:pStyle w:val="Contents4"/>
            <w:tabs>
              <w:tab w:val="clear" w:pos="8176"/>
              <w:tab w:val="right" w:pos="9026" w:leader="dot"/>
            </w:tabs>
            <w:rPr/>
          </w:pPr>
          <w:hyperlink w:anchor="__RefHeading___Toc1314012_2870459653">
            <w:r>
              <w:rPr>
                <w:webHidden/>
                <w:rStyle w:val="IndexLink"/>
              </w:rPr>
              <w:t>6</w:t>
            </w:r>
            <w:r>
              <w:rPr>
                <w:rStyle w:val="IndexLink"/>
                <w:rtl w:val="true"/>
              </w:rPr>
              <w:t xml:space="preserve">. </w:t>
            </w:r>
            <w:r>
              <w:rPr>
                <w:rStyle w:val="IndexLink"/>
                <w:rtl w:val="true"/>
              </w:rPr>
              <w:t>حق برائت جستن</w:t>
            </w:r>
            <w:r>
              <w:rPr>
                <w:rStyle w:val="IndexLink"/>
                <w:rtl w:val="true"/>
              </w:rPr>
              <w:tab/>
            </w:r>
            <w:r>
              <w:rPr>
                <w:rStyle w:val="IndexLink"/>
              </w:rPr>
              <w:t>108</w:t>
            </w:r>
          </w:hyperlink>
        </w:p>
        <w:p>
          <w:pPr>
            <w:pStyle w:val="Contents4"/>
            <w:tabs>
              <w:tab w:val="clear" w:pos="8176"/>
              <w:tab w:val="right" w:pos="9026" w:leader="dot"/>
            </w:tabs>
            <w:rPr/>
          </w:pPr>
          <w:hyperlink w:anchor="__RefHeading___Toc1314014_2870459653">
            <w:r>
              <w:rPr>
                <w:webHidden/>
                <w:rStyle w:val="IndexLink"/>
              </w:rPr>
              <w:t>7</w:t>
            </w:r>
            <w:r>
              <w:rPr>
                <w:rStyle w:val="IndexLink"/>
                <w:rtl w:val="true"/>
              </w:rPr>
              <w:t xml:space="preserve">. </w:t>
            </w:r>
            <w:r>
              <w:rPr>
                <w:rStyle w:val="IndexLink"/>
                <w:rtl w:val="true"/>
              </w:rPr>
              <w:t>حق پناهندگى</w:t>
            </w:r>
            <w:r>
              <w:rPr>
                <w:rStyle w:val="IndexLink"/>
                <w:rtl w:val="true"/>
              </w:rPr>
              <w:tab/>
            </w:r>
            <w:r>
              <w:rPr>
                <w:rStyle w:val="IndexLink"/>
              </w:rPr>
              <w:t>111</w:t>
            </w:r>
          </w:hyperlink>
        </w:p>
        <w:p>
          <w:pPr>
            <w:pStyle w:val="Contents4"/>
            <w:tabs>
              <w:tab w:val="clear" w:pos="8176"/>
              <w:tab w:val="right" w:pos="9026" w:leader="dot"/>
            </w:tabs>
            <w:rPr/>
          </w:pPr>
          <w:hyperlink w:anchor="__RefHeading___Toc1314016_2870459653">
            <w:r>
              <w:rPr>
                <w:webHidden/>
                <w:rStyle w:val="IndexLink"/>
              </w:rPr>
              <w:t>8</w:t>
            </w:r>
            <w:r>
              <w:rPr>
                <w:rStyle w:val="IndexLink"/>
                <w:rtl w:val="true"/>
              </w:rPr>
              <w:t xml:space="preserve">. </w:t>
            </w:r>
            <w:r>
              <w:rPr>
                <w:rStyle w:val="IndexLink"/>
                <w:rtl w:val="true"/>
              </w:rPr>
              <w:t>امنيت قضايى</w:t>
            </w:r>
            <w:r>
              <w:rPr>
                <w:rStyle w:val="IndexLink"/>
                <w:rtl w:val="true"/>
              </w:rPr>
              <w:tab/>
            </w:r>
            <w:r>
              <w:rPr>
                <w:rStyle w:val="IndexLink"/>
              </w:rPr>
              <w:t>114</w:t>
            </w:r>
          </w:hyperlink>
        </w:p>
        <w:p>
          <w:pPr>
            <w:pStyle w:val="Contents4"/>
            <w:tabs>
              <w:tab w:val="clear" w:pos="8176"/>
              <w:tab w:val="right" w:pos="9026" w:leader="dot"/>
            </w:tabs>
            <w:rPr/>
          </w:pPr>
          <w:hyperlink w:anchor="__RefHeading___Toc1314018_2870459653">
            <w:r>
              <w:rPr>
                <w:webHidden/>
                <w:rStyle w:val="IndexLink"/>
              </w:rPr>
              <w:t>9</w:t>
            </w:r>
            <w:r>
              <w:rPr>
                <w:rStyle w:val="IndexLink"/>
                <w:rtl w:val="true"/>
              </w:rPr>
              <w:t xml:space="preserve">. </w:t>
            </w:r>
            <w:r>
              <w:rPr>
                <w:rStyle w:val="IndexLink"/>
                <w:rtl w:val="true"/>
              </w:rPr>
              <w:t>ممنوعيت ورود حج گزار</w:t>
            </w:r>
            <w:r>
              <w:rPr>
                <w:rStyle w:val="IndexLink"/>
                <w:rtl w:val="true"/>
              </w:rPr>
              <w:tab/>
            </w:r>
            <w:r>
              <w:rPr>
                <w:rStyle w:val="IndexLink"/>
              </w:rPr>
              <w:t>115</w:t>
            </w:r>
          </w:hyperlink>
        </w:p>
        <w:p>
          <w:pPr>
            <w:pStyle w:val="Contents4"/>
            <w:tabs>
              <w:tab w:val="clear" w:pos="8176"/>
              <w:tab w:val="right" w:pos="9026" w:leader="dot"/>
            </w:tabs>
            <w:rPr/>
          </w:pPr>
          <w:hyperlink w:anchor="__RefHeading___Toc1314020_2870459653">
            <w:r>
              <w:rPr>
                <w:webHidden/>
                <w:rStyle w:val="IndexLink"/>
              </w:rPr>
              <w:t>10</w:t>
            </w:r>
            <w:r>
              <w:rPr>
                <w:rStyle w:val="IndexLink"/>
                <w:rtl w:val="true"/>
              </w:rPr>
              <w:t xml:space="preserve">. </w:t>
            </w:r>
            <w:r>
              <w:rPr>
                <w:rStyle w:val="IndexLink"/>
                <w:rtl w:val="true"/>
              </w:rPr>
              <w:t>امنيت اقتصادى</w:t>
            </w:r>
            <w:r>
              <w:rPr>
                <w:rStyle w:val="IndexLink"/>
                <w:rtl w:val="true"/>
              </w:rPr>
              <w:tab/>
            </w:r>
            <w:r>
              <w:rPr>
                <w:rStyle w:val="IndexLink"/>
              </w:rPr>
              <w:t>116</w:t>
            </w:r>
          </w:hyperlink>
        </w:p>
        <w:p>
          <w:pPr>
            <w:pStyle w:val="Contents4"/>
            <w:tabs>
              <w:tab w:val="clear" w:pos="8176"/>
              <w:tab w:val="right" w:pos="9026" w:leader="dot"/>
            </w:tabs>
            <w:rPr/>
          </w:pPr>
          <w:hyperlink w:anchor="__RefHeading___Toc1314022_2870459653">
            <w:r>
              <w:rPr>
                <w:webHidden/>
                <w:rStyle w:val="IndexLink"/>
              </w:rPr>
              <w:t>11</w:t>
            </w:r>
            <w:r>
              <w:rPr>
                <w:rStyle w:val="IndexLink"/>
                <w:rtl w:val="true"/>
              </w:rPr>
              <w:t xml:space="preserve">. </w:t>
            </w:r>
            <w:r>
              <w:rPr>
                <w:rStyle w:val="IndexLink"/>
                <w:rtl w:val="true"/>
              </w:rPr>
              <w:t>حق آموزش</w:t>
            </w:r>
            <w:r>
              <w:rPr>
                <w:rStyle w:val="IndexLink"/>
                <w:rtl w:val="true"/>
              </w:rPr>
              <w:tab/>
            </w:r>
            <w:r>
              <w:rPr>
                <w:rStyle w:val="IndexLink"/>
              </w:rPr>
              <w:t>119</w:t>
            </w:r>
          </w:hyperlink>
        </w:p>
        <w:p>
          <w:pPr>
            <w:pStyle w:val="Contents4"/>
            <w:tabs>
              <w:tab w:val="clear" w:pos="8176"/>
              <w:tab w:val="right" w:pos="9026" w:leader="dot"/>
            </w:tabs>
            <w:rPr/>
          </w:pPr>
          <w:hyperlink w:anchor="__RefHeading___Toc1314024_2870459653">
            <w:r>
              <w:rPr>
                <w:webHidden/>
                <w:rStyle w:val="IndexLink"/>
              </w:rPr>
              <w:t>12</w:t>
            </w:r>
            <w:r>
              <w:rPr>
                <w:rStyle w:val="IndexLink"/>
                <w:rtl w:val="true"/>
              </w:rPr>
              <w:t xml:space="preserve">. </w:t>
            </w:r>
            <w:r>
              <w:rPr>
                <w:rStyle w:val="IndexLink"/>
                <w:rtl w:val="true"/>
              </w:rPr>
              <w:t>حق احترام</w:t>
            </w:r>
            <w:r>
              <w:rPr>
                <w:rStyle w:val="IndexLink"/>
                <w:rtl w:val="true"/>
              </w:rPr>
              <w:tab/>
            </w:r>
            <w:r>
              <w:rPr>
                <w:rStyle w:val="IndexLink"/>
              </w:rPr>
              <w:t>121</w:t>
            </w:r>
          </w:hyperlink>
        </w:p>
        <w:p>
          <w:pPr>
            <w:pStyle w:val="Contents4"/>
            <w:tabs>
              <w:tab w:val="clear" w:pos="8176"/>
              <w:tab w:val="right" w:pos="9026" w:leader="dot"/>
            </w:tabs>
            <w:rPr/>
          </w:pPr>
          <w:hyperlink w:anchor="__RefHeading___Toc1314026_2870459653">
            <w:r>
              <w:rPr>
                <w:webHidden/>
                <w:rStyle w:val="IndexLink"/>
              </w:rPr>
              <w:t>13</w:t>
            </w:r>
            <w:r>
              <w:rPr>
                <w:rStyle w:val="IndexLink"/>
                <w:rtl w:val="true"/>
              </w:rPr>
              <w:t xml:space="preserve">. </w:t>
            </w:r>
            <w:r>
              <w:rPr>
                <w:rStyle w:val="IndexLink"/>
                <w:rtl w:val="true"/>
              </w:rPr>
              <w:t>حق مخفى نگهداشتن مذهب</w:t>
            </w:r>
            <w:r>
              <w:rPr>
                <w:rStyle w:val="IndexLink"/>
                <w:rtl w:val="true"/>
              </w:rPr>
              <w:tab/>
            </w:r>
            <w:r>
              <w:rPr>
                <w:rStyle w:val="IndexLink"/>
              </w:rPr>
              <w:t>122</w:t>
            </w:r>
          </w:hyperlink>
        </w:p>
        <w:p>
          <w:pPr>
            <w:pStyle w:val="Contents4"/>
            <w:tabs>
              <w:tab w:val="clear" w:pos="8176"/>
              <w:tab w:val="right" w:pos="9026" w:leader="dot"/>
            </w:tabs>
            <w:rPr/>
          </w:pPr>
          <w:hyperlink w:anchor="__RefHeading___Toc1314028_2870459653">
            <w:r>
              <w:rPr>
                <w:webHidden/>
                <w:rStyle w:val="IndexLink"/>
              </w:rPr>
              <w:t>14</w:t>
            </w:r>
            <w:r>
              <w:rPr>
                <w:rStyle w:val="IndexLink"/>
                <w:rtl w:val="true"/>
              </w:rPr>
              <w:t xml:space="preserve">. </w:t>
            </w:r>
            <w:r>
              <w:rPr>
                <w:rStyle w:val="IndexLink"/>
                <w:rtl w:val="true"/>
              </w:rPr>
              <w:t>ساير حقوق حمايتى</w:t>
            </w:r>
            <w:r>
              <w:rPr>
                <w:rStyle w:val="IndexLink"/>
                <w:rtl w:val="true"/>
              </w:rPr>
              <w:tab/>
            </w:r>
            <w:r>
              <w:rPr>
                <w:rStyle w:val="IndexLink"/>
              </w:rPr>
              <w:t>124</w:t>
            </w:r>
          </w:hyperlink>
        </w:p>
        <w:p>
          <w:pPr>
            <w:pStyle w:val="Contents5"/>
            <w:tabs>
              <w:tab w:val="clear" w:pos="7892"/>
              <w:tab w:val="right" w:pos="9026" w:leader="dot"/>
            </w:tabs>
            <w:rPr/>
          </w:pPr>
          <w:hyperlink w:anchor="__RefHeading___Toc1314030_287045965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314032_2870459653">
            <w:r>
              <w:rPr>
                <w:webHidden/>
                <w:rStyle w:val="IndexLink"/>
                <w:rtl w:val="true"/>
              </w:rPr>
              <w:t>جمع بندى</w:t>
            </w:r>
            <w:r>
              <w:rPr>
                <w:rStyle w:val="IndexLink"/>
                <w:rtl w:val="true"/>
              </w:rPr>
              <w:tab/>
            </w:r>
            <w:r>
              <w:rPr>
                <w:rStyle w:val="IndexLink"/>
              </w:rPr>
              <w:t>125</w:t>
            </w:r>
          </w:hyperlink>
        </w:p>
        <w:p>
          <w:pPr>
            <w:pStyle w:val="Contents3"/>
            <w:tabs>
              <w:tab w:val="clear" w:pos="8459"/>
              <w:tab w:val="right" w:pos="9026" w:leader="dot"/>
            </w:tabs>
            <w:rPr/>
          </w:pPr>
          <w:hyperlink w:anchor="__RefHeading___Toc1314034_2870459653">
            <w:r>
              <w:rPr>
                <w:webHidden/>
                <w:rStyle w:val="IndexLink"/>
                <w:rtl w:val="true"/>
              </w:rPr>
              <w:t>گفتار سوم</w:t>
            </w:r>
            <w:r>
              <w:rPr>
                <w:rStyle w:val="IndexLink"/>
                <w:rtl w:val="true"/>
              </w:rPr>
              <w:t xml:space="preserve">: </w:t>
            </w:r>
            <w:r>
              <w:rPr>
                <w:rStyle w:val="IndexLink"/>
                <w:rtl w:val="true"/>
              </w:rPr>
              <w:t>سازوكارهاى حمايتى</w:t>
            </w:r>
            <w:r>
              <w:rPr>
                <w:rStyle w:val="IndexLink"/>
                <w:rtl w:val="true"/>
              </w:rPr>
              <w:tab/>
            </w:r>
            <w:r>
              <w:rPr>
                <w:rStyle w:val="IndexLink"/>
              </w:rPr>
              <w:t>126</w:t>
            </w:r>
          </w:hyperlink>
        </w:p>
        <w:p>
          <w:pPr>
            <w:pStyle w:val="Contents4"/>
            <w:tabs>
              <w:tab w:val="clear" w:pos="8176"/>
              <w:tab w:val="right" w:pos="9026" w:leader="dot"/>
            </w:tabs>
            <w:rPr/>
          </w:pPr>
          <w:hyperlink w:anchor="__RefHeading___Toc1314036_2870459653">
            <w:r>
              <w:rPr>
                <w:webHidden/>
                <w:rStyle w:val="IndexLink"/>
              </w:rPr>
              <w:t>1</w:t>
            </w:r>
            <w:r>
              <w:rPr>
                <w:rStyle w:val="IndexLink"/>
                <w:rtl w:val="true"/>
              </w:rPr>
              <w:t xml:space="preserve">. </w:t>
            </w:r>
            <w:r>
              <w:rPr>
                <w:rStyle w:val="IndexLink"/>
                <w:rtl w:val="true"/>
              </w:rPr>
              <w:t>تدوين منشور حمايتى</w:t>
            </w:r>
            <w:r>
              <w:rPr>
                <w:rStyle w:val="IndexLink"/>
                <w:rtl w:val="true"/>
              </w:rPr>
              <w:tab/>
            </w:r>
            <w:r>
              <w:rPr>
                <w:rStyle w:val="IndexLink"/>
              </w:rPr>
              <w:t>126</w:t>
            </w:r>
          </w:hyperlink>
        </w:p>
        <w:p>
          <w:pPr>
            <w:pStyle w:val="Contents4"/>
            <w:tabs>
              <w:tab w:val="clear" w:pos="8176"/>
              <w:tab w:val="right" w:pos="9026" w:leader="dot"/>
            </w:tabs>
            <w:rPr/>
          </w:pPr>
          <w:hyperlink w:anchor="__RefHeading___Toc1314038_2870459653">
            <w:r>
              <w:rPr>
                <w:webHidden/>
                <w:rStyle w:val="IndexLink"/>
              </w:rPr>
              <w:t>2</w:t>
            </w:r>
            <w:r>
              <w:rPr>
                <w:rStyle w:val="IndexLink"/>
                <w:rtl w:val="true"/>
              </w:rPr>
              <w:t xml:space="preserve">. </w:t>
            </w:r>
            <w:r>
              <w:rPr>
                <w:rStyle w:val="IndexLink"/>
                <w:rtl w:val="true"/>
              </w:rPr>
              <w:t>حذف قوانين ضدحمايتى</w:t>
            </w:r>
            <w:r>
              <w:rPr>
                <w:rStyle w:val="IndexLink"/>
                <w:rtl w:val="true"/>
              </w:rPr>
              <w:tab/>
            </w:r>
            <w:r>
              <w:rPr>
                <w:rStyle w:val="IndexLink"/>
              </w:rPr>
              <w:t>130</w:t>
            </w:r>
          </w:hyperlink>
        </w:p>
        <w:p>
          <w:pPr>
            <w:pStyle w:val="Contents4"/>
            <w:tabs>
              <w:tab w:val="clear" w:pos="8176"/>
              <w:tab w:val="right" w:pos="9026" w:leader="dot"/>
            </w:tabs>
            <w:rPr/>
          </w:pPr>
          <w:hyperlink w:anchor="__RefHeading___Toc1314040_2870459653">
            <w:r>
              <w:rPr>
                <w:webHidden/>
                <w:rStyle w:val="IndexLink"/>
              </w:rPr>
              <w:t>3</w:t>
            </w:r>
            <w:r>
              <w:rPr>
                <w:rStyle w:val="IndexLink"/>
                <w:rtl w:val="true"/>
              </w:rPr>
              <w:t xml:space="preserve">. </w:t>
            </w:r>
            <w:r>
              <w:rPr>
                <w:rStyle w:val="IndexLink"/>
                <w:rtl w:val="true"/>
              </w:rPr>
              <w:t>تعقيب و مجازات</w:t>
            </w:r>
            <w:r>
              <w:rPr>
                <w:rStyle w:val="IndexLink"/>
                <w:rtl w:val="true"/>
              </w:rPr>
              <w:tab/>
            </w:r>
            <w:r>
              <w:rPr>
                <w:rStyle w:val="IndexLink"/>
              </w:rPr>
              <w:t>132</w:t>
            </w:r>
          </w:hyperlink>
        </w:p>
        <w:p>
          <w:pPr>
            <w:pStyle w:val="Contents4"/>
            <w:tabs>
              <w:tab w:val="clear" w:pos="8176"/>
              <w:tab w:val="right" w:pos="9026" w:leader="dot"/>
            </w:tabs>
            <w:rPr/>
          </w:pPr>
          <w:hyperlink w:anchor="__RefHeading___Toc1314042_2870459653">
            <w:r>
              <w:rPr>
                <w:webHidden/>
                <w:rStyle w:val="IndexLink"/>
              </w:rPr>
              <w:t>4</w:t>
            </w:r>
            <w:r>
              <w:rPr>
                <w:rStyle w:val="IndexLink"/>
                <w:rtl w:val="true"/>
              </w:rPr>
              <w:t xml:space="preserve">. </w:t>
            </w:r>
            <w:r>
              <w:rPr>
                <w:rStyle w:val="IndexLink"/>
                <w:rtl w:val="true"/>
              </w:rPr>
              <w:t>انعقاد معاهدات حمايتى دو جانبه</w:t>
            </w:r>
            <w:r>
              <w:rPr>
                <w:rStyle w:val="IndexLink"/>
                <w:rtl w:val="true"/>
              </w:rPr>
              <w:tab/>
            </w:r>
            <w:r>
              <w:rPr>
                <w:rStyle w:val="IndexLink"/>
              </w:rPr>
              <w:t>134</w:t>
            </w:r>
          </w:hyperlink>
        </w:p>
        <w:p>
          <w:pPr>
            <w:pStyle w:val="Contents4"/>
            <w:tabs>
              <w:tab w:val="clear" w:pos="8176"/>
              <w:tab w:val="right" w:pos="9026" w:leader="dot"/>
            </w:tabs>
            <w:rPr/>
          </w:pPr>
          <w:hyperlink w:anchor="__RefHeading___Toc1314044_2870459653">
            <w:r>
              <w:rPr>
                <w:webHidden/>
                <w:rStyle w:val="IndexLink"/>
              </w:rPr>
              <w:t>5</w:t>
            </w:r>
            <w:r>
              <w:rPr>
                <w:rStyle w:val="IndexLink"/>
                <w:rtl w:val="true"/>
              </w:rPr>
              <w:t xml:space="preserve">. </w:t>
            </w:r>
            <w:r>
              <w:rPr>
                <w:rStyle w:val="IndexLink"/>
                <w:rtl w:val="true"/>
              </w:rPr>
              <w:t>عملياتى و اجرايى كردن اعلاميه جهانى حقوق بشر قاهره</w:t>
            </w:r>
            <w:r>
              <w:rPr>
                <w:rStyle w:val="IndexLink"/>
                <w:rtl w:val="true"/>
              </w:rPr>
              <w:tab/>
            </w:r>
            <w:r>
              <w:rPr>
                <w:rStyle w:val="IndexLink"/>
              </w:rPr>
              <w:t>137</w:t>
            </w:r>
          </w:hyperlink>
        </w:p>
        <w:p>
          <w:pPr>
            <w:pStyle w:val="Contents4"/>
            <w:tabs>
              <w:tab w:val="clear" w:pos="8176"/>
              <w:tab w:val="right" w:pos="9026" w:leader="dot"/>
            </w:tabs>
            <w:rPr/>
          </w:pPr>
          <w:hyperlink w:anchor="__RefHeading___Toc1314046_2870459653">
            <w:r>
              <w:rPr>
                <w:webHidden/>
                <w:rStyle w:val="IndexLink"/>
              </w:rPr>
              <w:t>6</w:t>
            </w:r>
            <w:r>
              <w:rPr>
                <w:rStyle w:val="IndexLink"/>
                <w:rtl w:val="true"/>
              </w:rPr>
              <w:t xml:space="preserve">. </w:t>
            </w:r>
            <w:r>
              <w:rPr>
                <w:rStyle w:val="IndexLink"/>
                <w:rtl w:val="true"/>
              </w:rPr>
              <w:t>بهره گيرى از حكميت به عنوان شيوه اى جهت حل وفصل اختلافات</w:t>
            </w:r>
            <w:r>
              <w:rPr>
                <w:rStyle w:val="IndexLink"/>
                <w:rtl w:val="true"/>
              </w:rPr>
              <w:tab/>
            </w:r>
            <w:r>
              <w:rPr>
                <w:rStyle w:val="IndexLink"/>
              </w:rPr>
              <w:t>138</w:t>
            </w:r>
          </w:hyperlink>
        </w:p>
        <w:p>
          <w:pPr>
            <w:pStyle w:val="Contents4"/>
            <w:tabs>
              <w:tab w:val="clear" w:pos="8176"/>
              <w:tab w:val="right" w:pos="9026" w:leader="dot"/>
            </w:tabs>
            <w:rPr/>
          </w:pPr>
          <w:hyperlink w:anchor="__RefHeading___Toc1314048_2870459653">
            <w:r>
              <w:rPr>
                <w:webHidden/>
                <w:rStyle w:val="IndexLink"/>
              </w:rPr>
              <w:t>7</w:t>
            </w:r>
            <w:r>
              <w:rPr>
                <w:rStyle w:val="IndexLink"/>
                <w:rtl w:val="true"/>
              </w:rPr>
              <w:t xml:space="preserve">. </w:t>
            </w:r>
            <w:r>
              <w:rPr>
                <w:rStyle w:val="IndexLink"/>
                <w:rtl w:val="true"/>
              </w:rPr>
              <w:t>حمايت ديپلماتيك از اتباع</w:t>
            </w:r>
            <w:r>
              <w:rPr>
                <w:rStyle w:val="IndexLink"/>
                <w:rtl w:val="true"/>
              </w:rPr>
              <w:tab/>
            </w:r>
            <w:r>
              <w:rPr>
                <w:rStyle w:val="IndexLink"/>
              </w:rPr>
              <w:t>139</w:t>
            </w:r>
          </w:hyperlink>
        </w:p>
        <w:p>
          <w:pPr>
            <w:pStyle w:val="Contents4"/>
            <w:tabs>
              <w:tab w:val="clear" w:pos="8176"/>
              <w:tab w:val="right" w:pos="9026" w:leader="dot"/>
            </w:tabs>
            <w:rPr/>
          </w:pPr>
          <w:hyperlink w:anchor="__RefHeading___Toc1314050_2870459653">
            <w:r>
              <w:rPr>
                <w:webHidden/>
                <w:rStyle w:val="IndexLink"/>
              </w:rPr>
              <w:t>8</w:t>
            </w:r>
            <w:r>
              <w:rPr>
                <w:rStyle w:val="IndexLink"/>
                <w:rtl w:val="true"/>
              </w:rPr>
              <w:t xml:space="preserve">. </w:t>
            </w:r>
            <w:r>
              <w:rPr>
                <w:rStyle w:val="IndexLink"/>
                <w:rtl w:val="true"/>
              </w:rPr>
              <w:t>گزارشگران ويژه</w:t>
            </w:r>
            <w:r>
              <w:rPr>
                <w:rStyle w:val="IndexLink"/>
                <w:rtl w:val="true"/>
              </w:rPr>
              <w:tab/>
            </w:r>
            <w:r>
              <w:rPr>
                <w:rStyle w:val="IndexLink"/>
              </w:rPr>
              <w:t>140</w:t>
            </w:r>
          </w:hyperlink>
        </w:p>
        <w:p>
          <w:pPr>
            <w:pStyle w:val="Contents4"/>
            <w:tabs>
              <w:tab w:val="clear" w:pos="8176"/>
              <w:tab w:val="right" w:pos="9026" w:leader="dot"/>
            </w:tabs>
            <w:rPr/>
          </w:pPr>
          <w:hyperlink w:anchor="__RefHeading___Toc1314052_2870459653">
            <w:r>
              <w:rPr>
                <w:webHidden/>
                <w:rStyle w:val="IndexLink"/>
              </w:rPr>
              <w:t>9</w:t>
            </w:r>
            <w:r>
              <w:rPr>
                <w:rStyle w:val="IndexLink"/>
                <w:rtl w:val="true"/>
              </w:rPr>
              <w:t xml:space="preserve">. </w:t>
            </w:r>
            <w:r>
              <w:rPr>
                <w:rStyle w:val="IndexLink"/>
                <w:rtl w:val="true"/>
              </w:rPr>
              <w:t>بهره گيرى از نهادهاى مردمى</w:t>
            </w:r>
            <w:r>
              <w:rPr>
                <w:rStyle w:val="IndexLink"/>
                <w:rtl w:val="true"/>
              </w:rPr>
              <w:tab/>
            </w:r>
            <w:r>
              <w:rPr>
                <w:rStyle w:val="IndexLink"/>
              </w:rPr>
              <w:t>142</w:t>
            </w:r>
          </w:hyperlink>
        </w:p>
        <w:p>
          <w:pPr>
            <w:pStyle w:val="Contents4"/>
            <w:tabs>
              <w:tab w:val="clear" w:pos="8176"/>
              <w:tab w:val="right" w:pos="9026" w:leader="dot"/>
            </w:tabs>
            <w:rPr/>
          </w:pPr>
          <w:hyperlink w:anchor="__RefHeading___Toc1314054_2870459653">
            <w:r>
              <w:rPr>
                <w:webHidden/>
                <w:rStyle w:val="IndexLink"/>
              </w:rPr>
              <w:t>10</w:t>
            </w:r>
            <w:r>
              <w:rPr>
                <w:rStyle w:val="IndexLink"/>
                <w:rtl w:val="true"/>
              </w:rPr>
              <w:t xml:space="preserve">. </w:t>
            </w:r>
            <w:r>
              <w:rPr>
                <w:rStyle w:val="IndexLink"/>
                <w:rtl w:val="true"/>
              </w:rPr>
              <w:t>گسترش و ترويج ادبيات حقوق بشرى حج</w:t>
            </w:r>
            <w:r>
              <w:rPr>
                <w:rStyle w:val="IndexLink"/>
                <w:rtl w:val="true"/>
              </w:rPr>
              <w:tab/>
            </w:r>
            <w:r>
              <w:rPr>
                <w:rStyle w:val="IndexLink"/>
              </w:rPr>
              <w:t>143</w:t>
            </w:r>
          </w:hyperlink>
        </w:p>
        <w:p>
          <w:pPr>
            <w:pStyle w:val="Contents4"/>
            <w:tabs>
              <w:tab w:val="clear" w:pos="8176"/>
              <w:tab w:val="right" w:pos="9026" w:leader="dot"/>
            </w:tabs>
            <w:rPr/>
          </w:pPr>
          <w:hyperlink w:anchor="__RefHeading___Toc1314056_2870459653">
            <w:r>
              <w:rPr>
                <w:webHidden/>
                <w:rStyle w:val="IndexLink"/>
              </w:rPr>
              <w:t>11</w:t>
            </w:r>
            <w:r>
              <w:rPr>
                <w:rStyle w:val="IndexLink"/>
                <w:rtl w:val="true"/>
              </w:rPr>
              <w:t xml:space="preserve">. </w:t>
            </w:r>
            <w:r>
              <w:rPr>
                <w:rStyle w:val="IndexLink"/>
                <w:rtl w:val="true"/>
              </w:rPr>
              <w:t>شناسايى معروف و منكر</w:t>
            </w:r>
            <w:r>
              <w:rPr>
                <w:rStyle w:val="IndexLink"/>
                <w:rtl w:val="true"/>
              </w:rPr>
              <w:tab/>
            </w:r>
            <w:r>
              <w:rPr>
                <w:rStyle w:val="IndexLink"/>
              </w:rPr>
              <w:t>146</w:t>
            </w:r>
          </w:hyperlink>
        </w:p>
        <w:p>
          <w:pPr>
            <w:pStyle w:val="Contents4"/>
            <w:tabs>
              <w:tab w:val="clear" w:pos="8176"/>
              <w:tab w:val="right" w:pos="9026" w:leader="dot"/>
            </w:tabs>
            <w:rPr/>
          </w:pPr>
          <w:hyperlink w:anchor="__RefHeading___Toc1314058_2870459653">
            <w:r>
              <w:rPr>
                <w:webHidden/>
                <w:rStyle w:val="IndexLink"/>
              </w:rPr>
              <w:t>12</w:t>
            </w:r>
            <w:r>
              <w:rPr>
                <w:rStyle w:val="IndexLink"/>
                <w:rtl w:val="true"/>
              </w:rPr>
              <w:t xml:space="preserve">. </w:t>
            </w:r>
            <w:r>
              <w:rPr>
                <w:rStyle w:val="IndexLink"/>
                <w:rtl w:val="true"/>
              </w:rPr>
              <w:t>حمايت و ممنوعيت تعطيلى كعبه</w:t>
            </w:r>
            <w:r>
              <w:rPr>
                <w:rStyle w:val="IndexLink"/>
                <w:rtl w:val="true"/>
              </w:rPr>
              <w:tab/>
            </w:r>
            <w:r>
              <w:rPr>
                <w:rStyle w:val="IndexLink"/>
              </w:rPr>
              <w:t>148</w:t>
            </w:r>
          </w:hyperlink>
        </w:p>
        <w:p>
          <w:pPr>
            <w:pStyle w:val="Contents4"/>
            <w:tabs>
              <w:tab w:val="clear" w:pos="8176"/>
              <w:tab w:val="right" w:pos="9026" w:leader="dot"/>
            </w:tabs>
            <w:rPr/>
          </w:pPr>
          <w:hyperlink w:anchor="__RefHeading___Toc1314060_2870459653">
            <w:r>
              <w:rPr>
                <w:webHidden/>
                <w:rStyle w:val="IndexLink"/>
              </w:rPr>
              <w:t>13</w:t>
            </w:r>
            <w:r>
              <w:rPr>
                <w:rStyle w:val="IndexLink"/>
                <w:rtl w:val="true"/>
              </w:rPr>
              <w:t xml:space="preserve">. </w:t>
            </w:r>
            <w:r>
              <w:rPr>
                <w:rStyle w:val="IndexLink"/>
                <w:rtl w:val="true"/>
              </w:rPr>
              <w:t>تقوا و ضمانت اجراى درونى</w:t>
            </w:r>
            <w:r>
              <w:rPr>
                <w:rStyle w:val="IndexLink"/>
                <w:rtl w:val="true"/>
              </w:rPr>
              <w:tab/>
            </w:r>
            <w:r>
              <w:rPr>
                <w:rStyle w:val="IndexLink"/>
              </w:rPr>
              <w:t>149</w:t>
            </w:r>
          </w:hyperlink>
        </w:p>
        <w:p>
          <w:pPr>
            <w:pStyle w:val="Contents4"/>
            <w:tabs>
              <w:tab w:val="clear" w:pos="8176"/>
              <w:tab w:val="right" w:pos="9026" w:leader="dot"/>
            </w:tabs>
            <w:rPr/>
          </w:pPr>
          <w:hyperlink w:anchor="__RefHeading___Toc1314062_2870459653">
            <w:r>
              <w:rPr>
                <w:webHidden/>
                <w:rStyle w:val="IndexLink"/>
              </w:rPr>
              <w:t>14</w:t>
            </w:r>
            <w:r>
              <w:rPr>
                <w:rStyle w:val="IndexLink"/>
                <w:rtl w:val="true"/>
              </w:rPr>
              <w:t xml:space="preserve">. </w:t>
            </w:r>
            <w:r>
              <w:rPr>
                <w:rStyle w:val="IndexLink"/>
                <w:rtl w:val="true"/>
              </w:rPr>
              <w:t>مسئوليت بين المللى و جبران خسارت</w:t>
            </w:r>
            <w:r>
              <w:rPr>
                <w:rStyle w:val="IndexLink"/>
                <w:rtl w:val="true"/>
              </w:rPr>
              <w:tab/>
            </w:r>
            <w:r>
              <w:rPr>
                <w:rStyle w:val="IndexLink"/>
              </w:rPr>
              <w:t>150</w:t>
            </w:r>
          </w:hyperlink>
        </w:p>
        <w:p>
          <w:pPr>
            <w:pStyle w:val="Contents4"/>
            <w:tabs>
              <w:tab w:val="clear" w:pos="8176"/>
              <w:tab w:val="right" w:pos="9026" w:leader="dot"/>
            </w:tabs>
            <w:rPr/>
          </w:pPr>
          <w:hyperlink w:anchor="__RefHeading___Toc1314064_2870459653">
            <w:r>
              <w:rPr>
                <w:webHidden/>
                <w:rStyle w:val="IndexLink"/>
              </w:rPr>
              <w:t>15</w:t>
            </w:r>
            <w:r>
              <w:rPr>
                <w:rStyle w:val="IndexLink"/>
                <w:rtl w:val="true"/>
              </w:rPr>
              <w:t xml:space="preserve">. </w:t>
            </w:r>
            <w:r>
              <w:rPr>
                <w:rStyle w:val="IndexLink"/>
                <w:rtl w:val="true"/>
              </w:rPr>
              <w:t>ممنوعيت رفتارهاى خشن، غيرانسانى و تحقيركننده</w:t>
            </w:r>
            <w:r>
              <w:rPr>
                <w:rStyle w:val="IndexLink"/>
                <w:rtl w:val="true"/>
              </w:rPr>
              <w:tab/>
            </w:r>
            <w:r>
              <w:rPr>
                <w:rStyle w:val="IndexLink"/>
              </w:rPr>
              <w:t>151</w:t>
            </w:r>
          </w:hyperlink>
        </w:p>
        <w:p>
          <w:pPr>
            <w:pStyle w:val="Contents2"/>
            <w:tabs>
              <w:tab w:val="clear" w:pos="8743"/>
              <w:tab w:val="right" w:pos="9026" w:leader="dot"/>
            </w:tabs>
            <w:rPr/>
          </w:pPr>
          <w:hyperlink w:anchor="__RefHeading___Toc1314066_2870459653">
            <w:r>
              <w:rPr>
                <w:webHidden/>
                <w:rStyle w:val="IndexLink"/>
                <w:rtl w:val="true"/>
              </w:rPr>
              <w:t>فصل سوم</w:t>
            </w:r>
            <w:r>
              <w:rPr>
                <w:rStyle w:val="IndexLink"/>
                <w:rtl w:val="true"/>
              </w:rPr>
              <w:t xml:space="preserve">: </w:t>
            </w:r>
            <w:r>
              <w:rPr>
                <w:rStyle w:val="IndexLink"/>
                <w:rtl w:val="true"/>
              </w:rPr>
              <w:t>نظام بين المللى حقوق بشر</w:t>
            </w:r>
            <w:r>
              <w:rPr>
                <w:rStyle w:val="IndexLink"/>
                <w:rtl w:val="true"/>
              </w:rPr>
              <w:tab/>
            </w:r>
            <w:r>
              <w:rPr>
                <w:rStyle w:val="IndexLink"/>
              </w:rPr>
              <w:t>153</w:t>
            </w:r>
          </w:hyperlink>
        </w:p>
        <w:p>
          <w:pPr>
            <w:pStyle w:val="Contents3"/>
            <w:tabs>
              <w:tab w:val="clear" w:pos="8459"/>
              <w:tab w:val="right" w:pos="9026" w:leader="dot"/>
            </w:tabs>
            <w:rPr/>
          </w:pPr>
          <w:hyperlink w:anchor="__RefHeading___Toc1314068_2870459653">
            <w:r>
              <w:rPr>
                <w:webHidden/>
                <w:rStyle w:val="IndexLink"/>
              </w:rPr>
              <w:t>1</w:t>
            </w:r>
            <w:r>
              <w:rPr>
                <w:rStyle w:val="IndexLink"/>
                <w:rtl w:val="true"/>
              </w:rPr>
              <w:t xml:space="preserve">. </w:t>
            </w:r>
            <w:r>
              <w:rPr>
                <w:rStyle w:val="IndexLink"/>
                <w:rtl w:val="true"/>
              </w:rPr>
              <w:t>ماهيت حقوق بشر</w:t>
            </w:r>
            <w:r>
              <w:rPr>
                <w:rStyle w:val="IndexLink"/>
                <w:rtl w:val="true"/>
              </w:rPr>
              <w:tab/>
            </w:r>
            <w:r>
              <w:rPr>
                <w:rStyle w:val="IndexLink"/>
              </w:rPr>
              <w:t>153</w:t>
            </w:r>
          </w:hyperlink>
        </w:p>
        <w:p>
          <w:pPr>
            <w:pStyle w:val="Contents3"/>
            <w:tabs>
              <w:tab w:val="clear" w:pos="8459"/>
              <w:tab w:val="right" w:pos="9026" w:leader="dot"/>
            </w:tabs>
            <w:rPr/>
          </w:pPr>
          <w:hyperlink w:anchor="__RefHeading___Toc1314070_2870459653">
            <w:r>
              <w:rPr>
                <w:webHidden/>
                <w:rStyle w:val="IndexLink"/>
              </w:rPr>
              <w:t>2</w:t>
            </w:r>
            <w:r>
              <w:rPr>
                <w:rStyle w:val="IndexLink"/>
                <w:rtl w:val="true"/>
              </w:rPr>
              <w:t xml:space="preserve">. </w:t>
            </w:r>
            <w:r>
              <w:rPr>
                <w:rStyle w:val="IndexLink"/>
                <w:rtl w:val="true"/>
              </w:rPr>
              <w:t>حقوق بشر و تعهدات بنيادين</w:t>
            </w:r>
            <w:r>
              <w:rPr>
                <w:rStyle w:val="IndexLink"/>
                <w:rtl w:val="true"/>
              </w:rPr>
              <w:tab/>
            </w:r>
            <w:r>
              <w:rPr>
                <w:rStyle w:val="IndexLink"/>
              </w:rPr>
              <w:t>157</w:t>
            </w:r>
          </w:hyperlink>
        </w:p>
        <w:p>
          <w:pPr>
            <w:pStyle w:val="Contents3"/>
            <w:tabs>
              <w:tab w:val="clear" w:pos="8459"/>
              <w:tab w:val="right" w:pos="9026" w:leader="dot"/>
            </w:tabs>
            <w:rPr/>
          </w:pPr>
          <w:hyperlink w:anchor="__RefHeading___Toc1314072_2870459653">
            <w:r>
              <w:rPr>
                <w:webHidden/>
                <w:rStyle w:val="IndexLink"/>
              </w:rPr>
              <w:t>3</w:t>
            </w:r>
            <w:r>
              <w:rPr>
                <w:rStyle w:val="IndexLink"/>
                <w:rtl w:val="true"/>
              </w:rPr>
              <w:t xml:space="preserve">. </w:t>
            </w:r>
            <w:r>
              <w:rPr>
                <w:rStyle w:val="IndexLink"/>
                <w:rtl w:val="true"/>
              </w:rPr>
              <w:t>مراجع نظارتى، حمايتى و كنترلى</w:t>
            </w:r>
            <w:r>
              <w:rPr>
                <w:rStyle w:val="IndexLink"/>
                <w:rtl w:val="true"/>
              </w:rPr>
              <w:tab/>
            </w:r>
            <w:r>
              <w:rPr>
                <w:rStyle w:val="IndexLink"/>
              </w:rPr>
              <w:t>158</w:t>
            </w:r>
          </w:hyperlink>
        </w:p>
        <w:p>
          <w:pPr>
            <w:pStyle w:val="Contents3"/>
            <w:tabs>
              <w:tab w:val="clear" w:pos="8459"/>
              <w:tab w:val="right" w:pos="9026" w:leader="dot"/>
            </w:tabs>
            <w:rPr/>
          </w:pPr>
          <w:hyperlink w:anchor="__RefHeading___Toc1314074_2870459653">
            <w:r>
              <w:rPr>
                <w:webHidden/>
                <w:rStyle w:val="IndexLink"/>
              </w:rPr>
              <w:t>4</w:t>
            </w:r>
            <w:r>
              <w:rPr>
                <w:rStyle w:val="IndexLink"/>
                <w:rtl w:val="true"/>
              </w:rPr>
              <w:t xml:space="preserve">. </w:t>
            </w:r>
            <w:r>
              <w:rPr>
                <w:rStyle w:val="IndexLink"/>
                <w:rtl w:val="true"/>
              </w:rPr>
              <w:t>مراجع نظارتى</w:t>
            </w:r>
            <w:r>
              <w:rPr>
                <w:rStyle w:val="IndexLink"/>
                <w:rtl w:val="true"/>
              </w:rPr>
              <w:tab/>
            </w:r>
            <w:r>
              <w:rPr>
                <w:rStyle w:val="IndexLink"/>
              </w:rPr>
              <w:t>160</w:t>
            </w:r>
          </w:hyperlink>
        </w:p>
        <w:p>
          <w:pPr>
            <w:pStyle w:val="Contents3"/>
            <w:tabs>
              <w:tab w:val="clear" w:pos="8459"/>
              <w:tab w:val="right" w:pos="9026" w:leader="dot"/>
            </w:tabs>
            <w:rPr/>
          </w:pPr>
          <w:hyperlink w:anchor="__RefHeading___Toc1314076_2870459653">
            <w:r>
              <w:rPr>
                <w:webHidden/>
                <w:rStyle w:val="IndexLink"/>
              </w:rPr>
              <w:t>5</w:t>
            </w:r>
            <w:r>
              <w:rPr>
                <w:rStyle w:val="IndexLink"/>
                <w:rtl w:val="true"/>
              </w:rPr>
              <w:t xml:space="preserve">. </w:t>
            </w:r>
            <w:r>
              <w:rPr>
                <w:rStyle w:val="IndexLink"/>
                <w:rtl w:val="true"/>
              </w:rPr>
              <w:t>اسناد بين المللى</w:t>
            </w:r>
            <w:r>
              <w:rPr>
                <w:rStyle w:val="IndexLink"/>
                <w:rtl w:val="true"/>
              </w:rPr>
              <w:tab/>
            </w:r>
            <w:r>
              <w:rPr>
                <w:rStyle w:val="IndexLink"/>
              </w:rPr>
              <w:t>161</w:t>
            </w:r>
          </w:hyperlink>
        </w:p>
        <w:p>
          <w:pPr>
            <w:pStyle w:val="Contents3"/>
            <w:tabs>
              <w:tab w:val="clear" w:pos="8459"/>
              <w:tab w:val="right" w:pos="9026" w:leader="dot"/>
            </w:tabs>
            <w:rPr/>
          </w:pPr>
          <w:hyperlink w:anchor="__RefHeading___Toc1314078_2870459653">
            <w:r>
              <w:rPr>
                <w:webHidden/>
                <w:rStyle w:val="IndexLink"/>
              </w:rPr>
              <w:t>6</w:t>
            </w:r>
            <w:r>
              <w:rPr>
                <w:rStyle w:val="IndexLink"/>
                <w:rtl w:val="true"/>
              </w:rPr>
              <w:t xml:space="preserve">. </w:t>
            </w:r>
            <w:r>
              <w:rPr>
                <w:rStyle w:val="IndexLink"/>
                <w:rtl w:val="true"/>
              </w:rPr>
              <w:t>اسناد منطقه اى</w:t>
            </w:r>
            <w:r>
              <w:rPr>
                <w:rStyle w:val="IndexLink"/>
                <w:rtl w:val="true"/>
              </w:rPr>
              <w:tab/>
            </w:r>
            <w:r>
              <w:rPr>
                <w:rStyle w:val="IndexLink"/>
              </w:rPr>
              <w:t>163</w:t>
            </w:r>
          </w:hyperlink>
        </w:p>
        <w:p>
          <w:pPr>
            <w:pStyle w:val="Contents3"/>
            <w:tabs>
              <w:tab w:val="clear" w:pos="8459"/>
              <w:tab w:val="right" w:pos="9026" w:leader="dot"/>
            </w:tabs>
            <w:rPr/>
          </w:pPr>
          <w:hyperlink w:anchor="__RefHeading___Toc1314080_2870459653">
            <w:r>
              <w:rPr>
                <w:webHidden/>
                <w:rStyle w:val="IndexLink"/>
              </w:rPr>
              <w:t>7</w:t>
            </w:r>
            <w:r>
              <w:rPr>
                <w:rStyle w:val="IndexLink"/>
                <w:rtl w:val="true"/>
              </w:rPr>
              <w:t xml:space="preserve">. </w:t>
            </w:r>
            <w:r>
              <w:rPr>
                <w:rStyle w:val="IndexLink"/>
                <w:rtl w:val="true"/>
              </w:rPr>
              <w:t>دولت ها و شناسايى حقوق بنيادين</w:t>
            </w:r>
            <w:r>
              <w:rPr>
                <w:rStyle w:val="IndexLink"/>
                <w:rtl w:val="true"/>
              </w:rPr>
              <w:tab/>
            </w:r>
            <w:r>
              <w:rPr>
                <w:rStyle w:val="IndexLink"/>
              </w:rPr>
              <w:t>164</w:t>
            </w:r>
          </w:hyperlink>
        </w:p>
        <w:p>
          <w:pPr>
            <w:pStyle w:val="Contents4"/>
            <w:tabs>
              <w:tab w:val="clear" w:pos="8176"/>
              <w:tab w:val="right" w:pos="9026" w:leader="dot"/>
            </w:tabs>
            <w:rPr/>
          </w:pPr>
          <w:hyperlink w:anchor="__RefHeading___Toc1314082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314084_2870459653">
            <w:r>
              <w:rPr>
                <w:webHidden/>
                <w:rStyle w:val="IndexLink"/>
                <w:rtl w:val="true"/>
              </w:rPr>
              <w:t>الف</w:t>
            </w:r>
            <w:r>
              <w:rPr>
                <w:rStyle w:val="IndexLink"/>
                <w:rtl w:val="true"/>
              </w:rPr>
              <w:t xml:space="preserve">) </w:t>
            </w:r>
            <w:r>
              <w:rPr>
                <w:rStyle w:val="IndexLink"/>
                <w:rtl w:val="true"/>
              </w:rPr>
              <w:t>داشتن آزادى مذهب</w:t>
            </w:r>
            <w:r>
              <w:rPr>
                <w:rStyle w:val="IndexLink"/>
                <w:rtl w:val="true"/>
              </w:rPr>
              <w:tab/>
            </w:r>
            <w:r>
              <w:rPr>
                <w:rStyle w:val="IndexLink"/>
              </w:rPr>
              <w:t>165</w:t>
            </w:r>
          </w:hyperlink>
        </w:p>
        <w:p>
          <w:pPr>
            <w:pStyle w:val="Contents4"/>
            <w:tabs>
              <w:tab w:val="clear" w:pos="8176"/>
              <w:tab w:val="right" w:pos="9026" w:leader="dot"/>
            </w:tabs>
            <w:rPr/>
          </w:pPr>
          <w:hyperlink w:anchor="__RefHeading___Toc1314086_2870459653">
            <w:r>
              <w:rPr>
                <w:webHidden/>
                <w:rStyle w:val="IndexLink"/>
                <w:rtl w:val="true"/>
              </w:rPr>
              <w:t>ب</w:t>
            </w:r>
            <w:r>
              <w:rPr>
                <w:rStyle w:val="IndexLink"/>
                <w:rtl w:val="true"/>
              </w:rPr>
              <w:t xml:space="preserve">) </w:t>
            </w:r>
            <w:r>
              <w:rPr>
                <w:rStyle w:val="IndexLink"/>
                <w:rtl w:val="true"/>
              </w:rPr>
              <w:t>حفظ مذهب</w:t>
            </w:r>
            <w:r>
              <w:rPr>
                <w:rStyle w:val="IndexLink"/>
                <w:rtl w:val="true"/>
              </w:rPr>
              <w:tab/>
            </w:r>
            <w:r>
              <w:rPr>
                <w:rStyle w:val="IndexLink"/>
              </w:rPr>
              <w:t>165</w:t>
            </w:r>
          </w:hyperlink>
        </w:p>
        <w:p>
          <w:pPr>
            <w:pStyle w:val="Contents4"/>
            <w:tabs>
              <w:tab w:val="clear" w:pos="8176"/>
              <w:tab w:val="right" w:pos="9026" w:leader="dot"/>
            </w:tabs>
            <w:rPr/>
          </w:pPr>
          <w:hyperlink w:anchor="__RefHeading___Toc1314088_2870459653">
            <w:r>
              <w:rPr>
                <w:webHidden/>
                <w:rStyle w:val="IndexLink"/>
                <w:rtl w:val="true"/>
              </w:rPr>
              <w:t>ج</w:t>
            </w:r>
            <w:r>
              <w:rPr>
                <w:rStyle w:val="IndexLink"/>
                <w:rtl w:val="true"/>
              </w:rPr>
              <w:t xml:space="preserve">) </w:t>
            </w:r>
            <w:r>
              <w:rPr>
                <w:rStyle w:val="IndexLink"/>
                <w:rtl w:val="true"/>
              </w:rPr>
              <w:t>امنيت مذهبى</w:t>
            </w:r>
            <w:r>
              <w:rPr>
                <w:rStyle w:val="IndexLink"/>
                <w:rtl w:val="true"/>
              </w:rPr>
              <w:tab/>
            </w:r>
            <w:r>
              <w:rPr>
                <w:rStyle w:val="IndexLink"/>
              </w:rPr>
              <w:t>166</w:t>
            </w:r>
          </w:hyperlink>
        </w:p>
        <w:p>
          <w:pPr>
            <w:pStyle w:val="Contents4"/>
            <w:tabs>
              <w:tab w:val="clear" w:pos="8176"/>
              <w:tab w:val="right" w:pos="9026" w:leader="dot"/>
            </w:tabs>
            <w:rPr/>
          </w:pPr>
          <w:hyperlink w:anchor="__RefHeading___Toc1314090_2870459653">
            <w:r>
              <w:rPr>
                <w:webHidden/>
                <w:rStyle w:val="IndexLink"/>
                <w:rtl w:val="true"/>
              </w:rPr>
              <w:t>د</w:t>
            </w:r>
            <w:r>
              <w:rPr>
                <w:rStyle w:val="IndexLink"/>
                <w:rtl w:val="true"/>
              </w:rPr>
              <w:t xml:space="preserve">) </w:t>
            </w:r>
            <w:r>
              <w:rPr>
                <w:rStyle w:val="IndexLink"/>
                <w:rtl w:val="true"/>
              </w:rPr>
              <w:t>خواندن روضه</w:t>
            </w:r>
            <w:r>
              <w:rPr>
                <w:rStyle w:val="IndexLink"/>
                <w:rtl w:val="true"/>
              </w:rPr>
              <w:tab/>
            </w:r>
            <w:r>
              <w:rPr>
                <w:rStyle w:val="IndexLink"/>
              </w:rPr>
              <w:t>166</w:t>
            </w:r>
          </w:hyperlink>
        </w:p>
        <w:p>
          <w:pPr>
            <w:pStyle w:val="Contents4"/>
            <w:tabs>
              <w:tab w:val="clear" w:pos="8176"/>
              <w:tab w:val="right" w:pos="9026" w:leader="dot"/>
            </w:tabs>
            <w:rPr/>
          </w:pPr>
          <w:hyperlink w:anchor="__RefHeading___Toc1314092_2870459653">
            <w:r>
              <w:rPr>
                <w:webHidden/>
                <w:rStyle w:val="IndexLink"/>
                <w:rtl w:val="true"/>
              </w:rPr>
              <w:t>ه</w:t>
            </w:r>
            <w:r>
              <w:rPr>
                <w:rStyle w:val="IndexLink"/>
                <w:rtl w:val="true"/>
              </w:rPr>
              <w:t xml:space="preserve">) </w:t>
            </w:r>
            <w:r>
              <w:rPr>
                <w:rStyle w:val="IndexLink"/>
                <w:rtl w:val="true"/>
              </w:rPr>
              <w:t>اظهار و آشكارسازى مذهب</w:t>
            </w:r>
            <w:r>
              <w:rPr>
                <w:rStyle w:val="IndexLink"/>
                <w:rtl w:val="true"/>
              </w:rPr>
              <w:tab/>
            </w:r>
            <w:r>
              <w:rPr>
                <w:rStyle w:val="IndexLink"/>
              </w:rPr>
              <w:t>167</w:t>
            </w:r>
          </w:hyperlink>
        </w:p>
        <w:p>
          <w:pPr>
            <w:pStyle w:val="Contents5"/>
            <w:tabs>
              <w:tab w:val="clear" w:pos="7892"/>
              <w:tab w:val="right" w:pos="9026" w:leader="dot"/>
            </w:tabs>
            <w:rPr/>
          </w:pPr>
          <w:hyperlink w:anchor="__RefHeading___Toc1314094_2870459653">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314096_2870459653">
            <w:r>
              <w:rPr>
                <w:webHidden/>
                <w:rStyle w:val="IndexLink"/>
                <w:rtl w:val="true"/>
              </w:rPr>
              <w:t xml:space="preserve">يك </w:t>
            </w:r>
            <w:r>
              <w:rPr>
                <w:rStyle w:val="IndexLink"/>
                <w:rtl w:val="true"/>
              </w:rPr>
              <w:t xml:space="preserve">-. </w:t>
            </w:r>
            <w:r>
              <w:rPr>
                <w:rStyle w:val="IndexLink"/>
                <w:rtl w:val="true"/>
              </w:rPr>
              <w:t>انجام عبادت</w:t>
            </w:r>
            <w:r>
              <w:rPr>
                <w:rStyle w:val="IndexLink"/>
                <w:rtl w:val="true"/>
              </w:rPr>
              <w:tab/>
            </w:r>
            <w:r>
              <w:rPr>
                <w:rStyle w:val="IndexLink"/>
              </w:rPr>
              <w:t>168</w:t>
            </w:r>
          </w:hyperlink>
        </w:p>
        <w:p>
          <w:pPr>
            <w:pStyle w:val="Contents5"/>
            <w:tabs>
              <w:tab w:val="clear" w:pos="7892"/>
              <w:tab w:val="right" w:pos="9026" w:leader="dot"/>
            </w:tabs>
            <w:rPr/>
          </w:pPr>
          <w:hyperlink w:anchor="__RefHeading___Toc1314098_2870459653">
            <w:r>
              <w:rPr>
                <w:webHidden/>
                <w:rStyle w:val="IndexLink"/>
                <w:rtl w:val="true"/>
              </w:rPr>
              <w:t xml:space="preserve">دو </w:t>
            </w:r>
            <w:r>
              <w:rPr>
                <w:rStyle w:val="IndexLink"/>
                <w:rtl w:val="true"/>
              </w:rPr>
              <w:t xml:space="preserve">-. </w:t>
            </w:r>
            <w:r>
              <w:rPr>
                <w:rStyle w:val="IndexLink"/>
                <w:rtl w:val="true"/>
              </w:rPr>
              <w:t>برگزارى مناسك</w:t>
            </w:r>
            <w:r>
              <w:rPr>
                <w:rStyle w:val="IndexLink"/>
                <w:rtl w:val="true"/>
              </w:rPr>
              <w:tab/>
            </w:r>
            <w:r>
              <w:rPr>
                <w:rStyle w:val="IndexLink"/>
              </w:rPr>
              <w:t>169</w:t>
            </w:r>
          </w:hyperlink>
        </w:p>
        <w:p>
          <w:pPr>
            <w:pStyle w:val="Contents5"/>
            <w:tabs>
              <w:tab w:val="clear" w:pos="7892"/>
              <w:tab w:val="right" w:pos="9026" w:leader="dot"/>
            </w:tabs>
            <w:rPr/>
          </w:pPr>
          <w:hyperlink w:anchor="__RefHeading___Toc1314100_2870459653">
            <w:r>
              <w:rPr>
                <w:webHidden/>
                <w:rStyle w:val="IndexLink"/>
                <w:rtl w:val="true"/>
              </w:rPr>
              <w:t xml:space="preserve">سه </w:t>
            </w:r>
            <w:r>
              <w:rPr>
                <w:rStyle w:val="IndexLink"/>
                <w:rtl w:val="true"/>
              </w:rPr>
              <w:t xml:space="preserve">- </w:t>
            </w:r>
            <w:r>
              <w:rPr>
                <w:rStyle w:val="IndexLink"/>
                <w:rtl w:val="true"/>
              </w:rPr>
              <w:t>حق تعليم و آموزش</w:t>
            </w:r>
            <w:r>
              <w:rPr>
                <w:rStyle w:val="IndexLink"/>
                <w:rtl w:val="true"/>
              </w:rPr>
              <w:tab/>
            </w:r>
            <w:r>
              <w:rPr>
                <w:rStyle w:val="IndexLink"/>
              </w:rPr>
              <w:t>170</w:t>
            </w:r>
          </w:hyperlink>
        </w:p>
        <w:p>
          <w:pPr>
            <w:pStyle w:val="Contents5"/>
            <w:tabs>
              <w:tab w:val="clear" w:pos="7892"/>
              <w:tab w:val="right" w:pos="9026" w:leader="dot"/>
            </w:tabs>
            <w:rPr/>
          </w:pPr>
          <w:hyperlink w:anchor="__RefHeading___Toc1314102_2870459653">
            <w:r>
              <w:rPr>
                <w:webHidden/>
                <w:rStyle w:val="IndexLink"/>
                <w:rtl w:val="true"/>
              </w:rPr>
              <w:t xml:space="preserve">چهار </w:t>
            </w:r>
            <w:r>
              <w:rPr>
                <w:rStyle w:val="IndexLink"/>
                <w:rtl w:val="true"/>
              </w:rPr>
              <w:t xml:space="preserve">- </w:t>
            </w:r>
            <w:r>
              <w:rPr>
                <w:rStyle w:val="IndexLink"/>
                <w:rtl w:val="true"/>
              </w:rPr>
              <w:t>حق رهايى از زجر و آزار به خاطر مذهب</w:t>
            </w:r>
            <w:r>
              <w:rPr>
                <w:rStyle w:val="IndexLink"/>
                <w:rtl w:val="true"/>
              </w:rPr>
              <w:tab/>
            </w:r>
            <w:r>
              <w:rPr>
                <w:rStyle w:val="IndexLink"/>
              </w:rPr>
              <w:t>171</w:t>
            </w:r>
          </w:hyperlink>
        </w:p>
        <w:p>
          <w:pPr>
            <w:pStyle w:val="Contents3"/>
            <w:tabs>
              <w:tab w:val="clear" w:pos="8459"/>
              <w:tab w:val="right" w:pos="9026" w:leader="dot"/>
            </w:tabs>
            <w:rPr/>
          </w:pPr>
          <w:hyperlink w:anchor="__RefHeading___Toc1314104_2870459653">
            <w:r>
              <w:rPr>
                <w:webHidden/>
                <w:rStyle w:val="IndexLink"/>
              </w:rPr>
              <w:t>8</w:t>
            </w:r>
            <w:r>
              <w:rPr>
                <w:rStyle w:val="IndexLink"/>
                <w:rtl w:val="true"/>
              </w:rPr>
              <w:t xml:space="preserve">. </w:t>
            </w:r>
            <w:r>
              <w:rPr>
                <w:rStyle w:val="IndexLink"/>
                <w:rtl w:val="true"/>
              </w:rPr>
              <w:t>رويه مراجع شبه قضائى</w:t>
            </w:r>
            <w:r>
              <w:rPr>
                <w:rStyle w:val="IndexLink"/>
                <w:rtl w:val="true"/>
              </w:rPr>
              <w:tab/>
            </w:r>
            <w:r>
              <w:rPr>
                <w:rStyle w:val="IndexLink"/>
              </w:rPr>
              <w:t>173</w:t>
            </w:r>
          </w:hyperlink>
        </w:p>
        <w:p>
          <w:pPr>
            <w:pStyle w:val="Contents3"/>
            <w:tabs>
              <w:tab w:val="clear" w:pos="8459"/>
              <w:tab w:val="right" w:pos="9026" w:leader="dot"/>
            </w:tabs>
            <w:rPr/>
          </w:pPr>
          <w:hyperlink w:anchor="__RefHeading___Toc1314106_2870459653">
            <w:r>
              <w:rPr>
                <w:webHidden/>
                <w:rStyle w:val="IndexLink"/>
              </w:rPr>
              <w:t>9</w:t>
            </w:r>
            <w:r>
              <w:rPr>
                <w:rStyle w:val="IndexLink"/>
                <w:rtl w:val="true"/>
              </w:rPr>
              <w:t xml:space="preserve">. </w:t>
            </w:r>
            <w:r>
              <w:rPr>
                <w:rStyle w:val="IndexLink"/>
                <w:rtl w:val="true"/>
              </w:rPr>
              <w:t>دادگاه اروپايى و حقوق مذهبى</w:t>
            </w:r>
            <w:r>
              <w:rPr>
                <w:rStyle w:val="IndexLink"/>
                <w:rtl w:val="true"/>
              </w:rPr>
              <w:tab/>
            </w:r>
            <w:r>
              <w:rPr>
                <w:rStyle w:val="IndexLink"/>
              </w:rPr>
              <w:t>177</w:t>
            </w:r>
          </w:hyperlink>
        </w:p>
        <w:p>
          <w:pPr>
            <w:pStyle w:val="Contents4"/>
            <w:tabs>
              <w:tab w:val="clear" w:pos="8176"/>
              <w:tab w:val="right" w:pos="9026" w:leader="dot"/>
            </w:tabs>
            <w:rPr/>
          </w:pPr>
          <w:hyperlink w:anchor="__RefHeading___Toc1314108_287045965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314110_2870459653">
            <w:r>
              <w:rPr>
                <w:webHidden/>
                <w:rStyle w:val="IndexLink"/>
                <w:rtl w:val="true"/>
              </w:rPr>
              <w:t>بند اول</w:t>
            </w:r>
            <w:r>
              <w:rPr>
                <w:rStyle w:val="IndexLink"/>
                <w:rtl w:val="true"/>
              </w:rPr>
              <w:t xml:space="preserve">: </w:t>
            </w:r>
            <w:r>
              <w:rPr>
                <w:rStyle w:val="IndexLink"/>
                <w:rtl w:val="true"/>
              </w:rPr>
              <w:t>حقِ آزادى داشتن و پذيرش دين</w:t>
            </w:r>
            <w:r>
              <w:rPr>
                <w:rStyle w:val="IndexLink"/>
                <w:rtl w:val="true"/>
              </w:rPr>
              <w:tab/>
            </w:r>
            <w:r>
              <w:rPr>
                <w:rStyle w:val="IndexLink"/>
              </w:rPr>
              <w:t>177</w:t>
            </w:r>
          </w:hyperlink>
        </w:p>
        <w:p>
          <w:pPr>
            <w:pStyle w:val="Contents4"/>
            <w:tabs>
              <w:tab w:val="clear" w:pos="8176"/>
              <w:tab w:val="right" w:pos="9026" w:leader="dot"/>
            </w:tabs>
            <w:rPr/>
          </w:pPr>
          <w:hyperlink w:anchor="__RefHeading___Toc1314112_2870459653">
            <w:r>
              <w:rPr>
                <w:webHidden/>
                <w:rStyle w:val="IndexLink"/>
                <w:rtl w:val="true"/>
              </w:rPr>
              <w:t>بند دوم</w:t>
            </w:r>
            <w:r>
              <w:rPr>
                <w:rStyle w:val="IndexLink"/>
                <w:rtl w:val="true"/>
              </w:rPr>
              <w:t xml:space="preserve">: </w:t>
            </w:r>
            <w:r>
              <w:rPr>
                <w:rStyle w:val="IndexLink"/>
                <w:rtl w:val="true"/>
              </w:rPr>
              <w:t>حق اظهار دين يا مذهب</w:t>
            </w:r>
            <w:r>
              <w:rPr>
                <w:rStyle w:val="IndexLink"/>
                <w:rtl w:val="true"/>
              </w:rPr>
              <w:tab/>
            </w:r>
            <w:r>
              <w:rPr>
                <w:rStyle w:val="IndexLink"/>
              </w:rPr>
              <w:t>179</w:t>
            </w:r>
          </w:hyperlink>
        </w:p>
        <w:p>
          <w:pPr>
            <w:pStyle w:val="Contents5"/>
            <w:tabs>
              <w:tab w:val="clear" w:pos="7892"/>
              <w:tab w:val="right" w:pos="9026" w:leader="dot"/>
            </w:tabs>
            <w:rPr/>
          </w:pPr>
          <w:hyperlink w:anchor="__RefHeading___Toc1314114_2870459653">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314116_2870459653">
            <w:r>
              <w:rPr>
                <w:webHidden/>
                <w:rStyle w:val="IndexLink"/>
                <w:rtl w:val="true"/>
              </w:rPr>
              <w:t>الف</w:t>
            </w:r>
            <w:r>
              <w:rPr>
                <w:rStyle w:val="IndexLink"/>
                <w:rtl w:val="true"/>
              </w:rPr>
              <w:t xml:space="preserve">) </w:t>
            </w:r>
            <w:r>
              <w:rPr>
                <w:rStyle w:val="IndexLink"/>
                <w:rtl w:val="true"/>
              </w:rPr>
              <w:t>پرستش و عبادت</w:t>
            </w:r>
            <w:r>
              <w:rPr>
                <w:rStyle w:val="IndexLink"/>
                <w:rtl w:val="true"/>
              </w:rPr>
              <w:tab/>
            </w:r>
            <w:r>
              <w:rPr>
                <w:rStyle w:val="IndexLink"/>
              </w:rPr>
              <w:t>181</w:t>
            </w:r>
          </w:hyperlink>
        </w:p>
        <w:p>
          <w:pPr>
            <w:pStyle w:val="Contents5"/>
            <w:tabs>
              <w:tab w:val="clear" w:pos="7892"/>
              <w:tab w:val="right" w:pos="9026" w:leader="dot"/>
            </w:tabs>
            <w:rPr/>
          </w:pPr>
          <w:hyperlink w:anchor="__RefHeading___Toc1314118_2870459653">
            <w:r>
              <w:rPr>
                <w:webHidden/>
                <w:rStyle w:val="IndexLink"/>
                <w:rtl w:val="true"/>
              </w:rPr>
              <w:t>ب</w:t>
            </w:r>
            <w:r>
              <w:rPr>
                <w:rStyle w:val="IndexLink"/>
                <w:rtl w:val="true"/>
              </w:rPr>
              <w:t xml:space="preserve">) </w:t>
            </w:r>
            <w:r>
              <w:rPr>
                <w:rStyle w:val="IndexLink"/>
                <w:rtl w:val="true"/>
              </w:rPr>
              <w:t>انجام مراسم دينى و برگزارى مناسك</w:t>
            </w:r>
            <w:r>
              <w:rPr>
                <w:rStyle w:val="IndexLink"/>
                <w:rtl w:val="true"/>
              </w:rPr>
              <w:tab/>
            </w:r>
            <w:r>
              <w:rPr>
                <w:rStyle w:val="IndexLink"/>
              </w:rPr>
              <w:t>185</w:t>
            </w:r>
          </w:hyperlink>
        </w:p>
        <w:p>
          <w:pPr>
            <w:pStyle w:val="Contents5"/>
            <w:tabs>
              <w:tab w:val="clear" w:pos="7892"/>
              <w:tab w:val="right" w:pos="9026" w:leader="dot"/>
            </w:tabs>
            <w:rPr/>
          </w:pPr>
          <w:hyperlink w:anchor="__RefHeading___Toc1314120_2870459653">
            <w:r>
              <w:rPr>
                <w:webHidden/>
                <w:rStyle w:val="IndexLink"/>
                <w:rtl w:val="true"/>
              </w:rPr>
              <w:t>ج</w:t>
            </w:r>
            <w:r>
              <w:rPr>
                <w:rStyle w:val="IndexLink"/>
                <w:rtl w:val="true"/>
              </w:rPr>
              <w:t xml:space="preserve">) </w:t>
            </w:r>
            <w:r>
              <w:rPr>
                <w:rStyle w:val="IndexLink"/>
                <w:rtl w:val="true"/>
              </w:rPr>
              <w:t>تعليمات دينى و آموزش</w:t>
            </w:r>
            <w:r>
              <w:rPr>
                <w:rStyle w:val="IndexLink"/>
                <w:rtl w:val="true"/>
              </w:rPr>
              <w:tab/>
            </w:r>
            <w:r>
              <w:rPr>
                <w:rStyle w:val="IndexLink"/>
              </w:rPr>
              <w:t>189</w:t>
            </w:r>
          </w:hyperlink>
        </w:p>
        <w:p>
          <w:pPr>
            <w:pStyle w:val="Contents3"/>
            <w:tabs>
              <w:tab w:val="clear" w:pos="8459"/>
              <w:tab w:val="right" w:pos="9026" w:leader="dot"/>
            </w:tabs>
            <w:rPr/>
          </w:pPr>
          <w:hyperlink w:anchor="__RefHeading___Toc1314122_2870459653">
            <w:r>
              <w:rPr>
                <w:webHidden/>
                <w:rStyle w:val="IndexLink"/>
              </w:rPr>
              <w:t>10</w:t>
            </w:r>
            <w:r>
              <w:rPr>
                <w:rStyle w:val="IndexLink"/>
                <w:rtl w:val="true"/>
              </w:rPr>
              <w:t xml:space="preserve">. </w:t>
            </w:r>
            <w:r>
              <w:rPr>
                <w:rStyle w:val="IndexLink"/>
                <w:rtl w:val="true"/>
              </w:rPr>
              <w:t>كميسيون آفريقايى حقوق بشر و آزادى مذهبى</w:t>
            </w:r>
            <w:r>
              <w:rPr>
                <w:rStyle w:val="IndexLink"/>
                <w:rtl w:val="true"/>
              </w:rPr>
              <w:tab/>
            </w:r>
            <w:r>
              <w:rPr>
                <w:rStyle w:val="IndexLink"/>
              </w:rPr>
              <w:t>192</w:t>
            </w:r>
          </w:hyperlink>
        </w:p>
        <w:p>
          <w:pPr>
            <w:pStyle w:val="Contents4"/>
            <w:tabs>
              <w:tab w:val="clear" w:pos="8176"/>
              <w:tab w:val="right" w:pos="9026" w:leader="dot"/>
            </w:tabs>
            <w:rPr/>
          </w:pPr>
          <w:hyperlink w:anchor="__RefHeading___Toc1314124_2870459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314126_2870459653">
            <w:r>
              <w:rPr>
                <w:webHidden/>
                <w:rStyle w:val="IndexLink"/>
                <w:rtl w:val="true"/>
              </w:rPr>
              <w:t>الف</w:t>
            </w:r>
            <w:r>
              <w:rPr>
                <w:rStyle w:val="IndexLink"/>
                <w:rtl w:val="true"/>
              </w:rPr>
              <w:t xml:space="preserve">) </w:t>
            </w:r>
            <w:r>
              <w:rPr>
                <w:rStyle w:val="IndexLink"/>
                <w:rtl w:val="true"/>
              </w:rPr>
              <w:t>نگاهى به آراء</w:t>
            </w:r>
            <w:r>
              <w:rPr>
                <w:rStyle w:val="IndexLink"/>
                <w:rtl w:val="true"/>
              </w:rPr>
              <w:tab/>
            </w:r>
            <w:r>
              <w:rPr>
                <w:rStyle w:val="IndexLink"/>
              </w:rPr>
              <w:t>193</w:t>
            </w:r>
          </w:hyperlink>
        </w:p>
        <w:p>
          <w:pPr>
            <w:pStyle w:val="Contents4"/>
            <w:tabs>
              <w:tab w:val="clear" w:pos="8176"/>
              <w:tab w:val="right" w:pos="9026" w:leader="dot"/>
            </w:tabs>
            <w:rPr/>
          </w:pPr>
          <w:hyperlink w:anchor="__RefHeading___Toc1314128_2870459653">
            <w:r>
              <w:rPr>
                <w:webHidden/>
                <w:rStyle w:val="IndexLink"/>
                <w:rtl w:val="true"/>
              </w:rPr>
              <w:t>ب</w:t>
            </w:r>
            <w:r>
              <w:rPr>
                <w:rStyle w:val="IndexLink"/>
                <w:rtl w:val="true"/>
              </w:rPr>
              <w:t xml:space="preserve">) </w:t>
            </w:r>
            <w:r>
              <w:rPr>
                <w:rStyle w:val="IndexLink"/>
                <w:rtl w:val="true"/>
              </w:rPr>
              <w:t>مقايسه و نتيجه گيرى</w:t>
            </w:r>
            <w:r>
              <w:rPr>
                <w:rStyle w:val="IndexLink"/>
                <w:rtl w:val="true"/>
              </w:rPr>
              <w:tab/>
            </w:r>
            <w:r>
              <w:rPr>
                <w:rStyle w:val="IndexLink"/>
              </w:rPr>
              <w:t>194</w:t>
            </w:r>
          </w:hyperlink>
        </w:p>
        <w:p>
          <w:pPr>
            <w:pStyle w:val="Contents2"/>
            <w:tabs>
              <w:tab w:val="clear" w:pos="8743"/>
              <w:tab w:val="right" w:pos="9026" w:leader="dot"/>
            </w:tabs>
            <w:rPr/>
          </w:pPr>
          <w:hyperlink w:anchor="__RefHeading___Toc1314130_2870459653">
            <w:r>
              <w:rPr>
                <w:webHidden/>
                <w:rStyle w:val="IndexLink"/>
                <w:rtl w:val="true"/>
              </w:rPr>
              <w:t>جمع بندى</w:t>
            </w:r>
            <w:r>
              <w:rPr>
                <w:rStyle w:val="IndexLink"/>
                <w:rtl w:val="true"/>
              </w:rPr>
              <w:tab/>
            </w:r>
            <w:r>
              <w:rPr>
                <w:rStyle w:val="IndexLink"/>
              </w:rPr>
              <w:t>196</w:t>
            </w:r>
          </w:hyperlink>
        </w:p>
        <w:p>
          <w:pPr>
            <w:pStyle w:val="Contents2"/>
            <w:tabs>
              <w:tab w:val="clear" w:pos="8743"/>
              <w:tab w:val="right" w:pos="9026" w:leader="dot"/>
            </w:tabs>
            <w:rPr/>
          </w:pPr>
          <w:hyperlink w:anchor="__RefHeading___Toc1314132_2870459653">
            <w:r>
              <w:rPr>
                <w:webHidden/>
                <w:rStyle w:val="IndexLink"/>
                <w:rtl w:val="true"/>
              </w:rPr>
              <w:t>نتيجه گيرى</w:t>
            </w:r>
            <w:r>
              <w:rPr>
                <w:rStyle w:val="IndexLink"/>
                <w:rtl w:val="true"/>
              </w:rPr>
              <w:tab/>
            </w:r>
            <w:r>
              <w:rPr>
                <w:rStyle w:val="IndexLink"/>
              </w:rPr>
              <w:t>198</w:t>
            </w:r>
          </w:hyperlink>
        </w:p>
        <w:p>
          <w:pPr>
            <w:pStyle w:val="Contents3"/>
            <w:tabs>
              <w:tab w:val="clear" w:pos="8459"/>
              <w:tab w:val="right" w:pos="9026" w:leader="dot"/>
            </w:tabs>
            <w:rPr/>
          </w:pPr>
          <w:hyperlink w:anchor="__RefHeading___Toc1314134_2870459653">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1314136_2870459653">
            <w:r>
              <w:rPr>
                <w:webHidden/>
                <w:rStyle w:val="IndexLink"/>
                <w:rtl w:val="true"/>
              </w:rPr>
              <w:t>پيشنهادها</w:t>
            </w:r>
            <w:r>
              <w:rPr>
                <w:rStyle w:val="IndexLink"/>
                <w:rtl w:val="true"/>
              </w:rPr>
              <w:t>:</w:t>
              <w:tab/>
            </w:r>
            <w:r>
              <w:rPr>
                <w:rStyle w:val="IndexLink"/>
              </w:rPr>
              <w:t>201</w:t>
            </w:r>
          </w:hyperlink>
        </w:p>
        <w:p>
          <w:pPr>
            <w:pStyle w:val="Contents2"/>
            <w:tabs>
              <w:tab w:val="clear" w:pos="8743"/>
              <w:tab w:val="right" w:pos="9026" w:leader="dot"/>
            </w:tabs>
            <w:rPr/>
          </w:pPr>
          <w:hyperlink w:anchor="__RefHeading___Toc1314138_2870459653">
            <w:r>
              <w:rPr>
                <w:webHidden/>
                <w:rStyle w:val="IndexLink"/>
                <w:rtl w:val="true"/>
              </w:rPr>
              <w:t>فهرست منابع</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31_113626"/>
      <w:bookmarkStart w:id="1" w:name="pg8931_113626"/>
      <w:bookmarkEnd w:id="1"/>
    </w:p>
    <w:p>
      <w:pPr>
        <w:pStyle w:val="Heading2"/>
        <w:numPr>
          <w:ilvl w:val="1"/>
          <w:numId w:val="1"/>
        </w:numPr>
        <w:rPr/>
      </w:pPr>
      <w:bookmarkStart w:id="2" w:name="pg8931_113626"/>
      <w:bookmarkStart w:id="3" w:name="__RefHeading___Toc131390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راعی، مسعود،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مسعود 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Hajj -- Research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 rights -- Research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 rights -- Religious aspects --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3745744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391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8931_113630"/>
    </w:p>
    <w:p>
      <w:pPr>
        <w:pStyle w:val="Heading2"/>
        <w:numPr>
          <w:ilvl w:val="1"/>
          <w:numId w:val="1"/>
        </w:numPr>
        <w:rPr/>
      </w:pPr>
      <w:bookmarkStart w:id="8" w:name="__RefHeading___Toc1313912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فصل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و مفاهيم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تحقيق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مسئله حقوق بشر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اصلى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فرضيه تحقيق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پيشينه تحقيق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حقوق بشر و آموزه هاى اسلامى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چارچوب نظرى بحث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جايگاه حج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حمايت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اسناد بين المللى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كرامت انسانى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در معناى فقهى، حقوقى و اخلاقى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در معناى حق بودن و حق در معناى حق داشتن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مفاهيم مرتبط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حقوق بشرى حج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مختلف حمايتى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شناسايى حقوق حمايتى از سوى خداوند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تمهيدات سرزمينى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حمايت هاى آيينى و نمادين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ام القرى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بلد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 آمناً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حمايت الهى و حفاظت پنهانى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وضع احكام خاص حمايتى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حمايت چند جانبه و چند لايه اى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ممنوعيت جنگ و خونريزى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حمايت و مقابله با عوامل تهديدزا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حمايت و تعهدات ايمانى حجاج نسبت به يكديگر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حمايت حجاج از يكديگر و امر به تعاون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حمايت و بهره مندى يكسان از حقوق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ضرورت قيام حج گزار بر حقوق خود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حمايت از ديگر اتباع و تعهدات دولت ميزبان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حمايت الهى و طرد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حمايت از حج گزار آسيب پذير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حمايتى حجاج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انجام مناسك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نقد و اعتراض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همزيستى و صلح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داشتن شهر امن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انجام دادن عبادت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برائت جستن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پناهندگى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امنيت قضايى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ممنوعيت ورود حج گزار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امنيت اقتصادى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آموزش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احترام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مخفى نگهداشتن مذهب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ساير حقوق حمايتى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جمع بندى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سازوكارهاى حمايتى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منشور حمايتى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حذف قوانين ضدحمايتى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تعقيب و مجازات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انعقاد معاهدات حمايتى دو جانبه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عملياتى و اجرايى كردن اعلاميه جهانى حقوق بشر قاهره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گيرى از حكميت به عنوان شيوه اى جهت حل وفصل اختلافات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حمايت ديپلماتيك از اتباع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گزارشگران ويژه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گيرى از نهادهاى مردمى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و ترويج ادبيات حقوق بشرى حج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شناسايى معروف و منكر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حمايت و ممنوعيت تعطيلى كعبه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و ضمانت اجراى درونى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مسئوليت بين المللى و جبران خسارت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ممنوعيت رفتارهاى خشن، غيرانسانى و تحقيركننده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بين المللى حقوق بشر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ماهيت حقوق بشر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بشر و تعهدات بنيادين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مراجع نظارتى، حمايتى و كنترلى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 نظارتى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اسناد بين المللى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منطقه اى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دولت ها و شناسايى حقوق بنيادين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آزادى مذهب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مذهب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مذهبى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روضه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و آشكارسازى مذهب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عبادت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برگزارى مناسك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تعليم و آموزش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رهايى از زجر و آزار به خاطر مذهب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رويه مراجع شبه قضائى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دادگاه اروپايى و حقوق مذهبى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آزادى داشتن و پذيرش دين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بند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اظهار دين يا مذهب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و عبادت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مراسم دينى و برگزارى مناسك </w:t>
      </w:r>
      <w:r>
        <w:rPr>
          <w:rFonts w:eastAsia="IRNazanin" w:cs="IRNazanin"/>
          <w:color w:val="111111"/>
          <w:sz w:val="28"/>
          <w:szCs w:val="28"/>
          <w:lang w:bidi="fa-IR"/>
        </w:rPr>
        <w:t>183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تعليمات دينى و آموزش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كميسيون آفريقايى حقوق بشر و آزادى مذهبى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آراء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و نتيجه گيرى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جمع بندى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نتيجه گيرى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پيشنهادها </w:t>
      </w:r>
      <w:r>
        <w:rPr>
          <w:rFonts w:eastAsia="IRNazanin" w:cs="IRNazanin"/>
          <w:color w:val="111111"/>
          <w:sz w:val="28"/>
          <w:szCs w:val="28"/>
          <w:lang w:bidi="fa-IR"/>
        </w:rPr>
        <w:t>200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اسلام پاسدار حرمت و حقوق انسان هاست، تضمين كننده اخلاق و فضيلت است، منادى آرامش و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ترين دروغ و ناجوانمردانه ترين تهمت را كسانى مرتكب مى شوند كه اسلام را در مقابله با حقوق بشر و مدنيت و امنيت قلمداد كرده و اين را وسيله اى براى توجيه قدرت طلبى ظالمانه خود بر عليه ملت هاى مسلمان قرار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حج، پيام هاى مقام معظم رهبرى،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تعاليم روشن اسلام را در موضوعاتى چون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جوانان بازگو كنند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مقام معظم رهبرى به حجاج، </w:t>
      </w:r>
      <w:r>
        <w:rPr>
          <w:rFonts w:eastAsia="IRNazanin" w:cs="IRNazanin"/>
          <w:color w:val="111111"/>
          <w:sz w:val="28"/>
          <w:szCs w:val="28"/>
          <w:lang w:bidi="fa-IR"/>
        </w:rPr>
        <w:t>82/11/8</w:t>
      </w:r>
      <w:r>
        <w:rPr>
          <w:rFonts w:eastAsia="IRNazanin" w:cs="IRNazanin"/>
          <w:color w:val="111111"/>
          <w:sz w:val="28"/>
          <w:szCs w:val="28"/>
          <w:rtl w:val="true"/>
          <w:lang w:bidi="fa-IR"/>
        </w:rPr>
        <w:t>)</w:t>
      </w:r>
      <w:bookmarkStart w:id="10" w:name="pg8931_113636"/>
    </w:p>
    <w:p>
      <w:pPr>
        <w:pStyle w:val="Heading2"/>
        <w:numPr>
          <w:ilvl w:val="1"/>
          <w:numId w:val="1"/>
        </w:numPr>
        <w:rPr/>
      </w:pPr>
      <w:bookmarkStart w:id="11" w:name="__RefHeading___Toc1313914_2870459653"/>
      <w:bookmarkStart w:id="12" w:name="_Toc4"/>
      <w:bookmarkEnd w:id="10"/>
      <w:bookmarkEnd w:id="11"/>
      <w:r>
        <w:rPr>
          <w:rtl w:val="true"/>
        </w:rPr>
        <w:t>ديباچه</w:t>
      </w:r>
      <w:bookmarkEnd w:id="12"/>
    </w:p>
    <w:p>
      <w:pPr>
        <w:pStyle w:val="BookText"/>
        <w:rPr/>
      </w:pPr>
      <w:r>
        <w:rPr>
          <w:rFonts w:ascii="IRNazanin" w:hAnsi="IRNazanin" w:eastAsia="IRNazanin"/>
          <w:color w:val="111111"/>
          <w:sz w:val="28"/>
          <w:sz w:val="28"/>
          <w:szCs w:val="28"/>
          <w:rtl w:val="true"/>
          <w:lang w:bidi="fa-IR"/>
        </w:rPr>
        <w:t>حج، در مقام بزرگ ترين كنگره ايمانى از يك سو عظيم ترين اجتماع مؤمنان را به خود اختصاص مى دهد، و از سوى ديگر نگاه حمايتى خود از حج گزار را به نمايش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مناسك حج و احكام حرم و محرمات احرام و ماه هاى حرام مشخص مى شود، دين مقدس اسلام براى مكان و زمان حج امنيتى ويژه ايجاد كرده است تا حجاج، يعنى ميهمانان الهى، با حضور در سرزمين وحى بتوانند آزادانه و در امنيت كامل، بندگى و عبوديتشان را اظهار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راهكار اسلام براى تأمين امنيت حجاج كافى است، اما باتوجه به وضعيت كنونى كشور ميزبان، و مقررات ناعادلانه درباره برخى مذاهب اسلامى و برداشت هاى گوناگون از احكام اسلام، مى توان با استفاده از قوانين بين المللى و كنوانسيون هاى حقوق بشر، رويكردى حمايتى از حجاج داشت و از حقوقشان دفاع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كه براى حمايت از انسان ها و برپايه پذيرش كرامت انسانى شكل گرفته، به دنبال آن است كه بتواند منزلت انسانى را ارتقا دهد؛ هرچند قوانين بين المللى حقوق بشرى به طور ناقص و گاهى مغرضانه و تحت تأثير قدرت هاى استعمارى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اين موقعيت و ظرفيت جهانى براى حمايت از حجاج، به ويژه حج گزاران ايران، دست مايه اين نوشتار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فقه و حقوق پژوهشكده حج و زيارت با درك اهميت موضوع يادشده، و با الهام از تأكيدات نماينده محترم ولى فقيه در امور حج و زيارت، حضرت حجت الاسلام و المسلمين سيد على قاضى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تقدير از موقعيت شناسى جناب ايشان، در راستاى پيشبرد اهداف خود،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يكى از اعضاى هيئت علمى دانشگاه آزاد اسلامى واحد نجف آباد، حجت الاسلام دكتر مسعود راعى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در راستاى ارتقاى سطح علمى روحانيان فاضل و فرهيخته، و آشنايى جوامع علمى و پژوهشى با جوانب اين مسئله، امكان چاپ و نشر اين نوشتار را در قالب يك كتاب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توفيقات روزافزون نويسنده محترم را در سايه عنايات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خواستاريم و ثمره همه اين تلاش ها را به پيشگاه با عظمت آن حضرت تقديم مى كنيم؛ اميد است كه اين تلاش موجب رضايت حضرت شود و همه كسانى كه در تهيه اين اثر قدمى برداشته اند، مشمول دعاى خير ايشان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فقه و حقوق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پژوهشكده حج و زيارت</w:t>
      </w:r>
      <w:bookmarkStart w:id="13" w:name="pg8931_113638"/>
    </w:p>
    <w:p>
      <w:pPr>
        <w:pStyle w:val="Heading2"/>
        <w:numPr>
          <w:ilvl w:val="1"/>
          <w:numId w:val="1"/>
        </w:numPr>
        <w:rPr/>
      </w:pPr>
      <w:bookmarkStart w:id="14" w:name="__RefHeading___Toc1313916_287045965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حج جلوه همه اسلام است و فرهنگ بالنده اى دارد؛ ازاين رو توجه به اين واجب بزرگ الهى، و شناسايى و شناساندن ابعاد عرفانى، سياسى، اجتماعى، فقهى و حقوقى آن ضرورت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هاى استوار و ژرف نگرانه عالمان و آشنايان معارف ناب اسلامى همانند ماء معينى است كه تشنگان حقيقت و راهيان كوى نور را به صورت مادى و معنوى حمايت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اين وادى قدم گذاشته اند، به اين نكته واقف شده اند كه حاجى در اين سرزمين براى بهره بردن از فيوضات معنوى و حتى مادى بايد از فرصت هاى مناسب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ها در قالب حقوق مادى و معنوى حج گزار جلوه گر مى شود، و آن گاه كه از حقوق سخن گفته مى شود، تكاليف متقابل، متوازن و متناسب آن نيز 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حقوق و تكاليف، بهره مندشدن حج گزار از فرصت حضور در مكه، و برخوردارشدن از فيوضات بى كران كنگره عظيم حج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شكوهمند حج، كه قياماً للناس است، بى گمان از آنِ همه و متعلق به امتى است كه شيداى حق و دلداده خداوندند و اكنون كه به بركت انقلاب اسلامى، ايران اسلامى ام القراى جهان اسلام شده، آثار اين كنگره عظيم نمايان تر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كوشش براى نزديك كردن هرچه بيشتر اين تجمع عظيم به هدف والايش، به توجه وافر به معانى بلند ادبيات قرآنى و روايى در زمينه حج نيازمند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w:t>
      </w:r>
    </w:p>
    <w:p>
      <w:pPr>
        <w:pStyle w:val="BookText"/>
        <w:rPr/>
      </w:pPr>
      <w:r>
        <w:rPr>
          <w:rFonts w:ascii="IRNazanin" w:hAnsi="IRNazanin" w:eastAsia="IRNazanin"/>
          <w:color w:val="111111"/>
          <w:sz w:val="28"/>
          <w:sz w:val="28"/>
          <w:szCs w:val="28"/>
          <w:rtl w:val="true"/>
          <w:lang w:bidi="fa-IR"/>
        </w:rPr>
        <w:t>حج اين فرصت را در اختيار محقق قرار مى دهد كه در اين درياى عظيم غوطه ور شود و به گنج ها و ميراث مشترك بشريت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بايد مصداقى از ميراث مشترك بشريت دانست كه از انبيا و اولياى سلف، به نسل كنونى رسيده است و ابعاد معنوى، سياسى، اجتماعى، حقوقى و فقهى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معنوى حج بسيارند، اما آنچه مى تواند اهميت معنوى حج را نشان دهد، مقابله با خودخواهى ها و خودبينى هاست تا اين گونه بتوان به خداخواهى رسيد و با هجرت الى الله، از دنيا و اختلاف و نافرمانى و شرك، پيراسته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بعد، منوط به انجام دادن شايسته و كامل دستورهاى عبادى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بعد سياسى و اجتماعى حج و استفاده از ابعاد حقوقى آن نيز در گرو مدنظر قراردادن بعد معنوى و الهى حج است، و در نهايت لبيك گويى براى حق، نفى شرك از خدا و از خود بيرون آمدن و به ديگران پيوستن، دفاع از حريم الله و جهاد در راه خدا و دفاع از حقوق حجاج، همگى منوط به وجود فضاى خاص حمايت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اسلام و مسلمانان، بهره مندى از ظرفيت حج، كوتاه كردن دست افراط و خشونت و اتهام و تكفير، دورى از هواهاى نفسانى با تكيه بر فرهنگ ناب اسلامى، مقابله با خشونت و تحقير، تحرك بخشى به مؤلفه هاى فرهنگى حج و ارائه تابلويى از حج ابراهيمى، كه آرزوى همه مصلحان بزرگ تاريخ بوده است، در گرو نگرش همه جانبه و جامع به كنگره حج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امروزه، روز حركت ملت ها و مردم است، روز حمايت از انسان ها، به ويژه مؤمنان، نيز مى باشد كه برخوردار شدن جمعيت ميليونى حجاج از حمايت هاى گوناگون، برترين زمينه براى نصرت دين خداست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مهجوريت برخى ابعاد حج همچون بعد سياسى و حقوقى آن، از عظمت حج ابراهيمى كاسته، و نوعى مهجوريت را براى اين نماد بزرگ اسلامى به وجود آورده، همچنان كه قرآن كريم گرفتار مهجوريت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ابعاد و تبيين و</w:t>
      </w:r>
    </w:p>
    <w:p>
      <w:pPr>
        <w:pStyle w:val="BookText"/>
        <w:rPr/>
      </w:pPr>
      <w:r>
        <w:rPr>
          <w:rFonts w:ascii="IRNazanin" w:hAnsi="IRNazanin" w:eastAsia="IRNazanin"/>
          <w:color w:val="111111"/>
          <w:sz w:val="28"/>
          <w:sz w:val="28"/>
          <w:szCs w:val="28"/>
          <w:rtl w:val="true"/>
          <w:lang w:bidi="fa-IR"/>
        </w:rPr>
        <w:t>ترسيمشان و توجه دادن محققان به آنها، اولويت مباحث حج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شرك و بت پرستى در عصر جديد، و زدودن انديشه هاى غلط و افكار انحرافى كه نتيجه آن كشتن مسلمانان، يا بى توجهى به كشته شدن آنان مى باشد، با تمركز بر اين ابعاد امكان پذير است؛ ازاين رو در اين كنگره عظيم جهانى، كه همه اقشار و ملت ها فارغ از هر نوع آلايش و آرايش حضور دارند، بايد مسائل اساسى به طور جدى مدنظر قرار گيرد و دولت ها به همراه ملت ها به تحقق آن همت گمارند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اجتماعات كوچك ظرفيت خود را دارند، اما اجتماع بزرگى همچون حج فرصت هاى بسيارى را براى امت اسلامى به وجود مى آورد؛ همان گونه كه اجتماع عاشورايى در كربلا اين مهم را محقق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نگرش پاسخ دادن به دعوت ابراهيم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دعوت به قسط و عدل، بلكه دعوت به بت شكنى در عصر كنونى است و حتى بالاتر، مقابله با انحراف هايى است كه به نام مبارزه با انحراف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همگى بندگان خداوند، و در پناه حمايت الهى اند؛ ازاين رو خونشان محترم و اموالشان محفوظ، و حفظ آبرويشان واجب است و هتك حرمتشان مجوزى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حج، و حرمين شريفين نقطه شروع خوبى براى شكل دهى به اين نگرش است كه نه تنها حجاج از آن بهره مند مى شوند، بلكه همه بندگان آزاد خداوند از آن استفاده خواهند كرد، و اين همان مدينه و شهرى است كه حركت كردن به سوى آن مطلوب همگان است و نمونه كوچكش را فقط در صدر اسلام مى توان مشاهده كرد و همه آنچه بيان شد، درواقع تحقق اين بيان قرآنى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فِي اَلنّٰاسِ بِالْحَجِّ يَأْتُوكَ رِجٰالاً وَ عَلىٰ كُلِّ ضٰامِرٍ يَأْتِينَ مِنْ كُلِّ فَجٍّ عَمِيقٍ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تحققش و مقدمه انجام دادنش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بَيْتِيَ لِلطّٰائِفِينَ وَ اَلْقٰائِمِينَ وَ اَلرُّكَّعِ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براى به وجود آوردن اين طهارت كه حق طواف كنندگان، اهل ركوع، اهل سجود و ايستادگان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چاره اى نيست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 إِلَى اَلنّٰاسِ يَوْمَ اَلْحَجِّ اَلْأَكْبَرِ أَنَّ اَللّٰهَ بَرِيءٌ مِنَ اَلْمُشْرِكِينَ وَ رَسُولُهُ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طى اين مرحله رسيدن به توحيد كلمه و كلمه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آرزوى ديرينه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انجام حج ابراهيمى و بهره بردارى امت اسلامى از اين مراسم عظيم الهى است كه تحقق بخشى از اين مهم در دست حاكمان و امراى جامعه اسلامى است، و بخش ديگر به درك و شناخت مردم باز مى گردد كه از حج ابراهيمى در روح، روان و رفتارشان تلقى صحيحى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بارها از ذكر الله سخن به ميان آمده و محور آن را كعبه دانسته كه نشان مى دهد در اين محيط محور و مركز هر حركتى بايد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 سعى و رمى و وقوف و ديگر شعائر الهى حج، هركدام بايد به گونه اى تجلى صفات و تحقق خواست خداوند باشد كه در صورت شكل گيرى اين معنا، ملت حنيف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بت شكن بزرگ و منادى توحيد، محقق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أُمَّتُكُمْ أُمَّةً وٰاحِدَةً وَ أَنَا رَبُّكُمْ فَاعْبُدُونِ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رسيدن به آن بايد مصداق اين آيه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فَاذْكُرُوا اَللّٰهَ كَذِكْرِكُمْ آبٰاءَكُمْ أَوْ أَشَدَّ ذِكْراً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بايد همه موانع درونى و بيرونى آن را كنار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فِي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درواقع به معناى تحقق وحدت، اجتماع امت اسلامى، دست واحد شدن براى حمايت از يكديگر، و مقابله با هر انحراف و كفرى است كه دشمنان امت اسلامى آن را دنبال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اَلَّذِينَ مَعَهُ أَشِدّٰاءُ عَلَى اَلْكُفّٰارِ رُحَمٰاءُ بَيْنَهُمْ تَرٰاهُمْ رُكَّعاً سُجَّداً يَبْتَغُونَ فَضْلاً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آيات به وضوح جايگاه حمايت از حجاج را در حج نشان مى دهند؛ زيرا رسيدن به مقام معيّت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بزرگ مى طلبد و اين همان همتى بود كه شخص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شكل آن را محقق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رسيدن و توفيق مشاهده كردن چنين فضاى نورانى آدابى دارد كه بدون توجه و مدنظر قرار دادن آنها نمى توان به هدف مذكور رسيد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خطبه تاريخى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كه ده تا چهارده ماده دارد، مستقيم و غيرمستقيم درباره حفظ حقوق بشر و امنيت جهان است و نكته مهم آنكه در هيچ يك از اين مواد، از نماز، روزه، خمس و زكات سخنى به ميان نيامده است، بلكه</w:t>
      </w:r>
    </w:p>
    <w:p>
      <w:pPr>
        <w:pStyle w:val="BookText"/>
        <w:rPr/>
      </w:pPr>
      <w:r>
        <w:rPr>
          <w:rFonts w:ascii="IRNazanin" w:hAnsi="IRNazanin" w:eastAsia="IRNazanin"/>
          <w:color w:val="111111"/>
          <w:sz w:val="28"/>
          <w:sz w:val="28"/>
          <w:szCs w:val="28"/>
          <w:rtl w:val="true"/>
          <w:lang w:bidi="fa-IR"/>
        </w:rPr>
        <w:t>آنچه بيان شده، در رابطه با سعادت عمومى مردم جهان، امنيت جامعه و حفظ حقوق انسان هاست، زيرا فقط در سايه امنيت مى توان فرائض الهى را اقامه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خطبه در بيشتر منابع روايى و تاريخى اهل سنت با اندك تفاوتى بيان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هيئت امر به معروف و نهى از منكر با ميهمانان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زائران بقيع و مقابر شهداى احد، با اقتضاى اخلاق اسلامى، حقوق بشر و ادعاى پادشاه عربستان در گفت وگوهاى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و گفت وگوهاى اديان، منافات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نوع رفتارها در هيچ جا پذيرفتنى نيست؛ به ويژه حجاج بيت الله كه هم بى دفاع اند و هم ميهمان خاص خداوند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عملكرد وهابى ها درباره ديگر فرق اسلامى به جز حنبلى ها، بيانگر انواع و اقسام آزارها و تهديدها به جان و مال و آبروى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مطلبى را از محمدحسين مشايخ فريدنى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بيان مى كند كه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عبدالعزيز بن باز رئيس دانشگاه مدينه ديدار كردم و او درباره اعتقاد شيعه مى پرسيد و هيچ يك از پاسخ هاى من را نمى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كتاب هاى تشيع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استفتاء كردند كه آيا دزديدن اموال شيعه جايز است؟ در جواب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چيز آنان بر مسلمانان حلال است، اما در حجاز كه براى حج مى آيند، مهمان مايند و حديث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مهمان را بزرگ بداريد و به او محبت كنيد؛ گرچه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كارى به آنها نداشته باشيد، اما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گنجينه اسرار، محمداكبر محقق،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ابعاد گوناگون حج، ابوعلى خداكرمى زنجانى،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صهباى حج، عبدالله جوادى آملى، صص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متقى هندى،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دلايل النبوه، احمد بن حسين البيهقى،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تاريخ الطبرى،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سيره ابن هشام، ابن هشام،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سنن ابن ماجه، محمد بن يزيد القزوينى، ص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سنن الترمذى، ترمذى،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صحيح البخارى، بخارى،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طبقات الكبرى، ابن سعد،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فصلنامه ميقات حج، ش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عربستان هركار مى خواهيد بكنيد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اين فضا حج گزار از كمترين امنيت لازم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حمايت در مقام يك ضرورت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دغدغه هاى متوليان و مسئولان حج، يافتن راهكارهايى است كه بتوانند از حجاج به نحو مطلوب، محافظت و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سرزمين وحى و انجام دادن مناسك دينى و ضرورت بهره مندى از امنيت و آرامش كه در تعابير قرآنى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همگى نشان دهنده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رسالت حمايت از حجاجى كه شهروند دولت عربستان نيستند، نيازمند سازوكارهايى مختلف، ازجمله راه هاى حقوقى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 در پرتو تصويب ده ها سند بين المللى در زمينه حقوق بشر و شناسايى حقوق گوناگون براى افراد انسانى، وضعيت نسبتاً هموارى براى حمايت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امر مى توان دو نگرش را درباره مسئله حج و حقوق بشر مطرح كرد؛ نگاه حج به حقوق بشر، و نگاه حقوق بشر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رسالت اصلى اين تحقيق، يافتن سازوكارهايى است كه براساس آن بتوان در سرزمين وحى، با تكيه بر هر دو بعد مسئله، بيشترين حمايت را از حجاج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مدنظر در اين تحقيق آن است كه با استفاده از كدام يك از آموزه هاى حقوق بشر مى توان از حجاج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ابتدا بايد با رجوع به آموزه هاى حقوق بشرى حج، و سپس با استفاده از نظام بين المللى حقوق بشر، ابعاد حمايتى رصد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كوشش گوياى آن است كه آموزه هاى حقوق بشرى حج، در چند لايه، حمايت هاى خاصى را از حجاج به عمل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حقوق حجاج در منابع مختلف فقهى، وضع احكام خاص حمايتى در سرزمين وحى، امن دانستن حرم الهى، تعقيب و مجازات نقض كنندگان حريم الهى و حريم مؤمنان و تعيين سازوكارهاى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فصلنامه ميقات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خاص حمايتى، ابعاد اين حمايت را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نظام بين المللى حقوق بشر، اعم از آنچه در اسناد بين المللى آمده، و آنچه در آراى محاكم شبه قضايى حقوق بشرى مطرح شده، ابعاد حمايتى متعددى را در حوزه آزادى دينى و انجام دادن مناسك دينى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بايد گفت هم آموزه هاى حج و هم نظام بين المللى حقوق بشر، ظرفيت و توانايى بالايى براى حمايت از حجاج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كردن اين حمايت ها در مواردى برعهده دولت هاى اعزام كننده و در موارد بسيارى برعهده دولت ميزبان است و چون بيشتر كشورهاى اسلامى خود را به رعايت اسناد بين المللى حقوق بشر متعهد كرده اند، تخلف از اين تعهدات منجر به مسئوليت آن دولت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مدير سابق گروه فقه و حقوق پژوهشكده حج و زيارت، حجت الاسلام و المسلمين مهدى درگاهى، كه نظارت اين اثر را به عهده داشتند، و ديگر دوستان در پژوهشكده حج و زيارت كه با انتشار اين اثر به حمايت عملى از فرهنگ پژوهش پرداخته اند، تشكر و قدردانى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اين تلاش ذخيره اى جاودان و عملى مقبول در محضر بارى تعالى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 با رمضان المبارك </w:t>
      </w:r>
      <w:r>
        <w:rPr>
          <w:rFonts w:eastAsia="Amiri" w:cs="Amiri" w:ascii="Amiri" w:hAnsi="Amiri"/>
          <w:color w:val="111111"/>
          <w:sz w:val="28"/>
          <w:szCs w:val="28"/>
          <w:lang w:bidi="ar-SA"/>
        </w:rPr>
        <w:t>1435</w:t>
      </w:r>
    </w:p>
    <w:p>
      <w:pPr>
        <w:pStyle w:val="BookText"/>
        <w:rPr/>
      </w:pPr>
      <w:r>
        <w:rPr>
          <w:rFonts w:ascii="IRNazanin" w:hAnsi="IRNazanin" w:eastAsia="IRNazanin"/>
          <w:color w:val="111111"/>
          <w:sz w:val="28"/>
          <w:sz w:val="28"/>
          <w:szCs w:val="28"/>
          <w:rtl w:val="true"/>
          <w:lang w:bidi="fa-IR"/>
        </w:rPr>
        <w:t>مسعود راعى</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هيئت علمى دانشگاه آزاد اسلامى واحد نجف آباد</w:t>
      </w:r>
      <w:bookmarkStart w:id="16" w:name="pg8931_113646"/>
    </w:p>
    <w:p>
      <w:pPr>
        <w:pStyle w:val="Heading2"/>
        <w:numPr>
          <w:ilvl w:val="1"/>
          <w:numId w:val="1"/>
        </w:numPr>
        <w:rPr/>
      </w:pPr>
      <w:bookmarkStart w:id="17" w:name="__RefHeading___Toc1313918_2870459653"/>
      <w:bookmarkStart w:id="18" w:name="_Toc6"/>
      <w:bookmarkEnd w:id="16"/>
      <w:bookmarkEnd w:id="17"/>
      <w:r>
        <w:rPr>
          <w:rtl w:val="true"/>
        </w:rPr>
        <w:t>فصل اول</w:t>
      </w:r>
      <w:r>
        <w:rPr>
          <w:rtl w:val="true"/>
        </w:rPr>
        <w:t xml:space="preserve">: </w:t>
      </w:r>
      <w:r>
        <w:rPr>
          <w:rtl w:val="true"/>
        </w:rPr>
        <w:t>كليات و مفاهيم</w:t>
      </w:r>
      <w:bookmarkEnd w:id="18"/>
    </w:p>
    <w:p>
      <w:pPr>
        <w:pStyle w:val="Heading3"/>
        <w:numPr>
          <w:ilvl w:val="2"/>
          <w:numId w:val="1"/>
        </w:numPr>
        <w:rPr/>
      </w:pPr>
      <w:bookmarkStart w:id="19" w:name="__RefHeading___Toc1313920_2870459653"/>
      <w:bookmarkStart w:id="20" w:name="_Toc7"/>
      <w:bookmarkEnd w:id="19"/>
      <w:r>
        <w:rPr>
          <w:rtl w:val="true"/>
        </w:rPr>
        <w:t>گفتار نخست</w:t>
      </w:r>
      <w:r>
        <w:rPr>
          <w:rtl w:val="true"/>
        </w:rPr>
        <w:t xml:space="preserve">: </w:t>
      </w:r>
      <w:r>
        <w:rPr>
          <w:rtl w:val="true"/>
        </w:rPr>
        <w:t>كليات تحقيق</w:t>
      </w:r>
      <w:bookmarkEnd w:id="20"/>
    </w:p>
    <w:p>
      <w:pPr>
        <w:pStyle w:val="Heading4"/>
        <w:numPr>
          <w:ilvl w:val="3"/>
          <w:numId w:val="1"/>
        </w:numPr>
        <w:rPr/>
      </w:pPr>
      <w:bookmarkStart w:id="21" w:name="__RefHeading___Toc1313922_2870459653"/>
      <w:bookmarkStart w:id="22" w:name="_Toc8"/>
      <w:bookmarkEnd w:id="21"/>
      <w:r>
        <w:rPr/>
        <w:t>1</w:t>
      </w:r>
      <w:r>
        <w:rPr>
          <w:rtl w:val="true"/>
        </w:rPr>
        <w:t xml:space="preserve">. </w:t>
      </w:r>
      <w:r>
        <w:rPr>
          <w:rtl w:val="true"/>
        </w:rPr>
        <w:t>بيان مسئله حقوق بشر</w:t>
      </w:r>
      <w:bookmarkEnd w:id="22"/>
    </w:p>
    <w:p>
      <w:pPr>
        <w:pStyle w:val="BookText"/>
        <w:rPr/>
      </w:pPr>
      <w:r>
        <w:rPr>
          <w:rFonts w:ascii="IRNazanin" w:hAnsi="IRNazanin" w:eastAsia="IRNazanin"/>
          <w:color w:val="111111"/>
          <w:sz w:val="28"/>
          <w:sz w:val="28"/>
          <w:szCs w:val="28"/>
          <w:rtl w:val="true"/>
          <w:lang w:bidi="fa-IR"/>
        </w:rPr>
        <w:t xml:space="preserve">دهم 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اعلاميه اى در سازمان بين المللى بزرگى تصويب شد كه منشأ تحولات و آثار بسيارى در جهان كنونى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فقط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در ملل متحد حضور داشتند، ولى اكنون همه كشورهاى كره خاكى، آن اعلاميه را پذيرفته اند و اصول آن را به مثابه راهنما و الگويى براى وضع قوانين كشورى و شيوه حكومت كردن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اعلاميه مدنظر قرار گرفت، به رسميت شناختن بنيادى ترين حقوق انسانى بود كه بدون آنها نمى توان زندگى شرافتمندانه اى را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حيات اصلى ترين و زيربنايى ترين حقوق است و در كنار آن و همراه آن، به حقوقى باعنوان انواع آزادى هاى مشروع، توجه 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شمولى هنجارهاى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زمان اعلاميه جهانى حقوق بشر خود را نشان داد و البته چالش هاى بسيارى را نيز ميان محققان و حاكمان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 بودند كه فرموله كردن اين حقوق در نظام قضايى نيز ضرورى و تحقق پذير است و در اين راه كوشيدند و اكنون دادگاه هاى فراوان حقوق بشرى، مانند دادگاه هاى اروپايى حقوق بشر، دادگاه آمريكايى حقوق بشر و دادگاه</w:t>
      </w:r>
    </w:p>
    <w:p>
      <w:pPr>
        <w:pStyle w:val="BookText"/>
        <w:rPr/>
      </w:pPr>
      <w:r>
        <w:rPr>
          <w:rFonts w:ascii="IRNazanin" w:hAnsi="IRNazanin" w:eastAsia="IRNazanin"/>
          <w:color w:val="111111"/>
          <w:sz w:val="28"/>
          <w:sz w:val="28"/>
          <w:szCs w:val="28"/>
          <w:rtl w:val="true"/>
          <w:lang w:bidi="fa-IR"/>
        </w:rPr>
        <w:t>آفريقايى حقوق بشر را بايد نماد اين تفكر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ديگرى اين سؤال را طرح كردند كه آيا اجراى اين اعلاميه در نظام حقوقى داخلى و قضايى امكان پذير است؟ طرح اين پرسش به سبب سه مشكل اساسى بود؛ وجود انواع خرده فرهنگ ها، وجود ارزش هاى گوناگون و حتى متعارض، و فقدان هنجارهاى مشترك، سه مشكلى بود كه راه جهان شمولى را با موانع جدى مواجه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گيرودار برخى با حقوق بشر مقابله كردند و آن را غربى دانستند، و برخى رويكردى تعاملى داشتند و كوشيدند از ره آورد خرد جمعى يا شبه جمعى جهان، استفاده كنند و اين دعوا و چالش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ميان محققان اسلامى، برخى با خوش بينى از حقوق بشر استقبال كردند و برخى با بدبينى آن را نگريستند و هركدام نيز دلايل خاص خود را 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حقوق بشر را فرصت دانست؛ فرصتى دوجانبه كه از يك سو ارزش هاى بنيادين بشرى و مفاهيم متعالى همچون آزادى بيان را نشان مى دهد، و از سوى ديگر ارزش هاى دينى بهتر مى توانند جايگاهشان را در گفتمان جهانى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با چنين نگاهى بتوان تا حدودى از ارزش هاى دينى حمايت كرد؛ هرچند گاهى ارزش هاى بشرى جداى از ارزش هاى دينى است و اختلاف اين دو را در تفسير ارزش هاى بشرى و ارزش هاى دينى يا در تطبيق مصاديق آن، بايد جست وجو كرد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چنين نگاهى در مسئله تلازم حق و تكليف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محض بر حقوق براى حذف وظايف، ويران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هنجارهاى حقوق بشرى موجود نيز به گونه اى با حذف تكاليف همراه شده است؛ درحالى كه توجه به هردو، امكان ايجاد توازن و تعادل بين حقوق و تكاليف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دو نظام حقوق اسلامى و حقوق بشرى، هم نقاط اشتراك، و هم نقاط افتراق دارند؛ البته با توجه به اينكه رويكرد نظام اسلامى در حمايت از حقوق انسانى، به مراتب عينى تر و متقن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لابه لاى اين دعواها، اعلاميه جهانى حقوق بشر كاربست بسيارى از اسناد بين المللى شد، به گونه اى كه تاكنون ده ها سند بين المللى حقوق بشرى تصويب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ميثاقين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كنوانسيون رفع تبعيض نژادى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كنوانسيون رفع تبعيض عليه زنان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معاهده حقوق كودك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ممنوعيت خريد و فروش و سوء استفاده جنسى از كودكان، و ممنوعيت به كارگيرى آنان در نبردهاى مسلحانه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كنوانسيون ممنوعيت شكنجه و اعمال غيرانسانى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كنوانسيون مربوط به وضعيت پناهندگان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از اين اسنادند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افزون بر گره خوردن به مسئله جهانى بودن، آن چنان كه كوفى عنان در جشن پنجاه سالگى سازمان ملل آن را اعلام كرد، با صلح جهانى نيز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چندين مكانيزم و فرآيند پيگيرى و تعقيب، در زمنيه اجراى تعهدات حقوق بشرى، بيانگر نقش كليدى حقوق بشر در زمينه صلح جهانى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بخش هاى مختلف سازمان ملل متحد، همچون يونسكو، كميسارياى عالى پناهندگان يونيسف، برنامه ملل متحد، سازمان بين المللى كار و سازمان بهداشت جهانى، براى ترويج حقوق بشر، حاكى از جايگاه و نقش آفرينى حقوق بشر در هياهوى اختلافات جهانى در اين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تصويب نام گذارى دهه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دهه آموزش حقوق بشر، گام بلند جهانى براى اجراى تعهدات بين المللى دولت ها درباره اتباع خود و اتباع ديگر كشورهاست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وجود انواع درگيرى ها و نقض گسترده و فراگير حقوق بشر، مانند درگيرى هاى خِمرهاى سرخ در كامبوج كه با نقض حقوق بشر دو ميليون انسان را كشتند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رويدادهاى تلخ ديگر در موزامبيك، ليبريا، السالوادور، يوگسلاوى سابق، رواندا، ميانمار، بوسنى، غزه، افغانستان و عراق، باعث جريحه دارشدن احساسات انسان ها شد و حتى گاهى به راه اندازى دادگاه هاى مختلف براى رسيدگى به نقض حقوق بشردوستانه و حقوق بشر به صورت ويژه و موقتى منجر شد و در نهايت، به</w:t>
      </w:r>
    </w:p>
    <w:p>
      <w:pPr>
        <w:pStyle w:val="BookText"/>
        <w:rPr/>
      </w:pPr>
      <w:r>
        <w:rPr>
          <w:rFonts w:ascii="IRNazanin" w:hAnsi="IRNazanin" w:eastAsia="IRNazanin"/>
          <w:color w:val="111111"/>
          <w:sz w:val="28"/>
          <w:sz w:val="28"/>
          <w:szCs w:val="28"/>
          <w:rtl w:val="true"/>
          <w:lang w:bidi="fa-IR"/>
        </w:rPr>
        <w:t xml:space="preserve">راه اندازى دادگاه كيفرى دائمى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انجاميد و همه اين امور، پاسخى است به مطالبات جامعه جهانى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گيرى حقوق بشر نسل سوم در قالب ادبياتى مانند حق همبستگى، و مصاديقى مانند حق صلح، حق آموزش، حق تعليم و تربيت و حق برخوردارى از محيط زيست سالم، مسير رو به رشد حقوق بشر را در دفاع و حمايت از انسان ها بر سه پايه آماده سازى، مشاركت و ارزشيابى نشان مى دهد، و درنهايت ايجاد جامعه اى با محوريت حقوق بنيادين بشر در مقابل انواع تعدى و دست اندازى هاى دولتى و غيردولتى، هدفى است كه حقوق بشر در مسير پرفراز و فرود حق خود، به دنبال آن مى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 با لحاظ اين سابقه بايد گفت حجاج به ويژه حجاج غير عربستانى كه در سرزمين وحى حاضر مى شوند تا مناسك عبادى شان را به جا آورند، اعضاى اين جامعه جهانى اند و نبايد از حمايت هاى حقوق بشرى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اين حمايت ها چيزى نيست جز آنكه حجاج بتوانند در كمال آرامش و آسايش و برخورداربودن از امنيت روح و روان و جسم و جان، براساس آموزه هاى فقهى خود مناسك الهى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نگاهى به فلسفه اين كنگره عظيم الهى و حضور گسترده انسان هاى موحد در آن، نشان مى دهد بايد حجاج مورد توجه، و تحت حمايت هاى ويژه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حمايت ها هرچند كم وبيش تاكنون انجام گرفته است، ولى وجود انواع و اقسام فشارها، تهديدها و نگرانى ها در حجاج، حاكى از ناكافى بودن ميزان حمايت ها و نوع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آزادى بيان براى حجاج بدان معنا خواهد بود كه هر حج گزار طبق فقه خود و آزادانه به انجام دادن مناسك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 فقه يك مذهب با مذهب ديگر نمى تواند و نبايد دليلى بر ايجاد محدوديت يا تنگنا براى حاجى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در پرتو اهداف ترسيم شده براى حج، بسيار گوياتر و روشن تر خواهد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الفباى آموزش حقوق بشر، رضايى سهراب،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 عبادى، سياسى، اقتصادى و جغرافيايى حج مى طلبد كه حجاج بتوانند اقدامات متعددى را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يكى از اين اقدامات، و بهره مندى از مجالس گفت وگوى آزاد، قدم ديگر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فرصت هاى لازم براى نقد و نظر گام سوم اين ماجراست و وجود مكان هاى مناسب براى تحقق اين اهداف و تضمين امنيت آنها توسط دولت ميزبان، گام بعدى و بلكه مهم ترين اين اقدامات را شكل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پذيرش تعهدات حقوق بشرى و اجراكردن آن توسط دولت ميزبان، نمى توان به اين اهداف دست يافت و فقط بايد شاهد نگاه حاكميتى دولت عربستان به زوار، آن هم با عنوان افراد بيگانه، بود كه اين وضعيت با فلسفه حج سازگارى ندارد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فعلى با محور قراردادن آموزه هاى اسلامى و استفاده از منابع فقهى به دنبال آن است كه با توجه به ادبيات حقوق بشرى در قالب نظام بين المللى حقوق بشر كه دولت عربستان درجايگاه يكى از اعضاى شوراى حقوق بشر ملل متحد، خود را بدان متعهد كرده است، نوع حمايت هايى از حجاج را بررسى كند كه در سرزمين وحى و حرم امن الهى دست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كه در نوع خود حركتى جديد محسوب مى شود، با مشكلات و موانع خاص پژوهشى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نويسنده بر آن است كه با تكيه بر ظرفيت هاى فقه و لحاظ انواع تعهدات حقوق بشرى، كه امروزه همه كشورهاى جهان از جمله جمهورى اسلامى ايران و دولت عربستان بدان متعهدند، نوع حمايت از حجاج به ويژه حجاج ايرانى را براى برخوردار بودن از تمام امنيت هاى لازم براى انجام دادن مناسك دينى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نخستين مرحله حمايت، ترسيم و تبيين اين حقوق و آزادى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تعهدى بر دوش دولت اعزام كننده، از جمله ايران اسلامى، و تعهدى بر عهده دولت ميزبان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دولت اعزام كننده آشنا نمودن حجاج با انواع حمايت هاست كه مى تواند در قالب هاى مختلف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سازوكارهاى لازم حمايتى و آموزش دادن مأموران دولتى عربستان در همه مراحل برگزارى مناسك حج از فرودگاه تا اسكان در حرم امن الهى نيز مهم ترين</w:t>
      </w:r>
      <w:bookmarkStart w:id="23" w:name="pg8931_113651"/>
    </w:p>
    <w:p>
      <w:pPr>
        <w:pStyle w:val="BookText"/>
        <w:rPr/>
      </w:pPr>
      <w:bookmarkEnd w:id="23"/>
      <w:r>
        <w:rPr>
          <w:rFonts w:ascii="IRNazanin" w:hAnsi="IRNazanin" w:eastAsia="IRNazanin"/>
          <w:color w:val="111111"/>
          <w:sz w:val="28"/>
          <w:sz w:val="28"/>
          <w:szCs w:val="28"/>
          <w:rtl w:val="true"/>
          <w:lang w:bidi="fa-IR"/>
        </w:rPr>
        <w:t>تعهدات دولت عربستان را شكل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ديگر، پى گيرى، تعقيب و مجازات افرادى است كه اين حقوق را نقض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سازى و مقابله با افراد غيردولتى كه خود را متعهد به نشر آموزه هاى يك فقه، و مقابله با ديگر فرق اسلامى مى دانند، تعهد ديگر دولت عربستان را شكل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پردازش موارد پيش گفته و بحث و بررسى درباره آنها رسالت پيش روى اين نوشتار را شكل مى دهد</w:t>
      </w:r>
      <w:r>
        <w:rPr>
          <w:rFonts w:eastAsia="IRNazanin" w:cs="IRNazanin"/>
          <w:color w:val="111111"/>
          <w:sz w:val="28"/>
          <w:szCs w:val="28"/>
          <w:rtl w:val="true"/>
          <w:lang w:bidi="fa-IR"/>
        </w:rPr>
        <w:t>.</w:t>
      </w:r>
    </w:p>
    <w:p>
      <w:pPr>
        <w:pStyle w:val="Heading4"/>
        <w:numPr>
          <w:ilvl w:val="3"/>
          <w:numId w:val="1"/>
        </w:numPr>
        <w:rPr/>
      </w:pPr>
      <w:bookmarkStart w:id="24" w:name="__RefHeading___Toc1313924_2870459653"/>
      <w:bookmarkStart w:id="25" w:name="_Toc9"/>
      <w:bookmarkEnd w:id="24"/>
      <w:r>
        <w:rPr/>
        <w:t>2</w:t>
      </w:r>
      <w:r>
        <w:rPr>
          <w:rtl w:val="true"/>
        </w:rPr>
        <w:t xml:space="preserve">. </w:t>
      </w:r>
      <w:r>
        <w:rPr>
          <w:rtl w:val="true"/>
        </w:rPr>
        <w:t>پرسش اصلى</w:t>
      </w:r>
      <w:bookmarkEnd w:id="25"/>
    </w:p>
    <w:p>
      <w:pPr>
        <w:pStyle w:val="BookText"/>
        <w:rPr/>
      </w:pPr>
      <w:r>
        <w:rPr>
          <w:rFonts w:ascii="IRNazanin" w:hAnsi="IRNazanin" w:eastAsia="IRNazanin"/>
          <w:color w:val="111111"/>
          <w:sz w:val="28"/>
          <w:sz w:val="28"/>
          <w:szCs w:val="28"/>
          <w:rtl w:val="true"/>
          <w:lang w:bidi="fa-IR"/>
        </w:rPr>
        <w:t>يافتن انواع حمايت هاى حقوق بشرى از حجاج در سرزمين وحى، هدف اصلى اين تحقيق را شكل مى دهد؛ با توجه به اين هدف، پرسش اصلى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سازوكارهاى حمايتى از حجاج در سرزمين وحى وجود دارد؟</w:t>
      </w:r>
    </w:p>
    <w:p>
      <w:pPr>
        <w:pStyle w:val="BookText"/>
        <w:rPr/>
      </w:pPr>
      <w:r>
        <w:rPr>
          <w:rFonts w:ascii="IRNazanin" w:hAnsi="IRNazanin" w:eastAsia="IRNazanin"/>
          <w:color w:val="111111"/>
          <w:sz w:val="28"/>
          <w:sz w:val="28"/>
          <w:szCs w:val="28"/>
          <w:rtl w:val="true"/>
          <w:lang w:bidi="fa-IR"/>
        </w:rPr>
        <w:t>پردازش سؤال اصلى در گرو طرح چند پرسش فرعى است، اما اساسى ترين اين پرسش 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حمايت هاى حقوق بشرى از حجاج در پرتو آموزه هاى فقهى كدام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حمايت هاى حقوق بشرى از حجاج با توجه به اسناد مختلف بين المللى حقوق بشرى در قالب نظام بين المللى حقوق بشر كدام است؟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يافتن پاسخ پرسش فرعى نخست، ضرورى است با رجوع به منابع فقهى اسلامى اعم از آنچه در فقه شيعه يا در ديگر مذاهب اسلامى آمده است، به طرح بحث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خواهد شد كه در اين راستا با استفاده از رويكرد موضوع شناسى، كه در نظام بين المللى حقوق بشر آمده است، به اين پرسش فرعى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پاسخ پرسش فرعى دوم نيز با تمركز بر اسناد مختلف حقوق بشرى كه در نظام حقوق بشرى شناسايى شده اند، درباره ابعاد گوناگون حمايتى و سازوكارهاى اجرايى بحث خواهد شد</w:t>
      </w:r>
      <w:r>
        <w:rPr>
          <w:rFonts w:eastAsia="IRNazanin" w:cs="IRNazanin"/>
          <w:color w:val="111111"/>
          <w:sz w:val="28"/>
          <w:szCs w:val="28"/>
          <w:rtl w:val="true"/>
          <w:lang w:bidi="fa-IR"/>
        </w:rPr>
        <w:t>.</w:t>
      </w:r>
      <w:bookmarkStart w:id="26" w:name="pg8931_113652"/>
    </w:p>
    <w:p>
      <w:pPr>
        <w:pStyle w:val="Heading4"/>
        <w:numPr>
          <w:ilvl w:val="3"/>
          <w:numId w:val="1"/>
        </w:numPr>
        <w:rPr/>
      </w:pPr>
      <w:bookmarkStart w:id="27" w:name="__RefHeading___Toc1313926_2870459653"/>
      <w:bookmarkStart w:id="28" w:name="_Toc10"/>
      <w:bookmarkEnd w:id="26"/>
      <w:bookmarkEnd w:id="27"/>
      <w:r>
        <w:rPr/>
        <w:t>3</w:t>
      </w:r>
      <w:r>
        <w:rPr>
          <w:rtl w:val="true"/>
        </w:rPr>
        <w:t xml:space="preserve">. </w:t>
      </w:r>
      <w:r>
        <w:rPr>
          <w:rtl w:val="true"/>
        </w:rPr>
        <w:t>فرضيه تحقيق</w:t>
      </w:r>
      <w:bookmarkEnd w:id="28"/>
    </w:p>
    <w:p>
      <w:pPr>
        <w:pStyle w:val="BookText"/>
        <w:rPr/>
      </w:pPr>
      <w:r>
        <w:rPr>
          <w:rFonts w:ascii="Amiri" w:hAnsi="Amiri" w:eastAsia="Amiri" w:cs="Amiri"/>
          <w:color w:val="111111"/>
          <w:sz w:val="28"/>
          <w:sz w:val="28"/>
          <w:szCs w:val="28"/>
          <w:rtl w:val="true"/>
          <w:lang w:bidi="ar-SA"/>
        </w:rPr>
        <w:t>به نظر مى رسد كه هم در آموزه هاى اسلامى و هم در آموزه هاى نظام بين المللى حقوق بشرى، آستانه لازم حمايتى از حجاج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ميزان حمايت مى تواند معنابخش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امن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313928_2870459653"/>
      <w:bookmarkStart w:id="30" w:name="_Toc11"/>
      <w:bookmarkEnd w:id="29"/>
      <w:r>
        <w:rPr/>
        <w:t>4</w:t>
      </w:r>
      <w:r>
        <w:rPr>
          <w:rtl w:val="true"/>
        </w:rPr>
        <w:t xml:space="preserve">. </w:t>
      </w:r>
      <w:r>
        <w:rPr>
          <w:rtl w:val="true"/>
        </w:rPr>
        <w:t>پيشينه تحقيق</w:t>
      </w:r>
      <w:bookmarkEnd w:id="30"/>
    </w:p>
    <w:p>
      <w:pPr>
        <w:pStyle w:val="BookText"/>
        <w:rPr/>
      </w:pPr>
      <w:r>
        <w:rPr>
          <w:rFonts w:ascii="IRNazanin" w:hAnsi="IRNazanin" w:eastAsia="IRNazanin"/>
          <w:color w:val="111111"/>
          <w:sz w:val="28"/>
          <w:sz w:val="28"/>
          <w:szCs w:val="28"/>
          <w:rtl w:val="true"/>
          <w:lang w:bidi="fa-IR"/>
        </w:rPr>
        <w:t>قدمت مباحث حج، احتمالاً به قدمت خود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نگاهى به كتاب ها و آثار باقى مانده در اين حوزه، اثباتگر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مطلب، اهتمام و ارزشى است كه امت هاى پيش از اسلام براى حج قائل بودند و حتى سال هاى زندگى خود را براساس تقويم حج ترسيم مى كردند؛ مانند داستان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با دختر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 اسلامى نيز همه مذاهب اسلامى با رويكرد فقهى، عرفانى و فلسفى، به تدوين كتب مختلف درباره حج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حج، كه در عصر ما تدوين شده است، نمونه جالبى از نوع تلاش هاى علمى محققان مختلف در زمينه حج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تحقيق از پيشينه موضوعى و منابع مهم و قابل ذكرى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نياز به كار فعلى را آشكار مى سازد، رويكرد و نگرش جديد است كه به جرئت بايد گفت براى نخستين بار ترسيم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كه محصول خرد جمعى و تلاش جامعه جهانى براى حمايت از انسان هاى كره خاكى در قالب اسناد مختلف حقوق بشرى، و با تمركز بر شناسايى انواع حقوق انسان ها و تبيين تكاليف مختلف دولت ها شكل گرفته، به دنبال آن است كه نوع و ميزان حمايت هاى حقوق بشرى از حجاج را، نخست در آموزه هاى فقهى، به ويژه فقه اماميه، شناسايى كند و سپس با استفاده از نظام بين المللى حقوق بشرى بحث را دنبال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رويكرد بحث فعلى تطبيقى نيست؛ اما فقدان اين رويكرد مانع نمى شود كه از تعهدات دولت عربستان در اسناد مختلف حقوق بشرى درباره افراد گردشگر و زائران بحث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w:t>
      </w:r>
      <w:bookmarkStart w:id="31" w:name="pg8931_113653"/>
    </w:p>
    <w:p>
      <w:pPr>
        <w:pStyle w:val="BookText"/>
        <w:rPr/>
      </w:pPr>
      <w:bookmarkEnd w:id="31"/>
      <w:r>
        <w:rPr>
          <w:rFonts w:ascii="IRNazanin" w:hAnsi="IRNazanin" w:eastAsia="IRNazanin"/>
          <w:color w:val="111111"/>
          <w:sz w:val="28"/>
          <w:sz w:val="28"/>
          <w:szCs w:val="28"/>
          <w:rtl w:val="true"/>
          <w:lang w:bidi="fa-IR"/>
        </w:rPr>
        <w:t>موحدى كه با تدين به شريعت پاك اسلامى در ايام خاص در سرزمين وحى به دنبال انجام دادن مناسك دينى اند، يا از اتباع عربستان اند يا از اتباع ديگر كشورها؛ اعم از كشورهاى اسلامى يا غير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اين كشورها، اسنادى را امضا و تصويب كرده اند كه آنها را به انجام دادن حمايت هاى خاص درباره شهروندان و بيگانگان متعهد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با عضويت در شوراى حقوق بشر ملل متحد و پذيرش استانداردهاى بين المللى حمايتى، يكى از اين كشورهاست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چنين نگرش جديدى به مسئله حج تا آنجا كه محقق تلاش كرده است، پيشينه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اين كار مخفى نيست؛ زيرا از سويى لازم است با تكيه بر آموزه هاى دينى از حقوق بشرى حجاج حمايت كرد، بى آنكه تحميل خاصى بر آموزه هاى اسلامى به عمل آيد و از سوى ديگر با تمركز بر اسناد گوناگون حقوق بشرى از جمله اعلاميه جهانى حقوق بشر اسلامى قاهره، نوع حمايت هاى قابل استنباط از حجاج، شناسايى شود</w:t>
      </w:r>
      <w:r>
        <w:rPr>
          <w:rFonts w:eastAsia="IRNazanin" w:cs="IRNazanin"/>
          <w:color w:val="111111"/>
          <w:sz w:val="28"/>
          <w:szCs w:val="28"/>
          <w:rtl w:val="true"/>
          <w:lang w:bidi="fa-IR"/>
        </w:rPr>
        <w:t>.</w:t>
      </w:r>
    </w:p>
    <w:p>
      <w:pPr>
        <w:pStyle w:val="Heading4"/>
        <w:numPr>
          <w:ilvl w:val="3"/>
          <w:numId w:val="1"/>
        </w:numPr>
        <w:rPr/>
      </w:pPr>
      <w:bookmarkStart w:id="32" w:name="__RefHeading___Toc1313930_2870459653"/>
      <w:bookmarkStart w:id="33" w:name="_Toc12"/>
      <w:bookmarkEnd w:id="32"/>
      <w:r>
        <w:rPr/>
        <w:t>5</w:t>
      </w:r>
      <w:r>
        <w:rPr>
          <w:rtl w:val="true"/>
        </w:rPr>
        <w:t xml:space="preserve">. </w:t>
      </w:r>
      <w:r>
        <w:rPr>
          <w:rtl w:val="true"/>
        </w:rPr>
        <w:t>نسبت حقوق بشر و آموزه هاى اسلامى</w:t>
      </w:r>
      <w:bookmarkEnd w:id="33"/>
    </w:p>
    <w:p>
      <w:pPr>
        <w:pStyle w:val="BookText"/>
        <w:rPr/>
      </w:pPr>
      <w:r>
        <w:rPr>
          <w:rFonts w:ascii="IRNazanin" w:hAnsi="IRNazanin" w:eastAsia="IRNazanin"/>
          <w:color w:val="111111"/>
          <w:sz w:val="28"/>
          <w:sz w:val="28"/>
          <w:szCs w:val="28"/>
          <w:rtl w:val="true"/>
          <w:lang w:bidi="fa-IR"/>
        </w:rPr>
        <w:t>در پاسخ به اين پرسش كه آيا گره زدن حج و حقوق بشر با يكديگر صحيح است، يا به طور كلى، آيا مقايسه اسلام و حقوق بشر درست است، تاكنون دو رويكرد حقوقى با نام رويكرد دفاعى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رويكرد تشويقى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رويكرد دفاعى سخن از آن است كه اسلام درباره حقوق بشر چه موضعى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نگرش بين حقوقدانان مسلمان و حتى فقها دو ديدگاه متفاوت شكل گرفته است؛ برخى معتقدند، اسلام نگرش مثبتى به موضوع حقوق بشر ندارد؛ زيرا حقوق بشر بر مبانى و منابع خاصى بنا شده، كه آن منابع و مبانى با آموزه هاى اسلامى در تعارض است؛ مثلاً حقوق بشر اصل را بر حق مى داند و تكليف را زاييده حق مى پندارد و اين حق در مرحله شكل گيرى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Defence</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Promote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با تكليف خاصى مواجه نيست و فقط در مقام اعمال و اجرا با سه نوع محدوديت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عمومى، اخلاق حسنه و قانون مختص جامعه اى دموكراتيك، موانع اعمال و اجراى يك حق محسوب مى شوند؛ درحالى كه اسلام اساس را بر تكليف قرار مى دهد و شكل گيرى حقوق به تبع تكليف خواهد بود كه اين مبنا هم در اصل شكل گيرى و هم در ترسيم موانع، خود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برخى معتقدند اسلام و حقوق بشر تعارضى با يكديگر ندارند؛ زيرا حقوق بشر از اصول اساسى اسلام است و اسلام در راستاى حمايت از انسان ها برپايه كرامت آنها، اين معنا را نيز پذيرفته است و اگر تفاوتى باشد، در مصاديق يا در شيوه اعمال حق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رويكرد تشويقى به دنبال اين معناست كه نحوه تعامل اين دو حوزه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آموزه هايى وجود دارد كه اسلام آنها را به حقوق بشر مى آموزد و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مى توانند در تعالى انسانى و تضمين كرامت بشرى او با تعامل و همكارى به فضاهاى مطلوب برسند؛ مثلاً رويكرد امانت گونه اسلام به انسان و هدف آفرينش او، آموزه اى است كه حقوق بشر مى تواند از آن بهره گيرد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به دنبال بررسى صحت و سقم اين ديدگاه ها نيست؛ زيرا خود بحثى مستقل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كوشيده ايم با توجه به ظرفيت موجود، هم در فقه و هم در نظام بين المللى حقوق بشر، به اين مسئله توجه شود؛ ازاين رو گاهى به آموزه هاى اسلامى در قالب حقوق بشر براى حمايت از حجاج توجه شده است و گاهى به آموزه هاى حقوق بشرى براى حمايت از انسان ها، به طور كلى، و گروه هاى خاص، به طور ويژه، توجه شده است؛ چنان كه تلاش شده، رويكرد اسلام به حقوق بشر در حوزه حج و رويكرد حقوق بشر به حج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اصلى اين تحقيق يافتن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ديدن تفصيل اين مباحث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نسل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جوسن مورگان فستر، مجله حقوق بشر دانشگاه يالى، شماره هشت</w:t>
      </w:r>
      <w:r>
        <w:rPr>
          <w:rFonts w:eastAsia="IRNazanin" w:cs="IRNazanin"/>
          <w:color w:val="111111"/>
          <w:sz w:val="28"/>
          <w:szCs w:val="28"/>
          <w:rtl w:val="true"/>
          <w:lang w:bidi="fa-IR"/>
        </w:rPr>
        <w:t>.</w:t>
      </w:r>
      <w:bookmarkStart w:id="34" w:name="pg8931_113655"/>
    </w:p>
    <w:p>
      <w:pPr>
        <w:pStyle w:val="BookText"/>
        <w:rPr/>
      </w:pPr>
      <w:bookmarkEnd w:id="34"/>
      <w:r>
        <w:rPr>
          <w:rFonts w:ascii="IRNazanin" w:hAnsi="IRNazanin" w:eastAsia="IRNazanin"/>
          <w:color w:val="111111"/>
          <w:sz w:val="28"/>
          <w:sz w:val="28"/>
          <w:szCs w:val="28"/>
          <w:rtl w:val="true"/>
          <w:lang w:bidi="fa-IR"/>
        </w:rPr>
        <w:t>راه هاى حقوقى براى حمايت از حجاج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اين مسير، حقوق بشر با محوريت حق در معناى حق داشتن حركت كرده، ولى در آموزه هاى اسلامى حق در معناى حق داشتن و حق در معناى حق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گاهى شاهد اختلاف، هم در اصل حق بودن و هم در شيوه اعمال و اجراى حق، هستيم و چون هدف اين تحقيق حمايت از حجاج با توجه به آموزه هاى شرع است، به سراغ محورهايى رفته ايم كه با داده هاى دينى اسلام در تعارض نباشد</w:t>
      </w:r>
      <w:r>
        <w:rPr>
          <w:rFonts w:eastAsia="IRNazanin" w:cs="IRNazanin"/>
          <w:color w:val="111111"/>
          <w:sz w:val="28"/>
          <w:szCs w:val="28"/>
          <w:rtl w:val="true"/>
          <w:lang w:bidi="fa-IR"/>
        </w:rPr>
        <w:t>.</w:t>
      </w:r>
    </w:p>
    <w:p>
      <w:pPr>
        <w:pStyle w:val="Heading4"/>
        <w:numPr>
          <w:ilvl w:val="3"/>
          <w:numId w:val="1"/>
        </w:numPr>
        <w:rPr/>
      </w:pPr>
      <w:bookmarkStart w:id="35" w:name="__RefHeading___Toc1313932_2870459653"/>
      <w:bookmarkStart w:id="36" w:name="_Toc13"/>
      <w:bookmarkEnd w:id="35"/>
      <w:r>
        <w:rPr/>
        <w:t>6</w:t>
      </w:r>
      <w:r>
        <w:rPr>
          <w:rtl w:val="true"/>
        </w:rPr>
        <w:t xml:space="preserve">. </w:t>
      </w:r>
      <w:r>
        <w:rPr>
          <w:rtl w:val="true"/>
        </w:rPr>
        <w:t>چارچوب نظرى بحث</w:t>
      </w:r>
      <w:bookmarkEnd w:id="36"/>
    </w:p>
    <w:p>
      <w:pPr>
        <w:pStyle w:val="BookText"/>
        <w:rPr/>
      </w:pPr>
      <w:r>
        <w:rPr>
          <w:rFonts w:ascii="IRNazanin" w:hAnsi="IRNazanin" w:eastAsia="IRNazanin"/>
          <w:color w:val="111111"/>
          <w:sz w:val="28"/>
          <w:sz w:val="28"/>
          <w:szCs w:val="28"/>
          <w:rtl w:val="true"/>
          <w:lang w:bidi="fa-IR"/>
        </w:rPr>
        <w:t>موضوع حج و حقوق بشر با نگرش به ابعاد حمايتى از حجاج به دنبال شناسايى حوزه هاى حمايتى از حجاج بيت الله الحرام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حمايت از حجاج در سرزمين وحى و محل امن الهى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و حتى قبل از آن راه ها و روش هاى مختلفى براى حمايت وجود داشته است، اما با گذشت آن دوران و شكوفايى عصر ارتباطات و تعاملات كشورها با يكديگر و پيدا شدن ادبياتى كه همه كشورهاى جهان به گونه هاى مختلفى آن را پذيرفته اند، فرصت جديدى براى حمايت از حجاج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حقوق بشرى كه امروزه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بين المللى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با هدف حمايت شرافتمندانه از آحاد بشر محقق شده، كه فرصت حمايت از حجاج را فراهم آورده است و حقيقت اين است كه كشورهاى اسلامى در حال پرداخت هزينه هاى بين المللى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وضعيت روابط بين المللى با گسترش انواع و اقسام نهادهاى حقوق بشرى، از كشورها از جمله كشورهاى اسلامى در راستاى وضعيت حقوق بشر مطالبات بسيارى دارد كه كشورها نيز كم وبيش خود را ملزم به آنها مى دانند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اين گفتمان جديد، كه كشورهاى مختلف جهان با تكيه بر وجدان جمعى بشر و لحاظ حمايت هاى لازم از انسان ها آن را پذيرفته اند، به دنبال رسيدن به حداكثر استانداردهاى بين المللى براى حمايت از افراد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معايب و محاسن اين گفتمان</w:t>
      </w:r>
    </w:p>
    <w:p>
      <w:pPr>
        <w:pStyle w:val="BookText"/>
        <w:rPr/>
      </w:pPr>
      <w:r>
        <w:rPr>
          <w:rFonts w:ascii="IRNazanin" w:hAnsi="IRNazanin" w:eastAsia="IRNazanin"/>
          <w:color w:val="111111"/>
          <w:sz w:val="28"/>
          <w:sz w:val="28"/>
          <w:szCs w:val="28"/>
          <w:rtl w:val="true"/>
          <w:lang w:bidi="fa-IR"/>
        </w:rPr>
        <w:t>جديد خود بحث مستقلى را مى طلبد؛ اما آنچه در اين نوشتار دنبال خواهد شد، زمينه و فرصت هاى حمايتى از حجاج به ويژه حجاج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منظور ضرورى است كه چارچوب نظرى بحث در دو قسمت مدنظر قرار گيرد؛ از سويى با رجوع به آموزه هاى فقهى نوع و ميزان حمايت از حجاج در قالب گفتمان جديد حقوق بشرى به دست آيد كه در اين خصوص تلاش نگارنده آن است كه آموزه هاى فقهى را به دو دسته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آن است كه خداوند در مواردى اين حمايت را به صورت مستقيم در قالب وضع احكام حمايتى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حرم امن با لازمه هاى خاص خودش و مناسك ويژه، اقدام خاص حمايتى حضرت حق تعالى است؛ از سوى ديگر وضع مجازات هاى مختلف براى ناقضان اين حدود، رويكرد ديگر حمايتى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ديگر تعهدات بارشده بر حاكم جامعه اسلامى و اميرالحاج كه شارع مقدس آنها را بيان كرده، حاكى از حمايت هاى خداوند به صورت غيرمستقيم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سازوكارهاى حمايتى از حجاج با تكيه بر آموزه هاى اسلامى محور بعدى تلاش محقق را شكل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نظرى اين رويكرد آن است كه آموزه هاى اسلامى ابعاد حمايتى ويژه اى را براى حجاج لحاظ كرده اند؛ به گونه اى كه مى توان گفت رويكرد بسيارى، بلكه همه احكام اسلامى، رويكرد حمايتى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آموزه ها با رويكرد حمايتى، نقش مؤثرى در ترسيم حقوق حمايتى حجاج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بحث حمايت از حجاج در قالب گفتمان حقوق بشرى دنبال مى شود، ضرورى است تعهدات دولت ها، از جمله دولت عربستان، كه در قالب اسناد، عرف و رويه هاى قضايى شكل گرفته، بررسى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مختلف حمايتى از افراد بشر در قالب شهروند، بيگانه، اقليت ها، زنان، و كودكان با استفاده از ادبيات حقوق بشرى نسل اول، دوم و سوم در منابع پيش گفته بيان شده است؛ درنتيجه ضرورى است كه از اين زاويه به بحث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به صورت تكميلى حوزه هاى مختلف حمايتى و سازوكارهاى موجود و قابل طراحى براى حمايت، بحث و بررسى مى شود</w:t>
      </w:r>
      <w:r>
        <w:rPr>
          <w:rFonts w:eastAsia="IRNazanin" w:cs="IRNazanin"/>
          <w:color w:val="111111"/>
          <w:sz w:val="28"/>
          <w:szCs w:val="28"/>
          <w:rtl w:val="true"/>
          <w:lang w:bidi="fa-IR"/>
        </w:rPr>
        <w:t>.</w:t>
      </w:r>
      <w:bookmarkStart w:id="37" w:name="pg8931_113657"/>
    </w:p>
    <w:p>
      <w:pPr>
        <w:pStyle w:val="Heading4"/>
        <w:numPr>
          <w:ilvl w:val="3"/>
          <w:numId w:val="1"/>
        </w:numPr>
        <w:rPr/>
      </w:pPr>
      <w:bookmarkStart w:id="38" w:name="__RefHeading___Toc1313934_2870459653"/>
      <w:bookmarkStart w:id="39" w:name="_Toc14"/>
      <w:bookmarkEnd w:id="37"/>
      <w:bookmarkEnd w:id="38"/>
      <w:r>
        <w:rPr/>
        <w:t>7</w:t>
      </w:r>
      <w:r>
        <w:rPr>
          <w:rtl w:val="true"/>
        </w:rPr>
        <w:t xml:space="preserve">. </w:t>
      </w:r>
      <w:r>
        <w:rPr>
          <w:rtl w:val="true"/>
        </w:rPr>
        <w:t>جايگاه حج</w:t>
      </w:r>
      <w:bookmarkEnd w:id="39"/>
    </w:p>
    <w:p>
      <w:pPr>
        <w:pStyle w:val="BookText"/>
        <w:rPr/>
      </w:pPr>
      <w:r>
        <w:rPr>
          <w:rFonts w:ascii="IRNazanin" w:hAnsi="IRNazanin" w:eastAsia="IRNazanin"/>
          <w:color w:val="111111"/>
          <w:sz w:val="28"/>
          <w:sz w:val="28"/>
          <w:szCs w:val="28"/>
          <w:rtl w:val="true"/>
          <w:lang w:bidi="fa-IR"/>
        </w:rPr>
        <w:t>حرمين شريفين و مناسك بزرگ الهى حج، در آموزه هاى اسلامى از جايگاه ويژه اى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اماكن شريفه را در ايجاد مدنيت و تمدن اسلامى، كه نقشى كم نظير است، بايد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آباد و آخرت نيكو در پرتو توجه و تكريم اين دو مكان عظيم است، و هر فرد مسلمان وظيفه دارد كه ضمن شناخت عظمت حرمين، مناسك و آداب و وظايف شرعى اش را انجام دهد كه عمل به اين شعائر دينى چيزى جز تعظيم حرم امن الهى و حرم باعظمت نبوى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هم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در سنت قطعى نبوى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چنين وظيفه اى در گرو بهره مندى از شرايطى است كه بدون آن شرايط، عملاً نمى توان عبادت مطلوب و مورد رضايت خداوند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طواف، قيام، ركوع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هدف اين تكاليف كه همان هدايت جهانيان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منوط به وجود فرصت هايى است كه حجاج بتوانند در پرتو آن موقعيت ها رسالت خليفة اللهى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معانى در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تبيين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 آوردن مناسك حج با اين نگرش بدون تعليم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سرانجام روشنى ندارد و مصداق عمل بدون شناخت خواهد بود كه مصداق عمل جاهليت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شَعٰائِرَ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آن فردى كه به معناى حقيقى كلمه شعائر الهى را تعظيم خواهد كرد،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ممنوعيت جدال، فسوق و رفث در حج و همين طور ممنوعيت صيد در حال احرام، حاكى از شكل گيرى فضايى است كه حاجى بتواند به وظيفه خود عمل كند؛ از سوى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فروع كافى، شيخ كلينى،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شيخ كلينى،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الدعائم، ابوحيون لقمان بن محمد،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اشاره به وظيفه امام الحاج در سيردادن زوار به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و برآوردن احتياج آنها، بُعد ديگر اين جايگاه عظيم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را بايد مائده اى آسمانى دانست؛ آن هم سفره اى عظيم با ابعاد مختلف اجتماعى، عبادى و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ساله اين سفره و خوان الهى، حجاج را به سوى خود دعوت مى كند؛ اين دعوت از سراسر عالم است و حاكى از افق هاى بلند طراحى شده در اين سفر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عظيم و بى بديل اين فريضه الهى در فرهنگ سازى امت اسلامى، بيانگر اهميت كنگره الهى حج در شكل دهى و تحقق بخشى به حقيقت امت واحده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وارده از 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الفاظ و ادبيات مختلف بر عظمت و اهميت حج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مكرر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حراست و حفاظت مادى و معنوى از حرم امن الهى، بعد ديگرى از اهميت حج و حرم مكه و مدينه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عظمت جاى تعجب ندارد؛ زيرا دنياى مبارك مسلمانان با آموزه هاى حج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هر اندازه كه به اين حقيقت توجه، و بر آن تأكيد كرده اند، به همان اندازه نيز عظمت و رشد و توسعه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حج در تربيت انسان هاى موحدِ مسلمان و تربيت جامعه اسلامى با روحيه تعاون و همدلى و همراهى مسلمانان، مؤيدى بر جايگاه رفيع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خداوند به پيامبر بزرگش، ابراهيم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بازسازى و احياى اين مكان و زحمات طاقت فرساى او براى انجام دادن دستور الهى و پذيرش ناملايمات خانوادگى از رهگذر رهاكردن زن و فرزندش در آن سرزمين بى آب و علف و لم يزرع، نگاه خداوند عالميان را به جايگاه اين مكان نشان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كعبه را نخستين خانه اى مى داند كه دو ويژگى منحصر به فرد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الشرعيه فى فقه الاماميه، محمد 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سويى اين خانه كه از سازنده آن از باب عظمت و بزرگى معمارش، نام برده نشده، خانه مباركى دانسته شده است، و از سوى ديگر آن را سبب هدايت دانسته است و درواقع هدايت به خود خانه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نقش آفرينى كعبه و اهميت آن در تمدن اسلامى و ايجاد امت واحده اسلامى، آيه و يا شاخصه اى غير از آيه پيش گفته نبود، بازهم براى نشان دادن همه حقيقت كعبه كافى بود؛ چه رسد به ده ها و بلكه صدها آيه و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هدايتگرى از اوصاف ويژه انبياى الهى است، اما اين ويژگى به كعبه نيز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مكانى با احكام و ويژگى هاى مناسكى خود، عامل مهمى در تربيت انسان هاى موحد مى باشد و مايه هدايت آنهاست؛ زيرا با فطرت توحيدى انسان ها عجين است و فطرت پاك انسان ها طالب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همراهى و همخوانى فطرت و كعبه، و گرايش روحى و روانى برخاسته از فطرت انسان در تمايل به سوى خانه امن و حرم پاك الهى، عامل هدايت و روشنايى بخشى است و از سوى ديگر نيز مايه خير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اين خير و بركت همان هدايتگرى آن است يا به عبارت بهتر، اين خانه، خانه مباركى است؛ زيرا هدايتگر انسان ها به سوى توحيد و دورى از شرك است؛ ازاين رو پيوند خوردن بيت الله و عدم شرك با يكديگر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فهميدنى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خداوند مكان خانه را كه در طوفان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 شده بود،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نشان دادن مكان بيت الله نيز محل بحث و گفت وگوست، اما آنچه در اين آيه مهم است گره خوردن چهار عمل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كردن، قائم بودن، ركوع كردن و سجده نمودن، چهار عملى است كه در اين آيه با يكديگر تركيب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چهار عمل، زدودن شرك و دور شدن از شرك است؛ زيرا ايمان را بايد در استفاده از اين فضاهاى معنوى و خالص ديد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حج كه با لفظ عام به كار رفته است، و همه منافع مادى و معنوى، دنيوى و اخروى را پوشش مى دهد، ضمن آنكه اهميت حج را نشان مى دهد، فلسفه وجودى اين</w:t>
      </w:r>
      <w:bookmarkStart w:id="40" w:name="pg8931_113660"/>
    </w:p>
    <w:p>
      <w:pPr>
        <w:pStyle w:val="BookText"/>
        <w:rPr/>
      </w:pPr>
      <w:bookmarkEnd w:id="40"/>
      <w:r>
        <w:rPr>
          <w:rFonts w:ascii="Amiri" w:hAnsi="Amiri" w:eastAsia="Amiri" w:cs="Amiri"/>
          <w:color w:val="111111"/>
          <w:sz w:val="28"/>
          <w:sz w:val="28"/>
          <w:szCs w:val="28"/>
          <w:rtl w:val="true"/>
          <w:lang w:bidi="ar-SA"/>
        </w:rPr>
        <w:t>اعمال را نيز نمايان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نهايت تأكيد برحج گزاردن و حركت كردن به سوى حج چه به صورت پياده، و چه به صورت سواره و آماده كردن و پاك و پاكيزه كردن اين خانه براى حجاج، آن هم توسط بهترين انسان ها، مهر تأكيدى است بر آنچه درخصوص نقش و جايگاه حج گذشت</w:t>
      </w:r>
      <w:r>
        <w:rPr>
          <w:rFonts w:eastAsia="IRNazanin" w:cs="IRNazanin"/>
          <w:color w:val="111111"/>
          <w:sz w:val="28"/>
          <w:szCs w:val="28"/>
          <w:rtl w:val="true"/>
          <w:lang w:bidi="fa-IR"/>
        </w:rPr>
        <w:t>.</w:t>
      </w:r>
    </w:p>
    <w:p>
      <w:pPr>
        <w:pStyle w:val="Heading3"/>
        <w:numPr>
          <w:ilvl w:val="2"/>
          <w:numId w:val="1"/>
        </w:numPr>
        <w:rPr/>
      </w:pPr>
      <w:bookmarkStart w:id="41" w:name="__RefHeading___Toc1313936_2870459653"/>
      <w:bookmarkStart w:id="42" w:name="_Toc15"/>
      <w:bookmarkEnd w:id="41"/>
      <w:r>
        <w:rPr>
          <w:rtl w:val="true"/>
        </w:rPr>
        <w:t>گفتار دوم</w:t>
      </w:r>
      <w:r>
        <w:rPr>
          <w:rtl w:val="true"/>
        </w:rPr>
        <w:t xml:space="preserve">: </w:t>
      </w:r>
      <w:r>
        <w:rPr>
          <w:rtl w:val="true"/>
        </w:rPr>
        <w:t>مفاهيم</w:t>
      </w:r>
      <w:bookmarkEnd w:id="42"/>
    </w:p>
    <w:p>
      <w:pPr>
        <w:pStyle w:val="Heading4"/>
        <w:numPr>
          <w:ilvl w:val="3"/>
          <w:numId w:val="1"/>
        </w:numPr>
        <w:rPr/>
      </w:pPr>
      <w:bookmarkStart w:id="43" w:name="__RefHeading___Toc1313938_2870459653"/>
      <w:bookmarkStart w:id="44" w:name="_Toc16"/>
      <w:bookmarkEnd w:id="43"/>
      <w:r>
        <w:rPr/>
        <w:t>1</w:t>
      </w:r>
      <w:r>
        <w:rPr>
          <w:rtl w:val="true"/>
        </w:rPr>
        <w:t xml:space="preserve">. </w:t>
      </w:r>
      <w:r>
        <w:rPr>
          <w:rtl w:val="true"/>
        </w:rPr>
        <w:t>حمايت</w:t>
      </w:r>
      <w:bookmarkEnd w:id="44"/>
    </w:p>
    <w:p>
      <w:pPr>
        <w:pStyle w:val="BookText"/>
        <w:rPr/>
      </w:pPr>
      <w:r>
        <w:rPr>
          <w:rFonts w:ascii="IRNazanin" w:hAnsi="IRNazanin" w:eastAsia="IRNazanin"/>
          <w:color w:val="111111"/>
          <w:sz w:val="28"/>
          <w:sz w:val="28"/>
          <w:szCs w:val="28"/>
          <w:rtl w:val="true"/>
          <w:lang w:bidi="fa-IR"/>
        </w:rPr>
        <w:t>واژه حمايت بيانگر اقدامات مختلفى است كه درخصوص يك شيء، يا يك شخص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ابعاد مختلفى دارد و در اين بحث حمايت حجاج در چند مرحله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وضع قوانين مناسب و حمايتى در كشورها اعم از كشور ميزبان، يا كشور اعزام كننده ضرورى است و اين خود مرحله اى اساسى در انجام دادن حمايت از حجاج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شناسايى انواع حقوق مطرح شده در اسناد بين المللى حقوق بشرى با لحاظ موازين فقهى و شرعى فارغ از فقه خاص،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برداشتن موانعى است كه افراد در اعمال حقشان با آن مواجه اند؛ اين موانع ابعاد مختلفى دارد و در مراحل چندى خود را نشان مى دهد كه در همه اين موارد، مقابله با آنها گامى حمايتى است؛ از سوى ديگر چنانچه فردى اين حقوق را نقض كند، حمايت از حاجى اقتضا مى كند كه با آن فرد خاطى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وضع انواع مجازات هاى مناسب براى ناقضان حقوق حجاج ضرورى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اقدام ايجابى و سلبى را در بر مى گيرد كه براى به جا آوردن حج لازم و ضرورى است و هر دو كشور ميزبان و اعزام كننده بايد درباره آن اقدام لازم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موانع موجود، مقابله با موانع به وجود آمده و درنهايت تعقيب و مجازات، مهم ترين ابزارهاى حمايتى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سازوكارهاى لازم حمايتى بعد ديگر حمايت را شكل مى دهد</w:t>
      </w:r>
      <w:r>
        <w:rPr>
          <w:rFonts w:eastAsia="IRNazanin" w:cs="IRNazanin"/>
          <w:color w:val="111111"/>
          <w:sz w:val="28"/>
          <w:szCs w:val="28"/>
          <w:rtl w:val="true"/>
          <w:lang w:bidi="fa-IR"/>
        </w:rPr>
        <w:t>.</w:t>
      </w:r>
      <w:bookmarkStart w:id="45" w:name="pg8931_113661"/>
    </w:p>
    <w:p>
      <w:pPr>
        <w:pStyle w:val="Heading4"/>
        <w:numPr>
          <w:ilvl w:val="3"/>
          <w:numId w:val="1"/>
        </w:numPr>
        <w:rPr/>
      </w:pPr>
      <w:bookmarkStart w:id="46" w:name="__RefHeading___Toc1313940_2870459653"/>
      <w:bookmarkStart w:id="47" w:name="_Toc17"/>
      <w:bookmarkEnd w:id="45"/>
      <w:bookmarkEnd w:id="46"/>
      <w:r>
        <w:rPr/>
        <w:t>2</w:t>
      </w:r>
      <w:r>
        <w:rPr>
          <w:rtl w:val="true"/>
        </w:rPr>
        <w:t xml:space="preserve">. </w:t>
      </w:r>
      <w:r>
        <w:rPr>
          <w:rtl w:val="true"/>
        </w:rPr>
        <w:t>حقوق بشر</w:t>
      </w:r>
      <w:bookmarkEnd w:id="47"/>
    </w:p>
    <w:p>
      <w:pPr>
        <w:pStyle w:val="BookText"/>
        <w:rPr/>
      </w:pPr>
      <w:r>
        <w:rPr>
          <w:rFonts w:ascii="IRNazanin" w:hAnsi="IRNazanin" w:eastAsia="IRNazanin"/>
          <w:color w:val="111111"/>
          <w:sz w:val="28"/>
          <w:sz w:val="28"/>
          <w:szCs w:val="28"/>
          <w:rtl w:val="true"/>
          <w:lang w:bidi="fa-IR"/>
        </w:rPr>
        <w:t>حقوق بشر، مجموعه امتيازات، اولويت ها، فرصت ها، و سلطه هايى است كه يك فرد نسبت به ديگرى در راستاى يك زندگى شرافتمندانه و با كرامت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در راستاى تضمين كرامت انسانى و جلوگيرى از رفتارهاى غيرانسانى، خشن و تحقيركننده شناسايى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حقوق در سه سطح دسته بندى شده اند؛ برخى از اين حقوق با عنوان حقوق بنيادين سياسى و مدنى به تصويب كشورها رسيده است كه بيشتر آنها در ميثاق بين المللى حقوق مدنى و سياسى مصوب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تصويب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و اولويت اين حقوق، مدنى و سياسى است و بيانگر نگرش كشورهاى غربى مى باشد؛ هم زمان در همان سال ميثاق بين المللى حقوق اقتصادى، اجتماعى و فرهنگى به تصويب رسيد كه به حقوق نسل دوم معروف شده و محصول تلاش كشورهاى شرقى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دسته، طرف حق مردم اند و طرف تكليف دولت ها؛ ازاين رو دولت ها در شناسايى و اجراى اين حقوق درباره شهروندانشان، و در مرحله بعد درباره ديگر اتباع، متعهدند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اين تقدم و تأخر، زمانى و حتى رتبى نيز نيست، بلكه بيانگر دو نوع تعهد به نوع انسان ها از نظر حقوقى است كه درواقع تعهدى است نسبت به جامعه جهانى در مقام يك كل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نسل سوم كه اخيراً خود را نشان داده، حقوقى است با رويكرد همبستگى؛ اين حقوق با داشتن مصاديق مختلف، به دنبال تحقق همبستگى در جامعه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همبستگى با شناسايى حقوق و تكاليف براى همگان امكان پذير شده است و به سبب همين ويژگى، حقوق نسل سوم از ديگر حقوق متمايز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اين حقوق مكلف فقط دولت نيست، بلكه همگان از وجود اين حقوق منتفع يا متضرر مى شوند و ضرر و خسارت حاصله از نقض اين حقوق فقط به فرد يا گروه خاصى بر نمى گردد؛ مثلاً حق محيط زيست، حقى است در راستاى همبستگى با لحاظ منفعت جمعى كه نقض آن باعث ضرر و زيان همگان مى شود</w:t>
      </w:r>
      <w:r>
        <w:rPr>
          <w:rFonts w:eastAsia="IRNazanin" w:cs="IRNazanin"/>
          <w:color w:val="111111"/>
          <w:sz w:val="28"/>
          <w:szCs w:val="28"/>
          <w:rtl w:val="true"/>
          <w:lang w:bidi="fa-IR"/>
        </w:rPr>
        <w:t>.</w:t>
      </w:r>
      <w:bookmarkStart w:id="48" w:name="pg8931_113662"/>
    </w:p>
    <w:p>
      <w:pPr>
        <w:pStyle w:val="Heading4"/>
        <w:numPr>
          <w:ilvl w:val="3"/>
          <w:numId w:val="1"/>
        </w:numPr>
        <w:rPr/>
      </w:pPr>
      <w:bookmarkStart w:id="49" w:name="__RefHeading___Toc1313942_2870459653"/>
      <w:bookmarkStart w:id="50" w:name="_Toc18"/>
      <w:bookmarkEnd w:id="48"/>
      <w:bookmarkEnd w:id="49"/>
      <w:r>
        <w:rPr/>
        <w:t>3</w:t>
      </w:r>
      <w:r>
        <w:rPr>
          <w:rtl w:val="true"/>
        </w:rPr>
        <w:t xml:space="preserve">. </w:t>
      </w:r>
      <w:r>
        <w:rPr>
          <w:rtl w:val="true"/>
        </w:rPr>
        <w:t>اسناد بين المللى</w:t>
      </w:r>
      <w:bookmarkEnd w:id="50"/>
    </w:p>
    <w:p>
      <w:pPr>
        <w:pStyle w:val="BookText"/>
        <w:rPr/>
      </w:pPr>
      <w:r>
        <w:rPr>
          <w:rFonts w:ascii="IRNazanin" w:hAnsi="IRNazanin" w:eastAsia="IRNazanin"/>
          <w:color w:val="111111"/>
          <w:sz w:val="28"/>
          <w:sz w:val="28"/>
          <w:szCs w:val="28"/>
          <w:rtl w:val="true"/>
          <w:lang w:bidi="fa-IR"/>
        </w:rPr>
        <w:t>منظور از اسناد بين المللى اسنادى اند كه مى توان آنها را در قالب نظام بين المللى حقوق بشر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شكل دهنده يك نظام حقوقى بين المللى در زمينه حقوق بشرند و بيانگر انواع حقوق بشرى هستند كه كشورها در قالب يك تعهد جهانى آن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اسناد بسيار است؛ ولى آنچه به طور مستقيم به بحث ما مربوط مى شود،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است كه ويژگى آنها الزام آورى شان است كه در برخى از موارد نيز حالت آمره پيدا كرده اند كه حق حيات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اين اسناد و رعايت نكردن مفاد آنها، براى دولت هاى امضاكننده، مسئوليت بين المللى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تعهدات مندرج در اين اسناد به اقدامات متعددى نياز دارد كه بايد در مراجع داخلى از جمله تقنينى و اجرايى و قضايى،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فرايند تصويب اين اسناد يكى از عواملى است كه ويژگى جهانى بودن 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جداى از ماهيت و محتواى اين اسناد است كه با لحاظ شناسايى حقوق بنيادين بشر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 اين اسناد را در مسيرى نسبتاً طولانى پذيرفته اند كه از تهيه متن اوليه، تشكيل كنفرانس جهانى، طرح ديدگاه هاى مختلف، امضاى اوليه و درنهايت تصويب در مجالس قانون گذارى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برخى از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كنفرانس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سانفرانسيسكو كه در جريان آن سازمان ملل ايجاد شد، حدود چهل سازمان غيردولتى به نمايندگى از زنان، اتحاديه هاى صنفى و كارگرى، سازمان هاى قومى و گروه هاى مذهبى با نمايندگان دولت ها كه بيشتر از كشورهاى كوچك بودند، متحد شدند و براى استفاده از زبانى صريح تر و دقيق تر، درباره حقوق بشر فشار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آنها منجر به گنجاندن مفادى درباره رعايت و اجراى حقوق بشر در منشور ملل متحد شد و اساس قانون گذارى بين المللى دوره پس از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به وجود آورد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اين تلاش ها كه در مقدمه منشور ملل متحد و ماده يك اساسنامه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اداره اطلاعات همگانى سازمان ملل متحد در دنياى امروز، ص </w:t>
      </w:r>
      <w:r>
        <w:rPr>
          <w:rFonts w:eastAsia="IRNazanin" w:cs="IRNazanin"/>
          <w:color w:val="111111"/>
          <w:sz w:val="28"/>
          <w:szCs w:val="28"/>
          <w:lang w:bidi="fa-IR"/>
        </w:rPr>
        <w:t>228</w:t>
      </w:r>
      <w:r>
        <w:rPr>
          <w:rFonts w:eastAsia="IRNazanin" w:cs="IRNazanin"/>
          <w:color w:val="111111"/>
          <w:sz w:val="28"/>
          <w:szCs w:val="28"/>
          <w:rtl w:val="true"/>
          <w:lang w:bidi="fa-IR"/>
        </w:rPr>
        <w:t>.</w:t>
      </w:r>
      <w:bookmarkStart w:id="51" w:name="pg8931_113663"/>
    </w:p>
    <w:p>
      <w:pPr>
        <w:pStyle w:val="BookText"/>
        <w:rPr/>
      </w:pPr>
      <w:bookmarkEnd w:id="51"/>
      <w:r>
        <w:rPr>
          <w:rFonts w:ascii="IRNazanin" w:hAnsi="IRNazanin" w:eastAsia="IRNazanin"/>
          <w:color w:val="111111"/>
          <w:sz w:val="28"/>
          <w:sz w:val="28"/>
          <w:szCs w:val="28"/>
          <w:rtl w:val="true"/>
          <w:lang w:bidi="fa-IR"/>
        </w:rPr>
        <w:t>نمودار شد، در اسناد بعدى استمرار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متحد چهار وظيفه اصلى را در ماده يك اساسنامه اش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حقوق بشر و آزادى هاى اساسى، از مهم ترين اين وظايف دانسته شده است، بنابراين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شاهد تصويب سند ديگر بين المللى، كه خود كاربست ساير اسناد بين المللى شد، هستيم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2" w:name="__RefHeading___Toc1313944_2870459653"/>
      <w:bookmarkStart w:id="53" w:name="_Toc19"/>
      <w:bookmarkEnd w:id="52"/>
      <w:r>
        <w:rPr/>
        <w:t>4</w:t>
      </w:r>
      <w:r>
        <w:rPr>
          <w:rtl w:val="true"/>
        </w:rPr>
        <w:t xml:space="preserve">. </w:t>
      </w:r>
      <w:r>
        <w:rPr>
          <w:rtl w:val="true"/>
        </w:rPr>
        <w:t>كرامت انسانى</w:t>
      </w:r>
      <w:bookmarkEnd w:id="53"/>
    </w:p>
    <w:p>
      <w:pPr>
        <w:pStyle w:val="BookText"/>
        <w:rPr/>
      </w:pPr>
      <w:r>
        <w:rPr>
          <w:rFonts w:ascii="IRNazanin" w:hAnsi="IRNazanin" w:eastAsia="IRNazanin"/>
          <w:color w:val="111111"/>
          <w:sz w:val="28"/>
          <w:sz w:val="28"/>
          <w:szCs w:val="28"/>
          <w:rtl w:val="true"/>
          <w:lang w:bidi="fa-IR"/>
        </w:rPr>
        <w:t>اساس همه حقوق بشرى در كرامت انسان ها تعريف شده، و هدف همه اسناد نيز عملى كردن اين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كرامت انسانى را بايد هم مبنا و هم هدف اسناد بين المللى حقوق بشرى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متعددى كرامت انسانى را تهديد كرده اند و درنتيجه ضرورى مى نمايد كه اقدامات مناسبى براى حمايت از كرامت انسانى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عواملى مثل فقر، فقدان آموزش و بهداشت، ناتوانى، نابرابرى هاى مختلف، مواد مخدر، جرم، تروريسم و آلودگى محيطى، از اساسى ترين اين تهديدات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زنان، كودكان، اقليت ها، بيگانگان، مردمان بومى، اشخاص معلول و كارگران مهاجر، در كنار شهروندان يك دولت نيز زمينه هاى تحقق بخشى به كرامت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را مى توان برخورداربودن از زندگى شرافتمندانه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لازمه تمدن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 از احساس امنيت، سربلندى و عزت نفس در يك</w:t>
      </w:r>
    </w:p>
    <w:p>
      <w:pPr>
        <w:pStyle w:val="BookText"/>
        <w:rPr/>
      </w:pPr>
      <w:r>
        <w:rPr>
          <w:rFonts w:ascii="Amiri" w:hAnsi="Amiri" w:eastAsia="Amiri" w:cs="Amiri"/>
          <w:color w:val="111111"/>
          <w:sz w:val="28"/>
          <w:sz w:val="28"/>
          <w:szCs w:val="28"/>
          <w:rtl w:val="true"/>
          <w:lang w:bidi="ar-SA"/>
        </w:rPr>
        <w:t>جامعه از مصاديق كرامت انسانى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كرامت انسانى را بايد حالتى دانست كه شهروندان با برخورداربودن از آن مى توانند زيست مسالمت آميز داشته باشند و آستانه تحمل خود را افزايش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كاربردى بودن اين واژه و اهميت و نقش آفرينى اساسى آن در ترسيم حقوق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اداره اطلاعات همگانى سازمان ملل متحد در دنياى امروز،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سويى، و از سوى ديگر به دليل وجود تعارضات مختلفى كه درخصوص معناى اين واژه در بين انديشمندان وجود دارد، ضرورى است كمى در اين رابطه تأمل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اين نكته يادآور مى شود كه واژه كرامت به صورت صريح در سوره اسراء آيه هفتاد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بيانگر حقيقتى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كرامت بخشيد و آنها را در خشكى و دريا به حركت درآورد و از طيبات به آنها روزى، و درنهايت او را بر بسيارى از مخلوقات برترى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مباحث كرامت در بين انديشمندان مسلمان براساس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درتفسير گران سنگ خويش ذيل اين آيه نكاتى را بيان كرده اند كه مطلوب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بيان كرده اند كه اين آيه مقرون به امتنان همراه با عتاب و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درصدد متنبه كردن انسان ها به سبب فراموشى همه نعمت هاى الهى و رخ داد چنين وضعى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يادآورى كرامت انسانى و اينكه او چنين جايگاه ويژه اى دارد و از سوى ديگر با انواع و اقسام نعمت ها و روزى هاى الهى متنعم گشته است، اين خطاب را بيان مى كند كه چرا انسان دچار فراموشى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براى توضيح معناى كرامت فرموده اند كرامت، اختصاص دادن فردى به چيزى به صورت اختصاصى آن هم با عنايت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تفاوت كرامت و فضل در آيه شريفه آن است كه در معناى فضل اشتراك در معنا وجود دارد، به گونه اى كه غيرانسان نيز از آن صفت برخوردار است؛ درحالى كه كرامت حالت اختصاصى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اختصاصى انسان، چيزى جز عقل و خرد و انديشه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 گويد كه ساير احتمالات درباره معناى كرامت را بايد از مصاديق اين معنا دانست؛ مثلاً، مستوى القامه بودن، برخوردارى از صورت نيكو، مخلوق الهى بودن، پيامبر شدن او و تسلط انسان بر ساير موجودات، همگى يا ناشى از عقل و يا نتيجه بهره مندى از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سيد محمد حسين طباطبايى،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 انسان در نوشتن، حرف زدن و به سلطه درآوردن ديگر موجودات را بايد حاكى از توان عقل انسانى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در ادامه تفسيرش ديگر احتمالات را خطا مى داند و تمركز اصلى را بر عقل دانسته، و آن را موهبتى الهى تعريف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تكريم انسان يا به نوع انسان است كه همان عقل اوست و از اين رهگذر همه انسان ها و يا به تعبير بهتر، نوع انسان آن كرامت را دارند، يا به تفضيل است كه ديگران نيز دارند، اما انسان در برخوردارى از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داشتن اين قوه به دنبال ايجاد نظم مطلوب در راستاى زندگى شرافتمندانه است و استفاده از آن جاى تقدير و تشكر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نكردن يا بد استفاده كردن از آن مايه توبيخ مى شود؛ آن چنان كه لحن آيه اين حالت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گذشت انسان با عقل الهى از سر اراده و اختيار دست به انتخاب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اين حالت فرصتى است كه مى تواند به تهديدى عليه خودش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فراز و فرود انسان باعث مى شود كه آيه شريفه در ادامه به حقيقتى اشاره كند كه برترى انسان نسبت به همه موجودات نيست، بلكه نسبت به كثيرى از موجودات است؛ ازاين رو پرسشى تفسيرى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كه آيا انسان برتر است يا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جواب بيان كرده اند كه داشتن اختيار فى حدنفسه ملاك برترى نيست، بلكه اگر انسان به اين اوصاف الهى كه در اختيار دارد عمل كند، برتر خواهد بود و اعتراض ملائكه به بالا بودن مقام انسان نبود؛ بلكه به عملكرد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ملائكه معتقد بودند انسان با داشتن صفت عقل، از آن استفاده مطلوب نخواهد كرد، بلكه از آن سوء استفاده خواهد كرد و خداوند با نشان دادن مقام انسانى و امكان استفاده مطلوب و كامل از عقل، به اعتراض فرشته ها پاسخ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معنا از كرامت مدنظر قرار گيرد، بايد گفت همه انسان ها با داشتن صفت عقل از كرامت انسانى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عنايت در مقام ايجاد حق شكل گرفته است، اما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سيد محمد حسين طباطبايى،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bookmarkStart w:id="54" w:name="pg8931_113666"/>
    </w:p>
    <w:p>
      <w:pPr>
        <w:pStyle w:val="BookText"/>
        <w:rPr/>
      </w:pPr>
      <w:bookmarkEnd w:id="54"/>
      <w:r>
        <w:rPr>
          <w:rFonts w:ascii="IRNazanin" w:hAnsi="IRNazanin" w:eastAsia="IRNazanin"/>
          <w:color w:val="111111"/>
          <w:sz w:val="28"/>
          <w:sz w:val="28"/>
          <w:szCs w:val="28"/>
          <w:rtl w:val="true"/>
          <w:lang w:bidi="fa-IR"/>
        </w:rPr>
        <w:t>در مقام استفاده، برخلاف حالت اوليه، عنايتى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كاملاً به اراده و اختيار انسان واگذار شده است كه در اين مسير ممكن است آن كرامت را از دست بدهد، و درنتيجه مبناى ايجاد حق نيز از كفش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بزرگ ترين عامل سلب كرامت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تفاوت معناى كرامت در آموزه هاى اسلامى و غيراسلامى را نمايان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در نظام بين المللى حقوق بشر، مطرح است، صرف انسان بودن منشأ پيدايش حق است و تا انسان اين وصف را دارد، از حق نيز برخوردار است؛ درحالى كه مطابق آموزه هاى اسلام، تداوم حقوق انسان به عملكرد او برمى گردد</w:t>
      </w:r>
      <w:r>
        <w:rPr>
          <w:rFonts w:eastAsia="IRNazanin" w:cs="IRNazanin"/>
          <w:color w:val="111111"/>
          <w:sz w:val="28"/>
          <w:szCs w:val="28"/>
          <w:rtl w:val="true"/>
          <w:lang w:bidi="fa-IR"/>
        </w:rPr>
        <w:t>.</w:t>
      </w:r>
    </w:p>
    <w:p>
      <w:pPr>
        <w:pStyle w:val="Heading4"/>
        <w:numPr>
          <w:ilvl w:val="3"/>
          <w:numId w:val="1"/>
        </w:numPr>
        <w:rPr/>
      </w:pPr>
      <w:bookmarkStart w:id="55" w:name="__RefHeading___Toc1313946_2870459653"/>
      <w:bookmarkStart w:id="56" w:name="_Toc20"/>
      <w:bookmarkEnd w:id="55"/>
      <w:r>
        <w:rPr/>
        <w:t>5</w:t>
      </w:r>
      <w:r>
        <w:rPr>
          <w:rtl w:val="true"/>
        </w:rPr>
        <w:t xml:space="preserve">. </w:t>
      </w:r>
      <w:r>
        <w:rPr>
          <w:rtl w:val="true"/>
        </w:rPr>
        <w:t>حق در معناى فقهى، حقوقى و اخلاقى</w:t>
      </w:r>
      <w:bookmarkEnd w:id="56"/>
    </w:p>
    <w:p>
      <w:pPr>
        <w:pStyle w:val="BookText"/>
        <w:rPr/>
      </w:pPr>
      <w:r>
        <w:rPr>
          <w:rFonts w:ascii="Amiri" w:hAnsi="Amiri" w:eastAsia="Amiri" w:cs="Amiri"/>
          <w:color w:val="111111"/>
          <w:sz w:val="28"/>
          <w:sz w:val="28"/>
          <w:szCs w:val="28"/>
          <w:rtl w:val="true"/>
          <w:lang w:bidi="ar-SA"/>
        </w:rPr>
        <w:t>براى كلمه حق معانى مختلفى بيان شده است كه تفكيك سه معناى حق و سه كاربرد حق براى فهم معناى آن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معناى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فقهى حق گفته شده است كه نوعى سلطه ضعيف بر مال يا منفعت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تعبيرى است كه مرحوم ميرزا محمدحسين نائينى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تعبيرى كه سيد محمدكاظم طباطبايى بر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اند، قيد ديگرى نيز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حق را نوعى سلطنت بر چيزى دانسته اند كه گاه به عين تعلق مى گيرد؛ مانند حق رهن، و گاه به غيرعين؛ مانند حق فسخ متعلق به عقد، و گاهى متعلق آن شخص است؛ مانند حق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حق نوعى سلطه و ملك بر چيزى است كه از حد مالكيت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بودن حق، به اعتبار نوع تصرفات ناشى از آن حق مى باشد، درحالى كه ملكيت اقتضاى تصرفات مطلق مالكانه را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كلمات مرحوم صاحب جواهر در دائرة المعارف بزرگ شيعه، تفاوتى بين حق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حقوق، جمعى از نويسندگان،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وجود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شيخ انصارى در 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حق و ملك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حق، وجود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ولى در ملك اين نسبت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اعتبار خاصى است كه به دارنده آن پيوند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بين فرد و مال رابطه اى برقرار مى شود كه به آن مالكيت گفته مى شود و به آن مال نيز ملك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شكل گيرى اين عنوان، بيش از اين مقدار لازم نيست؛ درحالى كه براى تحقق مفهوم حق، افزون بر موضوع حق و من له الحق، فرد مكلفى به نام من عليه الحق نيز ضرورى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حضرت امام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بين ملك و حق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مسجد جايى را به خود اختصاص مى دهد، حق دارد، ولى آنجا ملك اين فرد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گرايش بيشتر در فقه، عدم تفكيك بين حق، ملك و حكم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آنكه در اصطلاح فقهى حق نوعى سلطه بر مال، يا چيزى غير از مال مثل منفعت است، و با اين تعبير تلاش مى شود كه مرز حق و ملك جدا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 رسد ضرورتى براى اين جداسازى وجود ندارد و مى توان حق را در معناى ملك تعريف كرد؛ هرچند ملك در همه جا آثار يكسانى نخواهد داشت؛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معناى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اين واژه در معانى مختلفى به كار رفته است؛ برخى حق را عبارت از سلطه ارادى كه قانون در اختيار شخص قرار مى دهد، تعريف كرده اند؛ برخى آن را مصلحتى تلقى كرده اند كه قانون از آن حمايت مى كند؛ برخى براى تعريف حق، بين سلطه و مصلحت جمع كرده اند؛ برخى حق را نوعى امتياز قانونى دانسته اند، و برخى نيز حق را امرى اعتبارى مى دانند كه به نفع كسى و به ضرر ديگرى وضع مى شود و بر اين اساس معتقدند كه حق سه ركن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شيخ محمدحسن نجفى،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شناسى، محمدحسين ساكت،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حقوق،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در اصطلاح حقوقى سه مكتب مهم حقوقى اين واژه را تعريف كرده اند؛ مكتب شخصى بر عنصر اراده قانونى تأكيد كرده است و حق را نوعى اراده تأييدشده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موضوعى، حق سودى است كه قانون از آن حمايت مى كند و در مكاتب تلفيقى، تلاش هر سه عامل، يعنى اراده، سود و منفعت را در احياى حق، نقش آفرين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مشترك هرسه مكتب رويكرد سنتى آنهاست؛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مكتب حقوقى نوين كه به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حق را سلطه و چيرگى مى داند كه قانون از آن حمايت مى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لحاظ همه آنچه در معناى حق گذشت، بايد گفت حق عبارت است از يك رابطه حقوقى، كه از رهگذر آن رابطه، امتيازى براى افراد شناسايى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معنا، اختصاص و بهره ورى و تقدم است، و روشن است كه بين بهره ورى و اجازه كه در فقه مطرح شده است،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اصطلاح در قرآن كريم كاربرد دارد؛ از جمله در سوره بقره، آيه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عَلَيْهِ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در سوره نور،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معنا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اشاره شده است كه اگر گروهى از مردم در داورى حقى داشته باشند، با سرعت و تسليم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آيند؛ همچنين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به حق سائل در مال ديگران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معناى حقوقى برخوردارى از حمايت قانونى است؛ زيرا دولت آن حق را در قوانين خود مورد شناسايى قرار داده، و از طرف ديگر براى ناقضان آن مجازات تعيين كرده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واژه حق در معناى اخلاقى به كار رفته است و معنايش شبيه معناى حقوقى است؛ ولى هركدام از اين دو اصطلاح به حوزه خاصى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بشر نظريه ها و رويه ها، شريفى طراز كوهى،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ويژگى هاى كاربرد اخلاقى حق، فراگير بودن آن در غير روابط اجتماعى است؛ مثلاً در رساله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شيخ حر عاملى در جلد يازدهم از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 است، اين كاربرد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زبان، گوش، چشم، دست، پا، شكم، نماز، حج، روزه، صدقه و قربانى از نمونه هاى حق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اين كاربرد در قوانين داخلى شناسايى نشده است، در نتيجه ناقضان آن نيز مشمول مجازات دنيوى نيستند و به نظر، دليل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موارد در مناسبات اجتماعى به كار نمى روند، پس نمى توانند معناى اصطلاحى حق در معناى حقوقى را كه طرف حق تكليف دارد، به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براى مثال، زبان، مصداق من له الحق نمى باشد؛ درنتيجه فرد صاحب زبان مصداق من عليه الحق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كارگيرى زبان حق و تكليف، در معناى اخلاقى حق، شايد حاكى از اهميت، و نقش داشتن اين عناوين در شكل دهى مناسبات فرد با خود، يا فرد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اثرگذارى اين حقايق در زندگى دنيوى و اخروى به گونه اى است كه مى توان از واژه حق كه بار معنايى بسيارى را در خود جاى داده است،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آنكه اين واژگان در آخرت به گونه اى حقايق خود را نشان مى دهند كه حق در معناى حقوقى خود، در دنيا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طلبكار و ايجاد بدهى به آنها در انسان واقعيتى است كه در قيامت خود را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آنكه انسان ها همان طوركه در دنيا در مراودات اجتماعى خود از واژه حق در معناى حقوقى استفاده مى كنند و آثار آن را نيز بار مى كنند، آموزه هاى دينى نيز از اين ادبيات به منظور ايجاد آثار آن استفاده كرده اند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حق اخلاقى در كلمات فقها كم وبيش به كار رفته است؛ براى مثال مرحوم سبزوارى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سخن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نذر متعلق به عين قبل از بيع را از جمله حقوق مانع از صحت بيع مى داند، به اين نكته توجه</w:t>
      </w:r>
      <w:bookmarkStart w:id="57" w:name="pg8931_113670"/>
    </w:p>
    <w:p>
      <w:pPr>
        <w:pStyle w:val="BookText"/>
        <w:rPr/>
      </w:pPr>
      <w:bookmarkEnd w:id="57"/>
      <w:r>
        <w:rPr>
          <w:rFonts w:ascii="IRNazanin" w:hAnsi="IRNazanin" w:eastAsia="IRNazanin"/>
          <w:color w:val="111111"/>
          <w:sz w:val="28"/>
          <w:sz w:val="28"/>
          <w:szCs w:val="28"/>
          <w:rtl w:val="true"/>
          <w:lang w:bidi="fa-IR"/>
        </w:rPr>
        <w:t>كرده اند و فرموده اند احتمالاً اين سخن به دلايل مختلفى بيان شده است، ولى احتمال دارد از باب ثبوت حق اخلاقى براى منذورله در آن عين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 الله زنجانى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از واژه حق اخلاقى استفاده كرده اند؛ براى مثال ايشان مى فرمايند، زن نسبت به نطفه شوهرش نوعى حق اخلاقى دارد؛ هرچند اين حق اخلاقى در حد الزام نيست و در مورد ديگر درباره باكره كبيره به حق اخلاقى غيرالزامى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بِيَدِهِ عُقْدَةُ اَلنِّكٰاحِ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حق عقد در آيه نمى تواند حق اخلاقى باشد؛ تفاسيرى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مالك لايملك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حق اخلاقى خاص پدر بر فرزند تأكيد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مسئوليت هايى كه انسان در مقابل اشخاص و اشيا دارد، اشاره مى كند كه اين سلطه نيست، بلكه 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مسئوليت ها واجب و گاهى مستحب و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وسايل در كتاب الحج به مناسبت، سراغ حقوق حيوانات رفته است؛ از جمله در باب نهم از ابواب حج، احكام چهارپايان را باعنوان حقوق الدابة المندوبة و الواجبه آورده است كه اينها حق اخلاقى و عرفى است، نه حق به معناى فقهى و به معناى سلطه</w:t>
      </w:r>
      <w:r>
        <w:rPr>
          <w:rFonts w:eastAsia="IRNazanin" w:cs="IRNazanin"/>
          <w:color w:val="111111"/>
          <w:sz w:val="28"/>
          <w:szCs w:val="28"/>
          <w:rtl w:val="true"/>
          <w:lang w:bidi="fa-IR"/>
        </w:rPr>
        <w:t>.</w:t>
      </w:r>
    </w:p>
    <w:p>
      <w:pPr>
        <w:pStyle w:val="Heading4"/>
        <w:numPr>
          <w:ilvl w:val="3"/>
          <w:numId w:val="1"/>
        </w:numPr>
        <w:rPr/>
      </w:pPr>
      <w:bookmarkStart w:id="58" w:name="__RefHeading___Toc1313948_2870459653"/>
      <w:bookmarkStart w:id="59" w:name="_Toc21"/>
      <w:bookmarkEnd w:id="58"/>
      <w:r>
        <w:rPr/>
        <w:t>6</w:t>
      </w:r>
      <w:r>
        <w:rPr>
          <w:rtl w:val="true"/>
        </w:rPr>
        <w:t xml:space="preserve">. </w:t>
      </w:r>
      <w:r>
        <w:rPr>
          <w:rtl w:val="true"/>
        </w:rPr>
        <w:t>حق در معناى حق بودن و حق در معناى حق داشتن</w:t>
      </w:r>
      <w:bookmarkEnd w:id="59"/>
    </w:p>
    <w:p>
      <w:pPr>
        <w:pStyle w:val="BookText"/>
        <w:rPr/>
      </w:pPr>
      <w:r>
        <w:rPr>
          <w:rFonts w:ascii="IRNazanin" w:hAnsi="IRNazanin" w:eastAsia="IRNazanin"/>
          <w:color w:val="111111"/>
          <w:sz w:val="28"/>
          <w:sz w:val="28"/>
          <w:szCs w:val="28"/>
          <w:rtl w:val="true"/>
          <w:lang w:bidi="fa-IR"/>
        </w:rPr>
        <w:t>از جمله دسته بندى هايى كه در زمينه حقوق شكل گرفته است، تفكيك دو معناى حق در عبارت، حق بودن و حق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آثار چندى كه اين تفكيك در خود جاى داده است، تبيين اين دو كاربرد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معناى 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اين معنا به معناى حقيقت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 گاه كه سخن از حق بودن در ميان است، منظور درست بودن و صحيح بودن و مطابق با واقع بودن آن است كه در برابر باطل بودن قرار مى گيرد؛ مثلاً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مهذب الاحكام، عبدالاعلى سبزوارى،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نكاح، شبيرى زنجانى،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گفته مى شود آدم كشى يا تجاوز به ديگرى حق نيست، معناى آن عبارت است از اينكه رفتار فوق صحيح نيست و باطل است و نمى توان هيچ گونه از آن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باطل بودن اين رفتار يا ناشى از خلاف عقل بودن آن است يا ناشى از خلاف شرع بودن، يا ناشى از خلاف اخلاق حسنه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طبيعى از اين معنا آن خواهد بود كه ملاك پذيرش يا رد يك ادعا، حق بودن يا حق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 نوعى ارزش گذارى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از آنجا كه مبانى اعتقادى افراد متفاوت است، معيار حق و باطل بودن نيز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اختلاف تأثيرى در هويت معنايى حق در معناى حق بودن نخواهد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به دست مى آيد كه حق در اين معنا متعلق به حوزه هست ها و حوزه شناخت شناسى است، نه حوزه بايدها و نبايدها؛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معناى حق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كاربرد، حق در معناى بايد و نبايد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داشتن به اصل وجود حق اشاره مى كند و توجهى به ماهيت درست بودن يا غلط بودن آن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حقوق مدنظر حقوق دانان قرار گرفته است، حق در معناى حق داشتن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گاه كه گفته مى شود حق آزادى بيان، بدان معنا خواهد بود كه فارغ از محتوايش، اين امتياز و فرصت براى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آزادى بيان در اين معنا، مساوى با درست بودن آن نيست، چه بسا افرادى كه در بيانشان مطالبى را مطرح مى كنند كه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تفكيك سهل و ممتنع است؛ زيرا از طرفى به شناسايى انواع حقوق بشرى مى پردازد، و در عين حال تضمين دهنده، درست بودن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با ايجاد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اجتماعى و سياسى در اسلام، حسين جوان آراسته،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مجله تحقيقات حقوقى، سيد فاطمى، شماره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w:t>
      </w:r>
      <w:r>
        <w:rPr>
          <w:rFonts w:eastAsia="IRNazanin" w:cs="IRNazanin"/>
          <w:color w:val="111111"/>
          <w:sz w:val="28"/>
          <w:szCs w:val="28"/>
          <w:rtl w:val="true"/>
          <w:lang w:bidi="fa-IR"/>
        </w:rPr>
        <w:t>.</w:t>
      </w:r>
      <w:bookmarkStart w:id="60" w:name="pg8931_113672"/>
    </w:p>
    <w:p>
      <w:pPr>
        <w:pStyle w:val="BookText"/>
        <w:rPr/>
      </w:pPr>
      <w:bookmarkEnd w:id="60"/>
      <w:r>
        <w:rPr>
          <w:rFonts w:ascii="IRNazanin" w:hAnsi="IRNazanin" w:eastAsia="IRNazanin"/>
          <w:color w:val="111111"/>
          <w:sz w:val="28"/>
          <w:sz w:val="28"/>
          <w:szCs w:val="28"/>
          <w:rtl w:val="true"/>
          <w:lang w:bidi="fa-IR"/>
        </w:rPr>
        <w:t>اين تفكيك به دنبال حل يكى از بزرگ ترين چالش هاى موجود در نظام بين المللى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اين معنا كه هر فردى آزادى بيان دارد، مى توان همه عوامل تبعيض در داشتن حق را به كنارى گذاشت؛ زيرا هيچ عامل تبعيض سازى، يا تفاوت سازى در اين مرحله نمى تواند مدخليت داشته باشد و البته دليلى براى مخالفت نيز وجود ندارد؛ زيرا ادعاى اين حق، فقط داشتن است و مى دانيم كه اختلاف اساسى بر سر حق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سوءاستفاده از حق نيز در اين معنا مفهومى روشن و قابل اندازه گيرى است؛ زيرا ممكن است فردى با آزادى بيانش به حقوق ديگرى لطمه وارد سازد، يعنى مخل آزادى بيان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آنكه درحقيقت محدوديت اين حق چيزى نخواهد بود جز آنكه فردى با اعمال حقش مانع استفاده و اعمال حق ديگرى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مانعيت يا بدان دليل است كه اجراى اين حق خلاف اخلاق حسنه است يا خلاف نظم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در معناى حق بودن متفاوت خواهد شد؛ زيرا وقتى گفته مى شود اقدام تروريستى حق نيست، يعنى آنكه اين اقدام باطل است؛ حتى اگر عده اى تصور كنند نظم عمومى آن را مى طلبد يا حتى بالاتر از آن، ادعا كنند كه اين كار مخالفتى با اخلاق حسنه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رويكرد جهان شمولى حقوق بشر، حق به معناى حق داشتن، و نه حق در معناى حق بودن معنا و مفهوم مى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تفكيك اين دو كاربرد، اختلافات بسيارى را در بين حقوق دانان به وجود آورده است</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313950_2870459653"/>
      <w:bookmarkStart w:id="62" w:name="_Toc22"/>
      <w:bookmarkEnd w:id="61"/>
      <w:r>
        <w:rPr/>
        <w:t>7</w:t>
      </w:r>
      <w:r>
        <w:rPr>
          <w:rtl w:val="true"/>
        </w:rPr>
        <w:t xml:space="preserve">. </w:t>
      </w:r>
      <w:r>
        <w:rPr>
          <w:rtl w:val="true"/>
        </w:rPr>
        <w:t>مفاهيم مرتبط</w:t>
      </w:r>
      <w:bookmarkEnd w:id="62"/>
    </w:p>
    <w:p>
      <w:pPr>
        <w:pStyle w:val="BookText"/>
        <w:rPr/>
      </w:pPr>
      <w:r>
        <w:rPr>
          <w:rFonts w:ascii="IRNazanin" w:hAnsi="IRNazanin" w:eastAsia="IRNazanin"/>
          <w:color w:val="111111"/>
          <w:sz w:val="28"/>
          <w:sz w:val="28"/>
          <w:szCs w:val="28"/>
          <w:rtl w:val="true"/>
          <w:lang w:bidi="fa-IR"/>
        </w:rPr>
        <w:t>چون حجاج به دو دسته تبعه و غيرتبعه دولت عربستان تقسيم مى شوند، با برخى مفاهيم مشابه سروكار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اساسى ترين اين واژگان، شهروند، گردشگر، توريست و بيگانه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با معناى تبعه مترادف شده است؛ زيرا در معناى شهروند لحاظ رابطه تابعيتى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واژه در رويكرد حاكميتى و رويكرد حقوق</w:t>
      </w:r>
    </w:p>
    <w:p>
      <w:pPr>
        <w:pStyle w:val="BookText"/>
        <w:rPr/>
      </w:pPr>
      <w:r>
        <w:rPr>
          <w:rFonts w:ascii="IRNazanin" w:hAnsi="IRNazanin" w:eastAsia="IRNazanin"/>
          <w:color w:val="111111"/>
          <w:sz w:val="28"/>
          <w:sz w:val="28"/>
          <w:szCs w:val="28"/>
          <w:rtl w:val="true"/>
          <w:lang w:bidi="fa-IR"/>
        </w:rPr>
        <w:t>بشرى به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تبعه در معناى حاكميتى مطرح است، درحالى كه شهروند در نگاه حقوق بشرى خود را نشان مى دهد؛ از اين جهت مبنا و منابع و هدف حقوق بشر و شهروند عملاً يكى است و تفاوت حقوق بشر و شهروند در ميزان و آستانه حمايت از فرد به لحاظ داشتن يا نداشتن رابطه تابعيت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هاى حقوقى دنيا سه عنصر خاك، خون و اقامتگاه، براى تحقق رابطه تابعيتى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فقه اسلامى شهروند دولت اسلامى شدن به صورت ساده و بدون تشريفات و حتى بدون نياز به جلب رضايت دولت اسلامى است و هر فرد مى تواند با پذيرش شرع مقدس اسلام، خود را تحت حمايت دين اسلام قرار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شهروند به دليل برخورداربودن از رابطه تابعيت، تحت حمايت دولت متبوع خويش است و حجاج عربستانى از اين جهت مشمول حمايت هاى دولت خويش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حجاج ديگر كشورها به دليل فقدان اين رابطه و نبود مفهوم شهروند جامعه اسلامى يا مفهوم شهروند حرمين شريفين در حقوق، تحت عنوان بيگانه قرار مى گيرند كه لازم است آستانه حمايت از آنها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بيگانه تعاريف مختلفى ارائه شده است؛ برخى بيگانه را اين گونه تعريف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بيگانه كسى است كه به عنوان شهروند يا تبعه كشور ساكن در آن، شناخته نشود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ديگر حقوق دانان ادبياتى كم وبيش مشابه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لابه لاى تعاريف به دست مى آيد اين است كه برخى در تعريف بيگانه، داشتن تابعيتى غير از اقامتگاه را مطرح كرده اند، و برخى آن را لازم نديده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بيگانه مى تواند تحت عناوينى همچون جهانگرد و گردشگر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مى تواند تحت عنوان گردشگر مذهبى، يا مسافر نيز تعريف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ديگرى همانند، بيگانه مهاجر، بيگانه پناهنده، بيگانه مأمور اعم از مأمور سياسى، يا غيرسياسى،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The world Book Encyclopedia, Chicago, 1966, Vol, 1, P. 352</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حقوق بين الملل خصوصى، مصطفى دانش پژوه،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آواره اعم از آواره جنگى، يا بلاياى طبيعى نيز مطرح است كه هركدام بار معنايى خاص خود را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شرع مقدس درباره بيگانه معنايى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فارغ از محل سكونتش عبارت است از كسى كه از امت اسلامى نباشد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فردى ممكن است از مسلمانان باشد، ولى در منطقه اسلامى سكونت نداشته باشد و ممكن است فردى در بلاد اسلامى باشد، ولى از اهل كتاب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عناوين در بحث فعلى آثار عملى خاصى ندارند، همگى تحت عنوان بيگانه شناسايى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اينكه بيگانه از چه حقوقى برخوردار است، از جهت دكترين، تاكنون چهار نظريه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اساسى ترين اين نظريه ها عبارت اند از رفتارى همانند اتباع، رفتارى براساس رفتار متقابل، رفتار كاملة الوداد و رعايت دست كم استانداردهاى بين المللى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حمايتى از بيگانه، افزون بر حقوق عرفى، شامل برخى حقوق قراردادى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اسنادى كه به حقوق بيگانه توجه كرده اند، اعلاميه جهانى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ميثاق بين المللى حقوق مدنى و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 حقوق و تكاليف اقتصادى كشورها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اعلاميه حاكميت دائم بر منابع طبيعى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عهدنامه نيويورك درباره حمايت از حقوق كليه كارگران مهاجر و خانواده آنان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انواع و اقسام معاهدات دوجانبه و چندجانبه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فعلى نهادهاى بين المللى از جمله سازمان ملل متحد، حمايت لازم از افراد بيگانه در قالب رعايت استانداردهاى بين المللى و فارغ از رفتار متقابل كشورها، يا قوانين داخلى كشورهاست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اسلام و حقوق بين الملل خصوصى، صص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سياسى، عميد زنجانى،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بين الملل عمومى، محمدرضا بيگدلى،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352</w:t>
      </w:r>
      <w:r>
        <w:rPr>
          <w:rFonts w:eastAsia="IRNazanin" w:cs="IRNazanin"/>
          <w:color w:val="111111"/>
          <w:sz w:val="28"/>
          <w:szCs w:val="28"/>
          <w:rtl w:val="true"/>
          <w:lang w:bidi="fa-IR"/>
        </w:rPr>
        <w:t>.</w:t>
      </w:r>
      <w:bookmarkStart w:id="63" w:name="pg8931_113676"/>
    </w:p>
    <w:p>
      <w:pPr>
        <w:pStyle w:val="Heading2"/>
        <w:numPr>
          <w:ilvl w:val="1"/>
          <w:numId w:val="1"/>
        </w:numPr>
        <w:rPr/>
      </w:pPr>
      <w:bookmarkStart w:id="64" w:name="__RefHeading___Toc1313952_2870459653"/>
      <w:bookmarkStart w:id="65" w:name="_Toc23"/>
      <w:bookmarkEnd w:id="63"/>
      <w:bookmarkEnd w:id="64"/>
      <w:r>
        <w:rPr>
          <w:rtl w:val="true"/>
        </w:rPr>
        <w:t>فصل دوم</w:t>
      </w:r>
      <w:r>
        <w:rPr>
          <w:rtl w:val="true"/>
        </w:rPr>
        <w:t xml:space="preserve">: </w:t>
      </w:r>
      <w:r>
        <w:rPr>
          <w:rtl w:val="true"/>
        </w:rPr>
        <w:t>آموزه هاى حقوق بشرى حج</w:t>
      </w:r>
      <w:bookmarkEnd w:id="65"/>
    </w:p>
    <w:p>
      <w:pPr>
        <w:pStyle w:val="Heading3"/>
        <w:numPr>
          <w:ilvl w:val="2"/>
          <w:numId w:val="1"/>
        </w:numPr>
        <w:rPr/>
      </w:pPr>
      <w:bookmarkStart w:id="66" w:name="__RefHeading___Toc1313954_2870459653"/>
      <w:bookmarkStart w:id="67" w:name="_Toc24"/>
      <w:bookmarkEnd w:id="66"/>
      <w:r>
        <w:rPr>
          <w:rtl w:val="true"/>
        </w:rPr>
        <w:t>گفتار نخست</w:t>
      </w:r>
      <w:r>
        <w:rPr>
          <w:rtl w:val="true"/>
        </w:rPr>
        <w:t xml:space="preserve">: </w:t>
      </w:r>
      <w:r>
        <w:rPr>
          <w:rtl w:val="true"/>
        </w:rPr>
        <w:t>ابعاد مختلف حمايتى</w:t>
      </w:r>
      <w:bookmarkEnd w:id="67"/>
    </w:p>
    <w:p>
      <w:pPr>
        <w:pStyle w:val="Heading4"/>
        <w:numPr>
          <w:ilvl w:val="3"/>
          <w:numId w:val="1"/>
        </w:numPr>
        <w:rPr/>
      </w:pPr>
      <w:bookmarkStart w:id="68" w:name="__RefHeading___Toc1313956_2870459653"/>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حمايت از حجاج در سرزمين وحى از نظر امكان منطقى در سه مرحله مى تواند شكل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ناظر به وضع قوانين خاص حمايتى از مسلمانان در سرزمين هاى اسلامى به ويژه در منطقه و حرم امن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سخن از وضع و شناسايى قوانينى است كه بيانگر انواع و اقسام حقوق حجاج در سرزمين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بين المللى حقوق بشر، شناسايى كردن اين حقوق توسط دولت ها، اصلى ترين مرحله حمايت از آحاد بشر تعريف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اين تأكيد آن است كه بدون شناسايى، دولت ها خود را متعهد به انجام دادن تكاليف حمايتى نمى بينند و اگر حمايتى نيز صورت گيرد، جنبه اخلاقى دارد، نه فقهى يا حقوقى؛ ازاين رو تلاش جامعه بين المللى حقوق بشرى، بر شناسايى حداكثرى كمى و كيفى اين حقوق است كه اين معنا در قالب تصويب اسناد مختلف بين المللى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آن است كه با اين نگرش محور اصلى بحث شناسايى حقوق حمايتى است و بنابراين بحث از اين حقوق و ماهيت آنها بحث ديگرى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نهادها و سازوكارهاى منطقه اى حمايت از حقوق بشر، سيد قاسم زمانى، امير ساعد وكيل و پوريا عسكرى،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14</w:t>
      </w:r>
      <w:r>
        <w:rPr>
          <w:rFonts w:eastAsia="IRNazanin" w:cs="IRNazanin"/>
          <w:color w:val="111111"/>
          <w:sz w:val="28"/>
          <w:szCs w:val="28"/>
          <w:rtl w:val="true"/>
          <w:lang w:bidi="fa-IR"/>
        </w:rPr>
        <w:t>.</w:t>
      </w:r>
      <w:bookmarkStart w:id="70" w:name="pg8931_113677"/>
    </w:p>
    <w:p>
      <w:pPr>
        <w:pStyle w:val="BookText"/>
        <w:rPr/>
      </w:pPr>
      <w:bookmarkEnd w:id="70"/>
      <w:r>
        <w:rPr>
          <w:rFonts w:ascii="IRNazanin" w:hAnsi="IRNazanin" w:eastAsia="IRNazanin"/>
          <w:color w:val="111111"/>
          <w:sz w:val="28"/>
          <w:sz w:val="28"/>
          <w:szCs w:val="28"/>
          <w:rtl w:val="true"/>
          <w:lang w:bidi="fa-IR"/>
        </w:rPr>
        <w:t>مرحله دوم تلاش براى زمينه سازى اجراى حقوق حمايتى است اين مرحله دربرگيرنده اقدامات چندى از سوى دولت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برداشتن موانع موجود گامى اجرايى تلقى مى شود و در مرحله بعد ايجاد سازوكارهاى حمايتى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نظارتى 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عدم ممانعت حاكميت مساوى خواهد شد با استفاده از حقوق، و در مواردى حضور حاكميت به صورت مثبت به معناى حمايت عملى از حقوق بشر است؛</w:t>
      </w:r>
    </w:p>
    <w:p>
      <w:pPr>
        <w:pStyle w:val="BookText"/>
        <w:rPr/>
      </w:pPr>
      <w:r>
        <w:rPr>
          <w:rFonts w:ascii="IRNazanin" w:hAnsi="IRNazanin" w:eastAsia="IRNazanin"/>
          <w:color w:val="111111"/>
          <w:sz w:val="28"/>
          <w:sz w:val="28"/>
          <w:szCs w:val="28"/>
          <w:rtl w:val="true"/>
          <w:lang w:bidi="fa-IR"/>
        </w:rPr>
        <w:t>مرحله سوم مرحله قضايى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ضرورى است دولت براى رسيدگى به تخلفات، نهادهاى شبه قضايى يا قضايى را شكل دهد و حتى به افراد غيردولتى نيز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تعقيب مجازات را بايد ضمانت اجراى دو مرحله پيش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رويكرد حمايتى در آموزه هاى فقهى نيز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قوانين حمايتى از سوى شارع، موظف كردن حاكم بر انجام دادن اقدامات لازم و در نهايت، مجازات كردن افراد ناقض حق؛ ازاين رو ابعاد حمايتى از حجاج در سه مرحله مدنظر قرار گرفته است</w:t>
      </w:r>
      <w:r>
        <w:rPr>
          <w:rFonts w:eastAsia="IRNazanin" w:cs="IRNazanin"/>
          <w:color w:val="111111"/>
          <w:sz w:val="28"/>
          <w:szCs w:val="28"/>
          <w:rtl w:val="true"/>
          <w:lang w:bidi="fa-IR"/>
        </w:rPr>
        <w:t>.</w:t>
      </w:r>
    </w:p>
    <w:p>
      <w:pPr>
        <w:pStyle w:val="Heading4"/>
        <w:numPr>
          <w:ilvl w:val="3"/>
          <w:numId w:val="1"/>
        </w:numPr>
        <w:rPr/>
      </w:pPr>
      <w:bookmarkStart w:id="71" w:name="__RefHeading___Toc1313958_2870459653"/>
      <w:bookmarkStart w:id="72" w:name="_Toc26"/>
      <w:bookmarkEnd w:id="71"/>
      <w:r>
        <w:rPr>
          <w:rtl w:val="true"/>
        </w:rPr>
        <w:t>شناسايى حقوق حمايتى از سوى خداوند</w:t>
      </w:r>
      <w:bookmarkEnd w:id="72"/>
    </w:p>
    <w:p>
      <w:pPr>
        <w:pStyle w:val="BookText"/>
        <w:rPr/>
      </w:pPr>
      <w:r>
        <w:rPr>
          <w:rFonts w:ascii="IRNazanin" w:hAnsi="IRNazanin" w:eastAsia="IRNazanin"/>
          <w:color w:val="111111"/>
          <w:sz w:val="28"/>
          <w:sz w:val="28"/>
          <w:szCs w:val="28"/>
          <w:rtl w:val="true"/>
          <w:lang w:bidi="fa-IR"/>
        </w:rPr>
        <w:t xml:space="preserve">به كارگيرى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مختلف قرآنى اين پرسش را به وجود مى آورد كه ماهيت و كاربرد اين تركيب چيست؟ مرحوم علامه طباطبايى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عَلَيْنٰا نُنْجِ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وعده جميل الهى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حاكى است كه علامه حق در آيه را حقوقى تلقى نكرده اند و آن را يك حق اخلاقى و وعده اى از طرف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نظرى همانند نظر علامه بيان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اللهِ عَونُ مَن نَكحَ الْتماسَ العِفاف مِمّا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خداست كه كسى را كه براى پاك ماندن از گناهان ازدواج مى كند، يارى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محمدبن على شوكانى،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سيوطى،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73" w:name="pg8931_113678"/>
    </w:p>
    <w:p>
      <w:pPr>
        <w:pStyle w:val="BookText"/>
        <w:rPr/>
      </w:pPr>
      <w:bookmarkEnd w:id="73"/>
      <w:r>
        <w:rPr>
          <w:rFonts w:ascii="IRNazanin" w:hAnsi="IRNazanin" w:eastAsia="IRNazanin"/>
          <w:color w:val="111111"/>
          <w:sz w:val="28"/>
          <w:sz w:val="28"/>
          <w:szCs w:val="28"/>
          <w:rtl w:val="true"/>
          <w:lang w:bidi="fa-IR"/>
        </w:rPr>
        <w:t>كلمه حق هرچند بالعرض به انسان تعلق گرفته است، ولى در معناى امتياز، سلطه، توانايى و اولويت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گفت، خداوند حقى را براى مؤمنان تعريف كرده، و براساس همان حق نيز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حق گفته شد كه حق امر اعتبارى است كه به نفع شخصى و ضرر شخصى ديگر جعل و وضع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سه گانه حق، من له الحق، من عليه الحق و متعلق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بايد گفت كاربرد حق در اين نوع واژگان قرآنى، پذيرش و شناسايى تعهد و تكليفى از سوى خداوند درباره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خداوند لطف است و درواقع نوعى توجه خاص به انسان، و مى توان گفت در اين موارد حق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عبادت كردن حق بنده است، داشتن فرصت انجام دادن واجبات حق بنده است و خداوند را به حق خود قسم دادن نيز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شناسايى ابتدا در اصل حق و سپس در مصاديق آن، كه برخوردار بودن از فرصت انجام دادن تكاليف شرعى مصداق بارز اين حقوق مى باشد،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تفاوتى بين حق اخلاقى و حق حقوقى وجود ندارد؛ هرچند حق در معناى حقوقى ضمانت اجراى دولتى دارد</w:t>
      </w:r>
      <w:r>
        <w:rPr>
          <w:rFonts w:eastAsia="IRNazanin" w:cs="IRNazanin"/>
          <w:color w:val="111111"/>
          <w:sz w:val="28"/>
          <w:szCs w:val="28"/>
          <w:rtl w:val="true"/>
          <w:lang w:bidi="fa-IR"/>
        </w:rPr>
        <w:t>.</w:t>
      </w:r>
    </w:p>
    <w:p>
      <w:pPr>
        <w:pStyle w:val="Heading4"/>
        <w:numPr>
          <w:ilvl w:val="3"/>
          <w:numId w:val="1"/>
        </w:numPr>
        <w:rPr/>
      </w:pPr>
      <w:bookmarkStart w:id="74" w:name="__RefHeading___Toc1313960_2870459653"/>
      <w:bookmarkStart w:id="75" w:name="_Toc27"/>
      <w:bookmarkEnd w:id="74"/>
      <w:r>
        <w:rPr>
          <w:rtl w:val="true"/>
        </w:rPr>
        <w:t>تمهيدات سرزمينى</w:t>
      </w:r>
      <w:bookmarkEnd w:id="75"/>
    </w:p>
    <w:p>
      <w:pPr>
        <w:pStyle w:val="BookText"/>
        <w:rPr/>
      </w:pPr>
      <w:r>
        <w:rPr>
          <w:rFonts w:ascii="IRNazanin" w:hAnsi="IRNazanin" w:eastAsia="IRNazanin"/>
          <w:color w:val="111111"/>
          <w:sz w:val="28"/>
          <w:sz w:val="28"/>
          <w:szCs w:val="28"/>
          <w:rtl w:val="true"/>
          <w:lang w:bidi="fa-IR"/>
        </w:rPr>
        <w:t>توجه به آيات قرآن كريم بيانگر اين معناست كه خداوند براى حمايت از بندگانش، بيت الله را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و رفتار با هدف حمايت از مؤمنان و برخوردارشدن آنها از مكانى امن با قابليت و ظرفيت هاى بالا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ويژگى هاى اين مكان و آثار و خيرات و بركات آن از اين معنا حكايت دارد؛ به عبارت ديگر، نياز انسان ها به داشتن مكان امن براى عبادت و برخورداربودن از فضاى فيزيكى در راستاى هدايت و عملى شدن هدف خلقت، از نيازهاى اوليه و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مطالبه نيز بايد حالت اوليه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دهى به بيت الله به عنوان نخستين مكان عبادى باخصوصيات منحصر به خود در راستاى هماهنگى با نياز بنيادين و اساسى همه انسان هاست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سخنان مفسران قرآن در ذيل آيه شريفه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اين آيه بيانگر</w:t>
      </w:r>
    </w:p>
    <w:p>
      <w:pPr>
        <w:pStyle w:val="BookText"/>
        <w:rPr/>
      </w:pPr>
      <w:r>
        <w:rPr>
          <w:rFonts w:ascii="Amiri" w:hAnsi="Amiri" w:eastAsia="Amiri" w:cs="Amiri"/>
          <w:color w:val="111111"/>
          <w:sz w:val="28"/>
          <w:sz w:val="28"/>
          <w:szCs w:val="28"/>
          <w:rtl w:val="true"/>
          <w:lang w:bidi="ar-SA"/>
        </w:rPr>
        <w:t>مطالب مهمى است كه ابعاد حمايتى خداوند را از مؤمنان با ايجاد كعبه حكايت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به چند نكته توجه شده، كه بيان آنها مفيد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 اولين خانه اى است كه براى عبادت بنا شده است و اوليت در زمان مستلزم اوّليت از حيث شرف و مكان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يَرْفَعُ إِبْرٰاهِيمُ اَلْقَوٰاعِدَ مِنَ اَلْبَيْتِ وَ 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مسجد الاقصى در طول ده ها سال ايجاد شد و بعد از قرن ها، سليمان بن داوود آن را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در پاسخ سؤالى كه ابوذر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آمده است كه فاصله مسجدالحرام و مسجدالاقصى چهل سال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هدايت مردم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مبارك است؛ يعنى كثيرالخير است و در مكانى دور واقع است كه همه نعمت هاى الهى بدان سرازير مى شود، از جهت دنيوى و اخروى؛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آيات بينات است از جمله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نماز و عبادت مى باشد و آن كه داخل بيت الحرام شود، بر نَفْس خود، و بر مالش ايمن است حتى اگر قاتل باشد كه در عرب جاهلى و اسلام معروف است و هرگاه در آنجا جنگ رخ داده، درواقع نقض حق بر امنيت بوده است كه جنايت است؛ آن هم جنايت عظيم؛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برگزارى حج و عمره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ملك زاداً و راحلة تبلغه إلى بيت الله ولم يحج فلا عليه ان يموت يهودياً او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رانياً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زاد و راحله اى داشته باشد كه او را به مكه برساند، ولى حج به جا نياورد يا يهودى مى ميرد و يا نصرانى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وحدت مسلمانان به عنوان اهم مميزات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واحد جهت گيرى مشترك است و جايى براى جدال، فسوق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نتيجه چرا وقتى بين آنها اختلاف رخ مى دهد، به دنبال حل آن نمى روند تا براى خود عزت و كرامت درست 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بخارى، و مسلم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الوسيط، زحيلى وهبة بن مصطفى،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ذيل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نيز ذيل آيه شريفه نكاتى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كه قبله عوض شد، يهوديان طعنه مى زدند و مى گفتند كه بيت المقدس افضل است؛ زيرا پيش از كعبه بوده، ارض محشر است، محل هجرت انبيا و قبله آنها بوده، ارض مقدسه اى است كه خداوند آن را مبارك كرده، در آن كوه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آنها اين آيه نازل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 بيت وضع للناس اي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 را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علم است براى بلد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ازدحام جمعيت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تسلط جبابره هم آزاد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ساخت،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آن را برافراشت، بعد از آنكه در طوفان نوح محل آن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طرف خداوند امر به بنا شد، پس هم مبارك است، هم در جهان بنايى با شرف تر از آن وجود ندارد؛ ازاين رو مبارك است به معناى كثيرالخير و النفع مثل تكفيرالذنوب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مايه هدايت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هُدىً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قبله گاه است و مكان عبادت، و در آن آيات عجيب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آيٰاتٌ 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اصحاب فيل و عدم پرواز پرندگان بر موازات آن، و هركس كه در آن داخل شود، از تعرض مصون است و اين امنيت ناشى از 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اِجْعَلْ هَذَا اَلْبَلَدَ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جانى يا هر نوع جنايت كار ديگر به حرم پناه ببرد، مورد تعقيب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هم آن را تأييد كرده است، ولى گفته، در فشار و عجز قرار گيرد تا مجبور به خروج گردد، ولى اگر در حرم مرتكب سرقت يا قتل شد، مجازات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يُقٰاتِلُوكُمْ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مفسر احتمال ديگرى هم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حديث آمده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مات في احد الحرمين بعث يوم القيامه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البيان، حقى بروسوى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bookmarkStart w:id="76" w:name="pg8931_113681"/>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الحجون و البقيع يؤخذ باطرافها و ينشران في الجنه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شريف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قابل توجهى ذيل آيه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قبله از مشاجرات جدى مسلمانان و يهوديان حتى بعد از نزول آيه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اين خانه براى عبادت مردم است، به قرينه مبارك و هدى للعالمين؛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از جهت دلالت لفظى نمى رساند كه كعبه اولين خانه در زمين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مبارك يعنى خير كثير اعم از دنيوى و اخروى، ولى ظاهر مقابله با واژه هدى للعالمين بيانگر آن است كه مراد بركت دنيوى است و عمده آن وفور ارزاق و وجود انگيزه هاى مختلف براى حضور در مكه و اكرام و احترام به مكه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و مناسك آن از زمان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كعبه مايه هدايت و سعادت دنيا و آخرت است، به جميع مراتب هدايت؛ يعنى هدايت براى همه جهان است نه جماعت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همبستگى جهانى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خداوند در مقام بيان شرف مكه است، به بيان كلى بسنده نكرده، و در ادامه به سه ويژگى اساسى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كٰانَ آمِناً</w:t>
      </w:r>
    </w:p>
    <w:p>
      <w:pPr>
        <w:pStyle w:val="BookText"/>
        <w:rPr/>
      </w:pPr>
      <w:r>
        <w:rPr>
          <w:rFonts w:ascii="IRNazanin" w:hAnsi="IRNazanin" w:eastAsia="IRNazanin"/>
          <w:color w:val="111111"/>
          <w:sz w:val="28"/>
          <w:sz w:val="28"/>
          <w:szCs w:val="28"/>
          <w:rtl w:val="true"/>
          <w:lang w:bidi="fa-IR"/>
        </w:rPr>
        <w:t xml:space="preserve">اينها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هركدام بيانگر نكته اى خاص است</w:t>
      </w:r>
      <w:r>
        <w:rPr>
          <w:rFonts w:eastAsia="IRNazanin" w:cs="IRNazanin"/>
          <w:color w:val="111111"/>
          <w:sz w:val="28"/>
          <w:szCs w:val="28"/>
          <w:rtl w:val="true"/>
          <w:lang w:bidi="fa-IR"/>
        </w:rPr>
        <w:t>.</w:t>
      </w:r>
    </w:p>
    <w:p>
      <w:pPr>
        <w:pStyle w:val="Heading4"/>
        <w:numPr>
          <w:ilvl w:val="3"/>
          <w:numId w:val="1"/>
        </w:numPr>
        <w:rPr/>
      </w:pPr>
      <w:bookmarkStart w:id="77" w:name="__RefHeading___Toc1313962_2870459653"/>
      <w:bookmarkStart w:id="78" w:name="_Toc28"/>
      <w:bookmarkEnd w:id="77"/>
      <w:r>
        <w:rPr>
          <w:rtl w:val="true"/>
        </w:rPr>
        <w:t>حمايت هاى آيينى و نمادين</w:t>
      </w:r>
      <w:bookmarkEnd w:id="78"/>
    </w:p>
    <w:p>
      <w:pPr>
        <w:pStyle w:val="Heading5"/>
        <w:numPr>
          <w:ilvl w:val="4"/>
          <w:numId w:val="1"/>
        </w:numPr>
        <w:rPr/>
      </w:pPr>
      <w:bookmarkStart w:id="79" w:name="__RefHeading___Toc1313964_2870459653"/>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حمايت از حجاج ابعاد مختلفى دارد و به طور كلى هم از نظر جسمى، هم روحى و هم معنوى اين حمايت تعريف شدنى است؛ چنان كه سازوكارهاى حمايتى نيز متعدد و مختلف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ضرورى است ابتدا به رويكردهاى حمايتى كه از اين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81" w:name="pg8931_113682"/>
    </w:p>
    <w:p>
      <w:pPr>
        <w:pStyle w:val="BookText"/>
        <w:rPr/>
      </w:pPr>
      <w:bookmarkEnd w:id="81"/>
      <w:r>
        <w:rPr>
          <w:rFonts w:ascii="IRNazanin" w:hAnsi="IRNazanin" w:eastAsia="IRNazanin"/>
          <w:color w:val="111111"/>
          <w:sz w:val="28"/>
          <w:sz w:val="28"/>
          <w:szCs w:val="28"/>
          <w:rtl w:val="true"/>
          <w:lang w:bidi="fa-IR"/>
        </w:rPr>
        <w:t>سرزمين و به تبع آن، از حج گزار به عمل مى آيد،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حمايت هاى نمادين يكى از رويكردها مربوط به انتخاب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انتخاب بيان رويكرد حمايت از مكان به منظور حمايت از خود مكان و افراد حاضر در آن مى باشد كه در اين قسمت با رويكرد فوق به عناوين به كار رفته براى سرزمين وحى در قرآن كريم توجه خواهد شد</w:t>
      </w:r>
      <w:r>
        <w:rPr>
          <w:rFonts w:eastAsia="IRNazanin" w:cs="IRNazanin"/>
          <w:color w:val="111111"/>
          <w:sz w:val="28"/>
          <w:szCs w:val="28"/>
          <w:rtl w:val="true"/>
          <w:lang w:bidi="fa-IR"/>
        </w:rPr>
        <w:t>.</w:t>
      </w:r>
    </w:p>
    <w:p>
      <w:pPr>
        <w:pStyle w:val="Heading5"/>
        <w:numPr>
          <w:ilvl w:val="4"/>
          <w:numId w:val="1"/>
        </w:numPr>
        <w:rPr/>
      </w:pPr>
      <w:bookmarkStart w:id="82" w:name="__RefHeading___Toc1313966_2870459653"/>
      <w:bookmarkStart w:id="83" w:name="_Toc30"/>
      <w:bookmarkEnd w:id="82"/>
      <w:r>
        <w:rPr>
          <w:rtl w:val="true"/>
        </w:rPr>
        <w:t>الف</w:t>
      </w:r>
      <w:r>
        <w:rPr>
          <w:rtl w:val="true"/>
        </w:rPr>
        <w:t xml:space="preserve">) </w:t>
      </w:r>
      <w:r>
        <w:rPr>
          <w:rtl w:val="true"/>
        </w:rPr>
        <w:t>مكه</w:t>
      </w:r>
      <w:bookmarkEnd w:id="83"/>
    </w:p>
    <w:p>
      <w:pPr>
        <w:pStyle w:val="BookText"/>
        <w:rPr/>
      </w:pPr>
      <w:r>
        <w:rPr>
          <w:rFonts w:ascii="IRNazanin" w:hAnsi="IRNazanin" w:eastAsia="IRNazanin"/>
          <w:color w:val="111111"/>
          <w:sz w:val="28"/>
          <w:sz w:val="28"/>
          <w:szCs w:val="28"/>
          <w:rtl w:val="true"/>
          <w:lang w:bidi="fa-IR"/>
        </w:rPr>
        <w:t>در وجه نام گذارى مكه در كتب لغت بحث هاى بسيارى صورت گرفته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اين خصوص مدنظر است، تعبيرى است كه ابن منظور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انها كانت تمك من ظلم فيها و الحد اي 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اين عبارت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آن مكان ظلم كند يا الحاد و بى دينى را رواج دهد، هلاك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ناشى از ظلم يا الحاد، بُعد حمايتى اين مكان و افراد وارد بر آن يا مقيم در آن را نشان مى دهد؛ از آنجا كه موحدان تحت حمايت خداوندند و به دليل تعظيم شعائر الهى در آنجا حضور مى يابند و از جان و مالشان دريغ نمى كنند، خداوند نيز حمايت لازم را از آنها به عمل مى آورد؛ به گونه اى كه اگر كسى بخواهد به آنها تعرضى كند يا اعتقاد آنها را خدشه دار نمايد،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نام گذارى، گونه ديگرى از اين نوع حمايت ترسيم شده است كه ناظر به حج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در اين خصوص گفته است كه چون اعراب جاهلى گمان مى كردند حجشان باطل است، با اين گمان به نزد كعبه مى آمدند و در حين طواف فرياد مى كشيدند و دست هاى خود را به هم مى زدند و آنها با اين كار به دنبال كسب حمايت به منظور پذيرش عمل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گذارى مكه به بكه بيانگر رويكرد حمايتى خداوند از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مكه را بكه گفته اند چون هر ظالمى قصد تعدى و تجاوز به آن را داشته باشد، گردنش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شديدترين مجازات بايد با نوع جرم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تناسب جرم و مجازات اصلى پذيرفته شده نزد عقلاست و شارع مقدس نيز آن را مدنظر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برخورداربودن اين مكان از امنيت كامل براى عبادت حج گزار و نقش حداكثرى امنيت در بهره مندى از فيوضات معنوى حج و شكل گيرى حج ابراهيمى، همگى اقتضا دارد كه حمايت حداكثرى نيز از مكان و حج گزار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اجراى اين حمايت مجازات سختى است كه براى افراد متجاوز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تجاوز از طرف هر فردى اعم از حكومت يا گروه هاى عادى صورت گيرد، مشمول اين مجازات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واژه ظلم كه در اين تعبير به كار رفته است، شامل هر نوع ظلم و تعدى خواهد بود؛ زيرا اين ظلم مى تواند بر جسم، مال، جان، آبرو باشد، چنان كه مى تواند بر مكان و محل عبادت باشد، مثل اينكه مورد تخريب يا تعطيلى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ديگرى نيز براى معناى بكه وجود دارد كه بيانگر ازدحام و جمعيت و شلوغى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نكته ديگرى را مى نماياند؛ حق اجتماع از جمله حقوقى است كه امروزه در جامعه جهانى پذيرفته شده است و فارغ از جهت گيرى آن اجتماع، پذيرش چنين حقى نوع ديگر حمايت از حج گزار را نشان مى دهد كه حق دارد در اين اجتماع و ازدحام شركت كند و كسى نمى تواند مانع حركت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گيرى اين اجتماع چيزى جز عبادت و بندگى خدا و دورى از شرك و برائت از كفار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كه از دل جمعيت ميليونى بلند مى شود، صداى رسايى است كه كمتر كسى مى تواند آن را ناديده بگيرد يا به آن توجه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صداى بلند را نمى پسندد، مگر آنكه بخواهد حقى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صحاح اللغة، جوهرى،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بگيرد يا جلو ظلم را ببندد و مكه و اجتماع حجاج در آن سرزمين، فارغ از اين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اين واژه را به كار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 مُبٰارَكاً وَ هُدىً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طباطبايى در ذيل آيه احتمالات مختلفى را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بكه بيانگر ازدحام مردم در هنگام طواف و نماز و ساير عبادات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منظور از بكه همان مكه بوده باشد كه ميم به باء تبديل شده و موارد آن نيز زياد است؛ مثل لازم كه لازب و راتم كه راتب شده است و شايد اسم حرم باشد و يا اسم مسجد و يا اسم مطاف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سه فضيلت بيان شده براى بكه در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توجه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خانه اولين خانه اى است كه متصف به عبادت شده است؛ حال يا اول در پيدايش، يا اول در رتبه و 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براى مردم است و به نفع مردم، و براى همه مردم و درواقع همگان از آن منتفع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اين مكان براى مردم مايه بركت و خير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قوى تر است كه اول بودن به لحاظ شرافت مكه بر تمام معبدهاى جهان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هُدىً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تأكيدى است بر مايه بركت بودن كه اختصاص به شخص يا گروهى ندارد، بلكه گسترده و عام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 الى آيات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نكات تفسيرى و روايى خوبى توجه شده، كه ذكر آن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مكه از بكه به دليل ازدحام جمعيت و فشار وارد كردن به يكديگر به خاطر كثرت انسان ها مى باشد، و يا اشتقاق آن ناشى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مخزن العرفان، در تفسير قرآن، سيده نصرت امين،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الافهام الى آيات الاحكام، جواد كاظمى،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bookmarkStart w:id="84" w:name="pg8931_113685"/>
    </w:p>
    <w:p>
      <w:pPr>
        <w:pStyle w:val="BookText"/>
        <w:rPr/>
      </w:pPr>
      <w:bookmarkEnd w:id="84"/>
      <w:r>
        <w:rPr>
          <w:rFonts w:ascii="IRNazanin" w:hAnsi="IRNazanin" w:eastAsia="IRNazanin"/>
          <w:color w:val="111111"/>
          <w:sz w:val="28"/>
          <w:sz w:val="28"/>
          <w:szCs w:val="28"/>
          <w:rtl w:val="true"/>
          <w:lang w:bidi="fa-IR"/>
        </w:rPr>
        <w:t>قطع گردن جبابره اى است كه قصد سوء به اين مكان را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الموثق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كانت تسمى بكه لانها تبك اعناق الباغيين اذا بقوا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ديگر تفاسير نيز يكى از دو احتمال، يا هر دو مطرح شده است؛ براى مثال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سليمان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اجتماع و شلوغى مدنظر قرار گرفته است كه در هر حال حاكى از رويكرد حمايتى خداوند از مكان و حاجى در اين سرزمين است</w:t>
      </w:r>
      <w:r>
        <w:rPr>
          <w:rFonts w:eastAsia="IRNazanin" w:cs="IRNazanin"/>
          <w:color w:val="111111"/>
          <w:sz w:val="28"/>
          <w:szCs w:val="28"/>
          <w:rtl w:val="true"/>
          <w:lang w:bidi="fa-IR"/>
        </w:rPr>
        <w:t>.</w:t>
      </w:r>
    </w:p>
    <w:p>
      <w:pPr>
        <w:pStyle w:val="Heading5"/>
        <w:numPr>
          <w:ilvl w:val="4"/>
          <w:numId w:val="1"/>
        </w:numPr>
        <w:rPr/>
      </w:pPr>
      <w:bookmarkStart w:id="85" w:name="__RefHeading___Toc1313968_2870459653"/>
      <w:bookmarkStart w:id="86" w:name="_Toc31"/>
      <w:bookmarkEnd w:id="85"/>
      <w:r>
        <w:rPr>
          <w:rtl w:val="true"/>
        </w:rPr>
        <w:t>ب</w:t>
      </w:r>
      <w:r>
        <w:rPr>
          <w:rtl w:val="true"/>
        </w:rPr>
        <w:t xml:space="preserve">) </w:t>
      </w:r>
      <w:r>
        <w:rPr>
          <w:rtl w:val="true"/>
        </w:rPr>
        <w:t>واژه ام القرى</w:t>
      </w:r>
      <w:bookmarkEnd w:id="86"/>
    </w:p>
    <w:p>
      <w:pPr>
        <w:pStyle w:val="BookText"/>
        <w:rPr/>
      </w:pPr>
      <w:r>
        <w:rPr>
          <w:rFonts w:ascii="IRNazanin" w:hAnsi="IRNazanin" w:eastAsia="IRNazanin"/>
          <w:color w:val="111111"/>
          <w:sz w:val="28"/>
          <w:sz w:val="28"/>
          <w:szCs w:val="28"/>
          <w:rtl w:val="true"/>
          <w:lang w:bidi="fa-IR"/>
        </w:rPr>
        <w:t xml:space="preserve">هرچند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ريشه هر چيزى است، چنان كه فخر رازى در تفسير خويش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أَوْحَيْنٰا إِلَيْكَ قُرْآناً عَرَبِيًّا لِتُنْذِرَ أُمَّ اَلْقُرىٰ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مطرح كرده است، ولى 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پناهگاه است؛ جايى كه انسان به آن پناه مى برد و در حمايت آن قرار مى گيرد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مقتنيات الدرر و ملتقطات الثمر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عباس بيان شده است كه مكه ام القرى نام گرفت؛ زيرا زمين از زير آن گسترش يافت؛ گويا زمين از آن ريشه، رشد كرده، يا بدان دليل است كه اولين بيت وضع شده براى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سدى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زجاج و جبايى احتمال ديگرى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مردم آن را قبله خود قرار داده، و آن را تعظيم كرده اند، همان گونه كه انسان مادرش را تكريم مى كند، اين گونه نام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اين احتمالات، مى توان گفت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معنايى حمايتى خود را نيز دارد؛ پناهگاهى كه هنگام حوادث و غير آن، انسان از آن استمداد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نكته مفيد است كه واژه مكه يك بار در قرآن كريم بيان شده، ولى نام هاى ديگر هفده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مسجدالحرام پانزده بار و واژه مسجد نيز يك بار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الافهام الى آيات الاحكام، جواد كاظمى،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مقاتل بن سليمان، مقاتل بن سليمان بلخى،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قرآن، سيد على اكبر قرشى،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مقتنيات الدرر، حائرى تهرانى،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bookmarkStart w:id="87" w:name="pg8931_113686"/>
    </w:p>
    <w:p>
      <w:pPr>
        <w:pStyle w:val="BookText"/>
        <w:rPr/>
      </w:pPr>
      <w:bookmarkEnd w:id="87"/>
      <w:r>
        <w:rPr>
          <w:rFonts w:ascii="IRNazanin" w:hAnsi="IRNazanin" w:eastAsia="IRNazanin"/>
          <w:color w:val="111111"/>
          <w:sz w:val="28"/>
          <w:sz w:val="28"/>
          <w:szCs w:val="28"/>
          <w:rtl w:val="true"/>
          <w:lang w:bidi="fa-IR"/>
        </w:rPr>
        <w:t>ام القرى نيز يك بار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واژگان باتوجه به بار معنايى آنها، حاكى از تأكيد قرآن كريم بر حمايت همه جانبه از اين سرزمين و زائران آن مى باشد</w:t>
      </w:r>
      <w:r>
        <w:rPr>
          <w:rFonts w:eastAsia="IRNazanin" w:cs="IRNazanin"/>
          <w:color w:val="111111"/>
          <w:sz w:val="28"/>
          <w:szCs w:val="28"/>
          <w:rtl w:val="true"/>
          <w:lang w:bidi="fa-IR"/>
        </w:rPr>
        <w:t>.</w:t>
      </w:r>
    </w:p>
    <w:p>
      <w:pPr>
        <w:pStyle w:val="Heading5"/>
        <w:numPr>
          <w:ilvl w:val="4"/>
          <w:numId w:val="1"/>
        </w:numPr>
        <w:rPr/>
      </w:pPr>
      <w:bookmarkStart w:id="88" w:name="__RefHeading___Toc1313970_2870459653"/>
      <w:bookmarkStart w:id="89" w:name="_Toc32"/>
      <w:bookmarkEnd w:id="88"/>
      <w:r>
        <w:rPr>
          <w:rtl w:val="true"/>
        </w:rPr>
        <w:t>ج</w:t>
      </w:r>
      <w:r>
        <w:rPr>
          <w:rtl w:val="true"/>
        </w:rPr>
        <w:t xml:space="preserve">) </w:t>
      </w:r>
      <w:r>
        <w:rPr>
          <w:rtl w:val="true"/>
        </w:rPr>
        <w:t>واژه بلد</w:t>
      </w:r>
      <w:bookmarkEnd w:id="89"/>
    </w:p>
    <w:p>
      <w:pPr>
        <w:pStyle w:val="BookText"/>
        <w:rPr/>
      </w:pPr>
      <w:r>
        <w:rPr>
          <w:rFonts w:ascii="IRNazanin" w:hAnsi="IRNazanin" w:eastAsia="IRNazanin"/>
          <w:color w:val="111111"/>
          <w:sz w:val="28"/>
          <w:sz w:val="28"/>
          <w:szCs w:val="28"/>
          <w:rtl w:val="true"/>
          <w:lang w:bidi="fa-IR"/>
        </w:rPr>
        <w:t xml:space="preserve">در چند آيه، از مكه به بلد يا بلده تعبير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كه درواقع بيانگر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خداوند خواست اين مكان امنيت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بودن اين مكان هم جنبه تقدس بخشى دارد و هم جنبه حمايتى از مكان و 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كرد به گونه اى كه انسان حتى اگر قاتل پدر خود را در حرم مشاهده كرد، نمى تواند به او تعرض نمايد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اين دعا 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آيه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اما واژه بلد به صورت نكره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بَلَداً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درحالى كه، در 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آمده است؛ زيرا اگر لفظ نكره اى تكرار شد، معرفه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اَلْمِصْبٰاحُ فِي زُجٰاجَةٍ اَلزُّجٰاجَةُ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طباطبايى احتمال داده اند كه اينها، دو دعا، در دو زمان مختلف باشند؛ يك بار زمانى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فرزندش را در اين مكان ناشناخته گذاشت و دعاى ديگر زمانى كه براى سركشى آمد و از وضع موجود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قرائنى كه اين تفكيك را تأييد مى كند، تفاوت در نوع ادبيات و دعا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دعا براى اهل بلد در مورد رزق و ثمرات است، درحالى كه در 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اخروى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اُجْنُبْنِي وَ بَنِيَّ أَنْ نَعْبُدَ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اين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ذريه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يك جعل تشريعى است، نه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را از خداوند دارند كه حضرت رب العالمين براى اين مكان حكم تشريعى حرمت و امن را قرار دهد تا مردم بتوانند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مقتنيات الدرر،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ها و نعمت هاى مادى و معنوى كه بيش از چهار هزار سال از آن مى گذرد، بهره مند 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تعابير حاكى از بعد حمايتى براى مكه و اطراف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يك و دو سوره بلد نيز داستان به همين صورت است كه حاكى از قداست مكه، حضرت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عظيم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به اين چهار مورد بيانگر شأن و جايگاه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تين آيه سه، كلمه بلد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مراد از بلد امين در اين آيه، مكه مشرفه است؛ زيرا امن بودن فقط براى آنجا تشريع شده، و اين همان معنايى است كه در سوره عنكبوت،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جَعَلْنٰا حَرَماً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بقره، آيه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يا به معناى فاعل است، يعنى داراى امنيت بودن كه در اين صورت معناى نسبت را مى رساند، يا به معناى مفعول است، يعنى سرزمينى كه مردم در آن امنيت دارند و براى آنها در آن سرزمين هيچ خوفى وجود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نمل، آيه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تعبير ديگرى مطرح است كه بيان مى كند خداوند از الفاظ و ادبيات مختلف براى ترسيم رويكرد حمايتى از سرزمين مكه و آن كه در آن قرار مى گيرد،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بيان شده است كه ما فقط مأموريم پروردگار اين بلدى را كه مورد احترام است، عبادت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أُمِرْتُ أَنْ أَعْبُدَ رَبَّ هٰذِهِ اَلْبَلْدَةِ اَلَّذِي 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در ذيل اين آيه بيان مى كند، اضافه شدن كلمه رب به هذه و توصيف آن به حرمت و احترام بيانگر عظمت و جايگاه آن مى باشد و درعين حال نوعى تعريض نيز در آن وجود دارد كه مردم احترام آن را رعايت نكردند و مشغول بت پرستى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حرمت بلدشان را نگه نداشتند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تفاسير ابعاد حرمت اين مكان تعريف شده است؛ در اين مكان خداوند قتل، فحش و ناسزا را حرام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w:t>
      </w:r>
      <w:bookmarkStart w:id="90" w:name="pg8931_113688"/>
    </w:p>
    <w:p>
      <w:pPr>
        <w:pStyle w:val="BookText"/>
        <w:rPr/>
      </w:pPr>
      <w:bookmarkEnd w:id="90"/>
      <w:r>
        <w:rPr>
          <w:rFonts w:ascii="IRNazanin" w:hAnsi="IRNazanin" w:eastAsia="IRNazanin"/>
          <w:color w:val="111111"/>
          <w:sz w:val="28"/>
          <w:sz w:val="28"/>
          <w:szCs w:val="28"/>
          <w:rtl w:val="true"/>
          <w:lang w:bidi="fa-IR"/>
        </w:rPr>
        <w:t>چنان كه صيد و ساير مواردى را كه حجاج مجاز به انجام دادن آن نمى باشند، حرام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بسيارى از امور در جاى ديگر مباح است، ولى در اينجا جايز 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اينجا همگى تحت حمايت الهى اند</w:t>
      </w:r>
      <w:r>
        <w:rPr>
          <w:rFonts w:eastAsia="IRNazanin" w:cs="IRNazanin"/>
          <w:color w:val="111111"/>
          <w:sz w:val="28"/>
          <w:szCs w:val="28"/>
          <w:rtl w:val="true"/>
          <w:lang w:bidi="fa-IR"/>
        </w:rPr>
        <w:t>.</w:t>
      </w:r>
    </w:p>
    <w:p>
      <w:pPr>
        <w:pStyle w:val="Heading5"/>
        <w:numPr>
          <w:ilvl w:val="4"/>
          <w:numId w:val="1"/>
        </w:numPr>
        <w:rPr/>
      </w:pPr>
      <w:bookmarkStart w:id="91" w:name="__RefHeading___Toc1313972_2870459653"/>
      <w:bookmarkStart w:id="92" w:name="_Toc33"/>
      <w:bookmarkEnd w:id="91"/>
      <w:r>
        <w:rPr>
          <w:rtl w:val="true"/>
        </w:rPr>
        <w:t>د</w:t>
      </w:r>
      <w:r>
        <w:rPr>
          <w:rtl w:val="true"/>
        </w:rPr>
        <w:t xml:space="preserve">) </w:t>
      </w:r>
      <w:r>
        <w:rPr>
          <w:rtl w:val="true"/>
        </w:rPr>
        <w:t>حرماً آمناً</w:t>
      </w:r>
      <w:bookmarkEnd w:id="92"/>
    </w:p>
    <w:p>
      <w:pPr>
        <w:pStyle w:val="BookText"/>
        <w:rPr/>
      </w:pPr>
      <w:r>
        <w:rPr>
          <w:rFonts w:ascii="IRNazanin" w:hAnsi="IRNazanin" w:eastAsia="IRNazanin"/>
          <w:color w:val="111111"/>
          <w:sz w:val="28"/>
          <w:sz w:val="28"/>
          <w:szCs w:val="28"/>
          <w:rtl w:val="true"/>
          <w:lang w:bidi="fa-IR"/>
        </w:rPr>
        <w:t xml:space="preserve">در سوره عنكبوت، آيه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خداوند مردم را به نعمت امنيت توجه داده، و اين پرسش را مطرح كرده است كه چرا با اينكه مكه را حرم امن قرار داديم، برخى به باطل گرايش يافته، و نعمت خداوند را كفران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قصص،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ادبيات مشابهى بيان شده است و باز خداوند اين پرسش را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تفسير التبيان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كه براى امن بودن حرم دو احتمال وجود دارد؛ احتمال نخست به طبيعت نفوس برمى گردد كه در اين سرزمين به آرامش مى رسند و حالت تنفر و دورى جستن كه در ديگر مكان ها وجود دارد اينجا وجود ندارد، و احتمال دوم آن به بندگان برمى گردد و حكمى كه در مورد آنهاست كه ايمان بياورند و اين مكان را امن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احتمال نخست بعد تكوينى را نشان مى دهد و احتمال دوم بعد تشريعى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فى تفسير الكتاب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شريفه اين شأن نزول نقل شده است كه حرث بن نوفل بن عبدمناف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مى دانيم سخن شما حق است، ولى آنچه مانع ايمان آوردن ما مى شود، ترس از غلبه عرب بر سرزمين ماست و ما نيز در برابر آنها طاقت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رد اين سخن فرمود، آيا ما براى شما حرم امن قرار نداديم؟ آيا مكه در امن و امان نمى باشد؟ و آيا ضرر مردم را از شما دفع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مقاتل بن سليمان،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البيان عن كشف معانى القرآن، شيبانى،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تفسير التبيان، ابن ادريس حلى،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 فى تفسير الكتاب العزيز، دخيل على بن محمدعلى،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bookmarkStart w:id="93" w:name="pg8931_113689"/>
    </w:p>
    <w:p>
      <w:pPr>
        <w:pStyle w:val="BookText"/>
        <w:rPr/>
      </w:pPr>
      <w:bookmarkEnd w:id="93"/>
      <w:r>
        <w:rPr>
          <w:rFonts w:ascii="IRNazanin" w:hAnsi="IRNazanin" w:eastAsia="IRNazanin"/>
          <w:color w:val="111111"/>
          <w:sz w:val="28"/>
          <w:sz w:val="28"/>
          <w:szCs w:val="28"/>
          <w:rtl w:val="true"/>
          <w:lang w:bidi="fa-IR"/>
        </w:rPr>
        <w:t>نكرديم؟ اكنون چگونه چنين ترسى داريد؟ اگر شما ايمان بياوريد، آيا ما قادر به دفع شر مردم نيستيم؟ درحالى كه پيش تر كه ايمان نداشتيد، اين كار را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طولانى تر خواهد شد، اگر يك واژه شناسى كامل قرآنى از ادبيات به كار رفته درباره سرزمين مكه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توان به همين مقدار بسنده كرد و به اين جمع بندى رسيد كه قدر متيقّن الفاظ قرآنى درباره سرزمين وحى، يا صريحاً، يا به دلالت ضمنى مبيّن حرمت و احترام اين مكان شريف براى همگان است؛ حرمتى كه زمينه ساز بهره بردارى معنوى و مادى از كنگره عظيم حج مى شود؛ چنان كه خيرات و بركات دنيوى و اخروى نيز در آن موج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نعمت ها به دليل آن است كه خداوند اين مكان و اهل آن را در حمايت خاص خود قرار داده است</w:t>
      </w:r>
      <w:r>
        <w:rPr>
          <w:rFonts w:eastAsia="IRNazanin" w:cs="IRNazanin"/>
          <w:color w:val="111111"/>
          <w:sz w:val="28"/>
          <w:szCs w:val="28"/>
          <w:rtl w:val="true"/>
          <w:lang w:bidi="fa-IR"/>
        </w:rPr>
        <w:t>.</w:t>
      </w:r>
    </w:p>
    <w:p>
      <w:pPr>
        <w:pStyle w:val="Heading4"/>
        <w:numPr>
          <w:ilvl w:val="3"/>
          <w:numId w:val="1"/>
        </w:numPr>
        <w:rPr/>
      </w:pPr>
      <w:bookmarkStart w:id="94" w:name="__RefHeading___Toc1313974_2870459653"/>
      <w:bookmarkStart w:id="95" w:name="_Toc34"/>
      <w:bookmarkEnd w:id="94"/>
      <w:r>
        <w:rPr>
          <w:rtl w:val="true"/>
        </w:rPr>
        <w:t>حمايت الهى و حفاظت پنهانى</w:t>
      </w:r>
      <w:bookmarkEnd w:id="95"/>
    </w:p>
    <w:p>
      <w:pPr>
        <w:pStyle w:val="BookText"/>
        <w:rPr/>
      </w:pPr>
      <w:r>
        <w:rPr>
          <w:rFonts w:ascii="IRNazanin" w:hAnsi="IRNazanin" w:eastAsia="IRNazanin"/>
          <w:color w:val="111111"/>
          <w:sz w:val="28"/>
          <w:sz w:val="28"/>
          <w:szCs w:val="28"/>
          <w:rtl w:val="true"/>
          <w:lang w:bidi="fa-IR"/>
        </w:rPr>
        <w:t>در برخى آيات قرآن كريم حقايقى بيان شده است كه خداوند حمايت از انسان ها را به طور خاص عهده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حمايت در برابر انواع بلاها و مشكلات است و آن گونه كه از كتب تفسيرى به دست مى آيد، جنبه پيشگيرى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رعد، آيه يازده، مى خوانيم كه براى انسان فرشتگانى است كه پياپى به امر خدا از روبه رو و پشت سر مى آيند و از او نگهبانى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مقتنيات الدرر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احتمال 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يا به خود خداوند، و يا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طباطبايى معتقد است چهار ضمير به كار رفته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واحد دارند و هيچ مرجع صالحى جز احتمال نخست ندارد؛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نتيجه، انسان است كه خداوند سبحان در هر دو عالم به او علم دارد و براى او محافظانى قرار داده است و چون حقيقت انسان به روح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شعور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مقتنيات الدرر،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درك و اراده متعلق به روح است و هموست كه درد و رنج، و ثواب و الم را مى چشد و اعمال صالح و طالح نيز از او صادر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براى انجام دادن اين كارها نقش آلت و ابزار را دارد، بايد پذيرفت كه اين حمايت دو جانبه است؛ درواقع محافظت الهى از انسان هم شامل روح او مى شود و هم شامل جسمش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حمايت از جسم تا زمانى است كه حيات براى انسان مقدر شده است، ولى حمايت روحى تا رسيدن به مقام قرب الهى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حمايت در حالى شامل انسان مى شود كه او مالك هيچ نفع و ضرر، و مرگ و حيات و نشورى براى خود نيست و تنها اوست كه انسان را حفاظت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حَفِيظٌ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عَلىٰ كُلِّ شَيْ‌ءٍ حَفِيظٌ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عَلَيْكُمْ لَحٰافِظِينَ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حفاظت و حمايت الهى نبود انواع و اقسام تهديدها و آفات انسان را از بين مى 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از اين ادبيات قرآنى استفاده مى كند كه همه چيز، چه حيات و چه ممات، كلاً به دست خداوند است؛ در واقع خداوند هم نگهبان حيات است و هم نگهبان ممات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استفاده در اين بحث آن است كه در آيه يازده سوره رعد واژه به كاررفته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درحالى كه در سوره انفطار، آيه ده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عَلَيْكُمْ لَحٰافِظِينَ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مقايسه اين دو تعبير به دست مى آيد هرگاه خداوند در پى نشان دادن رويكرد حمايتى خود است،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حقى براى انسان، و تأمين كننده نفع و منفعت اوست، سخن مى گويد و آنجا كه خداوند انسان را به وظيفه اش در برابر آفرينش توجه مى دهد،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بيانگر تكليف است،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طور عام همه انسان ها را در بر مى گيرد و به طور خاص حج گزار را نيز شامل مى شود؛ زيرا او به طور ويژه به حمايت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انسان ها، گروه ها و برنامه ها به همان اندازه كه مفيد و سودمندند حق بقا و حيات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حمايت از انسان ها و برخوردارشدن از حق حيات آن هم با حمايت الهى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bookmarkStart w:id="96" w:name="pg8931_113691"/>
    </w:p>
    <w:p>
      <w:pPr>
        <w:pStyle w:val="BookText"/>
        <w:rPr/>
      </w:pPr>
      <w:bookmarkEnd w:id="96"/>
      <w:r>
        <w:rPr>
          <w:rFonts w:ascii="Amiri" w:hAnsi="Amiri" w:eastAsia="Amiri" w:cs="Amiri"/>
          <w:color w:val="111111"/>
          <w:sz w:val="28"/>
          <w:sz w:val="28"/>
          <w:szCs w:val="28"/>
          <w:rtl w:val="true"/>
          <w:lang w:bidi="ar-SA"/>
        </w:rPr>
        <w:t>شرايطى دارد؛ از جمله، مفيد و سودمند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توان گفت كسى كه با اتخاذ عقيده شرك مسير زندگى خود را دنبال مى كند يا كسانى كه با انواع فسادها و تبهكارى ها فقط لذت و منفعت خود را مى جويند، هرگز با كسانى كه عمر خود را در راه دفاع از ارزش هاى الهى فدا مى كنند، مساوى نيستند و اين تفاوت در ابعاد مختلف 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ابعاد، بهره مندى از حقوق حمايتى مادى و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هرچند خداوند براى تمام انسان ها محافظانى قرار داده كه در روايات به جزئيات اين حقايق نيز توجه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ميزان حمايت و بهره مندى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را جهاد در راه خدا، و اگر حج گزار را رزمنده ميدان جهاد بدانيم، مى توان گفت كه او بيشترين خير و بركت را براى دين خداوند دارد، پس به همان ميزان نيز مورد حمايت و تحت حفاظت خداوند است</w:t>
      </w:r>
      <w:r>
        <w:rPr>
          <w:rFonts w:eastAsia="IRNazanin" w:cs="IRNazanin"/>
          <w:color w:val="111111"/>
          <w:sz w:val="28"/>
          <w:szCs w:val="28"/>
          <w:rtl w:val="true"/>
          <w:lang w:bidi="fa-IR"/>
        </w:rPr>
        <w:t>.</w:t>
      </w:r>
    </w:p>
    <w:p>
      <w:pPr>
        <w:pStyle w:val="Heading4"/>
        <w:numPr>
          <w:ilvl w:val="3"/>
          <w:numId w:val="1"/>
        </w:numPr>
        <w:rPr/>
      </w:pPr>
      <w:bookmarkStart w:id="97" w:name="__RefHeading___Toc1313976_2870459653"/>
      <w:bookmarkStart w:id="98" w:name="_Toc35"/>
      <w:bookmarkEnd w:id="97"/>
      <w:r>
        <w:rPr>
          <w:rtl w:val="true"/>
        </w:rPr>
        <w:t>وضع احكام خاص حمايتى</w:t>
      </w:r>
      <w:bookmarkEnd w:id="98"/>
    </w:p>
    <w:p>
      <w:pPr>
        <w:pStyle w:val="BookText"/>
        <w:rPr/>
      </w:pPr>
      <w:r>
        <w:rPr>
          <w:rFonts w:ascii="IRNazanin" w:hAnsi="IRNazanin" w:eastAsia="IRNazanin"/>
          <w:color w:val="111111"/>
          <w:sz w:val="28"/>
          <w:sz w:val="28"/>
          <w:szCs w:val="28"/>
          <w:rtl w:val="true"/>
          <w:lang w:bidi="fa-IR"/>
        </w:rPr>
        <w:t>در ارتباط با حمايت از حج گزار، خداوند احكام خاص حمايتى را جعل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اصلى ترين اين احكام درباره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همه حقوق اجتماعى و سياسى،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بدون امنيت، سخن گفتن از حقوق انسانى شبيه به شعارى توخالى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با توجه به اين حقيقت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در پاسخ به پرسش عبدالله سنان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محدوده امنيت، مسجدالحرام نيست، بلكه حرم است كه شامل همه موجودات حتى حيوان و پرنده نيز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قريش، آيه چهار،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أَطْعَمَهُمْ مِنْ جُوعٍ وَ آمَنَهُمْ مِنْ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خداوندى را بپرستيد كه در اين سرزمين، از گرسنگى شما را رهانيد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صدوق،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خوف دور كرد و به شما امنيت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پناه دو حركت كاروانى در تابستان و زمستان، هم امنيت غذايى و هم امنيت جانى به دست آوردند و در شرايطى كه على رغم تلاش هاى مشابه، چنين امنيتى در جاهاى ديگر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مأمور شدند تا چنين خداوندى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منطقه آزاد اسلامى است و بايد امنيت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مكه از روز اول تا ابد داراى حرمت و احترام و امنيت است و هيچ كس حق ندارد امنيت آن را از بين ببرد و فقط به مدت زمان بسيار كوتاهى كمتر از يك نصف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شمرده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خصوص امنيت سه تعبير متفاوت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تعبير نخست مربوط به بيت و مكه است و درباره امنيت حرم در سوره عنكبوت، آيه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تعبير به حرم امن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تعبير حاكى از امنيت بيت، مكه و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كلمات ضمن بيان اهميت و جايگاه امنيت در زندگى عبادى اعم از فردى و اجتماعى و حتى زندگى غيرعبادى، بيانگر آن است كه اين امنيت به جعل و فرمان تشريعى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آن بوده است كه از حج گزار در بيت خود و در حرم خود، حمايت كامل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امنيت را حتى براى حيوانات نيز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البته فقط به تشريع بسنده نكرده است؛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براى اين امنيت ضمانت اجرايى شديد اخروى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بِإِلْحٰادٍ بِظُلْمٍ نُذِقْهُ مِنْ عَذٰابٍ أَلِيمٍ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انحراف از راه حق بخواهد در اين حرم ظلمى مرتكب شود، عذابى دردناك به او خواهيم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هر نوع ظلمى 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بخارى، محمد بن اسماعيل بخارى،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 مى گيرد؛ چه ظلم به ديگرى و چه ظلم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افرادى بايد از سكونت در حرم خوددارى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شدن حرم از امنيت، هم ناظر به افراد حج گزار است كه نياز مبرم به چنين فضايى دارند و براى انجام مناسك حج بايد از اين حق اوليه برخوردار باشند، و هم ناظر به مكانى است كه خداوند بيت خود را در آن قرار داده است تا بندگان او بتوانند در آنجا با آرامش و اطمينان خاطر وظيفه بندگى خود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ضمانت اخروى، ضمانت هاى دنيوى چندى نيز براى تحقق امنيت جعل شده است؛ به عبارت ديگر، هر اقدامى كه آرامش جسم، روح و روان حاجى را مخدوش كند، ممنوع، براى مرتكب آن نيز كفارات وضع شده، و در كتب فقهى به تفصيل موارد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قول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دورى جستن از فسق و جدال كه هر كدام به گونه اى زمينه از بين بردن امنيت حج را نشان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هدايت شدن با سخنان طيب و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در اين راستا توجيه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 اين جعل حكم، نوعى آماده سازى امت اسلامى براى برخوردارشدن از امنيت است كه قسمتى از آن را خداوند جعل كرده، و خود عهده دار آن شده است و قسمتى از آن را در اختيار مسلمانان قرار داده، و از آنان خواسته كه براى دستيابى به آن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بى جهت نباشد كه در سوره رعد، آيه يازده، خداوند مردم را به هر دو جنبه بحث پيش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آيه سخن از حمايت و حفاظت الهى است كه هم ابعاد فردى و هم ابعاد اجتماعى را در بر مى گيرد و در انتهاى آيه، سخن از عدم تغيير سرنوشت امت هاست، مگر آنكه خود دست به چنين كارى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فقط استنباط از آيه است، اما حقيقت سخن آن است كه بايد پذيرفت اين امنيت در حرم، تمرين امنيت براى همه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محمدباقر 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مسلمان، و براى همه عمر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اجرايى شدن اين هدف مهم سه تعهد اساسى براى همه دولت ها به ويژه دولت ميزبان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 را يكسان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حقيقت دعوت خود را متوجه عموم مى كند و همه را در برابر آن مساوى مى داند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مقام عمل و در راستاى حمايت نيز بايد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بندگان خدا را رهبر عادلى مى داند كه خود هدايت شده است و ديگران را هدايت مى كند و در مقابل، بدترين فرد نزد خداوند را رهبر ستمگرى مى داند كه خود گمراه و مايه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درخواست خواص جامعه براى دست برداشتن از تقسيم مساوى بيت المال مواجه شد، به خداوند قسم مى خورد كه هرگز چنين كارى نكند و در تحليل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من دستور مى دهيد براى پيروزى خود از جور و ستم درباره امت اسلامى استفاده كنم؟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روشنى چشم زمامداران برقرارى عدل و آشكارشدن محبت به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تعليم و تربيت توأم با تعهد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اين مطلب يك اصل و تكليف براى حاكم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تربيتى توجه به عدالت يكى از معيارهاى اندازه گيرى رفتار است كه در صورت تخطى بايد فرد متخطى امر به معروف و نهى از منكر شود و بايد اين امر وظيفه شرعى و يكى از كارآمدترين ابزارهاى نظارت بر حكومت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 كه امامت امر را به عهده مى گيرد، بايد خود هدايت 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داستانى درباره اختلاف بين مرد شامى و كوفى در رابطه با جمل يا ناقه بودن شتر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بيانگر آن است كه اگر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53</w:t>
      </w:r>
      <w:r>
        <w:rPr>
          <w:rFonts w:eastAsia="IRNazanin" w:cs="IRNazanin"/>
          <w:color w:val="111111"/>
          <w:sz w:val="28"/>
          <w:szCs w:val="28"/>
          <w:rtl w:val="true"/>
          <w:lang w:bidi="fa-IR"/>
        </w:rPr>
        <w:t>.</w:t>
      </w:r>
      <w:bookmarkStart w:id="99" w:name="pg8931_113695"/>
    </w:p>
    <w:p>
      <w:pPr>
        <w:pStyle w:val="BookText"/>
        <w:rPr/>
      </w:pPr>
      <w:bookmarkEnd w:id="99"/>
      <w:r>
        <w:rPr>
          <w:rFonts w:ascii="IRNazanin" w:hAnsi="IRNazanin" w:eastAsia="IRNazanin"/>
          <w:color w:val="111111"/>
          <w:sz w:val="28"/>
          <w:sz w:val="28"/>
          <w:szCs w:val="28"/>
          <w:rtl w:val="true"/>
          <w:lang w:bidi="fa-IR"/>
        </w:rPr>
        <w:t>تعليم و تربيت براى مردم و حاكمان مطرح نباشد، زمينه هرگونه سوءاستفاده از قدرت به وجود مى آيد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مردم را به عنوان حق مردم بر حاكم تعريف مى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صفتى زمينه هر نوع سوءاستفاده از حقوق مردم را از بين مى برد؛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امنيت و اجراى 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امنيت از بديهى ترين و اولى ترين نيازهاى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امنيت و ازبين رفتن خوف و ناامنى از آرمان هاى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ايجاد امنيت جنگيد تا بتواند چشم فتنه، انحراف و ناامنى را در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موضوع را مى توان از بيانات حضرت 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از تهاجم سربازان معاويه به شهر انبار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باخبر شد،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امْرَأً مُسلِماً ماتَ مِنْ بَعدِ هَذا أسَفاً ما كانَ بِه مَلُوماً بَلْ كَانَ بِه عِندِى جَدِيراً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مسلمانى از اين غصه بميرد، حق دارد و ملامتى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نظام اسلامى را از نظام بين الملل حقوق بشر متمايز مى سازد، رويكرد نظام اسلامى به مقوله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هدايت در گرو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امنيت را به شكل گسترده و شامل امنيت روانى و روحى نيز مى داند و هدف از چنين امنيتى را زمينه سازى براى اجراى احكام الهى كه تضمين گر سعادت فرد و جامعه است، تعريف كرده است</w:t>
      </w:r>
      <w:r>
        <w:rPr>
          <w:rFonts w:eastAsia="IRNazanin" w:cs="IRNazanin"/>
          <w:color w:val="111111"/>
          <w:sz w:val="28"/>
          <w:szCs w:val="28"/>
          <w:rtl w:val="true"/>
          <w:lang w:bidi="fa-IR"/>
        </w:rPr>
        <w:t>.</w:t>
      </w:r>
    </w:p>
    <w:p>
      <w:pPr>
        <w:pStyle w:val="Heading4"/>
        <w:numPr>
          <w:ilvl w:val="3"/>
          <w:numId w:val="1"/>
        </w:numPr>
        <w:rPr/>
      </w:pPr>
      <w:bookmarkStart w:id="100" w:name="__RefHeading___Toc1313978_2870459653"/>
      <w:bookmarkStart w:id="101" w:name="_Toc36"/>
      <w:bookmarkEnd w:id="100"/>
      <w:r>
        <w:rPr>
          <w:rtl w:val="true"/>
        </w:rPr>
        <w:t>حمايت چند جانبه و چند لايه اى</w:t>
      </w:r>
      <w:bookmarkEnd w:id="101"/>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ادبياتى را درباره ماه هاى حرام و حج بيان كرده است كه در نوع خود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پرسش مسلمانان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 هاى حرام و جنگيدن در آن،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جنگ كردن در آن ماه ها گناهى بزرگ است، اما بازداشتن مردم از طريق حق و كافر شدن به او و مسجدالحرام و بيرون راندن مردمش از آنجا در نزد خداوند گناهى بزرگ تر است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مسعودى،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از قتل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تقريباً به صورت يكسان با كمى اختلاف در تعابير در تمامى كتب ترجمه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ماه حرام و حج و شرك را با هم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عنوان هركدام، بيانگر بعد حمايتى خاصى از واردشدگان و ساكنان حرم امن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جنگيدن در ماه ذى الحجه كه تضمين كننده امنيت جانى و مالى حجاج است، ممنوعيت ايجاد مانع در تردد حجاج به سرزمين وحى كه تضمين كننده حق تردد و حق انجام مناسك است، و ممنوعيت شرك كه تضمين كننده امنيت روحى و روانى حجاج است، همگى به صورت هم پوشانى درصدد حمايت از حجاج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اين آيه كامل ترين ادبيات حمايتى از حجاج را درون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تهديدآميز قرآنى در اين آيه و عتاب و خطاب وارده، نقش ضمانت اجراى درونى و بيرونى براى اجراى اين احكام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بيان اينكه جنگ، مانع راه خدا، و كفر است، درصدد تضمين آزادى حجاج براى انجام مراسم مذهبى خويش در پرتو برخوردارى از امنيت كامل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آنكه اخراج كردن اهل مسجدالحرام در نزد خدا از قتل بالاتر دانسته شده است؛ درحالى كه قرآن كريم قتل يك انسان بى گناه را معادل با قتل همه انسان ها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آيه با آيه شش سوره توبه نسخ نشده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مصداق اكمل اخراج اهل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اوست، اما به نظر مى رسد حكم مندرج در آيه كلى است و ايجاد ممانعت براى حجاج مشمول اين نگاه قرآنى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ادبيات نوعى مقابله با طعنه كفار و مشركان است كه موضوع جنگ در ماه حرام را مطرح مى كردند و قرآن با اين بيان، جواب آنها را نيز مى دهد كه كار شما در اخراج كردن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بود و بدتر از همه شرك ورزيدن شماست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168</w:t>
      </w:r>
      <w:r>
        <w:rPr>
          <w:rFonts w:eastAsia="IRNazanin" w:cs="IRNazanin"/>
          <w:color w:val="111111"/>
          <w:sz w:val="28"/>
          <w:szCs w:val="28"/>
          <w:rtl w:val="true"/>
          <w:lang w:bidi="fa-IR"/>
        </w:rPr>
        <w:t>.</w:t>
      </w:r>
      <w:bookmarkStart w:id="102" w:name="pg8931_113697"/>
    </w:p>
    <w:p>
      <w:pPr>
        <w:pStyle w:val="Heading4"/>
        <w:numPr>
          <w:ilvl w:val="3"/>
          <w:numId w:val="1"/>
        </w:numPr>
        <w:rPr/>
      </w:pPr>
      <w:bookmarkStart w:id="103" w:name="__RefHeading___Toc1313980_2870459653"/>
      <w:bookmarkStart w:id="104" w:name="_Toc37"/>
      <w:bookmarkEnd w:id="102"/>
      <w:bookmarkEnd w:id="103"/>
      <w:r>
        <w:rPr>
          <w:rtl w:val="true"/>
        </w:rPr>
        <w:t>ممنوعيت جنگ و خونريزى</w:t>
      </w:r>
      <w:bookmarkEnd w:id="104"/>
    </w:p>
    <w:p>
      <w:pPr>
        <w:pStyle w:val="BookText"/>
        <w:rPr/>
      </w:pPr>
      <w:r>
        <w:rPr>
          <w:rFonts w:ascii="IRNazanin" w:hAnsi="IRNazanin" w:eastAsia="IRNazanin"/>
          <w:color w:val="111111"/>
          <w:sz w:val="28"/>
          <w:sz w:val="28"/>
          <w:szCs w:val="28"/>
          <w:rtl w:val="true"/>
          <w:lang w:bidi="fa-IR"/>
        </w:rPr>
        <w:t>از ديگر احكام الهى كه با رويكرد حمايت از حجاج و طائفان و قائمان جعل شده است، ممنوعيت جنگ و خونريزى در منطقه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مسلحانه در حرم موجب ارعاب و سلب امنيت است و فقط در موارد خاص، مثل خوف از دشمن و براى حفظ جان، جايز است كه آن هم در بدو ورود به مكه بايد به صورت استتار شده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به معناى دشمنى و خصومت است و اصولاً كفر و دشمنى شأن دوزخيان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وسيع و گسترده نيروهاى مسلح در مكه و اطراف مسجدالحرام با حرمت حمل سلاح در حرم همخوانى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اين موضوع مى توان به اين نكته توجه كرد كه با تقصير، حاجى از احرام خارج، و محرمات بيست و چهارگانه بر او حلال مى شود، مگر چند چيز از جمله حمل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ممنوعيت حمل سلاح، مثل ممنوعيت جدال و فسوق و رفث، نقش آموزشى و تربيتى ويژه اى در حفظ حقوق حجاج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مبناى اوليه براى بهره مندى از حقوق، داشتن امنيت است، حمل سلاح در واقع عاملى خواهد بود كه امنيت را به مخاطره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الهى و همچنين طبيعت و محيط زيست بايد از آسيب تهديد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شيعه بر ممنوعيت حمل سلاح فتوا داده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از اين قانون تخلف كند، كفاره اى قرار داده شده كه همان يك گوسفند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شمشيرها به سوى حرم بيرون نرويد و هيچ يك از شما درحالى كه در مقابلش شمشير است، نماز نخواند، زيرا قبله ايمن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لازم براى حاجى آن گاه تأمين مى شود كه از ستيزه جويى، عيب جويى، ايجاد ناامنى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با حواشى مراجع تقليد، محمدرضا محمودى،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شيخ حرعاملى،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bookmarkStart w:id="105" w:name="pg8931_113698"/>
    </w:p>
    <w:p>
      <w:pPr>
        <w:pStyle w:val="Heading4"/>
        <w:numPr>
          <w:ilvl w:val="3"/>
          <w:numId w:val="1"/>
        </w:numPr>
        <w:rPr/>
      </w:pPr>
      <w:bookmarkStart w:id="106" w:name="__RefHeading___Toc1313982_2870459653"/>
      <w:bookmarkStart w:id="107" w:name="_Toc38"/>
      <w:bookmarkEnd w:id="105"/>
      <w:bookmarkEnd w:id="106"/>
      <w:r>
        <w:rPr>
          <w:rtl w:val="true"/>
        </w:rPr>
        <w:t>حمايت و مقابله با عوامل تهديدزا</w:t>
      </w:r>
      <w:bookmarkEnd w:id="107"/>
    </w:p>
    <w:p>
      <w:pPr>
        <w:pStyle w:val="BookText"/>
        <w:rPr/>
      </w:pPr>
      <w:r>
        <w:rPr>
          <w:rFonts w:ascii="IRNazanin" w:hAnsi="IRNazanin" w:eastAsia="IRNazanin"/>
          <w:color w:val="111111"/>
          <w:sz w:val="28"/>
          <w:sz w:val="28"/>
          <w:szCs w:val="28"/>
          <w:rtl w:val="true"/>
          <w:lang w:bidi="fa-IR"/>
        </w:rPr>
        <w:t>وجود برخى باورها در ميان مسلمانان با كرامت انسانى همخوانى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باورها، يا ناشى از جهل و نادانى است يا ناشى از نوعى عناد و دگم انديشى است يا ناشى از رفتار عوام مردم است و يا ناشى از رفتار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نقض حقوق بنيادين مسلمانان، به ويژه حجاج منجر مى شود، رفتارى است كه برخاسته از انديشه غلط برخى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تلخ در انديشه برخى مسلمانان شكل گرفت و با اين تفكر سيطره خود را بر حرمين شريفين گسترانيده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نگاهى به افكار اين گروه حاكى از به چالش كشيدن حقوق بنيادين بشرى حجاج مى باشد؛ براى مثال فتواى بسيار تلخ و تشنج آفرين ابن تيميه 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يأتي الى قبر نبي او صالح و يسأله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شرك صريح يجب ان يستتاب صاحبه فان تاب و الا 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جريان را در انديشه محمدبن عبدالوهاب بايد يافت به گونه اى كه تمام مسلمانان از نظر آنان كافر مى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خشونت در انديشه، به خشونت در رفتار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مهم سلب امنيت از مسلمانان، نسبت دادن القابى است كه نتيجه آن هدررفتن مال، جان و آبرو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مسلمانان اهل سنت و هم شيعيان، اين روش را به شدت نكوهيده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فتاواى فقهاى اسلام اعم از شيعه و اهل سنت،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نبوت پيامبر عظيم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برخوردار شدن از حمايت هاى اسلامى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مسائل، بيشتر بعد اخروى دارد و آثار دنيوى چندانى بر آن مترتب نمى شود، بلكه كلمات فقهاى اسلام برحرمت فتوادادن به اين نوع عقايد و باورها و حرمت عمل براساس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اين حقيقت مهم، دولت عربستان در راستاى انجام تعهدات حقوق بشرى وظيفه دارد كه در مقابل اين جريان فكرى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الارتياب،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ساحل حقيقت، محمدى،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اگر اين طرز تفكر براى شهروندان دولت سعودى مطلوب مى باشد، نمى تواند آن را بر ساير مسلمانان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آنكه چنين اعتقادى صحيح باشد يا غلط، تعهد دولت ميزبان بر حمايت حداكثرى از حجاج اقتضا مى كند كه از فضاسازى براى نشر اين افكار در حرم امن الهى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وهابيت براين باورند كه در سرزمين وحى با حجاج مسلمان بيت الله روبه رو نيستند، بلكه به اعتقاد خودشان با تعدادى از مشركان ميهمان مواجه اند كه جز در شرايط ميهمانى بايد با آنها مقابله كرد و جان و مال و آبروى آنها هيچ احترامى ندارد و نه فقط دولت مسئوليت حمايت از آنها را برعهده ندارد، بلكه مسئوليت دارد با شرك مبارزه كند و به امر به معروف و نهى از منكر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بين المللى به ممنوعيت رفتار خشن توجه شده است و انجام دادن آن، در حد يك جنايت بين المللى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تحقيرآميز به حجاج به ويژه حجاج ايرانى ريشه در اين افكار دارد كه با كرامت اسلامى حجاج همخوانى ندارد و آنها را از حمايت هاى لازم محروم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نگزاردن به باورهاى ديگر مسلمانان و رفتارهاى آنان كه ناشى از باورهاى مذهبى است و نه ناشى از تعصب و جهالت، مى طلبد كه با انديشه هاى تعصب آميزى كه براى حيات ديگران ارزشى قائل نيستند، به صورت جدى مقابله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عربستان در برابر اين نكته روشن احساس مسئوليت جدى نكند، مى توان گفت كه هم تعهدات حقوق بشرى و بين المللى، و هم تعهدات اسلامى را نقض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دو روايت از 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خطرناك ترين چيز بر امت من، فردى است كه قرآن را تأويل كند و آن را بر افرادى تطبيق دهد كه شامل آنها نمى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بيانگر آن است كه نمى توان با معيارهاى مورد اختلاف، به ارزش گذارى حجاج پرداخت و آن گاه آنان را به قدرى فاقد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الارتياب،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bookmarkStart w:id="108" w:name="pg8931_113700"/>
    </w:p>
    <w:p>
      <w:pPr>
        <w:pStyle w:val="BookText"/>
        <w:rPr/>
      </w:pPr>
      <w:bookmarkEnd w:id="108"/>
      <w:r>
        <w:rPr>
          <w:rFonts w:ascii="IRNazanin" w:hAnsi="IRNazanin" w:eastAsia="IRNazanin"/>
          <w:color w:val="111111"/>
          <w:sz w:val="28"/>
          <w:sz w:val="28"/>
          <w:szCs w:val="28"/>
          <w:rtl w:val="true"/>
          <w:lang w:bidi="fa-IR"/>
        </w:rPr>
        <w:t>ارزش دانست كه خون آنها را حلال دانست و تنها از باب احترام به ميهمان و به صورت موردى كارى به او نداشته باشند و آن گاه كه از حرم الهى خارج شد، اين ضابطه نيز كارايى خود را از دست بدهد و درنتيجه حاجى از هيچ نوع حمايتى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نيز همين معنا نقل شده است كه مانند خوارج عمل نشود كه آيات ناظر به مشركان را بر اهل قبله اعمال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9" w:name="__RefHeading___Toc1313984_2870459653"/>
      <w:bookmarkStart w:id="110" w:name="_Toc39"/>
      <w:bookmarkEnd w:id="109"/>
      <w:r>
        <w:rPr>
          <w:rtl w:val="true"/>
        </w:rPr>
        <w:t>حمايت و تعهدات ايمانى حجاج نسبت به يكديگر</w:t>
      </w:r>
      <w:bookmarkEnd w:id="110"/>
    </w:p>
    <w:p>
      <w:pPr>
        <w:pStyle w:val="BookText"/>
        <w:rPr/>
      </w:pPr>
      <w:r>
        <w:rPr>
          <w:rFonts w:ascii="IRNazanin" w:hAnsi="IRNazanin" w:eastAsia="IRNazanin"/>
          <w:color w:val="111111"/>
          <w:sz w:val="28"/>
          <w:sz w:val="28"/>
          <w:szCs w:val="28"/>
          <w:rtl w:val="true"/>
          <w:lang w:bidi="fa-IR"/>
        </w:rPr>
        <w:t>وجود جايگاه شايسته برادرى ايمانى در راستاى حمايت حقوقى از يكديگر، و ضرورت حمايت و يا سلامت از اين درك بلند قرآنى، زمينه بيان آياتى شده است كه حاكى از تلاش براى ضربه ناپذيرى اين استحكام بلند ايمانى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كَالَّذِينَ تَفَرَّقُوا وَ اِخْتَلَفُوا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اختلاف از سويى زمينه هرگونه حمايت مؤمنان را از يكديگر از بين مى برد و از سوى ديگر سرمايه هاى اجتماعى را در معرض نابودى قرار مى دهد و هزينه هاى حاصله هم هيچ توجيه قابل پذيرشى به همراه نخواهند داشت، و اين وضعيت خلاف آن چيزى است كه شرع انور، از وضع و تشريع اين آيات، به دنبال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مدنظر قراردادن اين وضعيت، به دنبال ايجاد راهكارى تضمينى براى دستيابى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راهكار كه امروزه در ادبيات حقوق بشرى به حقوق نسل سوم معروف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در قالب فريضه بزرگ الهى امر به معروف و نهى از منكر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امروزه برخى از حقوق از چنان جايگاهى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الخطاب فى مذهب ابن عبدالوهاب، شيخ سليمان بن عبدالوهاب،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Morgan-Foster, Third Ceneration Rights: What Islamic Law can Teach the International Human Rights Movemen yale Human Rights&amp; Develapmenr.vol 8, p.68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برخوردارند كه سود و ضرر ناشى از آن، همگان را در بر مى گيرد؛ انجام دادن آن همراه با خير همگانى و ترك آن همراه با ضرر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همگان در شكل گيرى آن بايد احساس مسئوليت كنند و خود را در آن سهيم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حجاج در سرزمين مقدس وحى از اين قاعده كلى پيروى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لطمه خوردن حقوق يك حاجى ناشى از انجام دادن مناسك خود و تضييع حقوق او به اين دليل، صدمه زدن به همه حجاج، بلكه به حقيقت حج است؛ ازاين رو امر به معروف و نهى از منكر را نبايد به مواردى منحصر دانست كه عمل حاجى با آنچه در فقه حنفى آمده، مغاير است كه اين خود امر به منكر است؛ زيرا حقوق حجاج ديگر مذاهب را با استفاده ابزارى از دين و شريعت مقدس اسلام سلب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انجام دادن مناسك حج مطابق آنچه در مذهب پذيرفته شده وجود دارد، اهتمام ورزيد و درنتيجه با ايجاد يك سپر حمايتى از آنان در قالب امر به معروف، حمايت لازم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رويكرد شرع مقدس در وضع احكام شرعى به صورت فردى و اجتماعى نكات و فوايد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 در امت اسلامى تمسك به معروف و ترك منكر است و بزرگ ترين معروف هاى الهى انجام دادن واجبات است؛ چنان كه بزرگ ترين منكرهاى اجتماعى، انجام دادن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چينش واجبات بيانگر آن است كه همگى در يك جايگاه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به معروف و نهى از منكر موضوع به اين صورت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مصاديق اساسى و مهم در حج، مانع ايجادكردن ميان مؤمنان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حديث شريفى اين معنا بيان شده است؛ على بن مهزيار از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كه امر ظهور چه موقع خواهد بود؟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بين شما و حج، حائل و مانع درست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ميزان الحكمة،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جالب آن است كه در عبادتى فردى مثل نماز نيز توصيه شده است كه به صورت جمعى و جماعت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نگاهى به فلسفه تشريع اجتماعى اين احكام و مدنظر قراردادن رويكرد شارع مقدس به دست مى آيد كه هدف قرآن كريم شكل گيرى امت واحده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امت ويژگى ها و خصائصى دارد كه هركدام عاملى مهم در حمايت از مسلمانان محسوب مى شود، و نبود آن نيز از دست رفتن حمايت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اين نكته ضرورى است كه در راستاى شكل گيرى امت واحده، نبايد همانند كسانى بود كه به اختلاف دچار، و متفرق شدند، درحالى كه آيات روشنى براى آنها بيان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سياق آيات قبل و بعد همگى حاكى از اين معناى روشن قرآنى است كه بدون بهره مندى از حمايت يكديگر در پرتو وضع احكام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نمى توان به آرمان بلند الهى كه همان رسيدن به جايگاه ايمانى و توحيدى است،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برترى در اين جامعه، تقوا مى باشد و ديگر مسائل اختلافى نمى تواند جايگاهى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 همه ابعاد اجتماعى خود، بزرگ ترين نماد حمايت اجتماعى از مؤمنان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آنچه خداوند در انجام دادن اين فريضه بيان كرده است و تلاش براى بهره مندى از هم زيستى مسالمت آميز، گره گشاى بسيارى از مشكلات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و در راستاى ترسيم جايگاه حقوق نسل سومى، برخى حقوق دانان عربستان گفته اند كه آموزه هاى اسلامى تركيبى از تعهدات فردى و اجتماعى است، و اجراى آنها هم در بعد فردى و هم در بعد اجتماعى، ضرورى است و تفكيك آنها نيز توجيه پذير نيست، و بين آنها نيز نوعى توازن برقرار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به منظور ايجاد يك اثر ايمانى محكم كه مسلمانان در پناه آن از حمايت يكديگر برخوردار باشند، تلاش و طراحى كرده است و كعبه را محور اين پناه عظيم ايمانى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Morgan- Fastor, Op.Cit.P.20</w:t>
      </w:r>
      <w:r>
        <w:rPr>
          <w:rFonts w:eastAsia="Times New Roman" w:cs="Times New Roman" w:ascii="Times New Roman" w:hAnsi="Times New Roman"/>
          <w:color w:val="111111"/>
          <w:sz w:val="28"/>
          <w:szCs w:val="28"/>
          <w:rtl w:val="true"/>
          <w:lang w:val="en-US" w:bidi="en-US"/>
        </w:rPr>
        <w:t>.</w:t>
      </w:r>
      <w:bookmarkStart w:id="111" w:name="pg8931_113703"/>
    </w:p>
    <w:p>
      <w:pPr>
        <w:pStyle w:val="Heading4"/>
        <w:numPr>
          <w:ilvl w:val="3"/>
          <w:numId w:val="1"/>
        </w:numPr>
        <w:rPr/>
      </w:pPr>
      <w:bookmarkStart w:id="112" w:name="__RefHeading___Toc1313986_2870459653"/>
      <w:bookmarkStart w:id="113" w:name="_Toc40"/>
      <w:bookmarkEnd w:id="111"/>
      <w:bookmarkEnd w:id="112"/>
      <w:r>
        <w:rPr>
          <w:rtl w:val="true"/>
        </w:rPr>
        <w:t>حمايت حجاج از يكديگر و امر به تعاون</w:t>
      </w:r>
      <w:bookmarkEnd w:id="113"/>
    </w:p>
    <w:p>
      <w:pPr>
        <w:pStyle w:val="BookText"/>
        <w:rPr/>
      </w:pPr>
      <w:r>
        <w:rPr>
          <w:rFonts w:ascii="IRNazanin" w:hAnsi="IRNazanin" w:eastAsia="IRNazanin"/>
          <w:color w:val="111111"/>
          <w:sz w:val="28"/>
          <w:sz w:val="28"/>
          <w:szCs w:val="28"/>
          <w:rtl w:val="true"/>
          <w:lang w:bidi="fa-IR"/>
        </w:rPr>
        <w:t>در آموزه هاى دينى بر حمايت مسلمانان از يكديگر به طور خاص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قرآنى در اين راستا فراوان است، قرآن كريم 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به مسلمانان دستور مى دهد به حبل متين الهى تمسك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همه مسلمانان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ادامه آيه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تفرق و جدايى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نكته را گوشزد مى كند كه وجود چنين محورى نبايد عامل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درباره دين، ابعاد مختلفى دارد كه از جمله آنها اختلاف در فهم احكام و چگونگى اجراى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موضوع را لحاظ مى كند كه در صورت وجود چنين اختلافى به سوى تفرق و جدايى نرويد، بلكه صبر و شكيبايى ورزيد و به جاى واگرايى، به همگرايى دينى بينديشيد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استحكام بخشى به اين حقيقت قرآنى، دستورهاى ديگرى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حسن معاشرت، همكارى و تعاون، به زيارت يكديگر رفتن و دوست داشتن فرقه هاى مسلمانان، مگر آنان كه با پرخاشگرى و تندى و حتى ابراز كلمات توهين آميز و گستاخانه، قصد نابودى امت اسلام را دارند، همگى بيانگر اهميت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چنين دستورى فهميده مى شود، ضرورت حمايت مسلمانان از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اعتقادى و رفتارى چنين حمايتى در آموزه هاى اسلام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در ذيل آيه شريفه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دستورى است براى جامعه اسلامى؛ هرچند دستورى براى افراد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دليل اين دستور را نه تعبدى، بلكه وجود هزينه هاى اجتماعى گزاف ناشى از اختلاف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دشمنى بين انسان ها و تمركز امكانات اجتماعى و سرمايه هاى مادى و معنوى به منظور ضربه زدن به يكديگر، دليلى است كه در ادامه اين آيه شريفه بيان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با يادآورى اين معنا كه پيش از پذيرش ايمان، معناى روشنى براى برادرى، صلح و آسايش وجود نداشت، اين حقيقت بالا را به همگان يادآورى مى كند كه در پرتو ايمان، معناى آسايش اجتماعى براى مسلمانان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حقيقتى است كه در ديگر آيات بر آن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تشريع برادرى ايمانى، شكل گيرى حقوق اجتماعى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جزء حقوق مهم است به گونه اى كه بدون آنها امكان يك زندگى معنادار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لحاظ شرايط بسيار آسان زمينه حفظ خون، مال و آبروى انسان ها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كه حاكى از اصل اوليه اسلام در راستاى حمايت همه جانبه از انسان ها محسوب مى شود، با گفتن شهادتين،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فراوانى كه از فريقين نقل شده، اين معنا پذيرفته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بخارى 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بسيارى از ديگر روات شيعه و سنى نقل كرده 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امرت ان اقاتل الناس حتى يقولوا لا اله الا الله، فاذا قالوها عصموا منا دماءهم و اموالهم الا بحقها و حسابهم على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شده ام تا زمانى كه مردم اقرار به توحيد نكنند با آنان بجنگم، وقتى لا اله الا الله را بر زبان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اعتقاد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مالشان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جلوگيرى از حربه تكفير فرمودند هر فردى كه دست به كشتار مسلمان بزند، بى آنكه دليل قطعى و بيّن شرعى داشته باشد، كافر است، و اين معنا در روايتى كه شيعه و سنى بر آن اتفاق دارند،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خيف در سال حجة الوداع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دماءكم و اموالكم عليكم حرام كحرمة يومكم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تكفير المسلمين، معهد الحج و الزياره،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bookmarkStart w:id="114" w:name="pg8931_113705"/>
    </w:p>
    <w:p>
      <w:pPr>
        <w:pStyle w:val="BookText"/>
        <w:rPr/>
      </w:pPr>
      <w:bookmarkEnd w:id="114"/>
      <w:r>
        <w:rPr>
          <w:rFonts w:ascii="Amiri" w:hAnsi="Amiri" w:eastAsia="Amiri" w:cs="Amiri"/>
          <w:color w:val="111111"/>
          <w:sz w:val="28"/>
          <w:sz w:val="28"/>
          <w:szCs w:val="28"/>
          <w:rtl w:val="true"/>
          <w:lang w:bidi="ar-SA"/>
        </w:rPr>
        <w:t xml:space="preserve">اين روايت را در جاهاى مختلف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كرده است و نيز 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حبان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و بخارى در كتاب هاى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نگرش حاكى از ديدگاهى بلند و محكم در برابر رفتارهاى غيرمنطقى برخى مسلمانان نسبت به بعضى ديگر مى باشد كه به دليل وجود كژتابى هايى در انديشه شان، كشتن مسلمانان را تجويز مى كنند، و خون آنها را مباح و هدر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حمايت ويژه از مسلمانان به ويژه از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سخن زيبا در حجة الوداع اين پيام را نيز دارد كه بهترين محل و مكان براى عملى شدن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مكان است؛ زيرا حضرت مى توانستند اين سخن گران سنگ را در جاى ديگر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حمايتى است كه شارع مقدس از حجاج بيت الحرام و بلكه از همه مسلمانان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وظايف مسلمانان نسبت به يكديگر روى ديگر سكه حقوق مسلمانان نسبت به هم مى باشد</w:t>
      </w:r>
      <w:r>
        <w:rPr>
          <w:rFonts w:eastAsia="IRNazanin" w:cs="IRNazanin"/>
          <w:color w:val="111111"/>
          <w:sz w:val="28"/>
          <w:szCs w:val="28"/>
          <w:rtl w:val="true"/>
          <w:lang w:bidi="fa-IR"/>
        </w:rPr>
        <w:t>.</w:t>
      </w:r>
    </w:p>
    <w:p>
      <w:pPr>
        <w:pStyle w:val="Heading4"/>
        <w:numPr>
          <w:ilvl w:val="3"/>
          <w:numId w:val="1"/>
        </w:numPr>
        <w:rPr/>
      </w:pPr>
      <w:bookmarkStart w:id="115" w:name="__RefHeading___Toc1313988_2870459653"/>
      <w:bookmarkStart w:id="116" w:name="_Toc41"/>
      <w:bookmarkEnd w:id="115"/>
      <w:r>
        <w:rPr>
          <w:rtl w:val="true"/>
        </w:rPr>
        <w:t>حمايت و بهره مندى يكسان از حقوق</w:t>
      </w:r>
      <w:bookmarkEnd w:id="116"/>
    </w:p>
    <w:p>
      <w:pPr>
        <w:pStyle w:val="BookText"/>
        <w:rPr/>
      </w:pPr>
      <w:r>
        <w:rPr>
          <w:rFonts w:ascii="IRNazanin" w:hAnsi="IRNazanin" w:eastAsia="IRNazanin"/>
          <w:color w:val="111111"/>
          <w:sz w:val="28"/>
          <w:sz w:val="28"/>
          <w:szCs w:val="28"/>
          <w:rtl w:val="true"/>
          <w:lang w:bidi="fa-IR"/>
        </w:rPr>
        <w:t>از جمله حقوق اوليه كه در ادبيات حقوق بشرى مطرح شده است، بهره مندى يكسان افراد از حقوق بشرى، فارغ از تفاوت هاى طبيعى و غيرطبيعى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هرچند در معناى حق داشتن درست است، اما در معناى حق بودن جاى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رويكرد حق داشتن را دنبال مى كند؛ بر اين مبنا، همه انسان ها از حقوق شناسايى شده در اسناد بين المللى، به صورت يكسان بهره مند مى شوند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ادبياتى زيبا اين معنا را به گونه ديگرى ترسيم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بزرگ قرآن در زمينه نفى تفاوت هاى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اهل نجد اعتقادات خاصى دارند و هر مذهبى غير از خود را غلط مى دانند و حكم شرك، و نجس بودن را براى ديگران صادر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اوليه بايد پذيرفت كه اعتقاد آنها خلاف صريح آيات شريفه است، هر فردى كه شريعت آسمانى را پذيرفته</w:t>
      </w:r>
    </w:p>
    <w:p>
      <w:pPr>
        <w:pStyle w:val="BookText"/>
        <w:rPr/>
      </w:pPr>
      <w:r>
        <w:rPr>
          <w:rFonts w:ascii="IRNazanin" w:hAnsi="IRNazanin" w:eastAsia="IRNazanin"/>
          <w:color w:val="111111"/>
          <w:sz w:val="28"/>
          <w:sz w:val="28"/>
          <w:szCs w:val="28"/>
          <w:rtl w:val="true"/>
          <w:lang w:bidi="fa-IR"/>
        </w:rPr>
        <w:t>و به قرآن و كعبه معتقد شده، و شهادتين را بر زبان جارى كرده باشد، مسلمان است و به حكم صريح اين آيه، ساكن باشد يا نباشد، و وارد باشد يا نباشد، در بهره مندى از فضاى امن الهى با ديگران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بسيارى از علماى اسلام منطقه حرم سرزمين آزاد اسلام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فرد وارد جايز است هر كجاى حرم منزل گزيند و صاحب خانه وظيفه دارد ضمن فضاسازى مناسب، در اين رابطه ممانعتى به عمل نياورد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هاى صدر اسلام اين بود كه خانه هاى مكه درب نداشت و حتى به كسانى كه براى جلوگيرى از سرقت مانع گذاشته بودند، اعتراض مى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درباره قابل تملك بودن اين منازل در بين فقها نظرات متفاوتى مطرح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اين نظريه ها يا سرزمين مكه قابل تمليك نيست، يا نمى توان در برابر آن از حاجى اجاره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بزرگان فقه درباره نظريه تملك، مناقشه جدى نيز دارند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ممنوعيت تملك يا اخذ اجاره را نبايد فقط در حوزه اقتصادى و حمايت مادى از حجاج تعريف كرد كه البته امر صحيحى است؛ بلكه بايد فراتر از آن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حجاج از آزادى مطلق در حرم به منظور انجام دادن مطلوب فريضه حج و استفاده از كنگره عظيم الهى حج چنين اقتضايى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هيچ چيزى نبايد آزادى حاجى را سلب كند، و اين نكته در تصريحات و سفارشات بزرگان وجود دارد؛ از جمله در توصيه هاى حكومتى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قثم بن عباس كه مسئوليت اداره حرم را عهده دار بود، بيان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حج،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الجامع لاحكام القرآن، قرطبى،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حج،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67</w:t>
      </w:r>
      <w:r>
        <w:rPr>
          <w:rFonts w:eastAsia="IRNazanin" w:cs="IRNazanin"/>
          <w:color w:val="111111"/>
          <w:sz w:val="28"/>
          <w:szCs w:val="28"/>
          <w:rtl w:val="true"/>
          <w:lang w:bidi="fa-IR"/>
        </w:rPr>
        <w:t>.</w:t>
      </w:r>
      <w:bookmarkStart w:id="117" w:name="pg8931_113707"/>
    </w:p>
    <w:p>
      <w:pPr>
        <w:pStyle w:val="Heading4"/>
        <w:numPr>
          <w:ilvl w:val="3"/>
          <w:numId w:val="1"/>
        </w:numPr>
        <w:rPr/>
      </w:pPr>
      <w:bookmarkStart w:id="118" w:name="__RefHeading___Toc1313990_2870459653"/>
      <w:bookmarkStart w:id="119" w:name="_Toc42"/>
      <w:bookmarkEnd w:id="117"/>
      <w:bookmarkEnd w:id="118"/>
      <w:r>
        <w:rPr>
          <w:rtl w:val="true"/>
        </w:rPr>
        <w:t>ضرورت قيام حج گزار بر حقوق خود</w:t>
      </w:r>
      <w:bookmarkEnd w:id="119"/>
    </w:p>
    <w:p>
      <w:pPr>
        <w:pStyle w:val="BookText"/>
        <w:rPr/>
      </w:pPr>
      <w:r>
        <w:rPr>
          <w:rFonts w:ascii="IRNazanin" w:hAnsi="IRNazanin" w:eastAsia="IRNazanin"/>
          <w:color w:val="111111"/>
          <w:sz w:val="28"/>
          <w:sz w:val="28"/>
          <w:szCs w:val="28"/>
          <w:rtl w:val="true"/>
          <w:lang w:bidi="fa-IR"/>
        </w:rPr>
        <w:t>يكى از رهبران پروتستان هاى جهان گفته است، ستمگر هرگز آزادى را به صورت اختيارى و داوطلبانه نمى دهد؛ بلكه ستمديده بايد اين حق را مطالبه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هاى دينى به ويژه آيات قرآن كريم بر اين حق طلبى و مبارزه براى احقاق حق در ابعاد مختلف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قرآنى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 اَلْمُؤْمِنِينَ عَلَى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اُغْلُظْ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أَوْلِيٰاءَ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لَكُمْ عَدُوٌّ فَاتَّخِذُوهُ عَدُوًّا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اى است از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مطرح آن است كه رمز و راز اين مجاهده و جدال و نبرد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در قرآن كريم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 فَمَنْ فَرَضَ فِيهِنَّ اَلْحَجَّ فَلاٰ رَفَثَ وَ لاٰ فُسُوقَ وَ لاٰ جِدٰالَ فِي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نكته ضرورى است كه از نظر لغوى جدل كه ريشه جدال است، به معناى محكم بافتن چيزى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جدال هر كدام از دو طرف قصد دارد راى طرف مقابل را به صورت محكم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جدال مى كند، در خصومت شديد است و مى خواهد طرف ديگر را از نظريه هاى خود برگرداند و انعطافى در او به وجود آورد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اين واژه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كار رفته است و از مجموع آنها به دست مى آيد كه دو نوع جدال مدنظر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علوم قرآنى همچون نجم الدين طوفى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مستقلى درباره جدل در قرآن تأليف كرده است كه مى توان گفت قرآن هرگونه گفت وگو با جنبه ستيزه جويى و استدلال سفسطى و مغالطه گونه را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هدف از جدال اثبات حق باشد، هرگز نهى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نيز ناظر به همين معنا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ديگر موارد منهى در اين آيه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Freedom is never voluntarily given by the oppressor. it must be demanded by the oppressed.A Toolkit for Reporting on Human Rights Issues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نفيسى، خيام،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1073</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حج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الحجج فى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محمدباقر حجتى،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شريفه نيز مؤيد و گواه همين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هرگونه معصيت را در برمى گيرد و رفث، هرگونه روابط جنسى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 به نظر فقهاى شيعه همچون 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شيخ محمدحسن نجفى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شهيد اول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يابيم جدال، قسم دروغ، همراه با معصيت و ستيز با برادر خود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اهل سنت، همچون طبرى در تفسيرش، محمد بن كعب قرظى، ابن زيد، محمد رشيد رضا و محمد عبده، تقريباً همين معنا را دنبال كرده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عبده در تفسيرش معتقد است كه بين اين سه واژه تناسب وجود دارد و اين تناسب را برگرفته از معناى لغوى واژگان دانسته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رازى نيز بيان كرده، جدال ممنوع در حج، جدالى است كه براى اثبات و تقرير امر باطلى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جدالى كه در جهت تقرير و تثبيت حق و دعوت مردم به راه خدا و دفاع از حريم دين خداى متعال انجام گيرد، در هر حال ممدوح و ستوده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 اضافه كرد جدال براى حمايت از حاجى نيز براساس وحدت ملاك، همين وضعيت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حمايت مى تواند توسط خود حاجى صورت گيرد يا توسط كارگزاران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نمى توان و نبايد جدال نيكو به منظور احقاق حق و ايجاد سپر دفاعى در برابر انواع اذيت و آزارهاى عربستان را امرى مذموم تلقى كرد، بلكه بايد گفت اين اصل خودحمايتى توسط حجاج، نوعى جدال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 شيطان همراه با ديگر مؤمنان و در راستاى حق، با همبستگى امكان پذير مى شود؛ زيرا جدال با بزرگ ترين دشمن، وحدت و همبستگى خاصى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رهگذر اين جدال احسن و با پرتاب كردن سنگ به طرف جمره هاى اولى، عقبه، و وسطا، امنيت خود را تضمين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حج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محمدباقر حجتى،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المنار، محمد عبده،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bookmarkStart w:id="120" w:name="pg8931_113709"/>
    </w:p>
    <w:p>
      <w:pPr>
        <w:pStyle w:val="BookText"/>
        <w:rPr/>
      </w:pPr>
      <w:bookmarkEnd w:id="120"/>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كردن سنگ نماد پرتاب كردن توان فيزيكى و مادى به سوى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در واقع به معناى استفاده حجاج از نيروهاى مادى خود به صورت همه جانبه و همراه با هم براى احقاق حق، و مقابله با كسانى كه حقوق انسان ها را به چالش مى كشند و به بهانه هاى مختلف آنها را مشرك و كافر مى خوانند، مى باشد</w:t>
      </w:r>
      <w:r>
        <w:rPr>
          <w:rFonts w:eastAsia="IRNazanin" w:cs="IRNazanin"/>
          <w:color w:val="111111"/>
          <w:sz w:val="28"/>
          <w:szCs w:val="28"/>
          <w:rtl w:val="true"/>
          <w:lang w:bidi="fa-IR"/>
        </w:rPr>
        <w:t>.</w:t>
      </w:r>
    </w:p>
    <w:p>
      <w:pPr>
        <w:pStyle w:val="Heading4"/>
        <w:numPr>
          <w:ilvl w:val="3"/>
          <w:numId w:val="1"/>
        </w:numPr>
        <w:rPr/>
      </w:pPr>
      <w:bookmarkStart w:id="121" w:name="__RefHeading___Toc1313992_2870459653"/>
      <w:bookmarkStart w:id="122" w:name="_Toc43"/>
      <w:bookmarkEnd w:id="121"/>
      <w:r>
        <w:rPr>
          <w:rtl w:val="true"/>
        </w:rPr>
        <w:t>حمايت از ديگر اتباع و تعهدات دولت ميزبان</w:t>
      </w:r>
      <w:bookmarkEnd w:id="122"/>
    </w:p>
    <w:p>
      <w:pPr>
        <w:pStyle w:val="BookText"/>
        <w:rPr/>
      </w:pPr>
      <w:r>
        <w:rPr>
          <w:rFonts w:ascii="IRNazanin" w:hAnsi="IRNazanin" w:eastAsia="IRNazanin"/>
          <w:color w:val="111111"/>
          <w:sz w:val="28"/>
          <w:sz w:val="28"/>
          <w:szCs w:val="28"/>
          <w:rtl w:val="true"/>
          <w:lang w:bidi="fa-IR"/>
        </w:rPr>
        <w:t>در اين باره پرسشى مطرح است كه آيا دولت عربستان وظيفه دارد كه از امنيت حجاج نسبت به رفتارهاى كشورهاى متبوعشان، در مكه حمايت كند، يا اينكه فقط وظيفه دارد در چارچوب هاى تعريف شده حركت كند؟ مثلاً چنانچه يك فرد مصرى بخواهد با يك حاجى ايرانى در مكه ارتباط داشته باشد و نگرانى او تنها مربوط به اقدامات بعدى و فعلى دولت مصر عليه وى باشد، آيا مى توان گفت دولت عربستان وظيفه دارد فضا را به گونه اى قرار دهد كه تا جايى كه نظم عمومى دولت مصر به مخاطره نيفتاده است، افراد مذكور از آزادى عمل بهره مند باشند؟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راستاى امت واحده بودن، لازم است حجاج با يكديگر مصاحبت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صحبت كردن كه از حقوق بنيادين بشر است، ابعاد مختلفى دارد؛ از جمله صحبت كردن با هموطن و صحبت كردن با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وحى كه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اهالى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بيگانه محسوب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هنوز براى حرمين شريفين تابعيت جهانى تعريف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صحبت كردن به صورت بسيار جدى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دليل رفتارهاى حاكميتى و اطلاعاتى، امكان استفاده از اين حق در حرم امن الهى وجود ندارد و از آنجا كه اين حرم الهى اهميت فوق العاده اى دارد، آيا مى توان براى دولت ميزبان، تعهدى مبنى بر ايجاد فرصت لازم جهت اعمال اين حق تعريف كرد، و يا چنين نگاهى، ايجاد يك فراتعهد بر دوش دولت عربستان است؟ شبيه اين بحث در ادبيات حقوق بشرى با عنوان مسئوليت براى حمايت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هاى حقوقى آنچه تا ديروز با عنوان ممنوعيت مداخله در امور داخلى بيان مى شد، امروزه و در قالب ادبيات حقوق</w:t>
      </w:r>
    </w:p>
    <w:p>
      <w:pPr>
        <w:pStyle w:val="BookText"/>
        <w:rPr/>
      </w:pPr>
      <w:r>
        <w:rPr>
          <w:rFonts w:ascii="IRNazanin" w:hAnsi="IRNazanin" w:eastAsia="IRNazanin"/>
          <w:color w:val="111111"/>
          <w:sz w:val="28"/>
          <w:sz w:val="28"/>
          <w:szCs w:val="28"/>
          <w:rtl w:val="true"/>
          <w:lang w:bidi="fa-IR"/>
        </w:rPr>
        <w:t>بشرى، مسئوليت براى حمايت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دكترين حمايت، دولت ها فارغ از هر نوع استثنايى، آنجا كه حقوق بشرى افراد خدشه دار شود، وظيفه حمايت دارند و اين موضوع نبايد با عنوان مداخله در امور داخلى تعريف، و با آن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رويكرد، هر دولتى چنين وظيفه اى دارد؛ گرچه آن افراد تبعه، و حتى ساكن آن كشور نباشند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پرسش نگرش كاملاً تازه اى را با خود به همراه دارد، توجه به چند نكته ضرورى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پيام هاى مختلفى كه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به حجاج داده اند، مطالباتى بيان شده است كه محور مشترك همه آن تذكرها، مدنظر قراردادن منافع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 سال هفتاد مقام معظم رهبرى با اين عبارت مواجه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شما برادران و خواهران كه از نقاط مختلف جهان در محشر عظيم حج گرد آمده، و در هجرت از منِ قومى و نژادى و فرقه اى به ماى اسلامى و قرآنى پيوسته ايد، مسائلى را مدنظر داشته، درباره آن با ديگر مسلمين تبادل انديشه كنيد و پس از حج آن را سررشته تأمل و فكر و عمل سازيد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مى نمايد كه كمترين الزامات چنين تبادل فكر و انديشه اى، برخوردار بودن از امنيت و آسايش در حريم امن الهى است و اكنون اين پرسش مطرح است كه چه كسى و چگونه بايد اين امنيت را به وجود آورد و مسئوليت مشترك همه دولت ها و حكومت ها و به طور خاص مسئوليت دولت عربستان در اين راستا چشمگير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فرائض الهى، شعارى كه در حج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فريضه حج اختصاص دارد، چه اين دعوت را، دعوت داعى الله گرفته شود و پاسخ به درخواست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فِي اَلنّٰاسِ بِالْحَجِّ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Taking Stock of the Respansibility, Mohamed saira,P.322</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ذى الحجه،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پاسخ به خود خداوند تعريف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ذا المعارج لبيك داعيا الى دار السلام لبيك مرهوباً مرعوبا اليك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اين شعار پس از پوشيدن لباس احرام در هر فراز و فرود تا رؤيت خانه دوست بيانگر اين حقيقت است كه افراد، نيازمند آزادى بيان مى 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بدون برخوردارى از چنين آزادى اى، امكان سردادن اين شعار نيز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و استفاده از حقى به نام آزادى بيان هرچند به طور مستقيم نياز به حمايت شخص خاصى ندارد، ولى به طور مستقيم بيانگر آن است كه كسى نبايد مزاحم انجام دادن آن شود و بايد همه افراد حج گزار بدون هرگونه ممانعت و مزاحمت اين پيام الهى و سروش رحمانى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و بازداشت افرادى كه مزاحم اند، و حتى ايجاد فرصت لازم از ابتدا تا انتهاى مسير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تا 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از حق آزادى بيان براى حجاج، وظيفه دولت و حكومت عربستان را شكل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اتاني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يامرك ان تأمر اصحابك ان ترفعوا اصواتهم بالتلبيه فانها من شعار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خداونددستور مى دهد كه به اصحابت بگويى هنگام تلبيه صداهايتان را بلند كنيد؛ زيرا تلبيه از شعارهاى حج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زيارت خانه خدا به عنوان ضيافت و مهماندارى تعريف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ميهمانى، بسيارى از انديشمندان به ادب حضور مهمان توجه كرده اند كه نكته مهمى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 حرمك و البلد بلدك و البيت بيتك و انا عبدك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در كلام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سيدي عبدك ببابك اقامته الخصاصة بين يديك</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ديگر ميهمانى، در پناه صاحب خانه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به كارگيرى واژگانى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فصلنامه ميقات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حج در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 جوادى آملى،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المنار،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ابوحمزه ثمالى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بيانگر رعايت ادب و نزاكت است، بيانگر وظايفى است كه ميزبان داوطلبانه براى خود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اين گونه بايد در نظر گرفت كه از ما درخواست شده است، به طور حتم و جدى در اين ميهمانى به شرط وجود استطاعت شركت كنيم؛ ازاين رو بى شك ميزبان نيز خود را براى انجام هر نوع حمايت مادى و معنوى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مى توانست واژه ديگرى را در اين راستا به كارگيرد، اما ويژگى استفاده از واژه ميهمانى بار معنايى خود را كه همان حمايت كردن است،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كه روبه روى در خانه خداوند مى ايستد اين دعا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البيت بيتك و انا ضيفك و انا عبدك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ادبيات هم به موقعيت حاجى توجه كرده است، و هم به موقعيت صاحب خانه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ميهمان از بديهيات و كمترين ها محسوب مى شود، حفظ جان، مال و آبروى، و برخوردار شدن از امنيت روح و روان و جسم، و تحت حمايت صاحب خانه قرارگرفتن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لحاظ اين حداقل ها مهمانى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ستون برگزارى حج مى باشند، با توجه به اين معنا بايد پذيراى حجاج باشند و اين مسئوليت مشترك همگان را در شكل گيرى اين معنا نشان مى 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بزرگان دين از جمله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در اين زمينه وجود دارد كه توجه به آنها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مناسك زندگى است و جامعه اسلامى از هر نژاد و ملتى بايد ابراهيمى شود تا به خيل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 و يد واحد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در جاى ديگر فرموده اند حج، كانون معارف الهى است كه از آن محتواى سياست اسلام را در همه زواياى زندگى بايد جست وجو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مفهوم اين سخن، بيانگر اين معناست كه حج نشان دادن سبك زندگى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وظيفه تك تك افراد جامعه رسيدن به اين نوع زندگى باشد، كه اين گونه نيز هست، بدون هزينه هاى اجتماعى متعدد و مختلف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ابعاد سياسى و اجتماعى حج، رهبر،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شايد اين انتظار وجود داشته باشد كه هر فرد بايد سهم و بخش هزينه هاى كار را در مقام عبادت و انجام دادن وظيفه مسلمانى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جاى خود درست است، اما آيا مى توان راهى يافت تا هزينه هاى چنين زيستى را كاهش داد؟ يافتن اين مسير از رهگذر حمايت هاى مختلفى است كه دولت ها بر دوش دارند و بايد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 راز ايجاد آزادى بيان در حريم الهى، افزون بر ايجاد فرصت لازم براى انجام دادن مناسك، بهره مندى از موقعيتى است كه در آن بتوان با كمترين هزينه، به بيشترين بهره ورى دست يافت، و بيشترين بهره ورى تحقق و شكل گيرى امت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امروزه سخن گفتن از حجاج در قالب حمايت از آنها، نيازمند ادبياتى است كه بتواند اين هدف را محقق سازد؛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عملى كه در منا صورت مى گيرد، قربانى است كه يكى از مهم ترين اهداف اين فريضه، رسيدگى به محرومان و فقيران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حج گزار، هم خود از اين نعمت برخوردار است، و هم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اين تكليف كه بعد اقتصادى حج را</w:t>
      </w:r>
    </w:p>
    <w:p>
      <w:pPr>
        <w:pStyle w:val="BookText"/>
        <w:rPr/>
      </w:pPr>
      <w:r>
        <w:rPr>
          <w:rFonts w:ascii="IRNazanin" w:hAnsi="IRNazanin" w:eastAsia="IRNazanin"/>
          <w:color w:val="111111"/>
          <w:sz w:val="28"/>
          <w:sz w:val="28"/>
          <w:szCs w:val="28"/>
          <w:rtl w:val="true"/>
          <w:lang w:bidi="fa-IR"/>
        </w:rPr>
        <w:t xml:space="preserve">نيز نشان مى دهد، و يادآور ذبح عظيم ابراهيم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حمايت اقتصادى از انسان هاى موحد اين سرزمين است؛ زيرا اصل اولى، حمايت از مردم موجود در آن منطقه درباره بهره مندى از گوشت قربانى بوده است، و حتى از بيرون بردن آن گوشت نيز نهى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انما جعل الله هذا الاضحي لتشبع مساكينكم من اللحم فاطعموهم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اذا ذبحت او نحرت فكل و اطعم كما قال الله فكلوا فيها و اطعموا القانع و الفقير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ضمن خطبه اى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قربانى كرديد، از آن بخوريد و اطعام كنيد و هديه دهيد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bookmarkStart w:id="123" w:name="pg8931_113714"/>
    </w:p>
    <w:p>
      <w:pPr>
        <w:pStyle w:val="Heading4"/>
        <w:numPr>
          <w:ilvl w:val="3"/>
          <w:numId w:val="1"/>
        </w:numPr>
        <w:rPr/>
      </w:pPr>
      <w:bookmarkStart w:id="124" w:name="__RefHeading___Toc1313994_2870459653"/>
      <w:bookmarkStart w:id="125" w:name="_Toc44"/>
      <w:bookmarkEnd w:id="123"/>
      <w:bookmarkEnd w:id="124"/>
      <w:r>
        <w:rPr>
          <w:rtl w:val="true"/>
        </w:rPr>
        <w:t>حمايت الهى و طرد</w:t>
      </w:r>
      <w:bookmarkEnd w:id="125"/>
    </w:p>
    <w:p>
      <w:pPr>
        <w:pStyle w:val="BookText"/>
        <w:rPr/>
      </w:pPr>
      <w:r>
        <w:rPr>
          <w:rFonts w:ascii="IRNazanin" w:hAnsi="IRNazanin" w:eastAsia="IRNazanin"/>
          <w:color w:val="111111"/>
          <w:sz w:val="28"/>
          <w:sz w:val="28"/>
          <w:szCs w:val="28"/>
          <w:rtl w:val="true"/>
          <w:lang w:bidi="fa-IR"/>
        </w:rPr>
        <w:t>يكى از مسائل مشهور و معروف بين شيعه و سنى، عدم جواز سكونت اهل كتاب، بلكه هر فرد غيرمسلمان در حجاز يا جزيرة 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ميان فقهاى شيعه اجماعى است؛ آن چنان كه محقق حلى آن را بيان كرده، و چنين مطلبى را به مشهور فقها نسبت داده، و سپس منظور از حجاز را مكه و مدينه دانسته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نيز به ممنوعيت توطن مشركان فتوا داده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نيز به ممنوعيت سكونت ذمى در حجاز، يعنى از عدن تا عبادان و از تهامه تا شام، نظر داده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حلى نيز همين موضوع نقل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نيز بر فتواى ديگر فقها</w:t>
      </w:r>
    </w:p>
    <w:p>
      <w:pPr>
        <w:pStyle w:val="BookText"/>
        <w:rPr/>
      </w:pPr>
      <w:r>
        <w:rPr>
          <w:rFonts w:ascii="IRNazanin" w:hAnsi="IRNazanin" w:eastAsia="IRNazanin"/>
          <w:color w:val="111111"/>
          <w:sz w:val="28"/>
          <w:sz w:val="28"/>
          <w:szCs w:val="28"/>
          <w:rtl w:val="true"/>
          <w:lang w:bidi="fa-IR"/>
        </w:rPr>
        <w:t>تأكيد كرده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نيز مثل ابن قدامه،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ماوردى،</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جوزيه،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نيز همين گونه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هاى فقهى مختلفى در اين زمينه وجود دارد،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اين بحث مربوط است آن است كه شارع مقدس با رويكرد حمايت از دين، حمايت ويژه اى را از حجاج و اهالى مكه و مدينه به عمل آورده؛ قرآن كريم با بيان اين نكته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اَلْمُشْرِكُونَ نَجَسٌ فَلاٰ يَقْرَبُوا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صريح اين حمايت را مدنظر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سويى وضع بد مشركان را بازگو مى كند كه صفت رذيله اى به نام شرك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شرايع الاسلام، محقق حلى،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فى فقه الاماميه، شيخ طوسى،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الشرعيه فى فقه الاماميه، شهيد اول،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المطالب، علامه حلى،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مغنى، ابن قدامه،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الاحكام السلطانيه، ابوالحسن ماوردى،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اهل الذمه، ابن قيم جوزيه،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البارى، ابن اثير،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فصلنامه ميقات حج،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bookmarkStart w:id="126" w:name="pg8931_113715"/>
    </w:p>
    <w:p>
      <w:pPr>
        <w:pStyle w:val="BookText"/>
        <w:rPr/>
      </w:pPr>
      <w:bookmarkEnd w:id="126"/>
      <w:r>
        <w:rPr>
          <w:rFonts w:ascii="IRNazanin" w:hAnsi="IRNazanin" w:eastAsia="IRNazanin"/>
          <w:color w:val="111111"/>
          <w:sz w:val="28"/>
          <w:sz w:val="28"/>
          <w:szCs w:val="28"/>
          <w:rtl w:val="true"/>
          <w:lang w:bidi="fa-IR"/>
        </w:rPr>
        <w:t>دارند و اثر طبيعى آن صفت، نجاست ظاهرى و باطنى است، و از سوى ديگر به حرمت و احترام مسجدالحرام توجه داده است كه اين مسجد احترام دارد، و اين دو صفت ضد با هم جمع شدنى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مسجد شامل مكه نمى شود، ولى از باب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يَقْرَبُوا، به دست مى آيد كه نبايد اين افراد وارد مكه شوند تا درنتيجه به مسجد نزديك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نزديك، يا دوربودن عرفى است، اين مسئله جاى تأمل دارد؛ ولى فارغ از تعيين محدوده اى كه افراد مشرك نمى توانند در آن سكونت كنند، يا در آنجا توطن گزينند، همگان اصل ممنوعيت را پذيرفته اند و همه آيات و روايات در اين باره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نوع و رويكرد حمايت خداوند از اين سرزمين و اهالى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اين جهت همان هدفى است كه حقوق بشر، يعنى حمايت از انسان ها، به دنبال آن است؛ هرچند در محدوده، ميزان و نوع حمايت بين آنچه درآموزه هاى دينى و اسناد حقوق بشرى وجود دارد، تفاوت هايى مشاهده مى شود كه البته اين مسئله به اصل موضوع كه همان حمايت از جان، مال، آبرو و عرض اجتماعى انسان هاست، صدمه اى وارد نمى كند</w:t>
      </w:r>
      <w:r>
        <w:rPr>
          <w:rFonts w:eastAsia="IRNazanin" w:cs="IRNazanin"/>
          <w:color w:val="111111"/>
          <w:sz w:val="28"/>
          <w:szCs w:val="28"/>
          <w:rtl w:val="true"/>
          <w:lang w:bidi="fa-IR"/>
        </w:rPr>
        <w:t>.</w:t>
      </w:r>
    </w:p>
    <w:p>
      <w:pPr>
        <w:pStyle w:val="Heading4"/>
        <w:numPr>
          <w:ilvl w:val="3"/>
          <w:numId w:val="1"/>
        </w:numPr>
        <w:rPr/>
      </w:pPr>
      <w:bookmarkStart w:id="127" w:name="__RefHeading___Toc1313996_2870459653"/>
      <w:bookmarkStart w:id="128" w:name="_Toc45"/>
      <w:bookmarkEnd w:id="127"/>
      <w:r>
        <w:rPr>
          <w:rtl w:val="true"/>
        </w:rPr>
        <w:t>حمايت از حج گزار آسيب پذير</w:t>
      </w:r>
      <w:bookmarkEnd w:id="128"/>
    </w:p>
    <w:p>
      <w:pPr>
        <w:pStyle w:val="BookText"/>
        <w:rPr/>
      </w:pPr>
      <w:r>
        <w:rPr>
          <w:rFonts w:ascii="IRNazanin" w:hAnsi="IRNazanin" w:eastAsia="IRNazanin"/>
          <w:color w:val="111111"/>
          <w:sz w:val="28"/>
          <w:sz w:val="28"/>
          <w:szCs w:val="28"/>
          <w:rtl w:val="true"/>
          <w:lang w:bidi="fa-IR"/>
        </w:rPr>
        <w:t>مى توان از جهت آسيب پذير بودن نيز به حج گزارى كه در مكه و مدينه حاضر مى شود،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يا ناشى از حوادث طبيعى در راه و در حرم است، يا ناشى از حوادث غيرطبيعى كه جان، مال و آبروى افراد را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حمايت از همه اقشار آسيب پذير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گزار از شهروندان عربستان نباشد، قطعاً به عنوان يك بيگانه در آن كشور حاضر مى شود، و امروزه در حقوق بين الملل افراد بيگانه به سبب آسيب پذيرتر بودن از حمايت هاى خاصى برخوردارند؛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مستدرك الوسائل، ميرزاى نورى،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صحيح بخارى،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سنن أبى داوود، أبى داوود،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دامنه اين حمايت ها متفاوت تعريف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منظور حمايت از اين افراد كه براى تعظيم شعائر الهى و تكريم ارزش هاى دينى، جان و مالشان را به خطر انداخته اند، حمايت هاى خاصى را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اصحاب صُفه و عملكرد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اين حمايت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نقل مى كند كه عينيه و اقرع بن حابس و همراهانشان كه از اشراف پولدار بودند،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عرض كردند كه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كاش دربالاى مسجد مى نشستى و اين فقيران تهى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طرد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ما دور تو را مى گيريم و با تو خالص مى شويم، به سخنانت دل مى سپاريم و گوش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در پاسخ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اُتْلُ مٰا أُوحِيَ إِلَيْكَ مِنْ كِتٰابِ رَبِّكَ لاٰ مُبَدِّلَ لِكَلِمٰاتِهِ وَ لَنْ تَجِدَ مِنْ دُونِهِ مُلْتَحَداً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نَفْسَكَ مَعَ اَلَّذِينَ يَدْعُونَ رَبَّهُمْ بِالْغَدٰاةِ وَ اَلْعَشِيِّ يُرِيدُونَ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در ذيل اين آيه فرموده است كه اين آيه بيان كننده رويكردى است كه قصد دارد 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نياوردن اين افراد غمگين شود، كه خود مطلب حقى است، اولويت كار اين است كه صبركند و با افراد فقير مؤمن كه هميشه خداوند را مى خوانند، همراهى نمايد و به كفار توجه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در معناى صبر گفته است، صبر نگهداشتن خويش بر چيزى است كه عقل، يا شرع، و يا هر دو اقتضا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عقل بشرى حاكى از آن است كه از افراد باايمان كه به دليل ايمان در معرض آسيب قرار گرفته اند، بايد حمايت ويژه اى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اين آيه،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پى آنان رفت و آنان را در آخر مسجد يافت كه مشغول ذكر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خدايى را كه من نمردم تا آنكه فرمانم داد خويش را به همراه گروهى از امتم صابر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بين الملل عمومى، ضيايى بيگدلى،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با شماست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خباب بن ارت مى گويد اقرع و عينيه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ديدند كه با بلال، عمار، صهيب و خباب در جمع مؤمنانى بى بضاعت نشسته بودند؛ ازاين رو با حقارت به آنها نگريستند و در خلوت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كه هنگام سخن با امثال اقرع، افراد بى بضاعت، ضعيف و برده ها را دور كند، و هرگاه سخن ايشان تمام شد،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دوباره به جمع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وضعيت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اَلَّذِينَ يَدْعُونَ رَبَّهُمْ بِالْغَدٰاةِ وَ اَلْعَشِيِّ يُرِيدُونَ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تفسير اين آيه بيان شده است كه چنين درخواستى در امت هاى پيشين هم بوده است؛ چنان كه در امت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مطرح شده است و ايشان در جواب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بِطٰارِدِ اَلَّذِينَ آمَنُوا إِنَّهُمْ مُلاٰقُوا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سليمان شأن نزول آيه را درباره مشركان مكه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ابى طالب خواستند كه از پسر برادرش بخواهد فقرا و ضعفا را از خود طرد كند تا آنها ايمان آورند، يا به سخن او گوش دهند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مقتنيات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دقيقاً آنچه از قول خباب بن ارت نقل شد، بيان گرديده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آمده است كه اقرع و عينيه درخواست كردند كه توافق نامه اى در اين باره تنظيم شود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نگارش صدا كردند كه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منصرف شدند و زانو به زانوى ما نشستند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اين مفسر قصه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كرده كه در سوره شعراء، 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به تو ايمان بياوريم، درحالى كه عده اى انسان هاى پست و پايين اجتماعى از تو دنباله 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به آنها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عِلْمِي بِمٰا كٰانُوا يَعْمَلُونَ إِنْ حِسٰابُهُمْ إِلاّٰ عَلىٰ رَبِّي لَوْ تَشْعُرُونَ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فصلنامه ميقات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مقاتل بن سليمان،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مقتنيات الدرر،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129" w:name="pg8931_113718"/>
    </w:p>
    <w:p>
      <w:pPr>
        <w:pStyle w:val="BookText"/>
        <w:rPr/>
      </w:pPr>
      <w:bookmarkEnd w:id="129"/>
      <w:r>
        <w:rPr>
          <w:rFonts w:ascii="IRNazanin" w:hAnsi="IRNazanin" w:eastAsia="IRNazanin"/>
          <w:color w:val="111111"/>
          <w:sz w:val="28"/>
          <w:sz w:val="28"/>
          <w:szCs w:val="28"/>
          <w:rtl w:val="true"/>
          <w:lang w:bidi="fa-IR"/>
        </w:rPr>
        <w:t>تقريباً ديگر مفسران همين گونه صورت مسئله را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براى حمايت از انسان هاى آسيب پذير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دستورى داد تا راه اهم و مهم كردن را به او نشان دهد؛ در نتيجه علاوه بر اينكه حج گزار را بايد فردى آسيب پذير دانست، برخى از حجاج نيز آسيب پذيرترند، كه در هر دو حالت حمايت ويژه از حجاج مطرح مى شود</w:t>
      </w:r>
      <w:r>
        <w:rPr>
          <w:rFonts w:eastAsia="IRNazanin" w:cs="IRNazanin"/>
          <w:color w:val="111111"/>
          <w:sz w:val="28"/>
          <w:szCs w:val="28"/>
          <w:rtl w:val="true"/>
          <w:lang w:bidi="fa-IR"/>
        </w:rPr>
        <w:t>.</w:t>
      </w:r>
    </w:p>
    <w:p>
      <w:pPr>
        <w:pStyle w:val="Heading3"/>
        <w:numPr>
          <w:ilvl w:val="2"/>
          <w:numId w:val="1"/>
        </w:numPr>
        <w:rPr/>
      </w:pPr>
      <w:bookmarkStart w:id="130" w:name="__RefHeading___Toc1313998_2870459653"/>
      <w:bookmarkStart w:id="131" w:name="_Toc46"/>
      <w:bookmarkEnd w:id="130"/>
      <w:r>
        <w:rPr>
          <w:rtl w:val="true"/>
        </w:rPr>
        <w:t>گفتار دوم</w:t>
      </w:r>
      <w:r>
        <w:rPr>
          <w:rtl w:val="true"/>
        </w:rPr>
        <w:t xml:space="preserve">: </w:t>
      </w:r>
      <w:r>
        <w:rPr>
          <w:rtl w:val="true"/>
        </w:rPr>
        <w:t>حقوق حمايتى حجاج</w:t>
      </w:r>
      <w:bookmarkEnd w:id="131"/>
    </w:p>
    <w:p>
      <w:pPr>
        <w:pStyle w:val="Heading4"/>
        <w:numPr>
          <w:ilvl w:val="3"/>
          <w:numId w:val="1"/>
        </w:numPr>
        <w:rPr/>
      </w:pPr>
      <w:bookmarkStart w:id="132" w:name="__RefHeading___Toc1314000_2870459653"/>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همان طوركه پيش تر بيان شد، يكى از مهم ترين و اصلى ترين مراحل حمايت از حجاج يا هر فرد ديگر، به رسميت شناختن حقوق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مرحله حمايت، معنايى جز يك كار اخلاقى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آموزه هاى فقهى مى توان حقوق چندى را براى حجاج شناسايى كرد كه ضرورى مى نمايد اين حقوق در قالب منشور حقوق حجاج و در قوانين داخلى كشور ميزبان و كشور اعزام كننده مدنظر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نكته مهم است كه امروزه در نظام بين المللى حقوق بشرى، مرحله شناسايى و به رسميت شناختن حقوق افراد در قوانين كشورها، اصلى ترين گام حمايتى محسوب مى شود</w:t>
      </w:r>
      <w:r>
        <w:rPr>
          <w:rFonts w:eastAsia="IRNazanin" w:cs="IRNazanin"/>
          <w:color w:val="111111"/>
          <w:sz w:val="28"/>
          <w:szCs w:val="28"/>
          <w:rtl w:val="true"/>
          <w:lang w:bidi="fa-IR"/>
        </w:rPr>
        <w:t>.</w:t>
      </w:r>
    </w:p>
    <w:p>
      <w:pPr>
        <w:pStyle w:val="Heading4"/>
        <w:numPr>
          <w:ilvl w:val="3"/>
          <w:numId w:val="1"/>
        </w:numPr>
        <w:rPr/>
      </w:pPr>
      <w:bookmarkStart w:id="134" w:name="__RefHeading___Toc1314002_2870459653"/>
      <w:bookmarkStart w:id="135" w:name="_Toc48"/>
      <w:bookmarkEnd w:id="134"/>
      <w:r>
        <w:rPr/>
        <w:t>1</w:t>
      </w:r>
      <w:r>
        <w:rPr>
          <w:rtl w:val="true"/>
        </w:rPr>
        <w:t xml:space="preserve">. </w:t>
      </w:r>
      <w:r>
        <w:rPr>
          <w:rtl w:val="true"/>
        </w:rPr>
        <w:t>حق انجام مناسك</w:t>
      </w:r>
      <w:bookmarkEnd w:id="135"/>
    </w:p>
    <w:p>
      <w:pPr>
        <w:pStyle w:val="BookText"/>
        <w:rPr/>
      </w:pPr>
      <w:r>
        <w:rPr>
          <w:rFonts w:ascii="IRNazanin" w:hAnsi="IRNazanin" w:eastAsia="IRNazanin"/>
          <w:color w:val="111111"/>
          <w:sz w:val="28"/>
          <w:sz w:val="28"/>
          <w:szCs w:val="28"/>
          <w:rtl w:val="true"/>
          <w:lang w:bidi="fa-IR"/>
        </w:rPr>
        <w:t>حق درمعناى حق داشتن بر انجام دادن مناسك ضرورى ترين گام حمايت از حجاج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معناى حق داشتن بدان معنا خواهد بود كه حجاج بتوانند براساس فقه خويش و با آزادى و اطمينان كامل مناسك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كسى حق ندارد به ديگرى ايراد وارد كند و مناسك او را خلاف اسلام بداند يا حتى او را به شرك متهم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حقى است كه براى فرد شناخته مى شود تا او بتواند مناسكش را انجام دهد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سوره حج،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گوشزد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أُمَّةٍ</w:t>
      </w:r>
    </w:p>
    <w:p>
      <w:pPr>
        <w:pStyle w:val="BookText"/>
        <w:rPr/>
      </w:pPr>
      <w:r>
        <w:rPr>
          <w:rFonts w:ascii="IRNazanin" w:hAnsi="IRNazanin" w:eastAsia="IRNazanin"/>
          <w:color w:val="111111"/>
          <w:sz w:val="28"/>
          <w:sz w:val="28"/>
          <w:szCs w:val="28"/>
          <w:rtl w:val="true"/>
          <w:lang w:bidi="fa-IR"/>
        </w:rPr>
        <w:t>جَعَلْنٰا مَنْسَكاً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امتى از سوى خداوند مناسك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از اين معنا آن است كه همگى خداى واحد را بپرستند و در برابر او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آيه به طور حتم و جدى به آن توجه شده است، تسليم حجاج در برابر خداوند است، درحالى كه مناسكشان را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مناسك حج از ابتدا تا انتها در راستاى حمايت از مؤمن و حج گزار است و ابعاد مختلف مناسك، همگى با چنين نگاهى درك شدنى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 دورى از محرمات، انجام دادن كارهايى كه انسان براى انجام دادن آن به زحمت مى افتد، همگى با نگاه حمايت از حج گزار در سرزمين وحى است؛ زيرا حمايت، ايجاد</w:t>
      </w:r>
    </w:p>
    <w:p>
      <w:pPr>
        <w:pStyle w:val="BookText"/>
        <w:rPr/>
      </w:pPr>
      <w:r>
        <w:rPr>
          <w:rFonts w:ascii="Amiri" w:hAnsi="Amiri" w:eastAsia="Amiri" w:cs="Amiri"/>
          <w:color w:val="111111"/>
          <w:sz w:val="28"/>
          <w:sz w:val="28"/>
          <w:szCs w:val="28"/>
          <w:rtl w:val="true"/>
          <w:lang w:bidi="ar-SA"/>
        </w:rPr>
        <w:t>فرصت هايى است كه فرد بتواند با برخورداربودن از موقعيت خاص به ارتقاى خود كمك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معنا همه اعمال حج و مناسك فرصت ساز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در دو آيه از اين حق با تعابير نزديك به هم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ذيل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بيان مى كند كه مراد از امت، گروه هاى انسانى پيش از اسلام است، ولى اين آيه امت هاى موجود در زمان نزول آيه را شامل نمى شود؛ زيرا شريعت واحد امت و نبوت عام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ضمن آنكه حقانيت نداشتن مناسك موجود در عصر نزول را اثبات مى كند، بيانگر پذيرش مناسكى است كه در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 اين آيه به معناى حق بودن لحاظ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اين معنا آيه بيانگر آن است كه هر امتى، هرچند امت هاى گذشته، از اين حق برخوردار بودند و خداوند نيز براى آنها چنين حقى را امضا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به عدم منازعه درباره مناسك دستور داده شده است كه حاكى از اين حقيقت است كه كافران نبايد درباره اين منهج الهى گفت وگو، و با آن مخالفت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الوجيز فى تفسيرالكتاب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 را در آيه شريفه، قرن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 كرده، و مناسك را شريعت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برگرفته از روايتى از ابن عباس است و گفته شده، منظور از مناسك، مكانى است كه افراد به يكديگر احساس انس و الفت مى كنند و به اين سبب مناسك حج را مناسك گفته اند، و برخى گفته اند كه منظور موضوع قربانى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تفاسير با ظاهر آيه همخوانى ندارد، ولى حاكى از اين معناست كه مناسك مختلف در امت هاى گذشته پذيرفته شده است و اين مى تواند در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داشته باشد و شناسايى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يكايك مناسك حج نگاه تسليم، و حمايت الهى از حجاج را مى توان مشاهده كرد؛ از ميقات تا احرام، از محرمات تا واجبات احرام، از شرايط طواف تا آداب آن، از سعى و تقصير تا عرفات و مشعر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اعمال حج، گوياى اين واقعيت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براى كسانى كه در زمين موقعيت خاصى يافته اند، انجام دادن چهار كار را مدنظر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نماز، دادن زكات، 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درباره اين آيه به چند نكته مهم توجه كرده اند؛ از سويى اين آيه را ناظر به حالت جمعى دانسته اند، نه فردى و شخصى، يا به عبارت بهتر، هرگاه مؤمنان در روى كره خاكى قدرت مى يابند و مى توانند بدون هرگونه مزاحمتى زندگى كنند، انجام دادن چهار تكليف عبادى را در دستور كارشان قرار مى دهند؛ هرچند در اين مجموعه عده اى به آنها عمل نكنند؛ از طرف ديگر رسيدن به اين موقعيت، هم مى تواند با انجام دادن فعاليت خودشان باشد، و هم به خداوند انتساب داشته باشد؛ زيرا خداوند فرموده است كه سرنوشت هيچ گروهى عوض نمى شود، مگر آنكه آن گروه خود بخواهند تغيير رويه دهند، و همچنين در راستاى توحيد افعالى همه اين تحولات با نظر و خواست خداوند خواهد بود؛ ازاين رو درآيه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ما به آنها فرصت داديم،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چهار عمل شعائر و مناسك جامعه موحدانه و مؤمنانه است كه هركدام به بخشى از تعاملات اجتماعى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ارتباط با خالق و هدايت كردن جامعه به سوى معبود، تأمين معاش و اقتصاد زندگى اجتماعى و درنهايت مراقبت و نظارت اجتماعى در مقام چهار سرمايه اجتماعى بزرگ جامعه مؤمنان و درواقع چهار حق اجتماعى مدنظر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دادن هركدام از اين اعمال عبادى مناسكى خواهد داشت، ولى روشن است كه اين چهار عمل به منزله چهار ركن اداره جامعه است، اما فقط به آنها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يكى ديگر از اقداماتى خواهد بود كه مؤمنان در شرايط استقرار و تمكين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مراسم حج و انجام دادن مناسك حج با وصف جمعى خود در اين معنا مدنظر مى باشد؛ وگرنه افراد ممكن است به هر طريقى و با هر دشوارى به انجام دادن فريضه بزرگ الهى اقدام كنند، آنچه در اين بين مهم است، انجام دادن حج در قالب شعارى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با لحاظ اين مقدمه چند نكته برداشت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شناسايى اين چهار حق به زبان تكليف كه در يك نگرش چهار عمل هستند، حاكى از جايگاه اين اعمال عبادى در حفظ و بقاى يك جامعه دين مدار است و بدون وجود چنين فضايى جامعه مؤمنان نمى تواند دوام بياورد؛</w:t>
      </w:r>
    </w:p>
    <w:p>
      <w:pPr>
        <w:pStyle w:val="BookText"/>
        <w:rPr/>
      </w:pPr>
      <w:r>
        <w:rPr>
          <w:rFonts w:ascii="IRNazanin" w:hAnsi="IRNazanin" w:eastAsia="IRNazanin"/>
          <w:color w:val="111111"/>
          <w:sz w:val="28"/>
          <w:sz w:val="28"/>
          <w:szCs w:val="28"/>
          <w:rtl w:val="true"/>
          <w:lang w:bidi="fa-IR"/>
        </w:rPr>
        <w:t xml:space="preserve">نكته دوم آنكه همه اين موارد در يك ويژگى خاص، يعنى داشتن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اين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مشترك اند؛ به عبارت ديگر رويكرد اين چهار عمل رويكرد حمايتى از جامعه است كه به تبع آن، افراد بيشترى از موقعيت استفاده خواهند كرد؛</w:t>
      </w:r>
    </w:p>
    <w:p>
      <w:pPr>
        <w:pStyle w:val="BookText"/>
        <w:rPr/>
      </w:pPr>
      <w:r>
        <w:rPr>
          <w:rFonts w:ascii="IRNazanin" w:hAnsi="IRNazanin" w:eastAsia="IRNazanin"/>
          <w:color w:val="111111"/>
          <w:sz w:val="28"/>
          <w:sz w:val="28"/>
          <w:szCs w:val="28"/>
          <w:rtl w:val="true"/>
          <w:lang w:bidi="fa-IR"/>
        </w:rPr>
        <w:t>نكته سوم، برخى از اعمال لازمه هرنوع زيستن است؛ از جمله دفاع و جهاد در راه خدا كه افراد، چه در قالب وصف اجتماعى و چه در قالب وصف فردى، بايد آن را انجام دهند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اعمال كه شاخصه هاى زيست اجتماعى موحدانه اند در مقام شعائر الهى</w:t>
      </w:r>
      <w:bookmarkStart w:id="136" w:name="pg8931_113722"/>
    </w:p>
    <w:p>
      <w:pPr>
        <w:pStyle w:val="BookText"/>
        <w:rPr/>
      </w:pPr>
      <w:bookmarkEnd w:id="136"/>
      <w:r>
        <w:rPr>
          <w:rFonts w:ascii="IRNazanin" w:hAnsi="IRNazanin" w:eastAsia="IRNazanin"/>
          <w:color w:val="111111"/>
          <w:sz w:val="28"/>
          <w:sz w:val="28"/>
          <w:szCs w:val="28"/>
          <w:rtl w:val="true"/>
          <w:lang w:bidi="fa-IR"/>
        </w:rPr>
        <w:t>مدنظرند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اين شعائر، نه به صورت فردى، بلكه به صورت گروهى و اجتماعى خواهد بود كه واژه مناسك براى نشان دادن اين معنا، واژه مناسبى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انجام دادن اين اعمال را با وصف گروهى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به اعتبار همين ويژگى و شاخصه جمعى، جنبه حمايتى خود را نشان مى دهد و مؤمنان با تكيه بر اين اعمال عبادى از يكديگر حمايت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فضاسازى معنوى و ايجاد محيط سالم مانع شكل گيرى رفتارهاى غيرانسانى، تحقيركننده، ظلم، استبداد و آزار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فضاى معنوى سالم، فضاى مادى با تكيه بر مسائل اقتصادى نيز مطرح خواهد شد كه مى تواند جامعه را در حد استطاعت مالى قرار دهد؛ امر به معروف و نهى از منكر نيز در مقام دو سرمايه عظيم اجتماعى در نقش ضمانت اجراى مؤثر و كارآمد عمل خواهند كرد</w:t>
      </w:r>
      <w:r>
        <w:rPr>
          <w:rFonts w:eastAsia="IRNazanin" w:cs="IRNazanin"/>
          <w:color w:val="111111"/>
          <w:sz w:val="28"/>
          <w:szCs w:val="28"/>
          <w:rtl w:val="true"/>
          <w:lang w:bidi="fa-IR"/>
        </w:rPr>
        <w:t>.</w:t>
      </w:r>
    </w:p>
    <w:p>
      <w:pPr>
        <w:pStyle w:val="Heading4"/>
        <w:numPr>
          <w:ilvl w:val="3"/>
          <w:numId w:val="1"/>
        </w:numPr>
        <w:rPr/>
      </w:pPr>
      <w:bookmarkStart w:id="137" w:name="__RefHeading___Toc1314004_2870459653"/>
      <w:bookmarkStart w:id="138" w:name="_Toc49"/>
      <w:bookmarkEnd w:id="137"/>
      <w:r>
        <w:rPr/>
        <w:t>2</w:t>
      </w:r>
      <w:r>
        <w:rPr>
          <w:rtl w:val="true"/>
        </w:rPr>
        <w:t xml:space="preserve">. </w:t>
      </w:r>
      <w:r>
        <w:rPr>
          <w:rtl w:val="true"/>
        </w:rPr>
        <w:t>حق نقد و اعتراض</w:t>
      </w:r>
      <w:bookmarkEnd w:id="138"/>
    </w:p>
    <w:p>
      <w:pPr>
        <w:pStyle w:val="BookText"/>
        <w:rPr/>
      </w:pPr>
      <w:r>
        <w:rPr>
          <w:rFonts w:ascii="IRNazanin" w:hAnsi="IRNazanin" w:eastAsia="IRNazanin"/>
          <w:color w:val="111111"/>
          <w:sz w:val="28"/>
          <w:sz w:val="28"/>
          <w:szCs w:val="28"/>
          <w:rtl w:val="true"/>
          <w:lang w:bidi="fa-IR"/>
        </w:rPr>
        <w:t>يكى ديگر از ابعاد حمايتى حج گزار، شناسايى حق نقد و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طبيعى متوليان حج مرتكب اعمالى مى شوند كه مى تواند، اعتراض حجاج را به دنبال داشته باشد، يا حج گزار شاهد اعمالى خواهد بود كه جاى اعتراض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براى حج گزار اين حق شناسايى شده باشد كه او بتواند انتقاد كند، معناى سخن آن خواهد بود كه حاجى در اين زمينه حمايت لازم را دارد و چنانچه اين حق مدنظر قرار نگيرد، مى توان گفت سپر حمايتى ديگرى در اين زمينه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اين حقيقت اشاره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مفسران درباره اين آيه ديدگاه هاى يكسانى ندارند؛ مثلاً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قيام را تلاش براى معاش و مكاسب دانسته است؛ زيرا حج جاى تجارت و به دست آوردن انواع بركات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به صورت گسترده اى به آيه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 هم امور مادى و معنوى، و هم امور فردى و اجتماعى را لحاظ كرده و امورى مانند انفاق به فقرا، آماده كردن بازارها، ديدار نزديكان، شناختن افراد بيگانه، تقارن قلوب، پاكى ارواح، تقويت قواى كشور، وحدت و همبستگى ملت، حيات دين و بالا رفتن علم دين و پرچم توحيد را در اين معنا مدنظر قرار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مى توان گفت اين معنا، به موارد پيش منحصر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مناسبات اجتماعى يكى از امورى كه سبب قوام جامعه است، پذيرش حق انتقاد مى باشد؛ بنابراين اينكه در اين مكان حجاج بتوانند از عملكردها بپرسند، كه تداعى كننده وضعيت قيامت نيز مى باشد، بيانگر حقيقت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انتقاد را بر نمى تابند، اصولاً دليلى بر شناسايى اين حق در قوانين خود نمى بينند؛ آنها مانند افراد متكبر و خودپسندند و طبيعى است كه چنين افراد يا چنين دولتى از وادى محبت حق خارج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انتقاد پذيرفته شود، سبب هدايت و رشد مى شود و رهايى از خطا و پاك شدن از آلودگى و رفع اشتباه را به دنبال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رويكرد امنيتى به مقوله انتقاد، آرامش حج گزار را از بين مى برد و او را به اصل بد خودسانسورى مبتلا مى كند و تعامل سازنده حجاج را با يكديگر نابود مى كند و عملاً فرصت خدمت واقعى را از دولت مى 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شرايط اعمال اين حق مانند ديگر حقوق منوط به حوصله و سعه صدر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كنارنهادن حب و بغض ها، فهم سخن و تبحر در موضوع، داشتن درك منطقى از مسئله پرهيز از مجادله باطل، نقد انگيخته به جاى انگيزه، تفكيك انديشه و رفتار فرد، پرهيز از اتهام و برچسب شرك و مشرك زدن به ديگران، و از خود آغازكردن، از ديگر ضوابط و اخلاق حاكم بر نقد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اين معنا كه حج بهترين مكان و زمان براى تعامل منطقى مسلمانان 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ادب و آداب زائر، انصاريان،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آيين زندگى، احمدحسين شريفى،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يكديگر است، اقتضا دارد آنان بتوانند و حق داشته باشند كه از يكديگر انتقاد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اين حق به معناى درست بودن آنچه منتقد مى گويد نيست؛ بلكه معناى برخوردار شدن از فرصت بيان و يادآورى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فرصت را از بين مى برد، رعايت نكردن نكات اخلاقى در بيان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برخى از افراد در بقيع شريف گوياى اين واقعيت تلخ است كه اخلاق دينى رعايت نمى شود و بدتر از آن، اگر حجاج دولت عربستان را نقد كنند، ممكن است مسئله با رويكرد امنيتى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اين رفتارها فرصت سوزى در امت اسلامى است و برخى به دليل آنكه خود را حق مطلق در فهم و اجراى دين خدا مى دانند، آن را اجرا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گفتنى است كه گاهى انتقادات از شيعه و شيعيان در سرزمين وحى ناشى از عملكرد غلط و رفتار ناشايست حج گزار است؛ رفتارهايى كه به ويژه برخى از عوام به قصد تبرك جستن انجام مى دهند، مانند رفتار يكى از حجاج ايرانى كه براى پسردارشدن در كنار بيت الله الحرام آب زمزم را بر روى آلت خود ريخت و نزديك بود كه او نيز به سرنوشت ابوطالب يزدى مبتلا شود كه براى رهايى، خود را به حالت جنون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ديگر از اشكالات، ناشى از تعصب باطل يا تصميم براى ايجاد اختلاف و جدايى ميان مسلمانان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مكتبى است كه براى نيت فرد اعتبار و احترام قائل شده و نيت او را بهتر از عملش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 چرا نبايد در نقد و انتقاد به اين موضوع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اين وادى بسيار است، اما فقط به بيان يك مورد از روش سلف در مواجهه با نقد و انتقاد خيرخواهانه بسنده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جنگ احد مسلمانان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مى كردند كه مگر خداوند به ما وعده پيروزى نداده بود، پس چرا ما شكست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صَدَقَكُمُ اَللّٰهُ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فَشِلْتُمْ وَ تَنٰازَعْتُمْ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قرآنى حاكى از ضرورت پاسخ گويى دولت در برابر انتقادات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افشاى يك توطئه، على آل محسن،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bookmarkStart w:id="139" w:name="pg8931_113725"/>
    </w:p>
    <w:p>
      <w:pPr>
        <w:pStyle w:val="BookText"/>
        <w:rPr/>
      </w:pPr>
      <w:bookmarkEnd w:id="139"/>
      <w:r>
        <w:rPr>
          <w:rFonts w:ascii="IRNazanin" w:hAnsi="IRNazanin" w:eastAsia="IRNazanin"/>
          <w:color w:val="111111"/>
          <w:sz w:val="28"/>
          <w:sz w:val="28"/>
          <w:szCs w:val="28"/>
          <w:rtl w:val="true"/>
          <w:lang w:bidi="fa-IR"/>
        </w:rPr>
        <w:t>وارده و گوشزد كردن خطاى ديگران يا پذيرش خطاى خود است و نكته مهم آنكه مؤمن را به سبب يك خلاف نبايد از صفوف اهل ايمان خارج دانست؛ بلكه از يك سو با هشدار و از سوى ديگر با تشويق بايد دلگرمى ايجاد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عَفٰا عَنْكُمْ وَ اَللّٰهُ ذُو فَضْلٍ عَلَى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اين آستانه تحمل را ندارند، به صورت طبيعى نمى توانند عهده دار منصب حاكميتى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در مقام دولت ميزبان در كنار همه خدماتى كه براى حجاج انجام مى دهد، نبايد خود را از اين قاعده مستثنا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برعكس بايد با طراحى فضاهاى مناسب و ايجاد امنيت كامل روحى و روانى، انتقادات مختلف را بپذيرد؛ زيرا سيره و سنت اسلامى به همين منوال است</w:t>
      </w:r>
      <w:r>
        <w:rPr>
          <w:rFonts w:eastAsia="IRNazanin" w:cs="IRNazanin"/>
          <w:color w:val="111111"/>
          <w:sz w:val="28"/>
          <w:szCs w:val="28"/>
          <w:rtl w:val="true"/>
          <w:lang w:bidi="fa-IR"/>
        </w:rPr>
        <w:t>.</w:t>
      </w:r>
    </w:p>
    <w:p>
      <w:pPr>
        <w:pStyle w:val="Heading4"/>
        <w:numPr>
          <w:ilvl w:val="3"/>
          <w:numId w:val="1"/>
        </w:numPr>
        <w:rPr/>
      </w:pPr>
      <w:bookmarkStart w:id="140" w:name="__RefHeading___Toc1314006_2870459653"/>
      <w:bookmarkStart w:id="141" w:name="_Toc50"/>
      <w:bookmarkEnd w:id="140"/>
      <w:r>
        <w:rPr/>
        <w:t>3</w:t>
      </w:r>
      <w:r>
        <w:rPr>
          <w:rtl w:val="true"/>
        </w:rPr>
        <w:t xml:space="preserve">. </w:t>
      </w:r>
      <w:r>
        <w:rPr>
          <w:rtl w:val="true"/>
        </w:rPr>
        <w:t>حق همزيستى و صلح</w:t>
      </w:r>
      <w:bookmarkEnd w:id="141"/>
    </w:p>
    <w:p>
      <w:pPr>
        <w:pStyle w:val="BookText"/>
        <w:rPr/>
      </w:pPr>
      <w:r>
        <w:rPr>
          <w:rFonts w:ascii="IRNazanin" w:hAnsi="IRNazanin" w:eastAsia="IRNazanin"/>
          <w:color w:val="111111"/>
          <w:sz w:val="28"/>
          <w:sz w:val="28"/>
          <w:szCs w:val="28"/>
          <w:rtl w:val="true"/>
          <w:lang w:bidi="fa-IR"/>
        </w:rPr>
        <w:t>پذيرش حق برخوردارشدن و بهره مندشدن از همزيستى و صلح در كنار يكديگر را در فضاى مناسكى حج بايد ابزار حمايتى مهمى از حج گزار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سوره آل عمران، آيه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در توصيف بيت الله الحرام به چند ويژگى مهم اشاره كرده است؛ از سوى اين مكان را نخستين خانه اى مى داند كه براى مردم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مهم با چنين وصفى، هم داراى وصف بكه است، هم مبارك، و هم مايه هدايت همه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در تفسير اين آيه فرموده اند، منظور از بكه ارض و زمين بيت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بكه كنايه از ازدحام و شلوغى جمعيت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 نوع ازدحامى مبارك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ادامه به وصف بعدى، يعنى مبارك بودن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اجتماعى را مبارك و ميمون دانست كه افرادش از اختلاف، تفرقه، كينه و عداوت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شلوغى و ازدحامى كه همراه عشق، همدلى و همراهى باشد، مبارك و مايه خير و بركت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اجتماعى مى تواند مايه هدايت نيز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درسنامه فرهنگ نامه اسرار و معارف حج، ص </w:t>
      </w:r>
      <w:r>
        <w:rPr>
          <w:rFonts w:eastAsia="IRNazanin" w:cs="IRNazanin"/>
          <w:color w:val="111111"/>
          <w:sz w:val="28"/>
          <w:szCs w:val="28"/>
          <w:lang w:bidi="fa-IR"/>
        </w:rPr>
        <w:t>25</w:t>
      </w:r>
      <w:r>
        <w:rPr>
          <w:rFonts w:eastAsia="IRNazanin" w:cs="IRNazanin"/>
          <w:color w:val="111111"/>
          <w:sz w:val="28"/>
          <w:szCs w:val="28"/>
          <w:rtl w:val="true"/>
          <w:lang w:bidi="fa-IR"/>
        </w:rPr>
        <w:t>.</w:t>
      </w:r>
      <w:bookmarkStart w:id="142" w:name="pg8931_113726"/>
    </w:p>
    <w:p>
      <w:pPr>
        <w:pStyle w:val="BookText"/>
        <w:rPr/>
      </w:pPr>
      <w:bookmarkEnd w:id="142"/>
      <w:r>
        <w:rPr>
          <w:rFonts w:ascii="IRNazanin" w:hAnsi="IRNazanin" w:eastAsia="IRNazanin"/>
          <w:color w:val="111111"/>
          <w:sz w:val="28"/>
          <w:sz w:val="28"/>
          <w:szCs w:val="28"/>
          <w:rtl w:val="true"/>
          <w:lang w:bidi="fa-IR"/>
        </w:rPr>
        <w:t>از علامت هاى ديگر اجتماع مبارك آن است كه جدال، رفث و فسوق در آن وجود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در اين اجتماع كار خير، اساس همه كارها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حق همزيستى و صلح يكى از آرزوهاى ملل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متحد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پس از دو جنگ خانمان سوز جهانى كه قريب صد ميليون كشته و مفقود به جا گذاشت، در پى شناسايى اين حق در مفاد قانونى خود بر آمد و توانست در ماده يك و دو منشور، با ادبيات مختلفى اين حق را تعبيه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توصيف بيت الله با واژگانى كه همگى حاكى از وجود و پذيرش اين حق براى مسلمانان است، از آنان مى خواهد كه اين فضاى مبارك را دستخوش رفث، فسوق و جدال خود قرار ندهند كه كاملاً براساس حمايت از حجاج نيز تعريف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نكته ضرورى است كه بعد حمايتى اين حق از حجاج در سرزمين وحى آثار و بركات فراوانى دارد كه يكى از آن آثار پرخير، ايجاد زمينه گفت وگوهاى مختلف بين فرقه هاى اسلامى در راستاى فهم مفاد و محتوا دين خواهد شد</w:t>
      </w:r>
      <w:r>
        <w:rPr>
          <w:rFonts w:eastAsia="IRNazanin" w:cs="IRNazanin"/>
          <w:color w:val="111111"/>
          <w:sz w:val="28"/>
          <w:szCs w:val="28"/>
          <w:rtl w:val="true"/>
          <w:lang w:bidi="fa-IR"/>
        </w:rPr>
        <w:t>.</w:t>
      </w:r>
    </w:p>
    <w:p>
      <w:pPr>
        <w:pStyle w:val="Heading4"/>
        <w:numPr>
          <w:ilvl w:val="3"/>
          <w:numId w:val="1"/>
        </w:numPr>
        <w:rPr/>
      </w:pPr>
      <w:bookmarkStart w:id="143" w:name="__RefHeading___Toc1314008_2870459653"/>
      <w:bookmarkStart w:id="144" w:name="_Toc51"/>
      <w:bookmarkEnd w:id="143"/>
      <w:r>
        <w:rPr/>
        <w:t>4</w:t>
      </w:r>
      <w:r>
        <w:rPr>
          <w:rtl w:val="true"/>
        </w:rPr>
        <w:t xml:space="preserve">. </w:t>
      </w:r>
      <w:r>
        <w:rPr>
          <w:rtl w:val="true"/>
        </w:rPr>
        <w:t>حق داشتن شهر امن</w:t>
      </w:r>
      <w:bookmarkEnd w:id="144"/>
    </w:p>
    <w:p>
      <w:pPr>
        <w:pStyle w:val="BookText"/>
        <w:rPr/>
      </w:pPr>
      <w:r>
        <w:rPr>
          <w:rFonts w:ascii="IRNazanin" w:hAnsi="IRNazanin" w:eastAsia="IRNazanin"/>
          <w:color w:val="111111"/>
          <w:sz w:val="28"/>
          <w:sz w:val="28"/>
          <w:szCs w:val="28"/>
          <w:rtl w:val="true"/>
          <w:lang w:bidi="fa-IR"/>
        </w:rPr>
        <w:t>امروزه همگان ضرورت وجود مكان ها و شهرهايى كه حالت بى طرفى داشته باشند و در آنجا جنگ و آثار مخرب و ويرانگر آن نباشد،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وجودى چنين فضاهايى ايجاد بسترهاى حمايتى لازم از افراد و انسان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داشتن محيط آرام، هرچند به صورت محدود، ضرورت وجود فرصت هايى براى توليد علم و نشر آموزه هاى علمى و بهره مندشدن از موقعيت هايى كه بتوان در آن به مبادله تجارب پرداخت، و درنهايت ايجاد فضاهايى كه افراد بتوانند در آن باكمال آرامش، ضمن انجام دادن تكاليف فردى به حقوق فردى و اجتماعى خود دسترسى يابند، از ديگر دلايل پذيرش شهر امن و بى طرف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درسنامه فرهنگ نامه اسرار و معارف حج،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و آموزه هاى اسلامى با نگاه خاص و تقريباً منحصر به فردى به تبيين اين معنا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همگان واژه امت واحده را در قرآن پذيرفته اند كه معناى اين واژه قرآنى آن است كه مكان امن مدنظر، براى گروه خاصى نخواهد بود؛ بلكه براى تمام مسلمانان اين فضا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شهروند جهانى با برخوردارشدن از حقوق يكسان، از جمله نوآورى هاى شرع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هنوز اين معنا در جهان شكل حقوقى نيافته است و فقط در ادبيات سياسى و روابط بين المللى مطرح مى شود و حالت دكترين و انديشه حقوقى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پذيرش اين معنا، حجم گسترده اى از انسان هاى موحد به نام مسلمانان را گرد هم جمع مى كند و آنها را امت واحده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آن گاه امت خواهد بود كه امامى با شايستگى هاى خاص داشته باشد كه فقه اماميه آن را به خوبى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امام و امت در سرزمينى به نام بيت الله الحرام، مناسب ترين زمينه حمايت را فراهم آورده است؛ از سويى مكان امن و امامى معصوم، و از طرفى امت نمونه و واحده، همگى در يك سمت و سو براى تحقق حمايت از حجاج معنا و مفهوم خود را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عده اى كه بيشتر با افكار سلفى و تكفيرى انس گرفته اند، ادعا كنند چگونه مى توانند شاهد وجود رفتارهاى شرك آلود باشند و در عين حال از آنها خواسته شود با اين نوع افراد كه در مكه حاضر شده اند، به صورت مسالمت آميز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چند نكته مى توان توجه كرد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كردن درباره حقوق مسلمانان و كيفيت مسلمانى آنان با ادبيات پيش گفته در معناى حق بودن متصور است؛ درحالى كه حقوق بشرى حجاج در معناى حق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سخن از حق و باطل، و كفر و شرك در ميان نيست؛ بلكه سخن از بود و نبود يك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حج گزار مسلمان است كه بتواند در فضاى صلح و دوستى و به دور از تحمل رفتارهاى خشن، غيرانسانى و تحقيركننده، مناسك حجش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اين همان سخن الهى است كه كعبه و بيت الله را مكان امن قرار داده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حق در معناى حق بودن، ديگر فرقه هاى اسلامى از جمله شيعيان در ارتباط با خداوند تبارك و تعالى ديدگاه مشتركى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نسبتاً واحدى دارند و صفات جلال و جمال آن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برخى به تجسيم معتقد شدند، ولى فارغ از ديدگاه آنها و در كل، مى توان اين ادعا را مطرح كرد كه مسلمانان درباره خداوند تبارك و تعالى نگرش واحدى دارند؛ چنان كه درباره پيامبر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قضيه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به ديگران اتهام شرك زدن توجيه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سوره آل عمران،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مى خواهد كه با مؤمنان وحدت و اتحاد داشته باشند و زندگى مسالمت آميزى را دنبال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تَعٰالَوْا إِلىٰ كَلِمَةٍ سَوٰاءٍ بَيْنَنٰا وَ بَيْنَكُمْ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كلمه مشترك چيزى نيست جز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رهگذر عبادت الله شرك نيز رخت برمى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كلمه و حقيقت الله را محور مشترك اهل كتاب و مسلمانان مى داند، به طريق اولى بايد گفت كه اين كلمه مشترك ميان مسلمانان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نيز بدان دليل است كه مسيحيان در فهم حقيقت الله، تثليث را مطرح مى كنند و يهوديان تقاضاى ديدن الله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درحالى كه مسلمانان، يا دست كم شيعيان، هيچ كدام از اين تصورات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سلفى ها بايد پرسيد آيا انحراف اهل كتاب، از جمله مسيحيان در اعمال و اعتقادات، بيشتر است كه اصولاً شرع انور اسلام را قبول نكرده اند، يا گروهى از مسلمانان، از جمله شيعيان؟ با كمى انصاف و به دور از هرگونه تعصب و جدال نكوهيده، مى توان قضاوت كرد كه وضعيت شيعه بايد بسيار از وضعيت اهل كتاب بهتر باشد؛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آنچه مى تواند حق صلح و آرامش را سلب كند، بى نظمى و ايجاد اختلال در حقوق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تأمل در فتاواى مراجع شيعه حاكى از همدلى و همراهى شيعيان در اعمال عبادى و مناسكى حج است كه حتى اگر فتاواى همراهى هم نبود، باز</w:t>
      </w:r>
      <w:bookmarkStart w:id="145" w:name="pg8931_113729"/>
    </w:p>
    <w:p>
      <w:pPr>
        <w:pStyle w:val="BookText"/>
        <w:rPr/>
      </w:pPr>
      <w:bookmarkEnd w:id="145"/>
      <w:r>
        <w:rPr>
          <w:rFonts w:ascii="IRNazanin" w:hAnsi="IRNazanin" w:eastAsia="IRNazanin"/>
          <w:color w:val="111111"/>
          <w:sz w:val="28"/>
          <w:sz w:val="28"/>
          <w:szCs w:val="28"/>
          <w:rtl w:val="true"/>
          <w:lang w:bidi="fa-IR"/>
        </w:rPr>
        <w:t>شيعيان به دنبال ايجاد بى نظمى در اعمال حقوق ديگران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مناسك حج فقها، به ويژه فقهاى شيعه، گوياى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ادعا كرد كه عمل كردن به اين حق باعث بى نظمى يا خلاف اخلاق حسنه و يا خلاف مسلمات شرعى مورد قبول همگان نمى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آنكه فلسفه وجودى حق صلح و آسايش، بهره مندشدن حجاج از صفاى آرامش و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بهره مندى زمانى رخ مى دهد كه بى نظمى و هرج و مرج وجود نداشته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و شمايل مناسك حج نيز چيزى جز ايجاد وحدت نيست؛ از ورود به حرم با لباس احرام گرفته، تا طواف منظم جمعيت به دور خانه كعبه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 مناسك، بيانگر و تأييد كننده ادعاى فوق است</w:t>
      </w:r>
      <w:r>
        <w:rPr>
          <w:rFonts w:eastAsia="IRNazanin" w:cs="IRNazanin"/>
          <w:color w:val="111111"/>
          <w:sz w:val="28"/>
          <w:szCs w:val="28"/>
          <w:rtl w:val="true"/>
          <w:lang w:bidi="fa-IR"/>
        </w:rPr>
        <w:t>.</w:t>
      </w:r>
    </w:p>
    <w:p>
      <w:pPr>
        <w:pStyle w:val="Heading4"/>
        <w:numPr>
          <w:ilvl w:val="3"/>
          <w:numId w:val="1"/>
        </w:numPr>
        <w:rPr/>
      </w:pPr>
      <w:bookmarkStart w:id="146" w:name="__RefHeading___Toc1314010_2870459653"/>
      <w:bookmarkStart w:id="147" w:name="_Toc52"/>
      <w:bookmarkEnd w:id="146"/>
      <w:r>
        <w:rPr/>
        <w:t>5</w:t>
      </w:r>
      <w:r>
        <w:rPr>
          <w:rtl w:val="true"/>
        </w:rPr>
        <w:t xml:space="preserve">. </w:t>
      </w:r>
      <w:r>
        <w:rPr>
          <w:rtl w:val="true"/>
        </w:rPr>
        <w:t>حق انجام دادن عبادت</w:t>
      </w:r>
      <w:bookmarkEnd w:id="147"/>
    </w:p>
    <w:p>
      <w:pPr>
        <w:pStyle w:val="BookText"/>
        <w:rPr/>
      </w:pPr>
      <w:r>
        <w:rPr>
          <w:rFonts w:ascii="IRNazanin" w:hAnsi="IRNazanin" w:eastAsia="IRNazanin"/>
          <w:color w:val="111111"/>
          <w:sz w:val="28"/>
          <w:sz w:val="28"/>
          <w:szCs w:val="28"/>
          <w:rtl w:val="true"/>
          <w:lang w:bidi="fa-IR"/>
        </w:rPr>
        <w:t>عبادت كردن در موسم حج و بلكه در هر زمان و مكان ديگر، به عنوان يك حق و بلكه در قالب تكليف از موحدان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اسلام با تبيين انواع تكاليف عبادى واجب و مستحب، فضاى مناسبى براى انجام دادن عبادت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گيرى مساجد در اسلام در پرتو آموزه هاى اسلامى و سنت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و مركزيت بخشى به آن، به رسميت شناختن حق بر انجام دادن عبادت بود؛ زيرا همواره احداث مسجد با محوريت عبادت است و ديگر كارها نيز با حفظ موقعيت عبادى مسجد رقم مى خورد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انجام دادن عبادت زمانى جنبه حمايتى خود را نشان مى دهد كه امكان انجام دادن آن در مكان امن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سوره بقره، آيه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به دو پيامبر بزرگ خود دستور مى دهد كه خانه مرا براى عبادت كنندگان پاكيزه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امرى فراتر از امنيت است؛ زيرا از مأموريتى بزرگ حكايت مى كند كه بايد انسان هاى بزرگ براى حج گزاران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همين آيه اشاره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إِبْرٰاهِيمَ مُصَلًّى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مصلى اسم مكان است؛ يعنى محلى براى نماز</w:t>
      </w:r>
      <w:r>
        <w:rPr>
          <w:rFonts w:eastAsia="IRNazanin" w:cs="IRNazanin"/>
          <w:color w:val="111111"/>
          <w:sz w:val="28"/>
          <w:szCs w:val="28"/>
          <w:rtl w:val="true"/>
          <w:lang w:bidi="fa-IR"/>
        </w:rPr>
        <w:t>.</w:t>
      </w:r>
      <w:bookmarkStart w:id="148" w:name="pg8931_113730"/>
    </w:p>
    <w:p>
      <w:pPr>
        <w:pStyle w:val="BookText"/>
        <w:rPr/>
      </w:pPr>
      <w:bookmarkEnd w:id="148"/>
      <w:r>
        <w:rPr>
          <w:rFonts w:ascii="IRNazanin" w:hAnsi="IRNazanin" w:eastAsia="IRNazanin"/>
          <w:color w:val="111111"/>
          <w:sz w:val="28"/>
          <w:sz w:val="28"/>
          <w:szCs w:val="28"/>
          <w:rtl w:val="true"/>
          <w:lang w:bidi="fa-IR"/>
        </w:rPr>
        <w:t>از جمع دو آيه شريفه به دست مى آيد كه نخست حق انجام دادن عبادت شناسايى مى شود و دوم اين عبادت، هم بايد در خانه امن باشد و هم همراه با پاكيزگى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ضرورت تأمين آرامش براى عبادت حج گزار در چنين فضايى تكليف كسانى است كه مسئوليت اداره بيت الله را به عهده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انجام دادن عبادت مى تواند به صورت هاى مختلفى باشد و نماز يكى</w:t>
      </w:r>
    </w:p>
    <w:p>
      <w:pPr>
        <w:pStyle w:val="BookText"/>
        <w:rPr/>
      </w:pPr>
      <w:r>
        <w:rPr>
          <w:rFonts w:ascii="IRNazanin" w:hAnsi="IRNazanin" w:eastAsia="IRNazanin"/>
          <w:color w:val="111111"/>
          <w:sz w:val="28"/>
          <w:sz w:val="28"/>
          <w:szCs w:val="28"/>
          <w:rtl w:val="true"/>
          <w:lang w:bidi="fa-IR"/>
        </w:rPr>
        <w:t>از اشكال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انجام دادن نماز، نبايد و نمى تواند بهانه اى براى برهم زدن آرامش حج گزار در هنگام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هاى مختلفى براى ازبين بردن امنيت و آرامش وجود دارد كه بخشى از آن در سخنان مفتى ها و فتاواى آنها خود را نشان مى دهد و بخش ديگر در عملكرد مأموران عربستانى و دولت ايشان، و برخى ديگر در قالب افرادى كه مسئوليت امر به معروف و نهى از منكر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دولت عربستان جلوگيرى از رفتار هر فرد يا گروهى است كه امنيت مردم را هنگام عبادت بر 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هيچ توجيه قانونى، يا فقهى براى ايجاد ناامنى روحى و روانى براى حج گزار وجود ندارد</w:t>
      </w:r>
      <w:r>
        <w:rPr>
          <w:rFonts w:eastAsia="IRNazanin" w:cs="IRNazanin"/>
          <w:color w:val="111111"/>
          <w:sz w:val="28"/>
          <w:szCs w:val="28"/>
          <w:rtl w:val="true"/>
          <w:lang w:bidi="fa-IR"/>
        </w:rPr>
        <w:t>.</w:t>
      </w:r>
    </w:p>
    <w:p>
      <w:pPr>
        <w:pStyle w:val="Heading4"/>
        <w:numPr>
          <w:ilvl w:val="3"/>
          <w:numId w:val="1"/>
        </w:numPr>
        <w:rPr/>
      </w:pPr>
      <w:bookmarkStart w:id="149" w:name="__RefHeading___Toc1314012_2870459653"/>
      <w:bookmarkStart w:id="150" w:name="_Toc53"/>
      <w:bookmarkEnd w:id="149"/>
      <w:r>
        <w:rPr/>
        <w:t>6</w:t>
      </w:r>
      <w:r>
        <w:rPr>
          <w:rtl w:val="true"/>
        </w:rPr>
        <w:t xml:space="preserve">. </w:t>
      </w:r>
      <w:r>
        <w:rPr>
          <w:rtl w:val="true"/>
        </w:rPr>
        <w:t>حق برائت جستن</w:t>
      </w:r>
      <w:bookmarkEnd w:id="150"/>
    </w:p>
    <w:p>
      <w:pPr>
        <w:pStyle w:val="BookText"/>
        <w:rPr/>
      </w:pPr>
      <w:r>
        <w:rPr>
          <w:rFonts w:ascii="IRNazanin" w:hAnsi="IRNazanin" w:eastAsia="IRNazanin"/>
          <w:color w:val="111111"/>
          <w:sz w:val="28"/>
          <w:sz w:val="28"/>
          <w:szCs w:val="28"/>
          <w:rtl w:val="true"/>
          <w:lang w:bidi="fa-IR"/>
        </w:rPr>
        <w:t>در ادبيات نظام بين المللى حقوق بشر، حقوق به سه دسته تقسيم مى شود كه به نسل اول و دوم و سوم معروف شده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اشاره شد، حقوق نسل سوم، حقوقى است كه منفعت و ضرر آن به جمع برمى گردد و اين گونه نيست كه افراد در اجراى آن، حق فردى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رويكرد حقوق نسل سوم بيشتر به تكليف شبيه است تا حق؛ مثلاً حق صلح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داشتن اين محيط به نفع همگان است و همگان از آن منتفع خواهند شد؛ چنان كه فقدان آن به ضرر همگان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Morgan Faster, OP.clt.p1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مندرج در آموزه هاى روايى و قرآنى كه حاكى از اهتمام بخشى به حج است، بيانگر اين معناست كه مى توان آن را با معنا و مفهوم ادبيات حقوق بشر نسل سوم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برخى از اين آموزه ها به منظور تأييد سخن ضرورى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جامع بسيارى از عبادت ها دانسته اند كه به حج اختصاص دارد و در هيچ عبادت ديگرى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جواهرالكلام، مقدمه كتاب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معبد براى عبادت كه در</w:t>
      </w:r>
    </w:p>
    <w:p>
      <w:pPr>
        <w:pStyle w:val="BookText"/>
        <w:rPr/>
      </w:pPr>
      <w:r>
        <w:rPr>
          <w:rFonts w:ascii="IRNazanin" w:hAnsi="IRNazanin" w:eastAsia="IRNazanin"/>
          <w:color w:val="111111"/>
          <w:sz w:val="28"/>
          <w:sz w:val="28"/>
          <w:szCs w:val="28"/>
          <w:rtl w:val="true"/>
          <w:lang w:bidi="fa-IR"/>
        </w:rPr>
        <w:t>اختيار مردم قرار گرفته است، اين خصوصيات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بودن، موجب قوام بودن مردم، هدايتگر جهانيان، برخوردارى از احترام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شعاربودن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ذكرالله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گره خوردن با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دورى گزيدن از جدال و مخاصمه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جايگاه كار خير و تعاون و همكارى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شدت حفاظت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از همه حرام بودن تعطيل كردن بيت الله كه روايات بسيارى درباره آن وارد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حاكى از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مقدمه بايد گفت برائت يكى از مصاديق چنين حقى است؛ زيرا برائت از مشركان از اجزاى انفكاك ناپذير مراسم عبادى سياسى حج ابراهيمى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آنكه اين حق به دليل اهميت خاص آن رنگ تكليف به خود گرفته است، اما دولت سعودى به صراحت اعلام مى كند كه هيچ جايگاهى براى برپايى مراسم برائت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كردن طرف ايرانى، بلكه كليه زوار از اين حق الهى توجيه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طرف ايرانى طى توافق نامه منعقده با طرف عربستانى در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انجام دادن اين مراسم كه با رعايت نظم و انضباط و عدم اخلال با برنامه ديگر حجاج در منا و عرفات و در محل استقرار خيمه ايرانى ها، يا در روز ششم ذى الحجه مقابل ستاد امور حجاج ايرانى برگزار مى شود،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مندرج در اين توافق نامه حاكى از نوع پافشارى دولت ايران بر انجام دادن اين مراسم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ما قامت الكعبه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الله في بيت ربكم لا تخلوه ما بقيتم فانه ان ترك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ش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عطلوه سنة واحده لم يناظروا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درحالى كه دولت عربستان هيچ انگيزه اى براى به رسميت شناختن اين حق بنيادين حجاج در سرزمين وحى،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پاراگراف چهارم از بند سوم اين توافق نامه دولت سعودى به مصداق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فِي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ايرانى مى خواهد كه از انجام دادن هر كارى كه به نظم موجود در مراسم حج لطمه مى زند،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حجاج را از انجام دادن، عبادت و اداى مناسك باز دارد،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آنكه آن قدر هدف حج ناديده گرفته شده كه تنها حق لحاظشده براى حج گزار آن است كه به مثابه يك مسافر فقط مجاز است مقدار خاصى توشه بردارد، و فقط در يك دالان خاصى بايد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 تنها بايد ببيند فقه حاكم در عربستان چه مى گويد و مستقيم يا غيرمستقيم آن را اجرا كند و تنها در جايى مجاز است از فقه خود پيروى كند كه هيچ آثار اجتماعى براى دولت سعودى در پى نداشته باشد؛ درحالى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هجرت، زمانى كه شانزده آيه آغازين سوره برائت بر قلب نازنين آن حضرت نازل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كرد تا بيانيه برائت از مشركان را در مراسم حج بخواند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معظمه بيت عبادت و معرفت و كانون هدايت، دعوت، رحمت و مغفرت و جايگاه مجد و عظمت اسلام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مكه پيشانى بلند و باعظمت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به سبب قداست و جلالت خاصش، جاى افراد مشرك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و ديانت اقتضا مى كند كه چنين مكانى به صورت انحصارى در اختيار موحدان مؤمن باشد؛ ازاين رو برائت يعنى اعلام بيزارى و دورى از كسانى كه حريم و حرمت اين مكان را به رسميت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ماهيت قيام بودن مكه در قرآن كريم 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اقتضاى اين حقيقت را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قيام براى خداوند آن است كه همه ارزش هاى الهى تكريم، و همه ضدارزشها كنار گذاشته شود و اگر اين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آيين وهابيت، جعفر سبحانى،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آيينه رمضان، محمدحسين فلاح زاده،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ابعاد سياسى و اجتماعى حج، محمدتقى رهبر،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151" w:name="pg8931_113733"/>
    </w:p>
    <w:p>
      <w:pPr>
        <w:pStyle w:val="BookText"/>
        <w:rPr/>
      </w:pPr>
      <w:bookmarkEnd w:id="151"/>
      <w:r>
        <w:rPr>
          <w:rFonts w:ascii="Amiri" w:hAnsi="Amiri" w:eastAsia="Amiri" w:cs="Amiri"/>
          <w:color w:val="111111"/>
          <w:sz w:val="28"/>
          <w:sz w:val="28"/>
          <w:szCs w:val="28"/>
          <w:rtl w:val="true"/>
          <w:lang w:bidi="ar-SA"/>
        </w:rPr>
        <w:t>حقيقت در كل جهان عملى نباشد، دست كم مى توان آن را در منطقه اى لحاظ كرد و مكه همان منطقه آزاد جهان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فارغ از مضمون و محتواى سوره برائت، دستور خداوند مبنى بر برائت جستن از مشركان مستلزم شناسايى چنين حقى 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حق موجب شده كه خداوند در بيان آن، ادبيات تكليف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مندى از اين حق، يعنى تضمين منافع امت اسلامى و عدم اعمال آن، به معناى پذيرش ضرر جمعى براى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به منزله تضمين كرامت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در انديشه هاى حقوق بشرى سنگ بناى برخوردار شدن از حقوق است و رساندن مؤمنان به جايگاه مطلوب اجتماعى بدون اعلام بيزارى از انديشه هاى انحرافى، امكان پذير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حق را بايد در معناى حق داشتن و حق بودن دانست؛ زيرا در نظام بين المللى، شناسايى اين حق مخالف اصل همزيستى مسالمت آميز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آنكه اعلان برائت، ايجاد دژى محكم براى مؤمنان، و مانعى در برابر انديشه هاى شرك آلود است و در واقع بهترين ابزار حمايت از حجاج مى باشد</w:t>
      </w:r>
      <w:r>
        <w:rPr>
          <w:rFonts w:eastAsia="IRNazanin" w:cs="IRNazanin"/>
          <w:color w:val="111111"/>
          <w:sz w:val="28"/>
          <w:szCs w:val="28"/>
          <w:rtl w:val="true"/>
          <w:lang w:bidi="fa-IR"/>
        </w:rPr>
        <w:t>.</w:t>
      </w:r>
    </w:p>
    <w:p>
      <w:pPr>
        <w:pStyle w:val="Heading4"/>
        <w:numPr>
          <w:ilvl w:val="3"/>
          <w:numId w:val="1"/>
        </w:numPr>
        <w:rPr/>
      </w:pPr>
      <w:bookmarkStart w:id="152" w:name="__RefHeading___Toc1314014_2870459653"/>
      <w:bookmarkStart w:id="153" w:name="_Toc54"/>
      <w:bookmarkEnd w:id="152"/>
      <w:r>
        <w:rPr/>
        <w:t>7</w:t>
      </w:r>
      <w:r>
        <w:rPr>
          <w:rtl w:val="true"/>
        </w:rPr>
        <w:t xml:space="preserve">. </w:t>
      </w:r>
      <w:r>
        <w:rPr>
          <w:rtl w:val="true"/>
        </w:rPr>
        <w:t>حق پناهندگى</w:t>
      </w:r>
      <w:bookmarkEnd w:id="153"/>
    </w:p>
    <w:p>
      <w:pPr>
        <w:pStyle w:val="BookText"/>
        <w:rPr/>
      </w:pPr>
      <w:r>
        <w:rPr>
          <w:rFonts w:ascii="IRNazanin" w:hAnsi="IRNazanin" w:eastAsia="IRNazanin"/>
          <w:color w:val="111111"/>
          <w:sz w:val="28"/>
          <w:sz w:val="28"/>
          <w:szCs w:val="28"/>
          <w:rtl w:val="true"/>
          <w:lang w:bidi="fa-IR"/>
        </w:rPr>
        <w:t>امروزه براى حمايت از افرادى كه به هر دليلى تحت تعقيب مقامات دولتى مى باشند، به حقى به نام پناهندگى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معنا هنوز در حقوق بين الملل خود را نشان نداده است و به صورت نزاكتى و اخلاقى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فارغ از اين بعد مسئله، پذيرش پناهنده، چه به عنوان حق براى فرد پناهنده و چه به عنوان حق براى دولت پذيرنده، راهى است براى حمايت كردن از افراد تحت تعقيب؛ هر چند مسير حقوق بشر به سوى شناسايى پناهندگى به عنوان حق افراد و تكاليف دولت هاست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مختلفى براى تحت تعقيب قراردادن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حقوق بشرى بحث، حاكى از گسترش موارد پذيرش پناهندگى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هاى اسلامى حج، دو معناى متفاوت از پناهندگى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معنا سخن از پناهگاه بودن كعبه است كه حاكى از فقر و نياز فرد است و اصطلاحاً به قسمتى از آن مستجار گويند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يكى از مكان هاى استجابت دعاست و محل ورود فاطمه بنت اسد به كعبه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دور دوم و ششم طواف نيز اين معنا تبيين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مقام العائذ بك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پناهندگى، معناى فقهى و حقوقى آن است و فقه اسلامى به صورت گسترده آن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نتوان از آن به عنوان حقى براى فرد پناهنده سخن گفت، ولى قطعاً يكى از تكاليف دولت اسلامى در منطقه حرم مى باشد، و اگر تلازم حق و تكليف را بپذيريم، مى توان به حق بودن پناهندگى نيز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هم در سيره 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 در آموزه هاى اسلامى شناسايى و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فتح مكه، عفو عمومى خود را به شرح زير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 هموطنان بسيار نامناسبى براى من بوديد، رسالت مرا تكذيب كرديد، و مرا از خانه ام بيرون ساختيد و در دورترين نقطه اى كه به آنجا پناهنده شده بودم، با من نبرد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فردى كه به محيط مسجدالحرام پناهنده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تعرض ارتش اسلام محفوظ خواهد ماند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كه قاتل است و به حرم پناهنده شده،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در حرم كشته نمى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حلبى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فردى مرتكب جنايت شود، سپس به حرم پناهنده شود، هيچ فردى حق ندارد او را در حرم مجازات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يسع لاحد يأخذه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آثاراسلامى مكه و مدينه، رسول جعفريان،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ابن هشام،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شرح نهج البلاغه، ابن ابى الحديد،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كتاب الحج، باب چهارده از ابواب مقدمات الطواف، حديث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سيزده روايت مشتمل بر اين مضمون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ادبيات روايى بيانگر حمايت حداكثرى از منطقه حرم و كسانى است كه در آن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فرد فرارى مصداق حج گزار نيز نيست، ولى از حمايت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بيان شد مى توان نتيجه گرفت كه احترام و حرمت مكه و حرم الهى مى طلبد كه فرد پناهنده مورد حمايت قرار گيرد؛ هرچند مجرم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روايات مختلف بيان شده است كه بر او تنگ بگيرند تا مجبور شود حرم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وجودى اين حكم را بايد در رويكرد حمايتى آن ببينيم كه در اين صورت به طريق اولى فرد حج گزار مى تواند حمايت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اجراى حد و تعزير بر پناهنده در راستاى حفظ مكان امن الهى قابل فهم است و اين امنيت براى هر فرد ديگرى نيز مى تواند وجود داشته باشد؛ به تعبير ديگر هر كارى كه مخالف حرمت حرم الهى باشد، ممنوع است و حفظ حرمت مؤمن در اين مكان از كارهاى ضرورى و لازم و ممنوعيت شكستن حرمت او نيز واجب، و احترام به كرامت انسانى او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همگان اين معنا را بپذيرند، نتيجه آن مى شود كه هرچه براساس كرامت انسانى و تحقق كرامت او لازم و ضرورى است، مورد احترام خواهد بود كه در اين صورت بزرگ ترين حمايت از مؤمن انجام شده است و حج گزار در اين صورت با حفظ شئون و عزت نفس به انجام مناسك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و جايگاه، تعهد خاصى را براى دولت عربستان به وجود مى آورد كه بدون رعايت آن، مسئوليت بين المللى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حمايت هايى كه به طريق اولى براى حجاج وجود دارد، آن است كه اگر فرد مجرم به حرم پناهنده شد، تا زمان پناهندگى با او كارى ندارند، ولى براى آنكه امنيت ساير حجاج تأمين شود و اين فرد نيز از فضاى مكه سوءاستفاده نكند، او را در محدوديت و تنگنا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شيعه نيز اين نكته را بيان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اگر كسى كارى كه موجب حد يا تعزير يا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كتاب الحج، باب چهارده از ابواب مقدمات الطواف، حديث دوم</w:t>
      </w:r>
      <w:r>
        <w:rPr>
          <w:rFonts w:eastAsia="IRNazanin" w:cs="IRNazanin"/>
          <w:color w:val="111111"/>
          <w:sz w:val="28"/>
          <w:szCs w:val="28"/>
          <w:rtl w:val="true"/>
          <w:lang w:bidi="fa-IR"/>
        </w:rPr>
        <w:t>.</w:t>
      </w:r>
      <w:bookmarkStart w:id="154" w:name="pg8931_113736"/>
    </w:p>
    <w:p>
      <w:pPr>
        <w:pStyle w:val="BookText"/>
        <w:rPr/>
      </w:pPr>
      <w:bookmarkEnd w:id="154"/>
      <w:r>
        <w:rPr>
          <w:rFonts w:ascii="IRNazanin" w:hAnsi="IRNazanin" w:eastAsia="IRNazanin"/>
          <w:color w:val="111111"/>
          <w:sz w:val="28"/>
          <w:sz w:val="28"/>
          <w:szCs w:val="28"/>
          <w:rtl w:val="true"/>
          <w:lang w:bidi="fa-IR"/>
        </w:rPr>
        <w:t>قصاص است، مرتكب شود و به حرم پناه ببرد، براى خوراك و نوشيدنى، او را در تنگنا قرار مى دهند تا از حرم خارج شود ولى اگر در حرم مرتكب گناهى گردد، بايد او را به آنچه مقتضاى جنايت او در حرم است، مجازات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ذيل كلام شرايع، دو معنا براى تضييق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آب و غذا دادن او به گونه اى باشد كه عادتاً قابل تحمل نباشد؛ دوم آنكه غذاى او به اندازه سد جوع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خريد اشياء براى او ممنوع مى شود و اگر ثروتى دارد، مسدود مى 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مطابق روايتى است كه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كه با او صحبت هم نمى شود و از بازار نيز ممنوع مى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55" w:name="__RefHeading___Toc1314016_2870459653"/>
      <w:bookmarkStart w:id="156" w:name="_Toc55"/>
      <w:bookmarkEnd w:id="155"/>
      <w:r>
        <w:rPr/>
        <w:t>8</w:t>
      </w:r>
      <w:r>
        <w:rPr>
          <w:rtl w:val="true"/>
        </w:rPr>
        <w:t xml:space="preserve">. </w:t>
      </w:r>
      <w:r>
        <w:rPr>
          <w:rtl w:val="true"/>
        </w:rPr>
        <w:t>امنيت قضايى</w:t>
      </w:r>
      <w:bookmarkEnd w:id="156"/>
    </w:p>
    <w:p>
      <w:pPr>
        <w:pStyle w:val="BookText"/>
        <w:rPr/>
      </w:pPr>
      <w:r>
        <w:rPr>
          <w:rFonts w:ascii="IRNazanin" w:hAnsi="IRNazanin" w:eastAsia="IRNazanin"/>
          <w:color w:val="111111"/>
          <w:sz w:val="28"/>
          <w:sz w:val="28"/>
          <w:szCs w:val="28"/>
          <w:rtl w:val="true"/>
          <w:lang w:bidi="fa-IR"/>
        </w:rPr>
        <w:t>برخورداربودن جامعه از سيستم قضايى اى كه هم بتواند، و هم بخواهد عدالت را اجرا كند، از الزامات اوليه يك رويكرد حمايتى از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امنيت قضايى ابعاد مختلفى دارد؛ يكى از اين ابعاد، وجود قاضى با شرايطى است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چنين ويژگى هايى را براى قاضى لحاظ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مراجعات فراوان او را در تنگنا قرار ندهد، حوصله او سر نرود، برخورد طرفين او را خشمگين نمى كند، در اشتباه خود پافشارى نمى كند و در فهم حقيقت، به تحقيق اندك بسنده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اين ويژگى ها هر منصفى را به ياد ماجراى تلخ و آزار دهنده ابوطالب يزدى مى اندازد كه چگونه در كنار حرم امن الهى اعدام مى شود، يا فرد ديگرى كه وقتى مأمورين سعودى او را بازداشت مى كنند، براى رهايى از مجازات اعدام خود را به جنون مى زند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ديگر، وجود نظام دادرسى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ويژگى هاى خاصى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شرايع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الافهام،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حج، ش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bookmarkStart w:id="157" w:name="pg8931_113737"/>
    </w:p>
    <w:p>
      <w:pPr>
        <w:pStyle w:val="BookText"/>
        <w:rPr/>
      </w:pPr>
      <w:bookmarkEnd w:id="157"/>
      <w:r>
        <w:rPr>
          <w:rFonts w:ascii="IRNazanin" w:hAnsi="IRNazanin" w:eastAsia="IRNazanin"/>
          <w:color w:val="111111"/>
          <w:sz w:val="28"/>
          <w:sz w:val="28"/>
          <w:szCs w:val="28"/>
          <w:rtl w:val="true"/>
          <w:lang w:bidi="fa-IR"/>
        </w:rPr>
        <w:t>در نظام عادلانه برخورداربودن از وكيل، به ويژه براى حج گزار در كشور بيگانه،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دادن به كنسولگرى كشور متبوع فرد در اولين فرصت، تفهيم اتهام در كمتر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رسيدگى به پرونده در دادگاه حداكثر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فرصت ايجاد دفاع، استفاده از قوانينى كه با نگاه به منفعت متهم وضع شده است، مثل قاعده درء، تفسير مضيق از قانون، تفسير به نفع متهم و شناسايى حق سكوت براى متهم، از اصول لازم الاجراى اين نظام دادرسى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امنيت قضايى، يعنى دل آسودگى حجاج از سيستم قضايى عربستان؛ زيرا اين نظام هرچند ادعاى عمل موافق شريعت را دارد، اما در واقع مطابق مذهب خاصى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برخى از كارها را نيز حجاج نبايد انجام دهند؛ حمل مواد مخدر، يا استفاده از آنها از امور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يك تعهد حقوق بشرى دولت هاست كه يا مجرم را مطابق سيستم عادلانه محاكمه كنند يا وى را به كشورش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حبس كردن بدون اطلاع دادن يا بدون دادن فرصت دفاع، هيچ توجيهى ندارد و خلاف رويه قضايى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امنيت قضايى نيز يكى از مصاديق و ابعاد امنيت در حرم امن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تحقق اين هدف به انعقاد توافق نامه هاى دوجانبه، يا رعايت تعهدات حقوق بشرى و حقوق انسانى و اسلامى است كه بين دو دولت ايران و عربستان، يا ميان دو سازمان ايرانى و عربستانى كه در زمينه حج فعاليت مى كنند، برقرار مى باشد</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314018_2870459653"/>
      <w:bookmarkStart w:id="159" w:name="_Toc56"/>
      <w:bookmarkEnd w:id="158"/>
      <w:r>
        <w:rPr/>
        <w:t>9</w:t>
      </w:r>
      <w:r>
        <w:rPr>
          <w:rtl w:val="true"/>
        </w:rPr>
        <w:t xml:space="preserve">. </w:t>
      </w:r>
      <w:r>
        <w:rPr>
          <w:rtl w:val="true"/>
        </w:rPr>
        <w:t>ممنوعيت ورود حج گزار</w:t>
      </w:r>
      <w:bookmarkEnd w:id="159"/>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پرسشى كه در اينجا مطرح است، آنكه آيا دولت عربستان مى تواند مانع ورود حج گزار به سرزمين خويش باشد، يا حج گزار را اخراج كند؟ اين سؤال در حقوق بين الملل با عنوان اخراج بيگانه يا عدم پذيرش بيگانه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كميسيون حقوق بين الملل، درباره اين موضوع بحث شد و اخراج به عنوان يك حق براى دولت ميزبان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 تكليف براى دولت مذكور نيز</w:t>
      </w:r>
      <w:bookmarkStart w:id="160" w:name="pg8931_113738"/>
    </w:p>
    <w:p>
      <w:pPr>
        <w:pStyle w:val="BookText"/>
        <w:rPr/>
      </w:pPr>
      <w:bookmarkEnd w:id="160"/>
      <w:r>
        <w:rPr>
          <w:rFonts w:ascii="IRNazanin" w:hAnsi="IRNazanin" w:eastAsia="IRNazanin"/>
          <w:color w:val="111111"/>
          <w:sz w:val="28"/>
          <w:sz w:val="28"/>
          <w:szCs w:val="28"/>
          <w:rtl w:val="true"/>
          <w:lang w:bidi="fa-IR"/>
        </w:rPr>
        <w:t>بيان شده كه اخراج نبايد به دلايل مذهبى، نژادى، رنگ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خلاف حقوق بشر و عملى غيردوستانه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تلاش شده است كه بين حقوق حاكميتى و حقوق بشر توازن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حج گزار، موافقت نامه خاصى بين دو دولت ايران و عربستان درباره موارد عدم پذيرش يا اخراج وجود دارد و از باب اوفوا بالعقود، بايد بدان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فقط از جهت وفاى به عهد است و دليل ديگرى نمى توان براى آن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فقدان معاهده خاص، اگر حج گزار بيگانه تلقى شود، كه امروزه اين نگاه در عربستان وجود دارد، مقررات بين المللى حاكم خواهد بود؛ زيرا در صورت فقدان معاهده خاصى اصول اوليه حاكميتى در رابطه با بيگانه حاكم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موضوع از جهت خدمت گزار بودن دولت عربستان در نظر گرفته شود، قضيه متفاوت خواهد شد؛ زيرا از سويى تعطيلى حج هيچ توجيهى ندارد و دولت عربستان نمى تواند حج را تعطيل كند؛ از سوى ديگر، چنانچه مجرم در بيرون حرم مرتكب جرم شود و به حرم پناه ببرد، كسى نمى تواند او را اخراج كند، و از سوى ديگر با توجه به وجوب حج بر اين شخص به دليل مستطيع بودن، چاره اى نيست كه دولت عربستان از حق اخراج كردن يا نپذيرفتن چنين فردى برخوردار نمى باشد؛ در اين صورت دولت ميزبان مى تواند مانع اقدام خلاف، از جمله حمل مواد مخدر شود، نه مانع حج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ناظر به اخراج فردى و موردى است، نه گروهى، كه حالت گروهى به طور كلى حتى در حقوق بين الملل نيز ممنوع است و از طرفى ناظر به محدوديت خاص دولت ميزبان نيست كه آن هم مورد پذيرش است؛ به شرط آنكه بهانه جويى نباشد و به صورت محدود و غير تبعيض آميز اعمال شود</w:t>
      </w:r>
      <w:r>
        <w:rPr>
          <w:rFonts w:eastAsia="IRNazanin" w:cs="IRNazanin"/>
          <w:color w:val="111111"/>
          <w:sz w:val="28"/>
          <w:szCs w:val="28"/>
          <w:rtl w:val="true"/>
          <w:lang w:bidi="fa-IR"/>
        </w:rPr>
        <w:t>.</w:t>
      </w:r>
    </w:p>
    <w:p>
      <w:pPr>
        <w:pStyle w:val="Heading4"/>
        <w:numPr>
          <w:ilvl w:val="3"/>
          <w:numId w:val="1"/>
        </w:numPr>
        <w:rPr/>
      </w:pPr>
      <w:bookmarkStart w:id="161" w:name="__RefHeading___Toc1314020_2870459653"/>
      <w:bookmarkStart w:id="162" w:name="_Toc57"/>
      <w:bookmarkEnd w:id="161"/>
      <w:r>
        <w:rPr/>
        <w:t>10</w:t>
      </w:r>
      <w:r>
        <w:rPr>
          <w:rtl w:val="true"/>
        </w:rPr>
        <w:t xml:space="preserve">. </w:t>
      </w:r>
      <w:r>
        <w:rPr>
          <w:rtl w:val="true"/>
        </w:rPr>
        <w:t>امنيت اقتصادى</w:t>
      </w:r>
      <w:bookmarkEnd w:id="16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و ضرورت حج در ابعاد مختلفى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حوزه هاى نوپيدا كه امروزه در گفتمان جهانى نيز منعكس شده است، رويكرد حقوق بشرى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در آموزه هاى حج نگاه هاى حقوق بشرى قابل توجهى</w:t>
      </w:r>
    </w:p>
    <w:p>
      <w:pPr>
        <w:pStyle w:val="BookText"/>
        <w:rPr/>
      </w:pPr>
      <w:r>
        <w:rPr>
          <w:rFonts w:ascii="IRNazanin" w:hAnsi="IRNazanin" w:eastAsia="IRNazanin"/>
          <w:color w:val="111111"/>
          <w:sz w:val="28"/>
          <w:sz w:val="28"/>
          <w:szCs w:val="28"/>
          <w:rtl w:val="true"/>
          <w:lang w:bidi="fa-IR"/>
        </w:rPr>
        <w:t>وجود دارد، به گونه اى كه مى توان از نظام حقوق بشرى حج نيز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اين موضوع گستردگى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حجاج در سرزمين وحى و بهره مندى آنان، با ادبيات مختلفى در منابع دينى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دليل آن، حاكى از اين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عبدالرحمن بن عبدالله مى گويد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افراد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حج واجب خود را انجام داده است و پس از آن به جاى رفتن به حج صدقه دهد، براى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گفته اند، اگر مردم چنين كنند، اين بيت تعطيل خواهد شد و حال آنكه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وسيله قيام مردم قرار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كه از معاوية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كوچ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ابطح يكى از اعراب بيابانى خدمت ايشان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مردى ثروتمندم كه قصد حج داشتم، مانعى پيش آمد و نتوانستم به حج مشرف شوم، حال بفرماييد من با اين سرمايه چه كار خيرى انجام دهم كه ثواب حج را درك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كوه ابوقبيس اشاره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مقدار اين كوه طلاى سرخ داشته باشى و همه را در راه خدا انفاق كنى، به ثواب و بهره اى كه حاجيان رسيده اند، نخواهى رسيد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به همين مضمون وارده شده است كه همگى بر انجام هرچه بهتر اين مناسك عبادى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موضوع به گونه اى است كه اگر مردم حج را ترك كردند، بر امام و حاكم جامعه است كه آنها را به انجام آن وادار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پرسش مطرح است كه رمز و راز اين همه سفارش براى انجام دادن حج چيست؟ در مجموع روايات آمده است كه اين فرصتى است براى مردم و قيام كردن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ذيل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منظور معاش مردم و مكاسب آنهاست؛ زيرا در حج براى مردم تجارت و انواع خير و بركت وجود دارد؛ به همين جهت سعيد بن جبير گفته است هر كسى به قصد دنيا و آخرت به اين بيت برسد، به آن مى 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در ذيل اين آيه، مسئله معاش و معاد را مطرح كرده اند كه با انجام حج هم معاش مردم و هم معادشان، شكل خواهد گرفت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مقاتل بن سليمان و در ذيل آيه، قيام براى مردم را به معناى محل امن و محل زندگى بيان كرده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حاكى از اين معناست كه در اين فريضه، حقى براى مردم قرار داده شده است و ايجاد فرصت و شرايط براى استفاده از اين حق، و حمايت از آن، وظيفه همگان، به ويژه دولت و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قرآن كريم با اين بيان قصد ندارد، فقط به بيان و جعل يك حكم، بدون وجود هرگونه پشتوانه اى، اقدام كند؛ به ويژه كه اين معنا تناسبى با حج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همه عظمت و بزرگى كه دارد، نمى تواند در يك كلمه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قراردادن كعبه به عنوان يك بيت محترم، به سبب قوام امور مردمان،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 سبب نمى تواند بدون پشتوانه جدى باشد يا به عبارت ديگر نمى توان چنين حقى را براى مردم قرار داد؛ اما راهكار حمايتى براى آن تعريف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حق به عنوان يك ابزار حمايتى از حجاج، بلكه از همه مردم، تعريف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سوره بقره آيه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حق، يعنى امنيت اقتصادى را شناسايى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قرآن كريم اين گونه بيان شده است كه انجام فعاليت اقتصادى در حين حج مجاز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البيان عن كشف معانى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پيش از اسلام انجام فعاليت اقتصادى در موسم حج ممنوع بود، ولى اسلام آن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مقاتل بن سليمان،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163" w:name="pg8931_113741"/>
    </w:p>
    <w:p>
      <w:pPr>
        <w:pStyle w:val="BookText"/>
        <w:rPr/>
      </w:pPr>
      <w:bookmarkEnd w:id="163"/>
      <w:r>
        <w:rPr>
          <w:rFonts w:ascii="IRNazanin" w:hAnsi="IRNazanin" w:eastAsia="IRNazanin"/>
          <w:color w:val="111111"/>
          <w:sz w:val="28"/>
          <w:sz w:val="28"/>
          <w:szCs w:val="28"/>
          <w:rtl w:val="true"/>
          <w:lang w:bidi="fa-IR"/>
        </w:rPr>
        <w:t>پذيرفت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مقاتل بن سليمان آمده كه مسلمانان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آيا مانند بازار عكاظ و منا و ذى المجاز، كه در جاهليت قبل از حج برپا مى شد، براى ما نيز خريد و فروش در ايام حج مجاز است؟ كه اين آيه در پاسخ به آن پرسش نازل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كتب تفسيرى شيعه و سنى به همين صورت مطالب را بيان كرده اند؛ درنتيجه شناسايى اين حق براى مسلمانان راهكار حمايتى در حوزه مسائل اقتصادى حجاج است</w:t>
      </w:r>
      <w:r>
        <w:rPr>
          <w:rFonts w:eastAsia="IRNazanin" w:cs="IRNazanin"/>
          <w:color w:val="111111"/>
          <w:sz w:val="28"/>
          <w:szCs w:val="28"/>
          <w:rtl w:val="true"/>
          <w:lang w:bidi="fa-IR"/>
        </w:rPr>
        <w:t>.</w:t>
      </w:r>
    </w:p>
    <w:p>
      <w:pPr>
        <w:pStyle w:val="Heading4"/>
        <w:numPr>
          <w:ilvl w:val="3"/>
          <w:numId w:val="1"/>
        </w:numPr>
        <w:rPr/>
      </w:pPr>
      <w:bookmarkStart w:id="164" w:name="__RefHeading___Toc1314022_2870459653"/>
      <w:bookmarkStart w:id="165" w:name="_Toc58"/>
      <w:bookmarkEnd w:id="164"/>
      <w:r>
        <w:rPr/>
        <w:t>11</w:t>
      </w:r>
      <w:r>
        <w:rPr>
          <w:rtl w:val="true"/>
        </w:rPr>
        <w:t xml:space="preserve">. </w:t>
      </w:r>
      <w:r>
        <w:rPr>
          <w:rtl w:val="true"/>
        </w:rPr>
        <w:t>حق آموزش</w:t>
      </w:r>
      <w:bookmarkEnd w:id="165"/>
    </w:p>
    <w:p>
      <w:pPr>
        <w:pStyle w:val="BookText"/>
        <w:rPr/>
      </w:pPr>
      <w:r>
        <w:rPr>
          <w:rFonts w:ascii="IRNazanin" w:hAnsi="IRNazanin" w:eastAsia="IRNazanin"/>
          <w:color w:val="111111"/>
          <w:sz w:val="28"/>
          <w:sz w:val="28"/>
          <w:szCs w:val="28"/>
          <w:rtl w:val="true"/>
          <w:lang w:bidi="fa-IR"/>
        </w:rPr>
        <w:t>از جمله حقوقى كه حاجى از آن برخوردار است، حق آموزش است؛ يعنى دانستن آنچه قصد دارد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خواستى حج كنى بر آن باش كه دلت را براى خدا از هر چه تو را به خود مشغول سازد و از هرچه ميان تو و او در آيد، خالى كنى؛ همه كارهايت را به خدا واگذار كن و در هر حركت و سكون كه از تو پديدار مى شود، بر او توكل كن؛ تسليم حكم خدا و قدر او باش و دنيا، آسايش و آفريدگان را رها ساز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ادبيات حاكى از ضرورت آموزش حج گزار براى رسيدن به اين معانى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آنچه معناى استطاعت علمى را به نمايش بگذارد، در گرو دادن آموزش هاى لازم به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اينكه چه آموزشى به حاجى داده شود و پيش از محتواى آموزش، اصل آموزش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ادبيات آن مضمون و محتواى اين آموزش را نيز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شبلى در اين خصوص آموزنده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ادبيات در قطعه ناصرخسرو قباديانى آمده است كه از حاجى سؤال هاى مختلف مى كند و حاجى در جواب مى گويد، من اينها را نمى دانم؛ براى مثال سؤال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البيان عن كشف معانى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مقاتل بن سليمان،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همى خواستى گرفت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نيت كردى اندر آن تحريم</w:t>
      </w:r>
    </w:p>
    <w:p>
      <w:pPr>
        <w:pStyle w:val="BookText"/>
        <w:rPr/>
      </w:pPr>
      <w:r>
        <w:rPr>
          <w:rFonts w:ascii="IRNazanin" w:hAnsi="IRNazanin" w:eastAsia="IRNazanin"/>
          <w:color w:val="111111"/>
          <w:sz w:val="28"/>
          <w:sz w:val="28"/>
          <w:szCs w:val="28"/>
          <w:rtl w:val="true"/>
          <w:lang w:bidi="fa-IR"/>
        </w:rPr>
        <w:t xml:space="preserve">گفت از اين باب هرچه گفتى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ندانسته ام صحيح و سقيم</w:t>
      </w:r>
    </w:p>
    <w:p>
      <w:pPr>
        <w:pStyle w:val="BookText"/>
        <w:rPr/>
      </w:pPr>
      <w:r>
        <w:rPr>
          <w:rFonts w:ascii="IRNazanin" w:hAnsi="IRNazanin" w:eastAsia="IRNazanin"/>
          <w:color w:val="111111"/>
          <w:sz w:val="28"/>
          <w:sz w:val="28"/>
          <w:szCs w:val="28"/>
          <w:rtl w:val="true"/>
          <w:lang w:bidi="fa-IR"/>
        </w:rPr>
        <w:t>از مصاديق حقوق نسل سوم، حق بر آموزش است؛ حق آموزش، يادگرفتن هر موضوعى است كه زمينه استفاده از حقوق را فراهم كند، و فرد با دانستن آنها خود را تحت حمايت قوانين قرار دهد، به عبارت ديگر فرد يا بهره مندى از آموزش از طرفى از زمينه هاى خطر و خشونت دورى مى جويد و از طرف ديگر در مواقع نياز و ضرورت، خود را تحت حمايت قانون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باشد كه برخى از محققان در معناى استطاعت، افزون بر استطاعت جانى و مالى، به استطاعت علمى نيز توجه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نوع استطاعت گفته شده است كه حاجى بداند مشغول چه امرى شده، و قرار است فريضه اى را كه به ظاهر ساده، ولى درواقع نوعى جهاد است، انجام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اين معنا كه مسلمانان نسبت به يكديگر مانند اندامى از كالبدند كه اگر فاسد شود، بر همه كالبد اثر مى گذارد، در نوع نگاه حاجى به كنگره حج،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كردن حاجى به آثار مثبت اين اجتماع عظيم و آثار منفى غفلت از آن، در ابراهيمى شدن حج بسيار نقش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خيرات و بركات در پرتو حق آموزش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از همه، توجه دادن حجاج به اين موضوع است كه آنان از حقى به نام حق آموزش برخوردارند و اين وظيفه دولت و حاكم جامعه اسلامى است كه اين نوع آموزش ها را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آموزش ها در همه جا امكان پذير است، ولى فرصت حج بودن حجاج براى اعمال عبادى غيرعبادى بهترين مكان و زمان براى انجام اين نوع آموزش ها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ذكر آنكه دادن آموزش به حجاج، كه اكنون صورت مى گيرد، غير از توجه دادن آنان به حق آموزش است كه به عنوان يك حق در برابر مراجع مختلف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حج،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166" w:name="pg8931_113743"/>
    </w:p>
    <w:p>
      <w:pPr>
        <w:pStyle w:val="BookText"/>
        <w:rPr/>
      </w:pPr>
      <w:bookmarkEnd w:id="166"/>
      <w:r>
        <w:rPr>
          <w:rFonts w:ascii="IRNazanin" w:hAnsi="IRNazanin" w:eastAsia="IRNazanin"/>
          <w:color w:val="111111"/>
          <w:sz w:val="28"/>
          <w:sz w:val="28"/>
          <w:szCs w:val="28"/>
          <w:rtl w:val="true"/>
          <w:lang w:bidi="fa-IR"/>
        </w:rPr>
        <w:t>قضايى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ابعاد مختلف سياسى و اجتماعى حج، و حتى شناخت لازم از مكان انجام حج، آداب و رسوم و آثار اسلامى مكه و مدينه و تاريخ حج ابراهيمى، زمانى ضرورت بيشتر خود را نشان مى دهد كه توجه شود حج نوعى جهاد است و حاجى نيز رزمنده، و رزمنده بايد با تمام نقشه هاى دشمن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كردن به اين نكته و يادآورى آن براى حج گزار يك حق است كه محروميت از آن يا بى توجهى به آن، آثار منفى فردى و اجتماعى دارد</w:t>
      </w:r>
      <w:r>
        <w:rPr>
          <w:rFonts w:eastAsia="IRNazanin" w:cs="IRNazanin"/>
          <w:color w:val="111111"/>
          <w:sz w:val="28"/>
          <w:szCs w:val="28"/>
          <w:rtl w:val="true"/>
          <w:lang w:bidi="fa-IR"/>
        </w:rPr>
        <w:t>.</w:t>
      </w:r>
    </w:p>
    <w:p>
      <w:pPr>
        <w:pStyle w:val="Heading4"/>
        <w:numPr>
          <w:ilvl w:val="3"/>
          <w:numId w:val="1"/>
        </w:numPr>
        <w:rPr/>
      </w:pPr>
      <w:bookmarkStart w:id="167" w:name="__RefHeading___Toc1314024_2870459653"/>
      <w:bookmarkStart w:id="168" w:name="_Toc59"/>
      <w:bookmarkEnd w:id="167"/>
      <w:r>
        <w:rPr/>
        <w:t>12</w:t>
      </w:r>
      <w:r>
        <w:rPr>
          <w:rtl w:val="true"/>
        </w:rPr>
        <w:t xml:space="preserve">. </w:t>
      </w:r>
      <w:r>
        <w:rPr>
          <w:rtl w:val="true"/>
        </w:rPr>
        <w:t>حق احترام</w:t>
      </w:r>
      <w:bookmarkEnd w:id="168"/>
    </w:p>
    <w:p>
      <w:pPr>
        <w:pStyle w:val="BookText"/>
        <w:rPr/>
      </w:pPr>
      <w:r>
        <w:rPr>
          <w:rFonts w:ascii="IRNazanin" w:hAnsi="IRNazanin" w:eastAsia="IRNazanin"/>
          <w:color w:val="111111"/>
          <w:sz w:val="28"/>
          <w:sz w:val="28"/>
          <w:szCs w:val="28"/>
          <w:rtl w:val="true"/>
          <w:lang w:bidi="fa-IR"/>
        </w:rPr>
        <w:t>در آموزه هاى دينى حجاج به عنوان ضيوف الرحمن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ضيف در زبان فارسى به معناى ميهمانى است كه دعوت شده است، نه آنكه خود به ميهمانى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بر كوه ابوقبيس انجام شد، و مردم را ندا داد كه به آن سرزمين بيايند، مى توان اين ادبيات را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يكى از بارزترين مصاديق سير الى الله سفر حج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همه جا مى توان خدا را عبادت كرد و از ضيوف الرحمن شد، اما ذات اقدس الهى، بعضى از مكان ها و زمان ها را براى ضيافت و پذيرايى مشخص و آماده فرموده است؛ مثل حج و روزه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تفسير شده است كه انسان ماسوى الله را ترك، و خداوند را طلب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از روايات اخذ شده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برجسته ترين دعاهاى ماه مبارك رمضان طلب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مكرر نيز مى باشد؛ زيرا حج ضيافت است و حاجيان ضيوف الرحمن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ميهمان حقى بر ميزبان شكل مى گيرد و به تبع، اين حق بر عهده كسانى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رموز و حكم، جوادى آملى،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عارفان، كارگر،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جرعه اى از صهباى حج، عبدالله جوادى آملى، ص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169" w:name="pg8931_113744"/>
    </w:p>
    <w:p>
      <w:pPr>
        <w:pStyle w:val="BookText"/>
        <w:rPr/>
      </w:pPr>
      <w:bookmarkEnd w:id="169"/>
      <w:r>
        <w:rPr>
          <w:rFonts w:ascii="Amiri" w:hAnsi="Amiri" w:eastAsia="Amiri" w:cs="Amiri"/>
          <w:color w:val="111111"/>
          <w:sz w:val="28"/>
          <w:sz w:val="28"/>
          <w:szCs w:val="28"/>
          <w:rtl w:val="true"/>
          <w:lang w:bidi="ar-SA"/>
        </w:rPr>
        <w:t>كه قصد دارند در خدمت ضيوف الرحمن باشند نيز هست و دولت اعزام كننده حجاج و دولت ميزبان هم از اين قاعده كلى مستثنا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حقوق حجاج در اين ميهمانى بزرگ، حق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در بين همسايگان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بدان معناست كه حج گزار را بايد به صورت خاصى مورد احترام قرار داد؛ تكريم شخصيت او و نوع رفتار با او بايد به طور ويژه باشد؛ يعنى كارهايى براى حج گزار انجام شود كه در شرايط معمولى نيازى به انجام دادن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به صورت فوق در آموزه هاى حقوق بشرى وجود ندارد و تنها به كرامت انسانى بسنده شده، و احتمالاً اين معنا، يكى از مصاديق كرامت انسانى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 رسد كه حق احترام، متفاوت از كرامت، و كرامت مبناى آن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حاجى براى اطاعت امر خداوند خود را به زحمت انداخته و رنج سفر را به جان خريده است، مورد عنايت خداوند و مشمول تكريم الهى واقع شده است؛ ازاين رو بايد به طور شايسته اى احترام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اين رفتار به عنوان يك حق، مى تواند فرصت خدمت گزارى خوبى را براى حجاج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مختلف احترام گزاردن از معناى عرفى آن قابل فهم است؛ زيرا اين واژه در عرف، بار معنايى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فارغ از اين ابعاد، شناسايى اين حق و توجه كردن به آن و مدنظر قراردادن اين معنا كه كوتاهى در حق حج گزار، ضايع كردن يكى از حقوق مى باشد، مبناى خوبى براى حمايت از حج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انگارى اين حقيقت توسط خادمان حج، زمينه بهتر اجرايى شدن اين حق را فراهم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آداب و رسوم، احترام به سالخوردگان، احترام به زنان، احترام به كودكان، احترام به علما و احترام به چهره هاى خدمت گزار، اولويت هاى اين حق را نشان مى دهد</w:t>
      </w:r>
      <w:r>
        <w:rPr>
          <w:rFonts w:eastAsia="IRNazanin" w:cs="IRNazanin"/>
          <w:color w:val="111111"/>
          <w:sz w:val="28"/>
          <w:szCs w:val="28"/>
          <w:rtl w:val="true"/>
          <w:lang w:bidi="fa-IR"/>
        </w:rPr>
        <w:t>.</w:t>
      </w:r>
    </w:p>
    <w:p>
      <w:pPr>
        <w:pStyle w:val="Heading4"/>
        <w:numPr>
          <w:ilvl w:val="3"/>
          <w:numId w:val="1"/>
        </w:numPr>
        <w:rPr/>
      </w:pPr>
      <w:bookmarkStart w:id="170" w:name="__RefHeading___Toc1314026_2870459653"/>
      <w:bookmarkStart w:id="171" w:name="_Toc60"/>
      <w:bookmarkEnd w:id="170"/>
      <w:r>
        <w:rPr/>
        <w:t>13</w:t>
      </w:r>
      <w:r>
        <w:rPr>
          <w:rtl w:val="true"/>
        </w:rPr>
        <w:t xml:space="preserve">. </w:t>
      </w:r>
      <w:r>
        <w:rPr>
          <w:rtl w:val="true"/>
        </w:rPr>
        <w:t>حق مخفى نگهداشتن مذهب</w:t>
      </w:r>
      <w:bookmarkEnd w:id="171"/>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نگهداشتن عقيده و اعتقادات دينى كه از آن به نام تقيه تعبير مى شود، يكى از ابزارهاى حمايتى مهم از حجاج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اين حق در قوانين داخلى و</w:t>
      </w:r>
    </w:p>
    <w:p>
      <w:pPr>
        <w:pStyle w:val="BookText"/>
        <w:rPr/>
      </w:pPr>
      <w:r>
        <w:rPr>
          <w:rFonts w:ascii="IRNazanin" w:hAnsi="IRNazanin" w:eastAsia="IRNazanin"/>
          <w:color w:val="111111"/>
          <w:sz w:val="28"/>
          <w:sz w:val="28"/>
          <w:szCs w:val="28"/>
          <w:rtl w:val="true"/>
          <w:lang w:bidi="fa-IR"/>
        </w:rPr>
        <w:t>همين طور در منشور حج، به عنوان يك امر واقع بينانه و نه از سر نفاق، مى تواند حمايت مؤثرى از حجاج را درپى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معنا كه افراطى گرى در همه جا وجود دارد و احتمالاً برخى دولت ها نيز خوششان بيايد كه از اين دسته افراد براى پيشبرد اهداف سياسى خود استفاده كنند، دو واقعيت قابل توجه را فراروى همگان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برخى افراد به دلايل مختلف كه هيچ كدام ريشه دينى ندارد، هرچند به پاى دين نوشته مى شود، قصد دارند عقايد تند، خشك و حتى بى مغز خويش را به عنوان عقايد ناب و درجه يك دينى معرفى كنند و خود را تنها گروه ره يافته به محضر حضرت رب العالمين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گروه عربستان و منطقه نجد را جولانگاه افكار خود ديده اند و متأسفانه حضور حداكثرى خويش را در مدينه و مكه نيز حفظ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آزاردهنده مى تواند جان، مال، آبرو و امنيت حجاج، به ويژه حجاج شيعه را به خطر بيندازد كه نمونه هاى آن بسيار زياد است؛</w:t>
      </w:r>
    </w:p>
    <w:p>
      <w:pPr>
        <w:pStyle w:val="BookText"/>
        <w:rPr/>
      </w:pPr>
      <w:r>
        <w:rPr>
          <w:rFonts w:ascii="IRNazanin" w:hAnsi="IRNazanin" w:eastAsia="IRNazanin"/>
          <w:color w:val="111111"/>
          <w:sz w:val="28"/>
          <w:sz w:val="28"/>
          <w:szCs w:val="28"/>
          <w:rtl w:val="true"/>
          <w:lang w:bidi="fa-IR"/>
        </w:rPr>
        <w:t>از طرف ديگر دولتى كه وظيفه اش حمايت از حجاج است، به جاى مقابله با اين افراد، و تعقيب و مجازات آنها، خود به نوعى به حمايت كردن از اين انديشه هاى افراطى اقدام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همه اماكن مقدس، مثل بقيع شريف، در دست اين گروه هاست، دست كم برخى از اين اماكن در اختيارشان است؛ افزون بر اين، عدم طرد آنها، يا مقابله جدى و بازداشت كردنشان، قرائن و شواهدى است كه رضايت دولت ميزبان را به انجام اين كارها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شرايط حج گزار خود مى تواند با بهره مندشدن از يك سپر دفاعى و در راستاى اصل خودحمايتى، با حقى مواجه شود كه تقيه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شيعى با پذيرش اين معنا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حداكثرى، با تبيين انواع و اقسام تقيه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تقيه از كافر، تقيه از مسلمان، تقيه در عبادت، تقيه در فتوا و تقيه در لباس، به دنبال ايجاد سپرى حمايتى از 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آزموده ها، معاونت امور روحانيون،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61</w:t>
      </w:r>
      <w:r>
        <w:rPr>
          <w:rFonts w:eastAsia="IRNazanin" w:cs="IRNazanin"/>
          <w:color w:val="111111"/>
          <w:sz w:val="28"/>
          <w:szCs w:val="28"/>
          <w:rtl w:val="true"/>
          <w:lang w:bidi="fa-IR"/>
        </w:rPr>
        <w:t>.</w:t>
      </w:r>
      <w:bookmarkStart w:id="172" w:name="pg8931_113746"/>
    </w:p>
    <w:p>
      <w:pPr>
        <w:pStyle w:val="BookText"/>
        <w:rPr/>
      </w:pPr>
      <w:bookmarkEnd w:id="172"/>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 حمايتى در مواردى به مرز وجوب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آنكه اين راهكار حمايتى از آنجا كه مبتنى بر تلاش و اقدام خود فرد، و برخاسته از اصل خودحمايتى است، بايد به عنوان يك راهكار حداقلى تعريف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حداقلى در برابر راهكار حداكثرى است كه دولت، به ويژه دولت ميزبان وظيفه اعمال حمايت را به دوش مى كشد</w:t>
      </w:r>
      <w:r>
        <w:rPr>
          <w:rFonts w:eastAsia="IRNazanin" w:cs="IRNazanin"/>
          <w:color w:val="111111"/>
          <w:sz w:val="28"/>
          <w:szCs w:val="28"/>
          <w:rtl w:val="true"/>
          <w:lang w:bidi="fa-IR"/>
        </w:rPr>
        <w:t>.</w:t>
      </w:r>
    </w:p>
    <w:p>
      <w:pPr>
        <w:pStyle w:val="Heading4"/>
        <w:numPr>
          <w:ilvl w:val="3"/>
          <w:numId w:val="1"/>
        </w:numPr>
        <w:rPr/>
      </w:pPr>
      <w:bookmarkStart w:id="173" w:name="__RefHeading___Toc1314028_2870459653"/>
      <w:bookmarkStart w:id="174" w:name="_Toc61"/>
      <w:bookmarkEnd w:id="173"/>
      <w:r>
        <w:rPr/>
        <w:t>14</w:t>
      </w:r>
      <w:r>
        <w:rPr>
          <w:rtl w:val="true"/>
        </w:rPr>
        <w:t xml:space="preserve">. </w:t>
      </w:r>
      <w:r>
        <w:rPr>
          <w:rtl w:val="true"/>
        </w:rPr>
        <w:t>ساير حقوق حمايتى</w:t>
      </w:r>
      <w:bookmarkEnd w:id="174"/>
    </w:p>
    <w:p>
      <w:pPr>
        <w:pStyle w:val="Heading5"/>
        <w:numPr>
          <w:ilvl w:val="4"/>
          <w:numId w:val="1"/>
        </w:numPr>
        <w:rPr/>
      </w:pPr>
      <w:bookmarkStart w:id="175" w:name="__RefHeading___Toc1314030_2870459653"/>
      <w:bookmarkStart w:id="176" w:name="_Toc62"/>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حجاج بيت الله نه تنها بايد از نظر امنيت روح و روان مورد حمايت قرار گيرند، بايد در ساير حوزه ها نيز حمايت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 پاكيزگى مكان عبادت يكى از حقوق حجاج است كه بدون آنها، سلامت جسمى آنها تهديد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بقره، آيه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به اين نكته توجه داده است؛ آنجا كه از حضرت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كه بيت او را تطهير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كلمه تطهير عام است و مى تواند شامل هر نوع طهارتى، اعم از ظاهرى و معنوى،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تكليف در اين ارتباط نيز مشخص شده است و خداوند آن را به عهده انسان هاى پاك و پاكيزه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اقتصادى كه در سوره بقره، آيه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 أَهْلَهُ 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ديگر حمايت از حجاج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در سوره قصص،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حج،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ابن كثير،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عباس روايتى نقل شده است كه واژه منافع را در معناى عام دنيوى و اخروى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حقوق اقتصادى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فهميده مى شود و اين مفهوم در روايات ابان بن تغلب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جعلنها لدينهم و معايشهم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مضمون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ابن كثير،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صدوق،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bookmarkStart w:id="177" w:name="pg8931_113747"/>
    </w:p>
    <w:p>
      <w:pPr>
        <w:pStyle w:val="BookText"/>
        <w:rPr/>
      </w:pPr>
      <w:bookmarkEnd w:id="177"/>
      <w:r>
        <w:rPr>
          <w:rFonts w:ascii="IRNazanin" w:hAnsi="IRNazanin" w:eastAsia="IRNazanin"/>
          <w:color w:val="111111"/>
          <w:sz w:val="28"/>
          <w:sz w:val="28"/>
          <w:szCs w:val="28"/>
          <w:rtl w:val="true"/>
          <w:lang w:bidi="fa-IR"/>
        </w:rPr>
        <w:t>حقوق فرهنگى حجاج در آموزه هاى حج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الحجاج معاونون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اجتماع در قالب هاى مختلف فرهنگى را بيان مى كند؛ اجتماعاتى مثل نشست هاى علمى، گفت وگوهاى چند جانبه و دو جانبه و امثال آن، ابزارهاى اعمال حق فرهنگى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ارتقاى سطح فرهنگى مؤمن، نقد خيرخواهانه، نگهدارى از مؤمن به منظور حمايت از او، عدم توجه به شايعات، پرهيز از اتهام، تلاش براى حفظ آبروى مؤمن، دعا براى او، زيارت كردن او و به ديدارش رفتن و تلاش براى حل مشكلات او، همگى در راستاى حقوق فرهنگى حجاج قابل شناسايى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فرهنگى را بايد حوزه حمايت معنوى و روحى و روانى حجاج دانست</w:t>
      </w:r>
      <w:r>
        <w:rPr>
          <w:rFonts w:eastAsia="IRNazanin" w:cs="IRNazanin"/>
          <w:color w:val="111111"/>
          <w:sz w:val="28"/>
          <w:szCs w:val="28"/>
          <w:rtl w:val="true"/>
          <w:lang w:bidi="fa-IR"/>
        </w:rPr>
        <w:t>.</w:t>
      </w:r>
    </w:p>
    <w:p>
      <w:pPr>
        <w:pStyle w:val="Heading5"/>
        <w:numPr>
          <w:ilvl w:val="4"/>
          <w:numId w:val="1"/>
        </w:numPr>
        <w:rPr/>
      </w:pPr>
      <w:bookmarkStart w:id="178" w:name="__RefHeading___Toc1314032_2870459653"/>
      <w:bookmarkStart w:id="179" w:name="_Toc63"/>
      <w:bookmarkEnd w:id="178"/>
      <w:r>
        <w:rPr>
          <w:rtl w:val="true"/>
        </w:rPr>
        <w:t>جمع بندى</w:t>
      </w:r>
      <w:bookmarkEnd w:id="179"/>
    </w:p>
    <w:p>
      <w:pPr>
        <w:pStyle w:val="BookText"/>
        <w:rPr/>
      </w:pPr>
      <w:r>
        <w:rPr>
          <w:rFonts w:ascii="IRNazanin" w:hAnsi="IRNazanin" w:eastAsia="IRNazanin"/>
          <w:color w:val="111111"/>
          <w:sz w:val="28"/>
          <w:sz w:val="28"/>
          <w:szCs w:val="28"/>
          <w:rtl w:val="true"/>
          <w:lang w:bidi="fa-IR"/>
        </w:rPr>
        <w:t>از آنچه تاكنون گذشت به دست مى آيد كه آموزه هاى مختلف حمايتى از حجاج در اسلامى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هاى مختلف اين حمايت از طرفى به وضع قوانين خاص حمايتى، و از طرفى به شناسايى حقوق متعدد حجاج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مواردى خود به اقدام عملى و عينى حمايتى پرداخته است و دستور به ساختن مكانى امن با ابعاد مختلف امنيت، شامل امنيت قضايى، سياسى، اقتصادى، اجتماعى و فرهنگى كرده، و انسان هاى بزرگى را براى اين مأموريت انتخاب نموده، و از طرفى با وضع احكام مختلف، ناظر به حمايت از حجاج، اين مسير را 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جنگ در چهار ماه سال، ممنوعيت حمل سلاح، ممنوعيت جدال و رفث و فسوق، ممنوعيت رفتارهاى تحقيرآميز، وجوب اكرام ضيف و ميهمان، طردكردن مشركان و اهل كتاب از سرزمين وحى به عنوان دو عامل تهديدگر امنيت، حرام دانستن تعرض به جان، مال و آبروى مسلمانان، و درنهايت تشريع احكام خاص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طبرسى،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bookmarkStart w:id="180" w:name="pg8931_113748"/>
    </w:p>
    <w:p>
      <w:pPr>
        <w:pStyle w:val="BookText"/>
        <w:rPr/>
      </w:pPr>
      <w:bookmarkEnd w:id="180"/>
      <w:r>
        <w:rPr>
          <w:rFonts w:ascii="IRNazanin" w:hAnsi="IRNazanin" w:eastAsia="IRNazanin"/>
          <w:color w:val="111111"/>
          <w:sz w:val="28"/>
          <w:sz w:val="28"/>
          <w:szCs w:val="28"/>
          <w:rtl w:val="true"/>
          <w:lang w:bidi="fa-IR"/>
        </w:rPr>
        <w:t>براى حج گزار و وضع برخى كفارات در صورت تعدى از آن احكام، در راستاى تحقق عملى امنيت همه جانبه مدنظر خداوند در سرزمين وحى است؛ در گام سوم با شناسايى و به رسميت شناختن حقوق خاص حجاج، اعم از حقوقى كه مستقيماً به سرزمين وحى برمى گردد و حقوقى كه به حج گزار برمى گردد كه همگى نگاه حمايتى اسلام عزيز را نشان مى دهد، اين جايگاه امن در بهترين موقعيت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رويكرد اسلام در حمايت از حجاج همه جانبه است؛ برخى را خداوند پذيرفته، برخى را بر عهده حاكم جامعه اسلامى گذاشته، برخى را برعهده همگان قرار داده و برخى را نيز در اختيار خود حج گزار قرار داده است تا يك پوشش همه جانبه و تكميلى در راستاى رسيدگى به حجاج بيت الله الحرام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مشترك همه اين لايه ها، شناسايى و اجراى حقوق بنيادين حجاج در سرزمين وحى، شهر امن الهى، براى انجام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ناامنى هاى روحى، و حتى عرضى و آبرويى و جانى كه حجاج را تهديد مى كند، مسائلى است كه با اسلام همخوانى ندارد؛ هرچند به نام اسلام سكه مى خورد</w:t>
      </w:r>
      <w:r>
        <w:rPr>
          <w:rFonts w:eastAsia="IRNazanin" w:cs="IRNazanin"/>
          <w:color w:val="111111"/>
          <w:sz w:val="28"/>
          <w:szCs w:val="28"/>
          <w:rtl w:val="true"/>
          <w:lang w:bidi="fa-IR"/>
        </w:rPr>
        <w:t>.</w:t>
      </w:r>
    </w:p>
    <w:p>
      <w:pPr>
        <w:pStyle w:val="Heading3"/>
        <w:numPr>
          <w:ilvl w:val="2"/>
          <w:numId w:val="1"/>
        </w:numPr>
        <w:rPr/>
      </w:pPr>
      <w:bookmarkStart w:id="181" w:name="__RefHeading___Toc1314034_2870459653"/>
      <w:bookmarkStart w:id="182" w:name="_Toc64"/>
      <w:bookmarkEnd w:id="181"/>
      <w:r>
        <w:rPr>
          <w:rtl w:val="true"/>
        </w:rPr>
        <w:t>گفتار سوم</w:t>
      </w:r>
      <w:r>
        <w:rPr>
          <w:rtl w:val="true"/>
        </w:rPr>
        <w:t xml:space="preserve">: </w:t>
      </w:r>
      <w:r>
        <w:rPr>
          <w:rtl w:val="true"/>
        </w:rPr>
        <w:t>سازوكارهاى حمايتى</w:t>
      </w:r>
      <w:bookmarkEnd w:id="182"/>
    </w:p>
    <w:p>
      <w:pPr>
        <w:pStyle w:val="Heading4"/>
        <w:numPr>
          <w:ilvl w:val="3"/>
          <w:numId w:val="1"/>
        </w:numPr>
        <w:rPr/>
      </w:pPr>
      <w:bookmarkStart w:id="183" w:name="__RefHeading___Toc1314036_2870459653"/>
      <w:bookmarkStart w:id="184" w:name="_Toc65"/>
      <w:bookmarkEnd w:id="183"/>
      <w:r>
        <w:rPr/>
        <w:t>1</w:t>
      </w:r>
      <w:r>
        <w:rPr>
          <w:rtl w:val="true"/>
        </w:rPr>
        <w:t xml:space="preserve">. </w:t>
      </w:r>
      <w:r>
        <w:rPr>
          <w:rtl w:val="true"/>
        </w:rPr>
        <w:t>تدوين منشور حمايتى</w:t>
      </w:r>
      <w:bookmarkEnd w:id="184"/>
    </w:p>
    <w:p>
      <w:pPr>
        <w:pStyle w:val="BookText"/>
        <w:rPr/>
      </w:pPr>
      <w:r>
        <w:rPr>
          <w:rFonts w:ascii="IRNazanin" w:hAnsi="IRNazanin" w:eastAsia="IRNazanin"/>
          <w:color w:val="111111"/>
          <w:sz w:val="28"/>
          <w:sz w:val="28"/>
          <w:szCs w:val="28"/>
          <w:rtl w:val="true"/>
          <w:lang w:bidi="fa-IR"/>
        </w:rPr>
        <w:t>از جمله كارهايى كه متوليان حج در جمهورى اسلامى ايران، و بلكه در كنگره عظيم حج مى توانند به عنوان يك سازوكار حمايتى مدنظر قرار دهند، تدوين منشور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در جمهورى اسلامى محقق شده است و اكنون نياز به تدوين جهانى آن وجود دارد كه مى تواند براساس اعلاميه جهانى حقوق بشر اسلامى قاهره به عنوان يك الگو تنظيم شود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جمهورى اسلامى تحت عنوان منشور حج و زيارت آمده است، در شانزده ماده تهيه گرديده، كه هم چشم انداز، هم بستر تحقق آن توضيح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منشور هدف دوم از تنظيم منشور، توجه به عزت، كرامت و منزلت زائران ايرانى است و اين مفهوم در منشور تصريح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چهارده منشور آمده است مديران و كارشناسان و كاركنان سازمان و مراكز استان ها به همه زائران و كارگزاران با هر سليقه و منش قومى، به چشم احترام و كرامت مى نگرند و ضمن اجتناب از مشاركت در فعاليت هاى اقتصادى دفاتر زيارتى و جهانگردى در ساماندهى امور حج و واگذارى مسئوليت ها، عدالت و تقواى الهى را نصب العين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ده اين منشور حفظ حرمت و منزلت زائر ايرانى مدنظر قرار گرفته و به اهميت اين منزلت توجه شده است و از همه اركان خواسته شده، تا با تكيه بر منزلت زائر ايرانى از او دفاع كنند و از نيروى فكرى و دانش و بينش زائران ايرانى براى اعتلاى منزلت و جايگاه رفيع اجتماعى ايشان در حرمين شريفين بهره گيرند، و از هدر رفتن فرصت هاى معنوى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دو ماده و مقايسه آن دو با هم بيانگر چند نكته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ادبيات مندرج با هدف خوبى تنظيم شده، اما به دليل عدم استفاده از اصطلاحات فنى، منظور تنظيم كنندگان را به خوبى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هر چند واژه دفاع از زائر هدف مطلوبى است، ولى نمى تواند بار حمايتى مدنظر در ادبيات حقوق بشرى را نشان دهد؛ زيرا واژه دفاع با اين سؤال مواجه مى شود كه از چه چيزى براى زائر دفاع مى شود؛ درحالى كه حقوق بشر فراتر از دفاع است، بلكه حمايت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حمايتى كه ناشى از شناسايى حقوق زائر در سرزمين وحى، تحت عنوان زائر، گردشگر، حج گزار، بيگانه، توريست مذهبى و عناوين مشابه مى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منزلت چندبار در اين منشور به كار رفته است كه حاكى از دغدغه متعالى تدوين كنندگان منشور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منزلت اجتماعى واژه نارسايى است، اما گوياى هدف بانيان منشور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نمى تواند به منزلت خويش برسد، مگر آنكه رفتار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كاروان صفا در سال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رسول جعفريان،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مسئولان ايرانى و مسئولان عربستانى با آنها رفتار توأم با اخلاق اسلامى باشد و اصول عام اخلاقى در آن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اصول مهم توجه كردن مسئولان و كارگزاران حج به اصل مسئوليت خود در برابر حجاج مى باشد تا در نتيجه واژه خادم حج گزار در معناى واقعى و عينى خود نمايان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پاسخ گويى به حج گزار و فقدان حس منت گذارى بخشى از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حداكثرى براى جلب رضايت حج گزار، و اطلاع رسانى به موقع، اهتمام بخشى به وقت حجاج و عدم ايجاد مزاحمت هاى بى مورد و بى جهت يا با توجيه هاى غيرمنطقى، ابعاد ديگر توجه به منزلت انسانى حجاج مى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كرامت به طور صريح در بند چهارده منشور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همان طوركه قبلاً بيان شده، اساس و منشأ شناسايى حقوق زائران و معيار و ميزان حمايت از آنها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به كرامت حجاج توجه شود، مى توان ادعا كرد كه حمايت از آنها نيز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و عزت نفس دو مقوله درهم تنيده اى است كه انفكاك آن دو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شكل گيرى عزت نفس، احترام به كرامت انسانى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انسانى همچون يك اصل حاكم براى حمايت از حجاج عمل مى كند كه در مواردى به توسعه حقوق، و در مواردى به تضييق حقوق آنها منجر مى شود؛ مثلاً در مواردى و به صورت موقت و به منظور تأمين منافع حجاج مى توان حج را تعطيل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در منشور حج را بايد به منزله روحى براى ساير بندهاى منشور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وجودى ساير بندهاى منشور با اين نگاه قابل فهم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منشور، و براساس شأن و جايگاه و كرامت حج، خالى است، فقدان شناسايى حقوق حجاج در سرزمين وحى و در كشور اعزام كننده مى باشد؛ هرچند اقدام انجام شده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 در جاى خود بايد اقدام مهمى دانست، و براى رفع نقايص و كاستى هاى آن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 فارغ از بررسى محتواى منشور آنچه در راستاى بحث فعلى ضرورى مى نمايد، تدوين منشورى برپايه تضمين و شناسايى كرامت حجاج در ايران و عربستان و با استفاده از ظرفيت مندرج در اعلاميه جهانى حقوق بشر اسلامى قاهره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اعلاميه قابل توجه است و مى تواند معيار وحدت امت اسلامى در موضوع حقوق بشر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بايد شاهد يكه تازى هاى تفكر وهابى و سلفى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تلخ هشتم شوال و فتواى قاضى وهابى براى تخريب و هدم قبه و ضريح هاى مقدسه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موج اعتراض در جهان اسلام را به وجود آورد، ولى متأسفانه براى مقابله با اين اقدامات غيرانسانى هيچ اقدام عملى صورت نگرفت، نمونه اى از اين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مستوفى الممالك در مقام رياست وزراى ايران اعلاميه مشروحى صادر كرد كه ابعاد اين اعلاميه گسترده است؛ ولى توجه به يك بند در اين اعلاميه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حرمين شريفين متعلق به تمام عالم اسلامى مى باشند و هيچ ملت مسلمان دون ملت ديگر، حق ندارد اين نقاط مقدسه را كه قبله جامعه مسلمانان، و مركز روحانيت اسلام است، به خود اختصاص داده، و تصرفات كيف ما يشأ نمايد و اصول تعاليم خود را بر عقايد ديگران تحميل كند، بنابراين از تمام ملل اسلاميه تقاضا مى شود كه در يك مجمع عمومى ملل مسلمانان مقدرات حرمين شريفين را حل و تسويه كنند و قوانين و نظاماتى وضع گردد كه تمام مسلمانان به طبق عقايد مختصه خود بتوانند آزادانه از بركات روحانى و فيوض آسمانى و اماكن مقدسه مكه معظمه و مدينه طيبه برخوردار 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منشورى كه بر پايه تكريم حجاج بيت الله الحرام، و برگرفته از آموزه هاى اسلامى باشد كه در نتيجه آن حج گزار از موقعيت ممتاز كنگره عظيم الهى حج بالاترين استفاده ممكن را از نظر مادى و معنوى، و فردى و اجتماعى، با حفظ عزت نفس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بيست ساله ايران،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bookmarkStart w:id="185" w:name="pg8931_113752"/>
    </w:p>
    <w:p>
      <w:pPr>
        <w:pStyle w:val="BookText"/>
        <w:rPr/>
      </w:pPr>
      <w:bookmarkEnd w:id="185"/>
      <w:r>
        <w:rPr>
          <w:rFonts w:ascii="IRNazanin" w:hAnsi="IRNazanin" w:eastAsia="IRNazanin"/>
          <w:color w:val="111111"/>
          <w:sz w:val="28"/>
          <w:sz w:val="28"/>
          <w:szCs w:val="28"/>
          <w:rtl w:val="true"/>
          <w:lang w:bidi="fa-IR"/>
        </w:rPr>
        <w:t>امنيت همه جانبه، ببرد و از حمايت مسئولان و متوليان امر بهره مند گردد، گام مؤثرى از سوى دولت مردان و برخاسته از خواست الهى به عنوان يك ابزار و سازوكار حمايت از حجاج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مبناى اين سخن را بايد در سيره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ورود به مدينه اقدام به تدوين عهدنامه بين مهاجران و انصار نمود كه امروزه به عنوان اولين سند حقوق بشر اسلامى شناسايى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تعابير آمده است كه اين عهدنامه را بايد كامل ترين و جامع ترين اعلاميه حقوق بشر خواند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قابل توجهى در اين اعلاميه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تشكيل حكومت و ايجاد تشكيلات حاكميتى اقدام به نگارش آن كرد كه اين خود از اهتمام بخشى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دارد، و يا از مهم بودن كار، و يا هردو؛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عهدنامه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را كه حاضر بودند به گونه اى در كنار مسلمانان قرار گيرند، دخيل كردند؛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عهدنامه حمايت همه جانبه و گسترده از مسلمانان و حتى كسانى را نشان مى دهد كه با مسلمانان قرارداد صلح و همكارى را منعقد كرده اند؛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دانستن همگان در اين عهدنامه و مكلف كردن آنان در انجام تعهدات در راستاى افزايش ظرفيت اجرايى اين منشور نيز نكته حائز اهميت ديگرى مى باشد</w:t>
      </w:r>
      <w:r>
        <w:rPr>
          <w:rFonts w:eastAsia="IRNazanin" w:cs="IRNazanin"/>
          <w:color w:val="111111"/>
          <w:sz w:val="28"/>
          <w:szCs w:val="28"/>
          <w:rtl w:val="true"/>
          <w:lang w:bidi="fa-IR"/>
        </w:rPr>
        <w:t>.</w:t>
      </w:r>
    </w:p>
    <w:p>
      <w:pPr>
        <w:pStyle w:val="Heading4"/>
        <w:numPr>
          <w:ilvl w:val="3"/>
          <w:numId w:val="1"/>
        </w:numPr>
        <w:rPr/>
      </w:pPr>
      <w:bookmarkStart w:id="186" w:name="__RefHeading___Toc1314038_2870459653"/>
      <w:bookmarkStart w:id="187" w:name="_Toc66"/>
      <w:bookmarkEnd w:id="186"/>
      <w:r>
        <w:rPr/>
        <w:t>2</w:t>
      </w:r>
      <w:r>
        <w:rPr>
          <w:rtl w:val="true"/>
        </w:rPr>
        <w:t xml:space="preserve">. </w:t>
      </w:r>
      <w:r>
        <w:rPr>
          <w:rtl w:val="true"/>
        </w:rPr>
        <w:t>حذف قوانين ضدحمايتى</w:t>
      </w:r>
      <w:bookmarkEnd w:id="187"/>
    </w:p>
    <w:p>
      <w:pPr>
        <w:pStyle w:val="BookText"/>
        <w:rPr/>
      </w:pPr>
      <w:r>
        <w:rPr>
          <w:rFonts w:ascii="IRNazanin" w:hAnsi="IRNazanin" w:eastAsia="IRNazanin"/>
          <w:color w:val="111111"/>
          <w:sz w:val="28"/>
          <w:sz w:val="28"/>
          <w:szCs w:val="28"/>
          <w:rtl w:val="true"/>
          <w:lang w:bidi="fa-IR"/>
        </w:rPr>
        <w:t xml:space="preserve">وجود برخى از توافقات بين دولت ايران و عربستان حاكى از وجود قوانين و مقرراتى است كه كاملاً خلاف قوانين حمايتى از حجاج، به ويژه حجاج ايرانى مى باشد؛ براى نمونه توافق نامه شماره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2000/3/2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كه يكى از اين توافق 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زيارت، جواد محدثى،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باشد، دربرگيرنده موارد ضدحمايتى متعددى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تعهدات حقوق بشرى توسط دولت عربستان و عضويت آن كشور در شوراى حقوق بشر ملل متحد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رويه جديدى را بايد فراروى اين دولت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نگاهى به موافقت نامه مذكور بيانگر آن است كه اين دولت درصدد است، حاكميت خود را به طور كامل نشان دهد، و گويا دولت عربستان قصد دارد با حجاج درواقع به عنوان توريست در سرزمين خود رفتار كند؛ درحالى كه سرزمين امن الهى، شهر آزاد خداوند مى باشد و نمى تواند و نبايد تحت حاكميت دولت خاصى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انكار نيست كه وجود قوانين تشكيل دهنده نظم،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برخى از مفاد اين سند، به واقعيت پيش گفته رهنمون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دوازدهم از دولت ايران مى خواهد كه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فِي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فعاليت هاى تبليغاتى با اهداف سياسى و مذهبى، از جمله برگزارى جلسات، گردهمايى، راهپيمايى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برداشت مراسم برائت از مشركان نيز ممنوع مى شود؛ زيرا از نظر آنان مصداق رفث و جدال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آنچه در آيات قرآن كريم بيان شده، مبنى بر اعلام بيزارى از مشركان، و مطابق حق اظهار عقيده و بيان، همخوانى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توجيه خاصى براى اين ممنوعيت، با توجه به اصول حمايتى از حجاج،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كتب همراه حجاج به هنگام ورود به عربستان براى اداى مناسك نيز اين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فقط كتب ادعيه مجاز شمرده شده و ورود كتاب هايى كه ارتباطى با حج ندارد، ممنوع دانسته شده است، و از طرف ديگر طرف ايرانى بايد نمونه هايى از كتب ادعيه همراه حجاج را به طرف سعودى ارائه كند تا طرف سعودى به نوبه خود آنها را به وزارت تبليغات ارسال كند تا پس از بررسى و مطالعه عناوين، كتابهاى مجاز براى طرف ايرانى، اعلام شود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ادبيات با فضاى قرآنى همخوانى ندارد؛ چنان كه با رويكرد حمايتى نيز در</w:t>
      </w:r>
      <w:bookmarkStart w:id="188" w:name="pg8931_113754"/>
    </w:p>
    <w:p>
      <w:pPr>
        <w:pStyle w:val="BookText"/>
        <w:rPr/>
      </w:pPr>
      <w:bookmarkEnd w:id="188"/>
      <w:r>
        <w:rPr>
          <w:rFonts w:ascii="IRNazanin" w:hAnsi="IRNazanin" w:eastAsia="IRNazanin"/>
          <w:color w:val="111111"/>
          <w:sz w:val="28"/>
          <w:sz w:val="28"/>
          <w:szCs w:val="28"/>
          <w:rtl w:val="true"/>
          <w:lang w:bidi="fa-IR"/>
        </w:rPr>
        <w:t>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مشرك حق دارد سخن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أَحَدٌ مِنَ اَلْمُشْرِكِينَ اِسْتَجٰارَكَ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تنها بايد از زبان مسلك خاصى بشنود، يا اينكه حق دارد صداى مذاهب اسلامى را كاملاً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اين نوع مميزى ها هيچ توجيهى ندارد؛ جز آنكه يك دولت بخواهد با ابزار خاص حقوقى از مسلك خاصى در مراسم حج حمايت كند و ديگران را مورد آزار قرار دهد؛ چنان كه بيانگر اين معنا نيز هست كه دولت عربستان، نه درپى خدمت گزارى حجاج كه در مقام اعمال حاكميت مطلق در سرزمين وحى است؛ حاكميتى كه ديگران را به اطاعت مطلق از قوانين داخلى اين كشور مى كشاند</w:t>
      </w:r>
      <w:r>
        <w:rPr>
          <w:rFonts w:eastAsia="IRNazanin" w:cs="IRNazanin"/>
          <w:color w:val="111111"/>
          <w:sz w:val="28"/>
          <w:szCs w:val="28"/>
          <w:rtl w:val="true"/>
          <w:lang w:bidi="fa-IR"/>
        </w:rPr>
        <w:t>.</w:t>
      </w:r>
    </w:p>
    <w:p>
      <w:pPr>
        <w:pStyle w:val="Heading4"/>
        <w:numPr>
          <w:ilvl w:val="3"/>
          <w:numId w:val="1"/>
        </w:numPr>
        <w:rPr/>
      </w:pPr>
      <w:bookmarkStart w:id="189" w:name="__RefHeading___Toc1314040_2870459653"/>
      <w:bookmarkStart w:id="190" w:name="_Toc67"/>
      <w:bookmarkEnd w:id="189"/>
      <w:r>
        <w:rPr/>
        <w:t>3</w:t>
      </w:r>
      <w:r>
        <w:rPr>
          <w:rtl w:val="true"/>
        </w:rPr>
        <w:t xml:space="preserve">. </w:t>
      </w:r>
      <w:r>
        <w:rPr>
          <w:rtl w:val="true"/>
        </w:rPr>
        <w:t>تعقيب و مجازات</w:t>
      </w:r>
      <w:bookmarkEnd w:id="190"/>
    </w:p>
    <w:p>
      <w:pPr>
        <w:pStyle w:val="BookText"/>
        <w:rPr/>
      </w:pPr>
      <w:r>
        <w:rPr>
          <w:rFonts w:ascii="IRNazanin" w:hAnsi="IRNazanin" w:eastAsia="IRNazanin"/>
          <w:color w:val="111111"/>
          <w:sz w:val="28"/>
          <w:sz w:val="28"/>
          <w:szCs w:val="28"/>
          <w:rtl w:val="true"/>
          <w:lang w:bidi="fa-IR"/>
        </w:rPr>
        <w:t>از ديگر سازوكارهاى حمايتى، مسئله تعقيب و مجازات ناقضان حقوق حجاج است؛ اگرچه اولين ناقضان حقوق حجاج هميشه دولت ميزبان است كه به دلايل مختلفى اين كار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وظيفه دارد علاوه بر شناسايى حقوق حجاج، نسبت به كسانى كه اين حقوق را نقض مى كنند، اقدامات مناسب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احترام و حرمت خون، مال و عرض مسلمانان را نسبت به يكديگر اعلام كردند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فرد با ايمانى را عمداً به قتل برساند، مجازاتش دوزخ است و مورد لعن و غضب الهى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نسبت به قتل سهوى كافرى كه در امان مسلمانان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ديه و كفاره به او داده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ممنوعيت ستم در حق ديگرى كه در حكم الحاد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راستا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حاكى از يك پيامد مثبت مهم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برخى با استناد به شرع مقدس و برخى با تكيه بر خواسته هاى انسانى و برخى نيز با استفاده از هردو، به دنبال نقض حقوق ديگران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احكام تكفيرى،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فتواى تكفير در نگاه مذاهب اسلامى، حسين رجبى،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تخريب منازل، برداشتن اموال، هتك حيثيت و نهايتاً كشتن، از جمله اقداماتى است كه به طور خاصى توسط گروه هاى تكفيرى و سلفى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ميزبان در ارتباط با اين گونه موارد با دو تعهد بين المللى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در تعهدات دولت ها نسبت به شهروندان و حتى نسبت به غيرشهروندان در قالب تعهدات حقوق بشرى، محكوميت اقدامات و كارهايى است كه نقض حقوق بنيادين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در مورد حجاج نيز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ميزبان در مرحله اول، متعهد به جلوگيرى از اقداماتى است كه امنيت روحى و روانى حجاج را به مخاطره مى اندازد، و يا جان آنها را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تهديد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جلوگيرى از اقداماتى است كه تحت عنوان نقض حقوق شناسايى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اقدام دولت در اين رابطه وضع قوانين حمايتى در راستاى اجراى حقوق و ايجاد موانع قانونى نسبت به خلاءهايى مى باشد كه افراد مى توانند با استفاده از آن خلاءها اقدامات خود را توجيه حقوقى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چنانچه به هر دليلى، برخى از افراد، مأموران يا كاركنان دولت، به حقوق افراد دست اندازى كردند، مسئله تعقيب و مجازات 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دولت هم بايد بتواند، و هم بايد بخواهد كه سيستم قضايى عادلانه را اجرا كند كه در غير اين صورت تعقيب و مجازات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چنين تعقيب و مجازاتى را بايد در انديشه كرامت انسانى مؤمن و جايگاه بى بديل او در نزد خداوند و احترامى كه براى او قائل شده است، بلكه بالاتر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ارزشى كه خداوند براى انسان قائل شده، به گونه اى است كه كشتن يك فرد را معادل قتل نفس همه جهانيان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بِغَيْرِ نَفْسٍ أَوْ فَسٰادٍ فِي اَلْأَرْضِ فَكَأَنَّمٰا قَتَلَ اَلنّٰاسَ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آيه بيانگر آن است كه انسان از چنين جايگاهى برخوردار است؛ لذا در اين آيه خطاب و سخن با كلمه ناس است، نه مسلمان، يا مؤمن</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منزلت و جايگاه باارزش حجاج در قوانين عربستان و الزام به پذيرش</w:t>
      </w:r>
      <w:bookmarkStart w:id="191" w:name="pg8931_113756"/>
    </w:p>
    <w:p>
      <w:pPr>
        <w:pStyle w:val="BookText"/>
        <w:rPr/>
      </w:pPr>
      <w:bookmarkEnd w:id="191"/>
      <w:r>
        <w:rPr>
          <w:rFonts w:ascii="Amiri" w:hAnsi="Amiri" w:eastAsia="Amiri" w:cs="Amiri"/>
          <w:color w:val="111111"/>
          <w:sz w:val="28"/>
          <w:sz w:val="28"/>
          <w:szCs w:val="28"/>
          <w:rtl w:val="true"/>
          <w:lang w:bidi="ar-SA"/>
        </w:rPr>
        <w:t>تعهدات حقوق بشرى و دورشدن از حربه هاى تكفيرى، و حقوق بشر را در معناى</w:t>
      </w:r>
    </w:p>
    <w:p>
      <w:pPr>
        <w:pStyle w:val="BookText"/>
        <w:rPr/>
      </w:pPr>
      <w:r>
        <w:rPr>
          <w:rFonts w:ascii="IRNazanin" w:hAnsi="IRNazanin" w:eastAsia="IRNazanin"/>
          <w:color w:val="111111"/>
          <w:sz w:val="28"/>
          <w:sz w:val="28"/>
          <w:szCs w:val="28"/>
          <w:rtl w:val="true"/>
          <w:lang w:bidi="fa-IR"/>
        </w:rPr>
        <w:t>حق داشتن به كاربردن، همگى اساس و پايه وضع قوانين تلفيقى و مجازاتى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شفاف سازى، علنى بودن محاكمه ناقضين، اطلاع رسانى به متضرر، حضور هيئت منصفه در موارد خاص، داشتن وكيل و ضرورت حضور وكيل در جلسه محاكمه، به دادرسى معناى واقعى مى دهد و آن را از مجازات تشريفاتى دور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تشكيل دادگاه بى طرف و منصف و وجود قضاتى كه تنها موظف نباشند مطابق قوانين شريعت عربستان حكم كنند، و در صدور حكم به قواعد فقهى مسلّم، مثل قاعده تدرء الحدود بالشبهات و تفسير قوانين به نفع متهم، و يا تفسير مضيق از قوانين كيفرى عمل كنند، به دادرسى منصفانه و عادلانه كمك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تحقق اين هدف كه درنهايت دادگاه را بهترين وسيله حمايتى از متهم و شاكى مى كند، و مى تواند مسير عدالت حقوق را رقم بزند، نياز به فعال شدن سازمان همكارى كشورهاى اسلامى، و راه اندازى دادگاه عدل اسلامى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در اساسنامه اين سازمان نيز به اين دادگاه توجه شده، ولى هنوز اجرايى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مشخص در اين رابطه، راه اندازى شعبه هايى از اين دادگاه، به تعداد مورد نياز، در مدينه و مكه، با نظارت فقهى مجمع فقهى سازمان همكارى كشورهاى اسلامى، و نه دولت عربستان، مى باشد، و همه اين موارد نياز به شناسايى منطقه حرم الهى به عنوان شهر آزاد اسلامى دارد و همانند كارى مى باشد كه در اروپا به نام شهر آزاد دانزيك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آزادبودن اين شهر نه به معناى آزادى از قوانين و مقررات، بلكه به معناى آزادى از حاكميت دولت خاص مى باشد تا بتوان براساس قوانين شريعت به اجراى عدالت حقوقى و كيفرى پرداخت</w:t>
      </w:r>
      <w:r>
        <w:rPr>
          <w:rFonts w:eastAsia="IRNazanin" w:cs="IRNazanin"/>
          <w:color w:val="111111"/>
          <w:sz w:val="28"/>
          <w:szCs w:val="28"/>
          <w:rtl w:val="true"/>
          <w:lang w:bidi="fa-IR"/>
        </w:rPr>
        <w:t>.</w:t>
      </w:r>
    </w:p>
    <w:p>
      <w:pPr>
        <w:pStyle w:val="Heading4"/>
        <w:numPr>
          <w:ilvl w:val="3"/>
          <w:numId w:val="1"/>
        </w:numPr>
        <w:rPr/>
      </w:pPr>
      <w:bookmarkStart w:id="192" w:name="__RefHeading___Toc1314042_2870459653"/>
      <w:bookmarkStart w:id="193" w:name="_Toc68"/>
      <w:bookmarkEnd w:id="192"/>
      <w:r>
        <w:rPr/>
        <w:t>4</w:t>
      </w:r>
      <w:r>
        <w:rPr>
          <w:rtl w:val="true"/>
        </w:rPr>
        <w:t xml:space="preserve">. </w:t>
      </w:r>
      <w:r>
        <w:rPr>
          <w:rtl w:val="true"/>
        </w:rPr>
        <w:t>انعقاد معاهدات حمايتى دو جانبه</w:t>
      </w:r>
      <w:bookmarkEnd w:id="193"/>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اقداماتى كه دولت ها براى حمايت از حجاج انجام مى دهند، تنظيم معاهدات دو جانبه و در مواردى چند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معاهدات مختلفى بين دولت</w:t>
      </w:r>
    </w:p>
    <w:p>
      <w:pPr>
        <w:pStyle w:val="BookText"/>
        <w:rPr/>
      </w:pPr>
      <w:r>
        <w:rPr>
          <w:rFonts w:ascii="Amiri" w:hAnsi="Amiri" w:eastAsia="Amiri" w:cs="Amiri"/>
          <w:color w:val="111111"/>
          <w:sz w:val="28"/>
          <w:sz w:val="28"/>
          <w:szCs w:val="28"/>
          <w:rtl w:val="true"/>
          <w:lang w:bidi="ar-SA"/>
        </w:rPr>
        <w:t xml:space="preserve">ايران و عربستان درزمينه مباحث اقتصادى و ترانزيت و آبزيان منعقد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p>
    <w:p>
      <w:pPr>
        <w:pStyle w:val="BookText"/>
        <w:rPr/>
      </w:pPr>
      <w:r>
        <w:rPr>
          <w:rFonts w:ascii="IRNazanin" w:hAnsi="IRNazanin" w:eastAsia="IRNazanin"/>
          <w:color w:val="111111"/>
          <w:sz w:val="28"/>
          <w:sz w:val="28"/>
          <w:szCs w:val="28"/>
          <w:rtl w:val="true"/>
          <w:lang w:bidi="fa-IR"/>
        </w:rPr>
        <w:t xml:space="preserve">كاروان صفا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نياز به كار بيشتر و بهتر دارد، تلاش براى شكل دادن به اين نوع معاهدات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اساس چنين معاهدات حمايتى توجه به جايگاه و منزلت و شرافت انسانى اسلامى حجاج از بلاد و كشورهاى مختلف مى باشد، ابعاد حمايتى مندرج در اين اسناد مى تواند مختلف و زياد باشد، و چون اعمال برخى از حمايت ها نيازمند تغيير در قوانين داخلى كشورها، به ويژه عربستان است و اين كار به دلايل چندى يا شدنى نيست و يا با تأخير صورت مى گيرد، آن هم با تغيير و تحولاتى خاص، شكل گيرى و انعقاد اين نوع معاهدات مى تواند ضرورت خاص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اين نوع معاهدات توسعه كمى و كيفى حمايت هاى حقوق بشرى از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حمايت ها مى تواند شامل اين موارد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و رفت وآمد حجاج در سرزمين وحى، داشتن اماكن خاص خود براى عبادت يا برگزارى مراسم با وجود امنيت، راه اندازى مراكز تحقيقى و پژوهشى به منظور ايجاد فضاى سالم جهت نقد و بررسى انديشه هاى مختلف و زمينه سازى جهت زيست مسالمت آميز، ايجاد فرصت هايى براى حجاج كه بتوانند بعد از انجام مناسك همچنان مراودات اجتماعى را ادامه بدهند، و درنهايت ايجاد سازوكارهاى خاص حمايتى از قبيل راه اندازى مراكز شبه قضايى براى اتباع ساير كشورها با حضور قضات همان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اجراى اين نوع معاهدات، علاوه بر تعهد اخلاقى مسلمانان نسبت به يكديگر، مسئوليت بين المللى هركدام از دول ناقض تعهدات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مى توان با تكيه بر اصل مسئوليت بين المللى، دولت ها را به انجام تعهدات خويش نسبت به يكديگر متعهد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حمايتى اين نوع ضمانت اجراها، و نوع تعهدات مندرج در آنها، ابزارهاى حمايتى بسيار مناسبى برابر حجاج مى باشد كه البته سختى و مشكلات اين كار نيز مخفى نيست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القاعده برخى از اين نوع معاهدات بين دولت ايران و عربستان وجود دارد كه نويسنده توانسته است با رجوع به مسئولان بعثه مقام معظم رهبرى، و پژوهشكده حج،</w:t>
      </w:r>
    </w:p>
    <w:p>
      <w:pPr>
        <w:pStyle w:val="BookText"/>
        <w:rPr/>
      </w:pPr>
      <w:r>
        <w:rPr>
          <w:rFonts w:ascii="IRNazanin" w:hAnsi="IRNazanin" w:eastAsia="IRNazanin"/>
          <w:color w:val="111111"/>
          <w:sz w:val="28"/>
          <w:sz w:val="28"/>
          <w:szCs w:val="28"/>
          <w:rtl w:val="true"/>
          <w:lang w:bidi="fa-IR"/>
        </w:rPr>
        <w:t>و به كمك نماينده ولى فقيه در سازمان حج، به برخى از آنها دسترسى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w:t>
      </w:r>
    </w:p>
    <w:p>
      <w:pPr>
        <w:pStyle w:val="BookText"/>
        <w:rPr/>
      </w:pPr>
      <w:r>
        <w:rPr>
          <w:rFonts w:ascii="IRNazanin" w:hAnsi="IRNazanin" w:eastAsia="IRNazanin"/>
          <w:color w:val="111111"/>
          <w:sz w:val="28"/>
          <w:sz w:val="28"/>
          <w:szCs w:val="28"/>
          <w:rtl w:val="true"/>
          <w:lang w:bidi="fa-IR"/>
        </w:rPr>
        <w:t>محتواى اين اسناد حاكى از عدم ابزارهاى حمايتى لازم از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ناشى از رفتار دولت عربستان در عدم پذيرش حقوق حمايتى از حجاج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كه بيانگر آن است كه دولت عربستان نگاهى كاملاً حاكميتى در انعقاد اين نوع معاهدات دنبال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انجام اين كار را ميسر مى كند، عمل كردن به پذيرش تعهدات حقوق بشرى توسط دولت هاى اسلامى،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هم جمهورى اسلامى ايران و هم دولت عربستان خود را به انجام تعهدات حقوق بشرى ملل متحد ملتزم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هر كشور نسبت به تعهدات بين المللى حق شرطهايى نيز مطرح كرده است، اعمال شرطهاى مذكور ناظر به مواردى است كه فقه و شريعت اسلامى با اسناد حقوق بشرى مذكور در تعارض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شكل گيرى معاهدات، به ويژه معاهدات خاص اجرايى و ساده كه نيازى به تصويب مجلس قانون گذارى كشورها نيز نداشته باشد، مى تواند گام مهمى در حمايت از حجاج به حساب آيد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طوركه بيان شد عدم انجام تعهدات، مى تواند زمينه ساز طرح شكايت در مجامع قضايى بين المللى عليه كشور 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مراكز قضايى دادگاه عدل اسلامى است كه به عنوان يكى از اركان سازمان همكارى كشورهاى اسلامى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ظرفيت اين دادگاه، علاوه بر اينكه مى تواند بسيارى از اختلافات بين كشورهاى اسلامى را از بين ببرد، مى تواند زمينه و بستر خوبى براى تحقق مطالبات مشروع حجاج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خصوص نيازمند به تأكيد است، به رسميت شناختن حقوق مدنى و نسل سومى حجاج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دسته از حقوق بدان دليل كه نقش ويژه اى در دفاع از حقوق حجاج دارند و زمينه ساز تحقق ساير حقوق مى باشند، مورد تأكيدند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شرط در اسناد حقوق بشرى از ديدگاه حقوق بين الملل عمومى و حقوق بين الملل اسلام، راعى،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bookmarkStart w:id="194" w:name="pg8931_113759"/>
    </w:p>
    <w:p>
      <w:pPr>
        <w:pStyle w:val="BookText"/>
        <w:rPr/>
      </w:pPr>
      <w:bookmarkEnd w:id="194"/>
      <w:r>
        <w:rPr>
          <w:rFonts w:ascii="IRNazanin" w:hAnsi="IRNazanin" w:eastAsia="IRNazanin"/>
          <w:color w:val="111111"/>
          <w:sz w:val="28"/>
          <w:sz w:val="28"/>
          <w:szCs w:val="28"/>
          <w:rtl w:val="true"/>
          <w:lang w:bidi="fa-IR"/>
        </w:rPr>
        <w:t>حقوق مدنى، بايد به حق حيات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برخى به آزادى اهتمام كرده اند و آزادى را با ارزش تر از حيات ديده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آزادى حيات ارزشى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اظهارنظر كه به جان لاك منسوب است، از جايگاه حيات، و حق انسان ها نسبت به آن نمى كاهد؛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بدون اين حق، زمينه اعمال ديگر حقوق از بين مى رود، از طرف ديگر، حقوق نسل سوم نيز از جايگاه ويژه برخوردارند، چون با فلسفه وجودى حج كه اجتماع مشترك و ايجاد حس همبستگى مسلمانان نسبت به هم مى باشد، و خود زمينه ساز تحقق امت واحده است، همخوانى بيشترى دارد</w:t>
      </w:r>
      <w:r>
        <w:rPr>
          <w:rFonts w:eastAsia="IRNazanin" w:cs="IRNazanin"/>
          <w:color w:val="111111"/>
          <w:sz w:val="28"/>
          <w:szCs w:val="28"/>
          <w:rtl w:val="true"/>
          <w:lang w:bidi="fa-IR"/>
        </w:rPr>
        <w:t>.</w:t>
      </w:r>
    </w:p>
    <w:p>
      <w:pPr>
        <w:pStyle w:val="Heading4"/>
        <w:numPr>
          <w:ilvl w:val="3"/>
          <w:numId w:val="1"/>
        </w:numPr>
        <w:rPr/>
      </w:pPr>
      <w:bookmarkStart w:id="195" w:name="__RefHeading___Toc1314044_2870459653"/>
      <w:bookmarkStart w:id="196" w:name="_Toc69"/>
      <w:bookmarkEnd w:id="195"/>
      <w:r>
        <w:rPr/>
        <w:t>5</w:t>
      </w:r>
      <w:r>
        <w:rPr>
          <w:rtl w:val="true"/>
        </w:rPr>
        <w:t xml:space="preserve">. </w:t>
      </w:r>
      <w:r>
        <w:rPr>
          <w:rtl w:val="true"/>
        </w:rPr>
        <w:t>عملياتى و اجرايى كردن اعلاميه جهانى حقوق بشر قاهره</w:t>
      </w:r>
      <w:bookmarkEnd w:id="196"/>
    </w:p>
    <w:p>
      <w:pPr>
        <w:pStyle w:val="BookText"/>
        <w:rPr/>
      </w:pPr>
      <w:r>
        <w:rPr>
          <w:rFonts w:ascii="IRNazanin" w:hAnsi="IRNazanin" w:eastAsia="IRNazanin"/>
          <w:color w:val="111111"/>
          <w:sz w:val="28"/>
          <w:sz w:val="28"/>
          <w:szCs w:val="28"/>
          <w:rtl w:val="true"/>
          <w:lang w:bidi="fa-IR"/>
        </w:rPr>
        <w:t xml:space="preserve">اين اعلاميه كه به اعلاميه جهانى حقوق بشر قاهره معروف شد، در واقع واكنشى بود كه كشورهاى اسلامى به اعلاميه جهانى حقوق بشر دادند و سندى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تنظيم كردند كه خود مى تواند مبناى مهمى در حفظ شأن و جايگاه حجاج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سند حتى بين كشورهاى اسلامى نيز غريب است و كمتر به آن استناد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سند و چندين سند ديگر كه به دنبال سند مذكور توسط كشورهاى اسلامى تصويب شده است، ابزار حمايتى قابل توجهى را در اختيار قرار مى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رم به اين نكته توجه شده كه ايجاد ارتباط بين حقوق و تعهد برپايه و مبناى ايجاد توازن بين وظايف و نيازها به منظور ايجاد خانواده، جامعه و تنظيم روابط جهانى به گونه اى كه در تعارض با اراده الهى نباشد، ضرورى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اعلاميه حقوق بشر اسلامى قاهره نيز با ترسيم انديشه هاى ناب اسلامى به آزادى مسئولانه بشريت و حيثيت آنان توجه، و رهايى انسان از بردگى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اين اعلاميه تأكيد شده كه اين اعلاميه براى ايفاى سهم در تلاش هاى بشرى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حقوق، جمعى از نويسندگان،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Jason morgan - Foster, vol.8, p.82</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www.isesco.org.ma/pub/Eng/humanrights/pege8</w:t>
      </w:r>
      <w:r>
        <w:rPr>
          <w:rFonts w:eastAsia="Times New Roman" w:cs="Times New Roman" w:ascii="Times New Roman" w:hAnsi="Times New Roman"/>
          <w:color w:val="111111"/>
          <w:sz w:val="28"/>
          <w:szCs w:val="28"/>
          <w:rtl w:val="true"/>
          <w:lang w:val="en-US" w:bidi="en-US"/>
        </w:rPr>
        <w:t>.</w:t>
      </w:r>
      <w:bookmarkStart w:id="197" w:name="pg8931_113760"/>
    </w:p>
    <w:p>
      <w:pPr>
        <w:pStyle w:val="BookText"/>
        <w:rPr/>
      </w:pPr>
      <w:bookmarkEnd w:id="197"/>
      <w:r>
        <w:rPr>
          <w:rFonts w:ascii="IRNazanin" w:hAnsi="IRNazanin" w:eastAsia="IRNazanin"/>
          <w:color w:val="111111"/>
          <w:sz w:val="28"/>
          <w:sz w:val="28"/>
          <w:szCs w:val="28"/>
          <w:rtl w:val="true"/>
          <w:lang w:bidi="fa-IR"/>
        </w:rPr>
        <w:t>مربوط به حقوق بشر است، تنظيم شده است؛ حقوقى كه هدفش حمايت بشر در مقابل بهره كشى و ظلم است و بر آزادى و حقوق او در حيات شرافتمندانه تأكيد دارد، و با بشريت اسلامى نيز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هجده بند الف اعلام كرده است كه هر انسانى حق دارد نسبت به جان و دين و خانواده و ناموس و مال خويش در آسودگى زندگى كند و هر انسانى در امور زندگى خصوصى خود استقلال دارد، و جاسوسى يا نظارت بر او و مخدوش كردن حيثيت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بيست و دوم آزادى بيان را به شرط آنكه مغاير با اصول شرعى نباشد،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تعهد دولت هاى اسلامى به اين اعلاميه و اعلاميه هاى شبيه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عملى در اين اسناد بين حقوق و تكاليف و نظم و احترام به انسان ها، سازوكار مهم حمايتى را در درون جاى داده است كه مى تواند راهگشاى خوبى براى اجراى مبانى اسلام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8" w:name="__RefHeading___Toc1314046_2870459653"/>
      <w:bookmarkStart w:id="199" w:name="_Toc70"/>
      <w:bookmarkEnd w:id="198"/>
      <w:r>
        <w:rPr/>
        <w:t>6</w:t>
      </w:r>
      <w:r>
        <w:rPr>
          <w:rtl w:val="true"/>
        </w:rPr>
        <w:t xml:space="preserve">. </w:t>
      </w:r>
      <w:r>
        <w:rPr>
          <w:rtl w:val="true"/>
        </w:rPr>
        <w:t>بهره گيرى از حكميت به عنوان شيوه اى جهت حل وفصل اختلافات</w:t>
      </w:r>
      <w:bookmarkEnd w:id="199"/>
    </w:p>
    <w:p>
      <w:pPr>
        <w:pStyle w:val="BookText"/>
        <w:rPr/>
      </w:pPr>
      <w:r>
        <w:rPr>
          <w:rFonts w:ascii="IRNazanin" w:hAnsi="IRNazanin" w:eastAsia="IRNazanin"/>
          <w:color w:val="111111"/>
          <w:sz w:val="28"/>
          <w:sz w:val="28"/>
          <w:szCs w:val="28"/>
          <w:rtl w:val="true"/>
          <w:lang w:bidi="fa-IR"/>
        </w:rPr>
        <w:t>در كنار شيوه هاى قضايى براى حل اختلاف به عنوان يك سازوكار حمايتى از دوطرف اختلاف و مخاصمه، يكى ديگر از اين ابزارها، پذيرش حكميت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فقهى هرگاه دو طرف متخاصم، تصميم گيرى در مورد اختلاف را به رأى شخص ثالث بگذارند، حكميت اطلاق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فقهى شيعه و سنى به اين نكته به طور خاص در زمينه طلاق قضايى و تنفيذ آن به صورت مصداقى تأكيد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Gairo Declaration on Human Rights in Islam,1900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Rome Declaration on Human Rights in Islam,2000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Universal Islamic Declarahion of Human Rights,2005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Jason Morgan - Fosterg Third Generatian Rights.YALE HUMAN RIGHTS DEVELOPMEMTL.J.VOL, 8,2005</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جواهرالكلام، ج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bookmarkStart w:id="200" w:name="pg8931_113761"/>
    </w:p>
    <w:p>
      <w:pPr>
        <w:pStyle w:val="BookText"/>
        <w:rPr/>
      </w:pPr>
      <w:bookmarkEnd w:id="2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حكميت با رويكرد حمايت از حجاج مزايايى دارد كه در شيوه قضايى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هزينه تر بودن، نداشتن اطاله دادرسى، برخوردار بودن طرفين اختلاف از قدرت مانور در انتخاب فرصت هاى حل اختلاف و بهره مند بودن داورها در گزينش روش هاى مختلف جهت حل اختلاف، از مزاياى حكميت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اقداماتى كه دولت ايران و عربستان در راستاى تضمين حجاج مى توانند داشته باشند، راه اندازى شيوه حكميت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به دليل مبتنى بودن بر اصل انصاف، كمك خوبى در حل اختلاف و ستاندن حق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اجرايى شدن اين شيوه نيازمند توافق نامه دوجانبه مثل ساير توافقات مى باشد</w:t>
      </w:r>
      <w:r>
        <w:rPr>
          <w:rFonts w:eastAsia="IRNazanin" w:cs="IRNazanin"/>
          <w:color w:val="111111"/>
          <w:sz w:val="28"/>
          <w:szCs w:val="28"/>
          <w:rtl w:val="true"/>
          <w:lang w:bidi="fa-IR"/>
        </w:rPr>
        <w:t>.</w:t>
      </w:r>
    </w:p>
    <w:p>
      <w:pPr>
        <w:pStyle w:val="Heading4"/>
        <w:numPr>
          <w:ilvl w:val="3"/>
          <w:numId w:val="1"/>
        </w:numPr>
        <w:rPr/>
      </w:pPr>
      <w:bookmarkStart w:id="201" w:name="__RefHeading___Toc1314048_2870459653"/>
      <w:bookmarkStart w:id="202" w:name="_Toc71"/>
      <w:bookmarkEnd w:id="201"/>
      <w:r>
        <w:rPr/>
        <w:t>7</w:t>
      </w:r>
      <w:r>
        <w:rPr>
          <w:rtl w:val="true"/>
        </w:rPr>
        <w:t xml:space="preserve">. </w:t>
      </w:r>
      <w:r>
        <w:rPr>
          <w:rtl w:val="true"/>
        </w:rPr>
        <w:t>حمايت ديپلماتيك از اتباع</w:t>
      </w:r>
      <w:bookmarkEnd w:id="202"/>
    </w:p>
    <w:p>
      <w:pPr>
        <w:pStyle w:val="BookText"/>
        <w:rPr/>
      </w:pPr>
      <w:r>
        <w:rPr>
          <w:rFonts w:ascii="IRNazanin" w:hAnsi="IRNazanin" w:eastAsia="IRNazanin"/>
          <w:color w:val="111111"/>
          <w:sz w:val="28"/>
          <w:sz w:val="28"/>
          <w:szCs w:val="28"/>
          <w:rtl w:val="true"/>
          <w:lang w:bidi="fa-IR"/>
        </w:rPr>
        <w:t>امروزه يكى از شيوه هاى حمايتى بين المللى، حمايت از اتباع با استفاده از ساختارهاى ديپلماتيك مثل كنسولگرى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حقوقى آن گاه معنا مى يابد كه عليه يكى از اتباع در كشور بيگانه جرم و رفتار خلافى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كنسولگرى آن كشور در راستاى جلوگيرى از تضييع حقوق آن شهروند و شكل دهى به يك دادرسى عادلانه، وارد عمل مى شود و بدين منظور اقدامات مختلفى را، از جمله كمك به اختيار كردن وكيل و آگاه كردن فرد از قوانين آن كشور براى دفاع از خود، صورت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كمك مهمى در حمايت از شهروندان در خارج از مرزها محسوب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حمايت ديپلماتيك ادعاى شخص تبديل به ادعاى كشور مى شود؛ زيرا دولت متبوع به قصد حمايت از شهروند خود كه مورد آزار و اذيت جانى، مال و آبرويى قرار گرفته است،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چنانچه سيستم قضايى آن كشور به صورت منصفانه و عادلانه و به صورت واقعى به پرونده رسيدگى كند، كه از علائم اين رسيدگى اطلاع دادن به دولت متبوع فرد مى باشد، مشكلى پيش نمى آيد؛ زيرا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سياسى، عميد زنجانى،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بين الملل عمومى، محمدرضا بيگدلى، ص </w:t>
      </w:r>
      <w:r>
        <w:rPr>
          <w:rFonts w:eastAsia="IRNazanin" w:cs="IRNazanin"/>
          <w:color w:val="111111"/>
          <w:sz w:val="28"/>
          <w:szCs w:val="28"/>
          <w:lang w:bidi="fa-IR"/>
        </w:rPr>
        <w:t>427</w:t>
      </w:r>
      <w:r>
        <w:rPr>
          <w:rFonts w:eastAsia="IRNazanin" w:cs="IRNazanin"/>
          <w:color w:val="111111"/>
          <w:sz w:val="28"/>
          <w:szCs w:val="28"/>
          <w:rtl w:val="true"/>
          <w:lang w:bidi="fa-IR"/>
        </w:rPr>
        <w:t>.</w:t>
      </w:r>
      <w:bookmarkStart w:id="203" w:name="pg8931_113762"/>
    </w:p>
    <w:p>
      <w:pPr>
        <w:pStyle w:val="BookText"/>
        <w:rPr/>
      </w:pPr>
      <w:bookmarkEnd w:id="203"/>
      <w:r>
        <w:rPr>
          <w:rFonts w:ascii="IRNazanin" w:hAnsi="IRNazanin" w:eastAsia="IRNazanin"/>
          <w:color w:val="111111"/>
          <w:sz w:val="28"/>
          <w:sz w:val="28"/>
          <w:szCs w:val="28"/>
          <w:rtl w:val="true"/>
          <w:lang w:bidi="fa-IR"/>
        </w:rPr>
        <w:t>هدف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چنين رسيدگى اى رخ ندهد، دولت متبوع مى تواند براى حمايت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كه در اينجا مطرح است اينكه آيا چنين حمايتى حق دولت است، يا تكليف او؟ اكنون پاسخ به اين سؤال ضرورت ندارد، و فارغ از حق بودن يا نبودن مى توان آن را به عنوان يك راهكار معتبر حقوقى بين المللى مدنظر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تحقق اين حمايت شرايطى ضرورى است، از جمله تابعيت مدعى، مراجعه به مقامات داخلى و پاك دستى مدعى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مسير اختصاص به حجاج ندارد و هرتبعه اى از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حجاج به صورت گسترده به آن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بالاى اعزام حجاج به سرزمين وحى چه در قالب حج تمتع و چه در قالب عمره مفرده از طرفى، و سخت گيرى هاى بيش از حد و غيرمنطقى كارگزاران دولت سعودى به صورت مستقيم و غيرمستقيم از طرف ديگر، ضرورت استفاده از اين راه را توجيه پذير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شيوه استفاده از اين روش رجوع به دادگاه هاى بين المللى است كه مهم ترين آن دادگاه بين المللى دادگسترى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ارجاع اين نوع پرونده ها به دادگاه بين المللى دادگسترى براى دولت هزينه ساز و وقت گير است، اما براى حمايت از حجاج، چاره اى جز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موضوع و تكيه و تأكيد بر آن، فرصت حمايتى مطلوبى را فراهم مى آورد</w:t>
      </w:r>
      <w:r>
        <w:rPr>
          <w:rFonts w:eastAsia="IRNazanin" w:cs="IRNazanin"/>
          <w:color w:val="111111"/>
          <w:sz w:val="28"/>
          <w:szCs w:val="28"/>
          <w:rtl w:val="true"/>
          <w:lang w:bidi="fa-IR"/>
        </w:rPr>
        <w:t>.</w:t>
      </w:r>
    </w:p>
    <w:p>
      <w:pPr>
        <w:pStyle w:val="Heading4"/>
        <w:numPr>
          <w:ilvl w:val="3"/>
          <w:numId w:val="1"/>
        </w:numPr>
        <w:rPr/>
      </w:pPr>
      <w:bookmarkStart w:id="204" w:name="__RefHeading___Toc1314050_2870459653"/>
      <w:bookmarkStart w:id="205" w:name="_Toc72"/>
      <w:bookmarkEnd w:id="204"/>
      <w:r>
        <w:rPr/>
        <w:t>8</w:t>
      </w:r>
      <w:r>
        <w:rPr>
          <w:rtl w:val="true"/>
        </w:rPr>
        <w:t xml:space="preserve">. </w:t>
      </w:r>
      <w:r>
        <w:rPr>
          <w:rtl w:val="true"/>
        </w:rPr>
        <w:t>گزارشگران ويژه</w:t>
      </w:r>
      <w:bookmarkEnd w:id="205"/>
    </w:p>
    <w:p>
      <w:pPr>
        <w:pStyle w:val="BookText"/>
        <w:rPr/>
      </w:pPr>
      <w:r>
        <w:rPr>
          <w:rFonts w:ascii="IRNazanin" w:hAnsi="IRNazanin" w:eastAsia="IRNazanin"/>
          <w:color w:val="111111"/>
          <w:sz w:val="28"/>
          <w:sz w:val="28"/>
          <w:szCs w:val="28"/>
          <w:rtl w:val="true"/>
          <w:lang w:bidi="fa-IR"/>
        </w:rPr>
        <w:t>امروزه استفاده از شيوه گزارشگران ويژه به منظور ارزيابى عملكرد دولت ها درزمينه انجام تعهدات، نقش مهمى در وفادارى دولت ها و تضمين به انجام تعهدات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امروزه اين شيوه در سازمان هاى حقوق بشرى بين المللى به عنوان يك نهاد نظارتى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بين الملل عمومى، محمدرضا بيگدلى،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شناسايى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مثال مى توان از انتخاب گزارشگر ويژه حقوق بشرى در جمهورى اسلامى ايران توسط شوراى حقوق بشر سازمان ملل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كار اين نوع افراد جمع آورى اطلاعات درزمينه رعايت تعهدات حقوق بشرى دولت ها از مراجع مختلف دولتى و غيردولتى است كه درنهايت براى اخذ تصميم مناسب به نهادهاى مسئول ارائه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ظرفيت هاى حج و سازمان همكارى كشورهاى اسلامى مسئله انتخاب گزارشگر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چند نفر با رأى حداكثرى دولت هاى عضو سازمان مذكور و لزوم حضور مستمر اين افراد در سرزمين وحى و برخورداربودن از آزادى عمل در تهيه گزارش و داشتن امنيت كافى و كامل نسبت به گزارش هاى تهيه شده، مى تواند كمك شايانى به حجاج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مكان هايى كه حجاج بتوانند گزارش هاى خود را ارسال كنند و تعهد گزارشگران به جمع آورى اطلاعات به طور مستقل و قرائت اين گزارش ها در نشست هاى سازمان همكارى يا انتشار اين گزارش ها توسط كل كشورهاى اعزام كننده، يا اعلام آنها به مراكز حقوق بشرى بين المللى اعم از دولتى و غيردولتى، گام تكميلى اين پروسه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مدنظر قراردادن محتواى اعلاميه جهانى حقوق بشر اسلامى قاهره و همين طور ديگر تعهدات دو جانبه و چند جانبه اى كه دولت عربستان با ساير دولت هاى اسلامى دارد، و توجه به تعهدات حقوق بشرى دولت ميزبان به عنوان عضوى از شوراى حقوق بشر ملل متحد، رسيدگى به مواد و محتواى حركتى گزارشگران از طرفى، و ايجاد نهادى براى رسيدگى به گزارش ها، اعم از نهادهايى موجود اسلامى و جهانى و وظيفه پاسخ گويى دولت ميزبان در رابطه با گزارش هاى اعلام شده، مراحل سه گانه اى است كه مى تواند در فرايند گزارش دهى به حجاج كمك كند و فرصت حمايتى مطلوبى را در اختيار آنها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بشر و سازوكارهاى نظارتى در اسناد بين المللى و فقه، زمانى و همكاران،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06" w:name="pg8931_113764"/>
    </w:p>
    <w:p>
      <w:pPr>
        <w:pStyle w:val="BookText"/>
        <w:rPr/>
      </w:pPr>
      <w:bookmarkEnd w:id="206"/>
      <w:r>
        <w:rPr>
          <w:rFonts w:ascii="IRNazanin" w:hAnsi="IRNazanin" w:eastAsia="IRNazanin"/>
          <w:color w:val="111111"/>
          <w:sz w:val="28"/>
          <w:sz w:val="28"/>
          <w:szCs w:val="28"/>
          <w:rtl w:val="true"/>
          <w:lang w:bidi="fa-IR"/>
        </w:rPr>
        <w:t>اين روش با همه محاسن خود مى تواند با آفاتى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رعايت بى طرفى گزارشگر، داشتن عقايد خاص مذهبى، و حتى تعصب به مذهب خاص، به ويژه وهابيت يا سلفى ها و تكفيرى ها، نداشتن امنيت لازم براى شخص گزارشگر، ايجاد محدوديت در تهيه گزارش، بى توجهى دولت عربستان به گزارش هاى ارائه شده، سياسى خواندن گزارش ها و يا مقابله به مثل و فرافكنى، همگى از تهديدات و آفات هاى اين شيوه حمايتى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كردن به آفات مذكور زمينه ساز ارائه راه حل هاى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مشكلات بيان شده نمى تواند از ارزش حمايتى روش گزارش دهى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چون اين مسير تاكنون در حج، تجربه نشده است، با فرازوفرودهاى خاص خود و موانع فرارو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اين موانع و چالش ها اختصاص به جهان اسلام ندارد و درزمينه اقدامات حقوق بشرى ملل متحد نيز سابقه داشته، كه گام به گام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ها مى تواند دوره اى باشد؛ چنان كه مى تواند فصلى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سازوكار از طرفى كاهش هزينه را به دنبال دارد، و از طرفى به فعال سازى نهادهاى موجود در زمينه حمايت از حجاج مى انجامد و درنهايت، فرصت هاى خوبى را براى حجاج در جهت تحصيل امنيت و آرامش براى انجام مناسك فراهم مى آورد</w:t>
      </w:r>
      <w:r>
        <w:rPr>
          <w:rFonts w:eastAsia="IRNazanin" w:cs="IRNazanin"/>
          <w:color w:val="111111"/>
          <w:sz w:val="28"/>
          <w:szCs w:val="28"/>
          <w:rtl w:val="true"/>
          <w:lang w:bidi="fa-IR"/>
        </w:rPr>
        <w:t>.</w:t>
      </w:r>
    </w:p>
    <w:p>
      <w:pPr>
        <w:pStyle w:val="Heading4"/>
        <w:numPr>
          <w:ilvl w:val="3"/>
          <w:numId w:val="1"/>
        </w:numPr>
        <w:rPr/>
      </w:pPr>
      <w:bookmarkStart w:id="207" w:name="__RefHeading___Toc1314052_2870459653"/>
      <w:bookmarkStart w:id="208" w:name="_Toc73"/>
      <w:bookmarkEnd w:id="207"/>
      <w:r>
        <w:rPr/>
        <w:t>9</w:t>
      </w:r>
      <w:r>
        <w:rPr>
          <w:rtl w:val="true"/>
        </w:rPr>
        <w:t xml:space="preserve">. </w:t>
      </w:r>
      <w:r>
        <w:rPr>
          <w:rtl w:val="true"/>
        </w:rPr>
        <w:t>بهره گيرى از نهادهاى مردمى</w:t>
      </w:r>
      <w:bookmarkEnd w:id="208"/>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سازمان هاى مردم نهاد در حوزه هاى مختلف اجتماعى، از جمله محيط زيست، به عنوان يك ابزار كارآمد مورد توجه همگان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نهادها تحت نظارت عمل مى كنند، كه شيوه هاى نظارت نيز متفاوت است؛ نظارت در معناى اخذ مجوز، نظارت در معناى پاسخ دهى نسبت به شكايات و نظارت در معناى مميزى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اول به استقلال سازمان ها لطمه اى نمى زند؛ ولى نوع سوم استقلال سازمان ها را به چالش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مطلب پيش گفته، حضور مردم در قالب نهادهاى مردمى و تشكيلات غيردولتى به منظور انجام فعاليت هاى اجتماعى از طرفى نهادينه</w:t>
      </w:r>
      <w:bookmarkStart w:id="209" w:name="pg8931_113765"/>
    </w:p>
    <w:p>
      <w:pPr>
        <w:pStyle w:val="BookText"/>
        <w:rPr/>
      </w:pPr>
      <w:bookmarkEnd w:id="209"/>
      <w:r>
        <w:rPr>
          <w:rFonts w:ascii="IRNazanin" w:hAnsi="IRNazanin" w:eastAsia="IRNazanin"/>
          <w:color w:val="111111"/>
          <w:sz w:val="28"/>
          <w:sz w:val="28"/>
          <w:szCs w:val="28"/>
          <w:rtl w:val="true"/>
          <w:lang w:bidi="fa-IR"/>
        </w:rPr>
        <w:t>شدن حضور مردم را در عرصه فعاليت هاى اجتماعى نشان مى دهد، و از طرف ديگر وظيفه پاسخ گويى مسئولان نسبت به مردم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هاى مردم نهاد با برخوردارى از ظرفيت مناسب و مردمى و داشتن پشتوانه عمومى تأثير مثبتى در عملى كردن خواسته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نهادها با تبيين و تعريف روش مطالبات مردم و استفاده از فرصت هاى قانونى كشور مى توانند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بين المللى نيز با حمايت سازمان ملل متحد از اين نوع سازمان ها فرصت اقدام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شاهد حضور گسترده نهادهاى فوق در زمينه حقوق بشر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خاصى در حوزه فعاليت مربوط به زنان بيش از صدها سازمان غيردولتى به فعاليت مشغول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تشويق شهروندان مسلمان به استفاده از اين سازوكار در زمينه حج و حمايت از حجاج را بايد يك ابزار خوب حمايتى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ها هم مى توانند در قالب يك نهاد ملى خود را نشان دهند، و هم مى توانند جنبه بين المللى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آثار و نتايج مثبتى به دنبال دارد؛ از جمله ايجاد همگرايى بين مسلمانان در راستاى امت واحده و بهره مندى از معاضدت يكديگر و ايجاد دژ حمايتى در برابر فشارهاى ظالمانه داخلى و بين المللى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و با توجه به ظرفيت موجود در نهادهاى مذكور و ضرورت حمايت همه جانبه از حجاج در قالب حمايت دولت اعزام كننده، دولت ميزبان، حجاج نسبت به يكديگر و اصل خودحمايتى حجاج از خود، مى طلبد كه زمينه تشكيل سازمان هاى مردم نهاد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درواقع مكمل روش قبلى در استفاده از ابزارهاى موجود بين المللى است</w:t>
      </w:r>
      <w:r>
        <w:rPr>
          <w:rFonts w:eastAsia="IRNazanin" w:cs="IRNazanin"/>
          <w:color w:val="111111"/>
          <w:sz w:val="28"/>
          <w:szCs w:val="28"/>
          <w:rtl w:val="true"/>
          <w:lang w:bidi="fa-IR"/>
        </w:rPr>
        <w:t>.</w:t>
      </w:r>
    </w:p>
    <w:p>
      <w:pPr>
        <w:pStyle w:val="Heading4"/>
        <w:numPr>
          <w:ilvl w:val="3"/>
          <w:numId w:val="1"/>
        </w:numPr>
        <w:rPr/>
      </w:pPr>
      <w:bookmarkStart w:id="210" w:name="__RefHeading___Toc1314054_2870459653"/>
      <w:bookmarkStart w:id="211" w:name="_Toc74"/>
      <w:bookmarkEnd w:id="210"/>
      <w:r>
        <w:rPr/>
        <w:t>10</w:t>
      </w:r>
      <w:r>
        <w:rPr>
          <w:rtl w:val="true"/>
        </w:rPr>
        <w:t xml:space="preserve">. </w:t>
      </w:r>
      <w:r>
        <w:rPr>
          <w:rtl w:val="true"/>
        </w:rPr>
        <w:t>گسترش و ترويج ادبيات حقوق بشرى حج</w:t>
      </w:r>
      <w:bookmarkEnd w:id="211"/>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 نگاهى به سخنان مسئولان و متوليان حج حاكى از آن است كه واژه حقوق بشر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نمونه هايى از اين معنا مناسب است؛ برگزارى</w:t>
      </w:r>
    </w:p>
    <w:p>
      <w:pPr>
        <w:pStyle w:val="BookText"/>
        <w:rPr/>
      </w:pPr>
      <w:r>
        <w:rPr>
          <w:rFonts w:ascii="IRNazanin" w:hAnsi="IRNazanin" w:eastAsia="IRNazanin"/>
          <w:color w:val="111111"/>
          <w:sz w:val="28"/>
          <w:sz w:val="28"/>
          <w:szCs w:val="28"/>
          <w:rtl w:val="true"/>
          <w:lang w:bidi="fa-IR"/>
        </w:rPr>
        <w:t xml:space="preserve">همايش منزلت زن در مدينه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برگزارى اجلاس ملى مكه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بيانيه اميرعبدالله در رابطه با محكوميت افراطى گرايى با موضوع افراطى گرايى و اعتدال گرايى،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 عربستان در موسم حج، و پيشنهاد منشور حقوق بشر از ديدگاه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نامه آشنايى با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پيشنهاد منشور آزادى و حقوق بشر اسلامى،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ادبياتى همچون آمريكا حقوق بشر را پايمال كرده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چه دموكراسى و آزادى است كه زنان براى خودفروشى آزاد باشند، اما براى حفظ حجاب و عفت آنان ممنوعيت ايجاد مى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حق بشر بهانه اى براى تبليغ عليه ايران است، درحالى كه خود، ناقضان حقوق مسلمانان مى باشند،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رياكارى نسبت به حقوق بشر،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ديگرى از توجه به ادبيات حقوق بشر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گفت وگويى ملك عبدالله در اجلاس ملى مكه كه مى تواند اصول حمايتى از حجاج را در خود ترسيم كند،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معنا كه قانون نمى تواند آزادى بشر را محدود كند، مگر در كارهايى كه به ضرر اجتماع باشد، و ساير اقدامات علمى كه حتى در عربستان باعنوان حقوق بشر شكل مى گيرد، نمونه ديگرى از به كارگيرى واژه حقوق بشر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موارد مختلفى اين واژه 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مدعيان حقوق بشر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مدعيان حقوق بشر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طرفدارى طرفداران حقوق بشر را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كار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كاروان صفا، رسول جعفريان،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سرزمين پيامبران، علوى،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كاروان ابراهيم در سال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جعفريان، محمدعلى خسروى،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همايش منزلت زن در مدينه،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كاروان صفا در سال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حج،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سخنان نماينده ولى فقيه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از نگاه 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برگزارى اين همايش با عنوان فوق و يا سخنان آقاى رى شهرى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مذاهب اسلامى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كارگيرى واژه حقوق بشر بيانگر استفاده واژه مذكور در ادبيات گفتمانى مسئولان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پيام هاى مقام معظم رهبرى به حجاج، نيز اين ادبيات به صورت هاى مختلف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پيام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تهمت نقض حقوق بشر را كسانى مطرح مى كنند كه خود قلم هاى بزرگ و حيرت انگيز پايمال كردن حقوق انسان ها را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حقوق بشر پرگويى مى 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دنياى اسلام براى مردم سالارى و حقوق بشر محتاج نسخه مخلوط و بارها نقض شده غرب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دروغ مى گويد كه طرفدار حقوق بشر است؛ زيرا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بيان آنچه گذشت، به كارگيرى واژه حقوق بشر چه در قالب طرد و نفى، و چه در قالب اثبات و حمايت، در لسان مسئولان و بزرگان حج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واژه در قالب نسخه حقوق بشر اسلامى به عنوان يك ابزار حمايتى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و توسعه ادبيات حقوق بشرى خود ابزار جلوبرنده حقوق بشر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اگر با اين واژه و مفاد و محتواى آن مخالفت مى شود، به سبب سوء استفاده هايى است كه از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سوءاستفاده نيز ريشه در مبانى غلط و اشتباه فكرى از جمله تفكرات اومانيستى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براى بندگى انسان در برابر خداوند ارزشى قائل نيست و انسان را آزاد از همه چيز مى داند؛ درحالى كه واژه حج و حقوق بشر، با نگاهى متفاوت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كامل پيام مقام معظم رهبرى،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محمدحسين رجبى،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حسن مهدويان،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bookmarkStart w:id="212" w:name="pg8931_113768"/>
    </w:p>
    <w:p>
      <w:pPr>
        <w:pStyle w:val="BookText"/>
        <w:rPr/>
      </w:pPr>
      <w:bookmarkEnd w:id="212"/>
      <w:r>
        <w:rPr>
          <w:rFonts w:ascii="IRNazanin" w:hAnsi="IRNazanin" w:eastAsia="IRNazanin"/>
          <w:color w:val="111111"/>
          <w:sz w:val="28"/>
          <w:sz w:val="28"/>
          <w:szCs w:val="28"/>
          <w:rtl w:val="true"/>
          <w:lang w:bidi="fa-IR"/>
        </w:rPr>
        <w:t>به مسئله مى پردازد كه ادبيات پيش گفته آن را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محتواى حقوق بشر با واجب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مى خورد؛ در اصطلاح تناسب حكم و موضوع بيانگر آن است كه معلوم شود چه آموزه هاى حقوق بشرى در حج وجود دارد كه مى توان با استخراج آنها به حمايت از حجاج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بديهى است كه حمايت از حجاج، به ويژه حجاج ايرانى،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واژه قصد دارد با رجوع به آموزه هاى حقوق بشر در نظام بين المللى به شناسايى ابزارهاى حمايتى دست پيدا كند؛ درنتيجه حقوق بشر به عنوان يك ابزار حمايتى مورد پذيرش همگان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اختلاف است، نوع استفاده از اين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از آن، نبايد دليلى براى كنارگذاشتن حقوق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تلاش همگانى در جهت ترويج مثبت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اين گفتمان درحج يكى از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چنين كارى به معناى ابلاغ منشور آزادى و حقوق بشر اسلامى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13" w:name="__RefHeading___Toc1314056_2870459653"/>
      <w:bookmarkStart w:id="214" w:name="_Toc75"/>
      <w:bookmarkEnd w:id="213"/>
      <w:r>
        <w:rPr/>
        <w:t>11</w:t>
      </w:r>
      <w:r>
        <w:rPr>
          <w:rtl w:val="true"/>
        </w:rPr>
        <w:t xml:space="preserve">. </w:t>
      </w:r>
      <w:r>
        <w:rPr>
          <w:rtl w:val="true"/>
        </w:rPr>
        <w:t>شناسايى معروف و منكر</w:t>
      </w:r>
      <w:bookmarkEnd w:id="214"/>
    </w:p>
    <w:p>
      <w:pPr>
        <w:pStyle w:val="BookText"/>
        <w:rPr/>
      </w:pPr>
      <w:r>
        <w:rPr>
          <w:rFonts w:ascii="IRNazanin" w:hAnsi="IRNazanin" w:eastAsia="IRNazanin"/>
          <w:color w:val="111111"/>
          <w:sz w:val="28"/>
          <w:sz w:val="28"/>
          <w:szCs w:val="28"/>
          <w:rtl w:val="true"/>
          <w:lang w:bidi="fa-IR"/>
        </w:rPr>
        <w:t>شناسايى مصاديق معروف و منكر و ترويج اين مصاديق در راستاى سبك زندگى اسلامى و توسعه فرهنگ دينى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مصاديق در پرتو عنصر زمان و مكان خود را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ادعا كرد حقوق بشر اسلامى يكى از مصاديق معروف امت واحده اسلامى است و حمايت از اين معروف، معروف ديگرى است؛ چنان كهترويج و تشويق آن، به منظور حمايت از حجاج نيز معروف سومى را شكل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كنارگذاشتن يا مقابله با آن و يا عدم استفاده از آن،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فضاسازى اماكن شريفه با جملات زيباى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جنس حقوق بشرى، يكى از شيوه هاى ترويج اين معروف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نقش يك اعلاميه را دارد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 توشه مبلغ ويژه حج، محمدتقى رهبر، ص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حج فارسى، ش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داراى مواد مختلفى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موارد اين اعلاميه را مى توان در قالب ادبيات زير 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دماء مسلمانان بر يكديگر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مسلمانان مورد احترام است، نواميس مسلمانان به يكديگر حرام مى باشند، روابط اقتصادى مسلمانان برپايه اصول اسلامى تنظيم شود، كرامت مؤمن نبايد خدشه دار شود، انجام رفتارهاى توهين آميز، تحقيركننده و غيرانسانى ممنوع است، حرمت چهار ماه بر همگان واجب است، اصل اوليه در روابط مسلمانان، صلح و صفاست، طايفه سركش و ياغى بايد امر الهى را تمكين كنند، رعايت حقوق زنان در همه حال و در حج ضرورى و لازم است، كسى كه بى جهت به ديگرى سيلى بزند، انسان سركشى است، و بالاخره كشتن يك نفر معادل كشتن همه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تابلوهاى مختلف، بروشورها و كتابچه هايى كه بتواند حجاج را با حقوق و تكاليفشان آشنا كند و برگزارى كارگاه هاى آموزشى در موسم حج با محوريت ابزارهاى حمايتى از حجاج به قصد آنكه نه ظلم بكنيم و نه به دليل نداشتن آگاهى مصداق مظلوم بشويم، از ديگر راه هاى ترويج اين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در منا در جمع دوازده هزار نفرى از فاتحان مكه مكرمه حاوى جملاتى است كه مقصود اين نوشتار را همراهى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بند آن راجع به همكارى مسلمانان بايكديگر، سه ماده آن راجع به مردم عادى و سه ماده آن مربوط به همدستى مسلمين مى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در اين مكان صحيفه ملعونه نوشته شد و به مدت سه سال بنى هاشم طعم تلخ شعب ابى طالب را چشيدند و از حقوق اجتماعى خويش محروم شدند، مى توان همين مكان را به تأسى از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براى احقاق حقوق اجتماعى حجاج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ميقات حج فارسى، ش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215" w:name="pg8931_113770"/>
    </w:p>
    <w:p>
      <w:pPr>
        <w:pStyle w:val="Heading4"/>
        <w:numPr>
          <w:ilvl w:val="3"/>
          <w:numId w:val="1"/>
        </w:numPr>
        <w:rPr/>
      </w:pPr>
      <w:bookmarkStart w:id="216" w:name="__RefHeading___Toc1314058_2870459653"/>
      <w:bookmarkStart w:id="217" w:name="_Toc76"/>
      <w:bookmarkEnd w:id="215"/>
      <w:bookmarkEnd w:id="216"/>
      <w:r>
        <w:rPr/>
        <w:t>12</w:t>
      </w:r>
      <w:r>
        <w:rPr>
          <w:rtl w:val="true"/>
        </w:rPr>
        <w:t xml:space="preserve">. </w:t>
      </w:r>
      <w:r>
        <w:rPr>
          <w:rtl w:val="true"/>
        </w:rPr>
        <w:t>حمايت و ممنوعيت تعطيلى كعبه</w:t>
      </w:r>
      <w:bookmarkEnd w:id="217"/>
    </w:p>
    <w:p>
      <w:pPr>
        <w:pStyle w:val="BookText"/>
        <w:rPr/>
      </w:pPr>
      <w:r>
        <w:rPr>
          <w:rFonts w:ascii="IRNazanin" w:hAnsi="IRNazanin" w:eastAsia="IRNazanin"/>
          <w:color w:val="111111"/>
          <w:sz w:val="28"/>
          <w:sz w:val="28"/>
          <w:szCs w:val="28"/>
          <w:rtl w:val="true"/>
          <w:lang w:bidi="fa-IR"/>
        </w:rPr>
        <w:t>از ابعاد حمايت، امكان استفاده و بهره مندى از آن شرايط در هر حال مى باشد، بدين معنا كه اگر فقط در زمان خاصى بتوان از شرايط حمايتى مكه برخوردار شد، حمايت ناقصى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تمام زمان ها و شرايط اين ابزار حمايتى فعال باشد و تعطيلى در آن وجود نداشته باشد، شاهد سازوكار حمايتى فعال و مؤثرى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افتخارات سازمان ها و نهادهاى دولتى و غيردولتى شده است كه اعلام كنند در همه شبانه روز آماده ارائه خدمت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و مهيا بودن مسئولان و متوليان يك امر براى كمك كردن و حمايت نمودن در همه حالات و شرايط، كليد اثرگذار بودن آن حمايت است؛ براى مثال اگر خدمات پليس فقط در ساعت خاصى انجام گيرد، در بقيه ساعات بايد شاهد نوعى عدم امنيت و به هم ريختگى نظم و انضباط اجتماعى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براساس اين مبناى عقلانى در روايات اسلامى سخن از حرمت تعطيلى بيت الله به</w:t>
      </w:r>
    </w:p>
    <w:p>
      <w:pPr>
        <w:pStyle w:val="BookText"/>
        <w:rPr/>
      </w:pPr>
      <w:r>
        <w:rPr>
          <w:rFonts w:ascii="IRNazanin" w:hAnsi="IRNazanin" w:eastAsia="IRNazanin"/>
          <w:color w:val="111111"/>
          <w:sz w:val="28"/>
          <w:sz w:val="28"/>
          <w:szCs w:val="28"/>
          <w:rtl w:val="true"/>
          <w:lang w:bidi="fa-IR"/>
        </w:rPr>
        <w:t>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چندى توسط مرحوم كلينى در كتاب شريف فروع كافى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كه از ممنوعيت و حرمت تعطيلى كعبه سخن به ميان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حكم تكليفى حرمت نسبت به تعطيلى كعبه بيانگر ضمانت اجراى دستور الهى نيز مى باشد، و بيان آثار وضعى ناشى از عدم تعطيلى ضمانت اجراى درونى ديگرى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ابى 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يزال الدين قائما ما قامت الكعبه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كعبه برپاست، دين برپا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من اين بيت را رها كنند، از عنايت خداوند محروم خواهند بود و مجادله و اختلاف نظر بين آنها شكل خواهد گرفت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حديث نبوى، كعبه محور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bookmarkStart w:id="218" w:name="pg8931_113771"/>
    </w:p>
    <w:p>
      <w:pPr>
        <w:pStyle w:val="BookText"/>
        <w:rPr/>
      </w:pPr>
      <w:bookmarkEnd w:id="218"/>
      <w:r>
        <w:rPr>
          <w:rFonts w:ascii="IRNazanin" w:hAnsi="IRNazanin" w:eastAsia="IRNazanin"/>
          <w:color w:val="111111"/>
          <w:sz w:val="28"/>
          <w:sz w:val="28"/>
          <w:szCs w:val="28"/>
          <w:rtl w:val="true"/>
          <w:lang w:bidi="fa-IR"/>
        </w:rPr>
        <w:t>وحدت است و اگر اين محور وحدت تعطيل شود، نتيجه طبيعى آن اختلاف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جلوگيرى از اختلاف و دور بودن از آثار زيان بار اختلاف، چاره اى نيست جز اينكه بر محور وحدت به صورت دائمى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رمز و راز تعطيل نشدن نماز در همه حالات نيز همين نكته باشد؛ هر چند به آن منحصر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هتك حرمت كعبه به تعطيل كردن آن است؛ چنان كه هتك حرمت كتاب الهى عمل نكردن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حج را ترك كنند، والى بايد آنها را به انجام حج مجبور كند، و اگر پول ندارند، بايد از بيت المال به آنها بدهد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ضمانت اجراى عدم تعطيلى را نشان مى دهد</w:t>
      </w:r>
      <w:r>
        <w:rPr>
          <w:rFonts w:eastAsia="IRNazanin" w:cs="IRNazanin"/>
          <w:color w:val="111111"/>
          <w:sz w:val="28"/>
          <w:szCs w:val="28"/>
          <w:rtl w:val="true"/>
          <w:lang w:bidi="fa-IR"/>
        </w:rPr>
        <w:t>.</w:t>
      </w:r>
    </w:p>
    <w:p>
      <w:pPr>
        <w:pStyle w:val="Heading4"/>
        <w:numPr>
          <w:ilvl w:val="3"/>
          <w:numId w:val="1"/>
        </w:numPr>
        <w:rPr/>
      </w:pPr>
      <w:bookmarkStart w:id="219" w:name="__RefHeading___Toc1314060_2870459653"/>
      <w:bookmarkStart w:id="220" w:name="_Toc77"/>
      <w:bookmarkEnd w:id="219"/>
      <w:r>
        <w:rPr/>
        <w:t>13</w:t>
      </w:r>
      <w:r>
        <w:rPr>
          <w:rtl w:val="true"/>
        </w:rPr>
        <w:t xml:space="preserve">. </w:t>
      </w:r>
      <w:r>
        <w:rPr>
          <w:rtl w:val="true"/>
        </w:rPr>
        <w:t>تقوا و ضمانت اجراى درونى</w:t>
      </w:r>
      <w:bookmarkEnd w:id="220"/>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بعد از مناسك حج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فردى كه به اين مناسك احترام بگزارد، براى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دو آيه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شعائر الهى را پاس دارد، نشان تقواى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به عنوان ذكر مصداق بيان شده كه حرمات الهى سه نوع است؛ هتك حرمت الهى در تعطيل كردن بيت الله الحرام، هتك حرمت كتاب در عمل نكردن به آن، و هتك حرمت رسول و امام به مخالفت كردن با آنها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به دست مى آيد كه احترام گزاردن به مناسك حج حاكى از تقواى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مناسك حج تركيبى از احكام و تكاليف است كه با هدف حفظ حرمت سرزمين مكه و امن ماندن آن و حفظ حرمت حج گزار در اين مكان امن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اجرايى تكريم نسبت به اين مناسك الهى در گرو تقواى الهى است، پس مى توان نتيجه گرفت يكى از راه هاى حمايت از حجاج در سرزمين وحى، و بلكه اصلى ترين آنها، گسترش فضاى تقواى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فصلنامه ميقات حج، ش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bookmarkStart w:id="221" w:name="pg8931_113772"/>
    </w:p>
    <w:p>
      <w:pPr>
        <w:pStyle w:val="BookText"/>
        <w:rPr/>
      </w:pPr>
      <w:bookmarkEnd w:id="221"/>
      <w:r>
        <w:rPr>
          <w:rFonts w:ascii="IRNazanin" w:hAnsi="IRNazanin" w:eastAsia="IRNazanin"/>
          <w:color w:val="111111"/>
          <w:sz w:val="28"/>
          <w:sz w:val="28"/>
          <w:szCs w:val="28"/>
          <w:rtl w:val="true"/>
          <w:lang w:bidi="fa-IR"/>
        </w:rPr>
        <w:t>رويكرد دين مدارى در فضاى حج و بهره مند شدن از روح تقوا و پاكدامنى و دورى از هوا و هوس، شاهراه حمايت از حجاج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تقواى الهى عدم تعظيم شعائر الهى يا تعظيم غلط است؛ همانند آنچه امروزه در فضاى مكه و مدينه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امر به معروف مبلغان وهابى، عين امر به منكر است كه ناشى از عدم تقواى الهى است و متأسفانه به اسم تقوا و رعايت حرمت الهى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ابن عربى آمده است كه تعظيم حرمات الهى مبناى تعظيم چيزى است كه هتك آن جايز نمى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روشن است كه ممنوعيت هتك احترام مؤمن مصداق بارز سخن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مى نمايد كه جايگاه مؤمن و احترام به آن در گفتمان حج به صورت پررنگ مطرح شود تا از اين رهگذر فضاى مسموم بسته شود و راه هاى تخريب امنيت روحى و روانى حجاج مسدود گردد و در عوض فضاى امن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چيزى است كه آن را مى توان به ضمانت اجراى درونى تعبير كرد و در مقابل ضمانت اجراى بيرونى قرار داد كه حمايت دولت 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قرآن در حفظ حرمت ها و رعايت حقوق ديگران و تكريم شخصيت انسان ها، اولويت دادن به ضمانت اجراى درونى است، و مصداق بارز اين ادعا در اين آيات قابل توجه است</w:t>
      </w:r>
      <w:r>
        <w:rPr>
          <w:rFonts w:eastAsia="IRNazanin" w:cs="IRNazanin"/>
          <w:color w:val="111111"/>
          <w:sz w:val="28"/>
          <w:szCs w:val="28"/>
          <w:rtl w:val="true"/>
          <w:lang w:bidi="fa-IR"/>
        </w:rPr>
        <w:t>.</w:t>
      </w:r>
    </w:p>
    <w:p>
      <w:pPr>
        <w:pStyle w:val="Heading4"/>
        <w:numPr>
          <w:ilvl w:val="3"/>
          <w:numId w:val="1"/>
        </w:numPr>
        <w:rPr/>
      </w:pPr>
      <w:bookmarkStart w:id="222" w:name="__RefHeading___Toc1314062_2870459653"/>
      <w:bookmarkStart w:id="223" w:name="_Toc78"/>
      <w:bookmarkEnd w:id="222"/>
      <w:r>
        <w:rPr/>
        <w:t>14</w:t>
      </w:r>
      <w:r>
        <w:rPr>
          <w:rtl w:val="true"/>
        </w:rPr>
        <w:t xml:space="preserve">. </w:t>
      </w:r>
      <w:r>
        <w:rPr>
          <w:rtl w:val="true"/>
        </w:rPr>
        <w:t>مسئوليت بين المللى و جبران خسارت</w:t>
      </w:r>
      <w:bookmarkEnd w:id="223"/>
    </w:p>
    <w:p>
      <w:pPr>
        <w:pStyle w:val="BookText"/>
        <w:rPr/>
      </w:pPr>
      <w:r>
        <w:rPr>
          <w:rFonts w:ascii="IRNazanin" w:hAnsi="IRNazanin" w:eastAsia="IRNazanin"/>
          <w:color w:val="111111"/>
          <w:sz w:val="28"/>
          <w:sz w:val="28"/>
          <w:szCs w:val="28"/>
          <w:rtl w:val="true"/>
          <w:lang w:bidi="fa-IR"/>
        </w:rPr>
        <w:t>نقض تعهد بين المللى هميشه براى دولت ها مسئوليت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طرح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كميسيون حقوق بين المللى ملل متحد آمده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دولتى مرتكب نقض تعهد شود، مسئوليت او شكل مى گيرد و درنتيجه بايد پاسخ گوى رفتار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هاى پاسخ گويى، جبران خسارت وارده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فصلنامه ميقات حج، ش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مسئوليت بين المللى دولت ها ناشى از اقدامات افراد و گروه هاى عادى در پرتو رويه قضايى، مسعود راعى، ص </w:t>
      </w:r>
      <w:r>
        <w:rPr>
          <w:rFonts w:eastAsia="IRNazanin" w:cs="IRNazanin"/>
          <w:color w:val="111111"/>
          <w:sz w:val="28"/>
          <w:szCs w:val="28"/>
          <w:lang w:bidi="fa-IR"/>
        </w:rPr>
        <w:t>86</w:t>
      </w:r>
      <w:r>
        <w:rPr>
          <w:rFonts w:eastAsia="IRNazanin" w:cs="IRNazanin"/>
          <w:color w:val="111111"/>
          <w:sz w:val="28"/>
          <w:szCs w:val="28"/>
          <w:rtl w:val="true"/>
          <w:lang w:bidi="fa-IR"/>
        </w:rPr>
        <w:t>.</w:t>
      </w:r>
      <w:bookmarkStart w:id="224" w:name="pg8931_113773"/>
    </w:p>
    <w:p>
      <w:pPr>
        <w:pStyle w:val="BookText"/>
        <w:rPr/>
      </w:pPr>
      <w:bookmarkEnd w:id="224"/>
      <w:r>
        <w:rPr>
          <w:rFonts w:ascii="IRNazanin" w:hAnsi="IRNazanin" w:eastAsia="IRNazanin"/>
          <w:color w:val="111111"/>
          <w:sz w:val="28"/>
          <w:sz w:val="28"/>
          <w:szCs w:val="28"/>
          <w:rtl w:val="true"/>
          <w:lang w:bidi="fa-IR"/>
        </w:rPr>
        <w:t>دولت ميزبان به دلايل مختلفى بايد خسارات وارده به حجاج، ناشى از نقض تعهدات حقوق بشرى را بپردازد و روشن است كه الزام به جبران خسارت، ابزار حمايتى خوب و مناسبى براى حجاج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مختص دولت ميزبان نيست و دولت اعزام كننده را نيز دربر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جبران خسارت در اين موضوع معناى عام آن است كه شامل عذرخواهى و تعهد به عدم تكرار نيز مى باشد؛ زيرا شيوه هاى جبران خسارت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دلايلى كه براساس آن دولت عربستان بايد درصورت نقض تعهد قابل انتساب، جبران خسارت كند،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اين دولت خود را به اسناد بين المللى حقوق بشرى متعهد كرده است و بر اين اساس و به مقتضاى وفاى به عهد ملزم به جبران خسارت مى باشد؛ از طرف ديگر اين كشور خود را به رعايت شريعت ملزم مى داند و شرع، الزام به جبران هر نوع خسارت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عظام تمركز اصلى بحث خود را در جبران خسارت مادى دانسته اند، ولى بايد گفت كه اين امر اختصاص به خسارت مادى ندارد؛ از طرف ديگر اين موضوع با عقل قابل درك است و از حقوق طبيعى نيز شمرده شده است؛ ورود خسارت، جبران خسارت را به دنبال دارد</w:t>
      </w:r>
      <w:r>
        <w:rPr>
          <w:rFonts w:eastAsia="IRNazanin" w:cs="IRNazanin"/>
          <w:color w:val="111111"/>
          <w:sz w:val="28"/>
          <w:szCs w:val="28"/>
          <w:rtl w:val="true"/>
          <w:lang w:bidi="fa-IR"/>
        </w:rPr>
        <w:t>.</w:t>
      </w:r>
    </w:p>
    <w:p>
      <w:pPr>
        <w:pStyle w:val="Heading4"/>
        <w:numPr>
          <w:ilvl w:val="3"/>
          <w:numId w:val="1"/>
        </w:numPr>
        <w:rPr/>
      </w:pPr>
      <w:bookmarkStart w:id="225" w:name="__RefHeading___Toc1314064_2870459653"/>
      <w:bookmarkStart w:id="226" w:name="_Toc79"/>
      <w:bookmarkEnd w:id="225"/>
      <w:r>
        <w:rPr/>
        <w:t>15</w:t>
      </w:r>
      <w:r>
        <w:rPr>
          <w:rtl w:val="true"/>
        </w:rPr>
        <w:t xml:space="preserve">. </w:t>
      </w:r>
      <w:r>
        <w:rPr>
          <w:rtl w:val="true"/>
        </w:rPr>
        <w:t>ممنوعيت رفتارهاى خشن، غيرانسانى و تحقيركننده</w:t>
      </w:r>
      <w:bookmarkEnd w:id="226"/>
    </w:p>
    <w:p>
      <w:pPr>
        <w:pStyle w:val="BookText"/>
        <w:rPr/>
      </w:pPr>
      <w:r>
        <w:rPr>
          <w:rFonts w:ascii="IRNazanin" w:hAnsi="IRNazanin" w:eastAsia="IRNazanin"/>
          <w:color w:val="111111"/>
          <w:sz w:val="28"/>
          <w:sz w:val="28"/>
          <w:szCs w:val="28"/>
          <w:rtl w:val="true"/>
          <w:lang w:bidi="fa-IR"/>
        </w:rPr>
        <w:t>ايجاد امنيت روحى و روانى براى حجاج به ويژه حجاج شيعه درسرزمين وحى به وضع قوانين مناسب در عربستان و نظارت دقيق كميسيون ملى حقوق بشر اين كشور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قوانين بايد ناظر به ممنوعيت رفتارهاى خشن، غيرانسانى و تحقيركننده باشد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 نگاهى به نوع رفتارهاى هيئت هاى امر به معروف و نهى از منكر، يا مأموران دولت سعودى نسبت به حجاج ايرانى، حاكى از وجود چنين رفتارهايى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اين نوع رفتارها نسبت به حجاج وجود دارد، آيا ريشه مذهبى و اعتقادى دارد، يا از جنس نژادى قومى است؟ آيا به نوع عملكرد حجاج ايرانى برمى گردد، يا همه عوامل</w:t>
      </w:r>
    </w:p>
    <w:p>
      <w:pPr>
        <w:pStyle w:val="BookText"/>
        <w:rPr/>
      </w:pPr>
      <w:r>
        <w:rPr>
          <w:rFonts w:ascii="IRNazanin" w:hAnsi="IRNazanin" w:eastAsia="IRNazanin"/>
          <w:color w:val="111111"/>
          <w:sz w:val="28"/>
          <w:sz w:val="28"/>
          <w:szCs w:val="28"/>
          <w:rtl w:val="true"/>
          <w:lang w:bidi="fa-IR"/>
        </w:rPr>
        <w:t>فوق در آن نقش دارند؟ بحث مستقلى است كه در اين بحث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عوامل ايجادى رفتارهاى خشن و غيرانسانى، اين مطلب امرى پذيرفتنى است كه وجود رفتارهاى فوق با كرامت انسانى حجاج همخوانى ندارد و از طرف ديگر امنيت روحى و روانى حج گزار را به شدت به چالش مى كشد و آن را تهديد مى كند و از طرف ديگر، باعث ايجاد بددلى و بدزبانى و اختلافات مى شود و درنهايت صلح و همزيستى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ارتقاى سطح فرهنگى هيئت هاى امر به معروف و مأموران دولتى عربستان، تكليف جدى دولت ميزبان در راستاى انجام وظيفه حمايتى خويش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مسئوليت اداره كردن حرمين شريفين وظيفه خاصى را براى دولت عربستان به وجود آورده است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درنتيجه آن، دولت مذكور نمى تواند قوانين شرع خود را بر همگان تحميل كند؛ زيرا نبايد به حجاج به چشم توريست نگاه كرد كه بايد تابع كشور ميزبان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حرمين اصولاً بايد نقطه آزاد دنياى اسلام از اعمال حاكميت محسوب شود و تنها تابع نظام حقوق ويژه و در راستاى سازوكارهاى ترسيم شده توسط كشورهاى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ممنوعيت در اسناد مختلف حقوق بشرى نيز مطرح، و بيان شده است و رفتارها يا عوامل خاص نمى تواند بهانه اى براى تحقيركردن حجاج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گيرى مسئوليت بين المللى دولت عربستان دراين زمينه مى تواند مدنظر باشد</w:t>
      </w:r>
      <w:r>
        <w:rPr>
          <w:rFonts w:eastAsia="IRNazanin" w:cs="IRNazanin"/>
          <w:color w:val="111111"/>
          <w:sz w:val="28"/>
          <w:szCs w:val="28"/>
          <w:rtl w:val="true"/>
          <w:lang w:bidi="fa-IR"/>
        </w:rPr>
        <w:t>.</w:t>
      </w:r>
      <w:bookmarkStart w:id="227" w:name="pg8931_113776"/>
    </w:p>
    <w:p>
      <w:pPr>
        <w:pStyle w:val="Heading2"/>
        <w:numPr>
          <w:ilvl w:val="1"/>
          <w:numId w:val="1"/>
        </w:numPr>
        <w:rPr/>
      </w:pPr>
      <w:bookmarkStart w:id="228" w:name="__RefHeading___Toc1314066_2870459653"/>
      <w:bookmarkStart w:id="229" w:name="_Toc80"/>
      <w:bookmarkEnd w:id="227"/>
      <w:bookmarkEnd w:id="228"/>
      <w:r>
        <w:rPr>
          <w:rtl w:val="true"/>
        </w:rPr>
        <w:t>فصل سوم</w:t>
      </w:r>
      <w:r>
        <w:rPr>
          <w:rtl w:val="true"/>
        </w:rPr>
        <w:t xml:space="preserve">: </w:t>
      </w:r>
      <w:r>
        <w:rPr>
          <w:rtl w:val="true"/>
        </w:rPr>
        <w:t>نظام بين المللى حقوق بشر</w:t>
      </w:r>
      <w:bookmarkEnd w:id="229"/>
    </w:p>
    <w:p>
      <w:pPr>
        <w:pStyle w:val="Heading3"/>
        <w:numPr>
          <w:ilvl w:val="2"/>
          <w:numId w:val="1"/>
        </w:numPr>
        <w:rPr/>
      </w:pPr>
      <w:bookmarkStart w:id="230" w:name="__RefHeading___Toc1314068_2870459653"/>
      <w:bookmarkStart w:id="231" w:name="_Toc81"/>
      <w:bookmarkEnd w:id="230"/>
      <w:r>
        <w:rPr/>
        <w:t>1</w:t>
      </w:r>
      <w:r>
        <w:rPr>
          <w:rtl w:val="true"/>
        </w:rPr>
        <w:t xml:space="preserve">. </w:t>
      </w:r>
      <w:r>
        <w:rPr>
          <w:rtl w:val="true"/>
        </w:rPr>
        <w:t>ماهيت حقوق بشر</w:t>
      </w:r>
      <w:bookmarkEnd w:id="231"/>
    </w:p>
    <w:p>
      <w:pPr>
        <w:pStyle w:val="BookText"/>
        <w:rPr/>
      </w:pPr>
      <w:r>
        <w:rPr>
          <w:rFonts w:ascii="IRNazanin" w:hAnsi="IRNazanin" w:eastAsia="IRNazanin"/>
          <w:color w:val="111111"/>
          <w:sz w:val="28"/>
          <w:sz w:val="28"/>
          <w:szCs w:val="28"/>
          <w:rtl w:val="true"/>
          <w:lang w:bidi="fa-IR"/>
        </w:rPr>
        <w:t>اصطلاح حقوق بشر، ادبيات جديدى در حقوق بين الملل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اين واژه پس از جنگ جهانى دوم و تشكيل سازمان ملل متحد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وارد اسناد مختلف حقوق بشرى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واژه حقوق طبيعى و حقوق انسان به كار مى رفت كه بار اخلاقى آن مدنظر بود و توجه چندانى به جهت حقوقى آن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ضرورى است به مشكل تعريف حقوق بشر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هم بر مفهوم حقوق، و هم به مبانى نظرى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تعريف به طور كلى دو رويكرد غالب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تعريفى كه بر عنصر اراده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 كند و تعريفى كه بر عنصر منفعت تكيه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نظريه نخست حقوق بشر عبارت است از حقوقى كه از اراده فرد حمايت مى كند، به شرط اينكه قانون در يك جامعه دموكراتيك اين اراده را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حقوق بشر، مساوى با اراده فرد است كه مى تواند آن را اعمال، يا آن را اسقاط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نظريه اشكال هاى مختلفى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نظريه به معناى حق نداشتن افراد فاقد اراده مثل كودكان است و افزون بر آن در مواردى مثل حق حيات نمى تواند تابع اراده فرد و حتى دولت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Will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نظريه دوم حقوق بشر نه به معناى حمايت از اراده و خواست فرد، بلكه به معناى حمايت از منافع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حقوق بشر، منافعى است كه مورد تأييد قانون گذار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هدف و كاركرد حقوق حمايت از منافع و مصالح متعلق به فرد است؛ درنتيجه اگر بر اثر اجراى يك تكليف ملازم با حق، منفعتى عايد نشود، نمى توان گفت حقى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منفعت فرد شناسايى شود، مى توان گفت او صاحب حق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اشكال قبلى تا حدودى در اين نظريه وجود ندارد، اما پرسش آن است كه در صورت تعارض منافع افراد با يكديگر، چه راهكارى وجود دارد؟ و يا درباره غيرانسان ها مثل طبيعت و حيوانات آيا منفعتى شكل مى گيرد، يا اينكه منفعت انسان و افراد مطرح است؟ به هر حال درباره حقوق آيندگان نيز اين پرسش مطرح است كه آيا حق، تنها شناسايى منفعت نسل موجود است، يا شامل نسل هاى آتى نيز مى شود؟ كه اصطلاحاً برخى به اين نوع حقوق، حقوق بشرى نسل چهارم نيز اطلاق كرده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اين تعاريف و ابهام هاى مختلفى كه در تعريف حقوق بشر وجود دارد، همگان اين نكته را پذيرفته اند كه حقوق بشر بيانگر مجموعه اى از حقوق لازم و ضرورى براى انسان است؛ به گونه اى كه بدون آن حقوق، انسان فاقد كرامت خواهد بود و زندگى محترمانه اى را دنبال نمى كند؛ اعم از اينكه اين حقوق در راستاى تضمين و شناسايى اراده فرد باشد يا درصدد تضمين منافع او، يا اينكه اين حقوق اصولاً منفعت جمعى را دنبال كند و يا ناظر به نسل هاى بعدى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حل اين معضل به مبانى فلسفى پذيرفته شده در موضوع حقوق بشر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آنكه اكثر اين حقوق در اسناد مختلف حقوق بشرى بيان شده است كه تا حدود زيادى به رفع اين ابهام كمك، و وظيفه دولت ها را در شناسايى و انجام تعهدات روشن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مبانى حقوق بشر از ديدگاه اسلام و ساير مكاتب، حقيقت و سيد على ميرموسوى،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تببين بيشتر و روشن تر از نوع تعهدات دولت ها در راستاى حمايت از حقوق بشر به نظام بين المللى حقوق بشر توجه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در دو قسمت تنظيم شده است كه بخشى از آن ناظر به اسناد بين المللى حقوق بشر است و بخش ديگر، نهادها و مراجع شبه قضايى اند كه در راستاى نظارت حمايت و اجرا تشكيل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حقوق دانان معروف حقوق بين الملل به نام لوتر پاخت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بيان مى كند كه حقوق بين الملل براى دولت هاست، نه بالعكس؛ ولى به شرط اينكه دولت ها در خدمت نوع بشر باشند، نه بالعكس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تحقق و اجرايى شدن تعهدات مذكور، موضوع مسئوليت مشترك براى حمايت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مدنظر حقوق دانان و جامعه جهانى و نهادهاى بين المللى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كيفى، تعهدات دولت ها در قبال افراد جنبه تعهدات عام الشمول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مواردى جنبه جا افتادگى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 گيرد كه نقض هر يك از اين تعهدات مسئوليت كلى و جمعى در برابر جامعه جهانى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اروپايى حقوق بشر اعلام مى كند كه كنوانسيون اروپايى حقوق بشر بيانگر تعهداتى عينى بر فراز شبكه التزامات متقابل دو جانبه مى باشد كه از اجراى جمعى برخوردار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زيگهارت معتقد است كه حقوق بشر دقيقاً حق هايى است كه فرد مى تواند عليه ادعاهاى كسانى كه بر وى اعمال قدرت مى كنند، اقامه كند و در بسيارى اوقات به نام</w:t>
      </w:r>
    </w:p>
    <w:p>
      <w:pPr>
        <w:pStyle w:val="BookText"/>
        <w:rPr/>
      </w:pPr>
      <w:r>
        <w:rPr>
          <w:rFonts w:ascii="Amiri" w:hAnsi="Amiri" w:eastAsia="Amiri" w:cs="Amiri"/>
          <w:color w:val="111111"/>
          <w:sz w:val="28"/>
          <w:sz w:val="28"/>
          <w:szCs w:val="28"/>
          <w:rtl w:val="true"/>
          <w:lang w:bidi="ar-SA"/>
        </w:rPr>
        <w:t>مردم اظهار و مطالبه مى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قبل از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حقوق بين الملل حاكميت محور بود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بين المللى دادگسترى در تئورى و عمل، سيدباقر ميرعباسى و سيد حسين سادات ميدانى،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Ergaomnes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Jus cogens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ECH, P.series A, Vol 25</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اندازى به توسعه ميثاق بين المللى حقوق اقتصادى، اجتماعى و فرهنگى، ميتوسى آركريون، مترجم حبيبى،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به امور داخلى كشورها نداشت و فقط در موارد خاصى، يعنى بردگى، مداخله بشردوستانه، رفتار با بيگانه، اقليت ها و قوانين جنگى، اعمال نظر و دخالت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جنگ دوم و به دليل وقايع جنگ، اين باور شكل گرفت كه نظم نوين حاكم بر تعاملات جهانى و روابط افراد و حاكميت، براساس حقوق بشر باشد، كه اين معنا در منشور ملل متحد به عنوان قانون اساسى جامعه جهانى منعكس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محورى و راهبردى حقوق بشر همان نظام بين الملل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تاكنون گذشت به دست مى آيد كه كانونى ترين ارزش فعلى جهان، موضوع حقوق بشر با محوريت تكريم منزلت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منزلت در گرو زندگى، آزادى، عدالت، همبستگى، مسئوليت اجتماعى، رعايت صلح، پرهيز از خشونت و فرقه گرايى و رعايت محيط زيست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نگاه تعطيل نشدن حقوق بشر و الزام دولت ها به رعايت آن است؛ اين الزام در جهان شمولى، بنيادى بودن، اخلاقى بودن و اولويت داربودن حقوق بشرى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اساسى در اين باره تفاوت معنايى بين حق بودن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داشتن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فردى در معناى حق بودن خيرى را داشته باشد، بسيار مفتاوت از حق داشتن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داشتن به اصل وجود حق اشاره مى كند، فارغ از محتواى درست يا غلط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حقوق بشر مدنظر است، مفهوم حق داشتن است و نه 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در برابر حق نبودن و باطل بودن است؛ درحالى كه حق داشتن فارغ از اين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تعهدات حقوق بشرى دولت ها در</w:t>
      </w:r>
    </w:p>
    <w:p>
      <w:pPr>
        <w:pStyle w:val="BookText"/>
        <w:rPr/>
      </w:pPr>
      <w:r>
        <w:rPr>
          <w:rFonts w:ascii="IRNazanin" w:hAnsi="IRNazanin" w:eastAsia="IRNazanin"/>
          <w:color w:val="111111"/>
          <w:sz w:val="28"/>
          <w:sz w:val="28"/>
          <w:szCs w:val="28"/>
          <w:rtl w:val="true"/>
          <w:lang w:bidi="fa-IR"/>
        </w:rPr>
        <w:t>حوزه حقوقى ناظر به حق در معناى حق 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حمايت هاى حقوق بشرى از افراد، در سه قالب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انواع و اقسام حقوق بنيادين توسط دولت ها و اقرار و اعلام به قبول داشتن آنها و رسميت بخشيدن به اسناد مذكور؛ تعهد دولت ها به رعايت، نظارت و اجراى اين تعهدات،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to be Rights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to have Rights</w:t>
      </w: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Donnelly, universal Human Rights in theory and practice 2005, p.10</w:t>
      </w:r>
      <w:r>
        <w:rPr>
          <w:rFonts w:eastAsia="Times New Roman" w:cs="Times New Roman" w:ascii="Times New Roman" w:hAnsi="Times New Roman"/>
          <w:color w:val="111111"/>
          <w:sz w:val="28"/>
          <w:szCs w:val="28"/>
          <w:rtl w:val="true"/>
          <w:lang w:val="en-US" w:bidi="en-US"/>
        </w:rPr>
        <w:t>.</w:t>
      </w:r>
      <w:bookmarkStart w:id="232" w:name="pg8931_113780"/>
    </w:p>
    <w:p>
      <w:pPr>
        <w:pStyle w:val="BookText"/>
        <w:rPr/>
      </w:pPr>
      <w:bookmarkEnd w:id="232"/>
      <w:r>
        <w:rPr>
          <w:rFonts w:ascii="IRNazanin" w:hAnsi="IRNazanin" w:eastAsia="IRNazanin"/>
          <w:color w:val="111111"/>
          <w:sz w:val="28"/>
          <w:sz w:val="28"/>
          <w:szCs w:val="28"/>
          <w:rtl w:val="true"/>
          <w:lang w:bidi="fa-IR"/>
        </w:rPr>
        <w:t>ضمانت اجراى اين قسمت، شكل گيرى انواع كميته هاى ناظر و گزارشگران ويژه مى باشد؛ و در مرحله سوم شكل گيرى دادگاه هاى مختلف درزمينه نقض تعهدات حقوق بشرى 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دولت ها مكلف اند هم از نقض حقوق بنيادين نهادهاى دولتى، گروه ها و مردم عادى جلوگيرى كنند و هم به تعقيب و مجازات كسانى بپردازند كه اين حقوق را نقض كرده اند؛ در غير اين صورت مسئوليت بين المللى شكل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تلاش مى شود نوع حقوق حجاج كه در اسناد بين المللى به طور كلى شناسايى شده است، بيان شود كه درنتيجه وظايف حقوقى دولت ميزبان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وجود نهادهاى مختلف بين المللى از جمله شوراى حقوق بشر به عنوان يك نهاد مليتى جهانى توجه مى شود؛ هرچند در مرحله سوم نياز به اقدامات حقوق بشرى وجود دارد</w:t>
      </w:r>
      <w:r>
        <w:rPr>
          <w:rFonts w:eastAsia="IRNazanin" w:cs="IRNazanin"/>
          <w:color w:val="111111"/>
          <w:sz w:val="28"/>
          <w:szCs w:val="28"/>
          <w:rtl w:val="true"/>
          <w:lang w:bidi="fa-IR"/>
        </w:rPr>
        <w:t>.</w:t>
      </w:r>
    </w:p>
    <w:p>
      <w:pPr>
        <w:pStyle w:val="Heading3"/>
        <w:numPr>
          <w:ilvl w:val="2"/>
          <w:numId w:val="1"/>
        </w:numPr>
        <w:rPr/>
      </w:pPr>
      <w:bookmarkStart w:id="233" w:name="__RefHeading___Toc1314070_2870459653"/>
      <w:bookmarkStart w:id="234" w:name="_Toc82"/>
      <w:bookmarkEnd w:id="233"/>
      <w:r>
        <w:rPr/>
        <w:t>2</w:t>
      </w:r>
      <w:r>
        <w:rPr>
          <w:rtl w:val="true"/>
        </w:rPr>
        <w:t xml:space="preserve">. </w:t>
      </w:r>
      <w:r>
        <w:rPr>
          <w:rtl w:val="true"/>
        </w:rPr>
        <w:t>حقوق بشر و تعهدات بنيادين</w:t>
      </w:r>
      <w:bookmarkEnd w:id="234"/>
    </w:p>
    <w:p>
      <w:pPr>
        <w:pStyle w:val="BookText"/>
        <w:rPr/>
      </w:pPr>
      <w:r>
        <w:rPr>
          <w:rFonts w:ascii="IRNazanin" w:hAnsi="IRNazanin" w:eastAsia="IRNazanin"/>
          <w:color w:val="111111"/>
          <w:sz w:val="28"/>
          <w:sz w:val="28"/>
          <w:szCs w:val="28"/>
          <w:rtl w:val="true"/>
          <w:lang w:bidi="fa-IR"/>
        </w:rPr>
        <w:t>يكى از مباحث مهم و برتر در حقوق بشر درباره اين سؤال است كه آيا رضايت كشورها در پذيرش تعهدات حقوق بشرى نقش دارد يا ماهيت قواعد حقوق بشرى به گونه اى است كه همه دولت هاى عضو جامعه جهانى بايد آنها را اجرا كنند؟ اين پرسش به دنبال خود عنوان قواعد آمره و قواعد عام الشمول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دانان و نهادهاى بين المللى اعم از نظارتى، اجرايى، قضايى و شبه قضايى به دنبال تبيين ماهيت اين قواعد برآمدند، و درنهايت به دو اصطلاح قواعد آمره و عام الشمول رسيدند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قواعد آمره به اوايل قرن بيستم، و تلاش هاى علمى حقوق دانانى همچون اوپنهايم، هال و وردورس بر مى گردد كه عنوان اصول بنيادين يا اصول برتر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 پاخت كه گزارشگر ويژه كميسيون حقوق بين الملل بود، و جانشين او فيتس موريس، همين مسير را دنبال كردند تا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 حقوق معاهدات كه نقش كليدى و اساسى در همه معاهدات بين المللى دارد، اين واژه</w:t>
      </w:r>
      <w:bookmarkStart w:id="235" w:name="pg8931_113781"/>
    </w:p>
    <w:p>
      <w:pPr>
        <w:pStyle w:val="BookText"/>
        <w:rPr/>
      </w:pPr>
      <w:bookmarkEnd w:id="235"/>
      <w:r>
        <w:rPr>
          <w:rFonts w:ascii="IRNazanin" w:hAnsi="IRNazanin" w:eastAsia="IRNazanin"/>
          <w:color w:val="111111"/>
          <w:sz w:val="28"/>
          <w:sz w:val="28"/>
          <w:szCs w:val="28"/>
          <w:rtl w:val="true"/>
          <w:lang w:bidi="fa-IR"/>
        </w:rPr>
        <w:t>تعريف شد و قواعد آمره قواعدى دانسته شد كه مورد پذيرش جامعه جهانى به عنوان يك كل واقع شده است، و هيچ قانونى نمى تواند آن را از بين ببرد؛ مگر قاعده اى از جنس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در آراى قضايى همچون بارسلونا تراكشن و رأى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درباره حق اعمال شرط بر كنوانسيون ژنو سايد و ساير آراى مراجع قضايى و شبه قضايى جهانى و منطقه اى نيز منعكس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حقوق بشر در مقام نهاد ناظر و شبه مفسر اسناد حقوق بشرى، مصاديق قواعد آمره حقوق بشرى را نه به صورت حصرى، كه به صورت تمثيلى همچون حق حيات، ممنوعيت شكنجه، حق تعقيب ناقضان حقوق بشر براى تحقق عدالت كيفرى، تبيين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قواعد عام الشمول نيز موضوع به همين صورت است و اين قواعد از جهت شمول زمانى و مكانى فراگيرند و حالت منطقه اى يا عصرى به خود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تعريف قواعد عام الشمول و آمره بين حقوق دانان اختلاف نظر اندكى وجود دارد، ولى مى توان گفت كه درجه اعتبار قواعد آمره بالاتر از عام الشمول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اين بحث اجمالى بدان سبب است كه معلوم شود فى الجمله دولت ها نمى توانند با استناد به اصل رضايت، در انجام تعهدات بين المللى كوتاهى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درباره آزادى دينى بيشتر نمايان است؛ زيرا به قول هنرى برگسون فيلسوف و نويسنده فرانسوى، مى توان جوامعى را يافت كه فاقد علم، هنر و صنعت باشند، ولى نمى توان جامعه اى را پيدا كرد كه فاقد دين و مناسك دينى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36" w:name="__RefHeading___Toc1314072_2870459653"/>
      <w:bookmarkStart w:id="237" w:name="_Toc83"/>
      <w:bookmarkEnd w:id="236"/>
      <w:r>
        <w:rPr/>
        <w:t>3</w:t>
      </w:r>
      <w:r>
        <w:rPr>
          <w:rtl w:val="true"/>
        </w:rPr>
        <w:t xml:space="preserve">. </w:t>
      </w:r>
      <w:r>
        <w:rPr>
          <w:rtl w:val="true"/>
        </w:rPr>
        <w:t>مراجع نظارتى، حمايتى و كنترلى</w:t>
      </w:r>
      <w:bookmarkEnd w:id="237"/>
    </w:p>
    <w:p>
      <w:pPr>
        <w:pStyle w:val="BookText"/>
        <w:rPr/>
      </w:pPr>
      <w:r>
        <w:rPr>
          <w:rFonts w:ascii="Amiri" w:hAnsi="Amiri" w:eastAsia="Amiri" w:cs="Amiri"/>
          <w:color w:val="111111"/>
          <w:sz w:val="28"/>
          <w:sz w:val="28"/>
          <w:szCs w:val="28"/>
          <w:rtl w:val="true"/>
          <w:lang w:bidi="ar-SA"/>
        </w:rPr>
        <w:t>نظام بين المللى حقوق بشر افزون بر اسناد مختلف، از مراجع مختلف اعمال نظارت بر انجام تعهدات دولت ها بهره 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مراجع به دو دسته شبه قضايى و نظارتى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شرط در اسناد حقوق بشرى از ديدگاه حقوق بين المللى عمومى و حقوق بين الملل اسلام، مسعود راعى،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آزادى دينى از منظر حقوق بين الملل، سعيد رهايى،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مراجع شبه قضايى در دو قالب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هاى نسل سوم با رويكرد جرم انگارى در موارد نقض گسترده و فاحش حقوق بشر تشكيل شده اند، ونوعاً موقتى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تاكنون شش دادگاه كيفرى نسل سوم شكل گرفته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دادگاه ها به صورت عام به مسئله حقوق بشر توجه كرده اند، همانند دادگاه مختلط بوسنى و هرزه گوين، و برخى از آنها به صورت مستقيم به حقوق بشر و نقض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ويژه سيرالئون در راستاى نقض حقوق بشر و جنايات جنگى توسط سيرالئون،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اين دادگاه ها كه اكنون به صورت دائمى فعاليت مى كند، دادگاه بين المللى كيفرى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دادگاه براساس اساسنامه رم كه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لازم الاجرا شده است، صلاحيت رسيدگى به نقض فاحش حقوق بشر و حقوق بشردوستانه را دارد كه پرونده هاى مختلفى را در اين رابطه بررسى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مراجع شبه قضايى دادگاه هاى منطقه اى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اروپايى حقوق بشر، ديوان آمريكايى حقوق بشر و ديوان آفريقايى حقوق بشر، مهم ترين اين نوع مراجع مى باشند كه به صورت گسترده به شكايات مربوط به نقض حقوق بشر رسيدگى مى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اين دادگاه ها دادگاه اروپايى حقوق بشر است كه پرونده هاى مختلفى را در زمينه نقض حقوق بشر بررسى كرده است كه به آن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شكايت بين الدولى حالت و وضعيت ديگرى است كه اخيراً درزمينه حقوق بشر در حال شكل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حقوق دانان بين 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اين نظام براساس اصول حقوقى است؛ هرچند كشورها اكراه دارند كه خود را درگير مباحث حقوق بشرى يكديگر بكنند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همه كشورها از نقض حقوق بشر متضرر هستند؛ زيرا يك منفعت جمعى در اين زمينه شكل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Richard. J. Goldsdone, International Tudicial Institiution. p. 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نهادها و سازوكارهاى منطقه اى حمايت از حقوق بشر،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اندازى به توسعه ميثاق بين الملل حقوق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و فرهنگى، ص </w:t>
      </w:r>
      <w:r>
        <w:rPr>
          <w:rFonts w:eastAsia="IRNazanin" w:cs="IRNazanin"/>
          <w:color w:val="111111"/>
          <w:sz w:val="28"/>
          <w:szCs w:val="28"/>
          <w:lang w:bidi="fa-IR"/>
        </w:rPr>
        <w:t>60</w:t>
      </w:r>
      <w:r>
        <w:rPr>
          <w:rFonts w:eastAsia="IRNazanin" w:cs="IRNazanin"/>
          <w:color w:val="111111"/>
          <w:sz w:val="28"/>
          <w:szCs w:val="28"/>
          <w:rtl w:val="true"/>
          <w:lang w:bidi="fa-IR"/>
        </w:rPr>
        <w:t>.</w:t>
      </w:r>
      <w:bookmarkStart w:id="238" w:name="pg8931_113783"/>
    </w:p>
    <w:p>
      <w:pPr>
        <w:pStyle w:val="Heading3"/>
        <w:numPr>
          <w:ilvl w:val="2"/>
          <w:numId w:val="1"/>
        </w:numPr>
        <w:rPr/>
      </w:pPr>
      <w:bookmarkStart w:id="239" w:name="__RefHeading___Toc1314074_2870459653"/>
      <w:bookmarkStart w:id="240" w:name="_Toc84"/>
      <w:bookmarkEnd w:id="238"/>
      <w:bookmarkEnd w:id="239"/>
      <w:r>
        <w:rPr/>
        <w:t>4</w:t>
      </w:r>
      <w:r>
        <w:rPr>
          <w:rtl w:val="true"/>
        </w:rPr>
        <w:t xml:space="preserve">. </w:t>
      </w:r>
      <w:r>
        <w:rPr>
          <w:rtl w:val="true"/>
        </w:rPr>
        <w:t>مراجع نظارتى</w:t>
      </w:r>
      <w:bookmarkEnd w:id="240"/>
    </w:p>
    <w:p>
      <w:pPr>
        <w:pStyle w:val="BookText"/>
        <w:rPr/>
      </w:pPr>
      <w:r>
        <w:rPr>
          <w:rFonts w:ascii="IRNazanin" w:hAnsi="IRNazanin" w:eastAsia="IRNazanin"/>
          <w:color w:val="111111"/>
          <w:sz w:val="28"/>
          <w:sz w:val="28"/>
          <w:szCs w:val="28"/>
          <w:rtl w:val="true"/>
          <w:lang w:bidi="fa-IR"/>
        </w:rPr>
        <w:t>امروزه مراجع نظارتى مختلفى درزمينه حقوق بشر فعاليت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مراجع برخى تحت عنوان نهادهاى بين المللى دولتى قرار مى گيرند و برخى ديگر زيرمجموعه سازمان هاى بين المللى غيردولتى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تعداد نهادهاى مردم نهاد خيلى زيادند؛ اما در مورد نهادهاى بين المللى دولتى وضعيت كمى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پست كميسارياى عالى ملل متحد براى حقوق بشر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كميته حقوق بشر ناظر به ميثاق بين المللى حقوق مدنى و سياسى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كميته حقوق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و فرهنگى به وجود آمد كه بر اجراى ميثاق بين المللى حقوق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فرهنگى نظارت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رفع تبعيض نژادى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كميته رفع تبعيض عليه زنان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كميته منع شكنجه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كميته حقوق كودك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ديگر نهادهاى نظارتى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 تشكيل شوراى حقوق بشر در سازمان ملل و جايگزين كردن اين شورا به جاى كميسيون حقوق بشر، قدم بلندى در ارتباط با الزام دولت ها به انجام تعهدات خويش توسط سازمان ملل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با برخوردارى از قدرت عمل و نظارت ويژه و با بهره مندى از حمايت مجمع عمومى ملل متحد در حال ايجاد سازوكار نظارتى خاص بر نحوه عملكرد كشورها در اين زمينه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اصلى اين كميته ها ارائه گزارشى از عملكرد كشورهاى عضو به مراجع مربوطه از جمله شوراهاى حقوق بشر و مجمع عمومى ملل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نظارتى اصلى در نظام بين المللى حقوق بشر، شامل راه اندازى كميته هاى خاص، صدور اعلاميه هاى خاص، گروه هاى كارى و گزارشگران ويژه و درنهايت سازمان هاى بين المللى حقوق بشرى همانند شوراى حقوق بشر مى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بشر و سازوكارهاى نظارتى در اسناد بين المللى و فقه،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241" w:name="pg8931_113784"/>
    </w:p>
    <w:p>
      <w:pPr>
        <w:pStyle w:val="Heading3"/>
        <w:numPr>
          <w:ilvl w:val="2"/>
          <w:numId w:val="1"/>
        </w:numPr>
        <w:rPr/>
      </w:pPr>
      <w:bookmarkStart w:id="242" w:name="__RefHeading___Toc1314076_2870459653"/>
      <w:bookmarkStart w:id="243" w:name="_Toc85"/>
      <w:bookmarkEnd w:id="241"/>
      <w:bookmarkEnd w:id="242"/>
      <w:r>
        <w:rPr/>
        <w:t>5</w:t>
      </w:r>
      <w:r>
        <w:rPr>
          <w:rtl w:val="true"/>
        </w:rPr>
        <w:t xml:space="preserve">. </w:t>
      </w:r>
      <w:r>
        <w:rPr>
          <w:rtl w:val="true"/>
        </w:rPr>
        <w:t>اسناد بين المللى</w:t>
      </w:r>
      <w:bookmarkEnd w:id="243"/>
    </w:p>
    <w:p>
      <w:pPr>
        <w:pStyle w:val="BookText"/>
        <w:rPr/>
      </w:pPr>
      <w:r>
        <w:rPr>
          <w:rFonts w:ascii="Amiri" w:hAnsi="Amiri" w:eastAsia="Amiri" w:cs="Amiri"/>
          <w:color w:val="111111"/>
          <w:sz w:val="28"/>
          <w:sz w:val="28"/>
          <w:szCs w:val="28"/>
          <w:rtl w:val="true"/>
          <w:lang w:bidi="ar-SA"/>
        </w:rPr>
        <w:t>مهم ترين اسناد بين المللى كه با رويكرد جهانى به اعتبار تقدم زمانى تنظيم شده اند،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منشور پس از جنگ جهانى دوم،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يك ضميمه مربوط به اساسنامه دادگاه بين المللى دادگسترى مورد پذيرش جامعه جهانى قرار گرفت و اكنون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آن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و در مواد مختلفى به موضوع حقوق بشر توجه، و به عنوان يك تعهد جهانى پذيرفته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لايحه بين المللى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كه در مواردى به نام لايحه و در مواردى با عبارت نظام بين المللى و در مواردى با عنوان ميثاقين شناخته شده، شامل پنج سند بين المللى لازم الاجراست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بين المللى حقوق مدنى و سياسى، ميثاق بين المللى حقوق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فرهنگى، دو پروتكل الحاقى به ميثاق اول و درنهايت، اعلاميه جهانى حقوق بشر؛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اعلاميه حق و مسئوليت افراد، گروه ها ونهادهاى اجتماعى براى ترويج و حمايت از به رسميت شناختن جهانى حقوق بشر و آزادى هاى اساسى؛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اعلاميه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تهران و با حضور رهبران قدرت هاى بزرگ دنيا صادر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اعلاميه تضمين استقلال كشورها و مردم تحت استعمار كه ناظر به حق تعيين سرنوشت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نامه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عمومى كه در سال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 تصويب كشورها رسيد، و ناظر به حاكميت دائمى بر منابع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جلوگيرى از تبعيض يازده سند بين المللى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اسناد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ملل متحد درباره رفع كليه اشكال تبعيض نژادى؛</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 بين المللى منع و مجازات جرم آپارتايد؛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رفع كليه اشكال نابردبارى و تبعيض بر پايه مذهب و عقيده؛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كنوانسيون عليه تبعيض در آموزش؛</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پروتكل تأسيس كميسيون آشتى و ميانجيگرى با مسئوليتِ يافتن راه حل براى جلوگيرى از بروز هرگونه اختلاف ممكن در بخش هاى مختلف يك كشور؛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اصول بنيادين مربوط به كمك به رسانه هاى گروهى براى تقويت صلح و آگاهى بين المللى، براى ترويج حقوق بشر و مبارزه با نژادپرستى، آپارتايد و تحريك براى جنگ؛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مسائل قضايى نيز اسناد مختلف حقوق بشرى تصويب شده است كه به برخى از مهم ترين آنها اشاره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اعلاميه حمايت از كليه افرادى كه در معرض شكنجه يا ساير رفتارها و مجازات هاى ظالمانه، غيرانسانى و تحقيرآميز قرار دارند؛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استاندارد حداقل رفتار با زندانيان؛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ملل متحد براى حمايت از نوجوانان محروم از آزادى؛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كنوانسيون مبارزه با شكنجه و ساير رفتارها و مجازات هاى ظالمانه غيرانسانى و تحقيرآميز؛</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اساسى استقلال قوه قضائيه؛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اصول حمايت از همه افراد بازداشت شده يا زندانى به هر نحو؛</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حمايت از همه افراد در مقابل ناپديدشدن اجبارى؛</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پيش گيرى مؤثر و تحقيقات درباره اعلام هاى خارج از مراحل قانونى، خودسرانه و به دنبال محاكمات فورى؛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رفاه اجتماعى، پيشرفت و توسعه، نيز يازده سند بين المللى تنظيم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جنايات جنگى و جنايات عليه بشريت از جمله كشتار جمعى، سه سند مهم بين المللى شكل گرفته است؛</w:t>
      </w:r>
      <w:bookmarkStart w:id="244" w:name="pg8931_113786"/>
    </w:p>
    <w:p>
      <w:pPr>
        <w:pStyle w:val="BookText"/>
        <w:rPr/>
      </w:pPr>
      <w:bookmarkEnd w:id="244"/>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حقوق بشردوستانه و شرايط حمايتى از افراد غيرنظامى در زمان مخاصمه نيز شش سند داراى اعتبار جهانى به تصويب رسيده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كنوانسيون حق بين المللى اصلاح اطلاعات؛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اعلاميه اصول همكارى فرهنگى بين المللى و توصيه هاى آموزشى درباره آگاهى، صلح، همكارى بين المللى، آموزش حقوق بشر و آزادى هاى اساسى كه اين دو سند ناظر به حق بهره گيرى از فرهنگ، توسعه فرهنگى بين المللى و همكارى مى 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حقوق زنان، ازدواج، خانواده و جوانان نيز نه سند بين المللى به تصويب رسيده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314078_2870459653"/>
      <w:bookmarkStart w:id="246" w:name="_Toc86"/>
      <w:bookmarkEnd w:id="245"/>
      <w:r>
        <w:rPr/>
        <w:t>6</w:t>
      </w:r>
      <w:r>
        <w:rPr>
          <w:rtl w:val="true"/>
        </w:rPr>
        <w:t xml:space="preserve">. </w:t>
      </w:r>
      <w:r>
        <w:rPr>
          <w:rtl w:val="true"/>
        </w:rPr>
        <w:t>اسناد منطقه اى</w:t>
      </w:r>
      <w:bookmarkEnd w:id="246"/>
    </w:p>
    <w:p>
      <w:pPr>
        <w:pStyle w:val="BookText"/>
        <w:rPr/>
      </w:pPr>
      <w:r>
        <w:rPr>
          <w:rFonts w:ascii="IRNazanin" w:hAnsi="IRNazanin" w:eastAsia="IRNazanin"/>
          <w:color w:val="111111"/>
          <w:sz w:val="28"/>
          <w:sz w:val="28"/>
          <w:szCs w:val="28"/>
          <w:rtl w:val="true"/>
          <w:lang w:bidi="fa-IR"/>
        </w:rPr>
        <w:t xml:space="preserve">در كنار اسناد جهانى كه يا به صورت عام، يا به صورت خاص از موضوع حقوق بشر و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كرده اند و آن را به عنوان يك حق بشرى شناخته اند، برخى از اسناد منطقه اى نيز به حقوق بشر در ابعاد مختلف توجه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عام اسنادى هستند كه حقوق از جمله دين را مدنظر قرار داده اند و اسناد خاص اسنادى مى باشند كه به طور خاص به موضوع دين و حوزه هاى مربوط به آن مانند عبادت، آموزش، راه اندازى و تأسيس عبادتگاه، مدارس، اماكن دينى، راه اندازى مراكز خيريه، داشتن نماد مذهبى، نوشتن و چاپ كتب مذهبى، دريافت كمك، حق استفاده از تعطيلات مذهب و حق رسمى سازى يك مذهب مى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كنوانسيون اروپايى حمايت از حقوق بشر و آزادى هاى اساسى مصوب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نه اين كنوانسيون به طور خاصى به حق آزادى انديشه، وجدان و مذهب تصريح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دهم آن آزادى بيان و ماده يازدهم آن تشكيل اجتماعات و انجمن ها را مدنظر قرار داده اند كه شامل مذهب نيز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ديدن همه اسناد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نهادهاى حقوق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سرى كتاب هاى آبى ملل متحد</w:t>
      </w:r>
      <w:r>
        <w:rPr>
          <w:rFonts w:eastAsia="Amiri" w:cs="Amiri" w:ascii="Amiri" w:hAnsi="Amiri"/>
          <w:color w:val="111111"/>
          <w:sz w:val="28"/>
          <w:szCs w:val="28"/>
          <w:rtl w:val="true"/>
          <w:lang w:bidi="ar-SA"/>
        </w:rPr>
        <w:t>.</w:t>
      </w:r>
      <w:bookmarkStart w:id="247" w:name="pg8931_113787"/>
    </w:p>
    <w:p>
      <w:pPr>
        <w:pStyle w:val="BookText"/>
        <w:rPr/>
      </w:pPr>
      <w:bookmarkEnd w:id="2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كنوانسيون آمريكايى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 منطقه اى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توسط كشورهاى آمريكايى تصويب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يازدهم اين كنوانسيون مربوط به حق بر حريم خصوصى، و ماده دوازدهم آزادى وجدان و مذهب را در چهار بند مدنظر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درخور توجه آنكه در اين سند به حق پاسخ نيز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اين حق براى هر فردى كه به ديگرى ضرر رسانده، شناسايى شده است كه از طرق مختلف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اين حق نوعى تكليف براى فرد ضارّ مى باشد كه اقدام به جبران ضرر اعم از مادى و معنوى بكند؛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آفريقايى حقوق بشر و مردم مصوب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منشور هم در مقدمه و هم در ماده هشتم به حق بر مذهب پرداخته، و آن را به رسميت شناخته است</w:t>
      </w:r>
      <w:r>
        <w:rPr>
          <w:rFonts w:eastAsia="IRNazanin" w:cs="IRNazanin"/>
          <w:color w:val="111111"/>
          <w:sz w:val="28"/>
          <w:szCs w:val="28"/>
          <w:rtl w:val="true"/>
          <w:lang w:bidi="fa-IR"/>
        </w:rPr>
        <w:t>.</w:t>
      </w:r>
    </w:p>
    <w:p>
      <w:pPr>
        <w:pStyle w:val="Heading3"/>
        <w:numPr>
          <w:ilvl w:val="2"/>
          <w:numId w:val="1"/>
        </w:numPr>
        <w:rPr/>
      </w:pPr>
      <w:bookmarkStart w:id="248" w:name="__RefHeading___Toc1314080_2870459653"/>
      <w:bookmarkStart w:id="249" w:name="_Toc87"/>
      <w:bookmarkEnd w:id="248"/>
      <w:r>
        <w:rPr/>
        <w:t>7</w:t>
      </w:r>
      <w:r>
        <w:rPr>
          <w:rtl w:val="true"/>
        </w:rPr>
        <w:t xml:space="preserve">. </w:t>
      </w:r>
      <w:r>
        <w:rPr>
          <w:rtl w:val="true"/>
        </w:rPr>
        <w:t>دولت ها و شناسايى حقوق بنيادين</w:t>
      </w:r>
      <w:bookmarkEnd w:id="249"/>
    </w:p>
    <w:p>
      <w:pPr>
        <w:pStyle w:val="Heading4"/>
        <w:numPr>
          <w:ilvl w:val="3"/>
          <w:numId w:val="1"/>
        </w:numPr>
        <w:rPr/>
      </w:pPr>
      <w:bookmarkStart w:id="250" w:name="__RefHeading___Toc1314082_2870459653"/>
      <w:bookmarkStart w:id="251" w:name="_Toc88"/>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انواع اسناد حقوق بشرى بيانگر تنوع تعهدات حقوق بشرى دولت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حقوق متفاوت تعريف شده اند، ولى هدف آنها حمايت از فرد در برابر اقدامات دولت و حاكميت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برابر افراد نيز تكاليفى دارند و دولت ها نيز صاحب</w:t>
      </w:r>
    </w:p>
    <w:p>
      <w:pPr>
        <w:pStyle w:val="BookText"/>
        <w:rPr/>
      </w:pPr>
      <w:r>
        <w:rPr>
          <w:rFonts w:ascii="IRNazanin" w:hAnsi="IRNazanin" w:eastAsia="IRNazanin"/>
          <w:color w:val="111111"/>
          <w:sz w:val="28"/>
          <w:sz w:val="28"/>
          <w:szCs w:val="28"/>
          <w:rtl w:val="true"/>
          <w:lang w:bidi="fa-IR"/>
        </w:rPr>
        <w:t>حقوق اند، اما محور اصلى حقوق بشر، حمايت از افراد و حفظ كرامت انسانى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تعبيه انواع و اقسام نهادهاى نظارتى، حمايتى با اين نگاه توجيه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به منظور انجام تعهدات خود در سه حوزه شناسايى، اجرا و تعقيب بايد فعاليت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ابتدا بايد دولت ها اين حقوق را شناسايى كنند و سپس از اجرا و اعمال آن به طور مستقيم يا غيرمستقيم حمايت كنند و درنهايت، در صورتى كه اين حقوق نقض شود، پيگيرى و تعقيب و مجازات ناقضين، متوجه دولت مى شود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شصت عنوان حق در اين دو سند شناسايى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دعواهايى كه در تفسير و تعريف اين حقوق وجود دارد، كه خود جاى بحث مستقلى را مى طلبد، شناسايى اين حقوق بيانگر تعهد دولت ها در اعمال و اجراى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با عناوين مختلف از جمله آزادى بيان، فكر، انديشه، وجدان، دين، مذهب، انجام</w:t>
      </w:r>
      <w:bookmarkStart w:id="252" w:name="pg8931_113788"/>
    </w:p>
    <w:p>
      <w:pPr>
        <w:pStyle w:val="BookText"/>
        <w:rPr/>
      </w:pPr>
      <w:bookmarkEnd w:id="252"/>
      <w:r>
        <w:rPr>
          <w:rFonts w:ascii="Amiri" w:hAnsi="Amiri" w:eastAsia="Amiri" w:cs="Amiri"/>
          <w:color w:val="111111"/>
          <w:sz w:val="28"/>
          <w:sz w:val="28"/>
          <w:szCs w:val="28"/>
          <w:rtl w:val="true"/>
          <w:lang w:bidi="ar-SA"/>
        </w:rPr>
        <w:t>فعاليت هاى اجتماعى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شده اند كه تمركز اصلى اين نوشتار بر حوزه مناسكى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قسمت تلاش خواهد شد تا با تكيه بر اسناد و رويه هاى موجود بين المللى، تعهدات دولت، همه تعهدات به صورت عام، و تعهدات دولت سعودى به طور خاص، در قبال حجاج شناسايى شود</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314084_2870459653"/>
      <w:bookmarkStart w:id="254" w:name="_Toc89"/>
      <w:bookmarkEnd w:id="253"/>
      <w:r>
        <w:rPr>
          <w:rtl w:val="true"/>
        </w:rPr>
        <w:t>الف</w:t>
      </w:r>
      <w:r>
        <w:rPr>
          <w:rtl w:val="true"/>
        </w:rPr>
        <w:t xml:space="preserve">) </w:t>
      </w:r>
      <w:r>
        <w:rPr>
          <w:rtl w:val="true"/>
        </w:rPr>
        <w:t>داشتن آزادى مذهب</w:t>
      </w:r>
      <w:bookmarkEnd w:id="254"/>
    </w:p>
    <w:p>
      <w:pPr>
        <w:pStyle w:val="BookText"/>
        <w:rPr/>
      </w:pPr>
      <w:r>
        <w:rPr>
          <w:rFonts w:ascii="IRNazanin" w:hAnsi="IRNazanin" w:eastAsia="IRNazanin"/>
          <w:color w:val="111111"/>
          <w:sz w:val="28"/>
          <w:sz w:val="28"/>
          <w:szCs w:val="28"/>
          <w:rtl w:val="true"/>
          <w:lang w:bidi="fa-IR"/>
        </w:rPr>
        <w:t>آزادى مذهب در مقام يك اصل بنيادين همواره در اسناد مختلف حقوق بشرى شناسايى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در اسناد مختلف از جمله ميثاق بين المللى حقوق مدنى و سياسى و كنوانسيون اروپايى حمايت از حقوق بشر و آزادى هاى اساسى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رويه هاى موجود اين حق را به صورت عام تفسير مى كنند، و آن را شامل همه اديان مى دانند،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با آموزه هاى قرآنى و در راستاى تعهدات دولت هاى اسلامى كه ناظر به شرع مقدس انور مى باشد، آزادى دين در معناى حق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با توجه به منابع دينى اسلامى و توان حق انتخاب دين اسلام، بلكه وظيفه پذيرش به عنوان آخرين و كامل ترين دين در معناى حق بودن را نيز لحاظ كرد؛ زيرا هر فردى غير اسلام را انتخاب كند، از او پذيرفته نمى شود؛</w:t>
      </w:r>
    </w:p>
    <w:p>
      <w:pPr>
        <w:pStyle w:val="Heading4"/>
        <w:numPr>
          <w:ilvl w:val="3"/>
          <w:numId w:val="1"/>
        </w:numPr>
        <w:rPr/>
      </w:pPr>
      <w:bookmarkStart w:id="255" w:name="__RefHeading___Toc1314086_2870459653"/>
      <w:bookmarkStart w:id="256" w:name="_Toc90"/>
      <w:bookmarkEnd w:id="255"/>
      <w:r>
        <w:rPr>
          <w:rtl w:val="true"/>
        </w:rPr>
        <w:t>ب</w:t>
      </w:r>
      <w:r>
        <w:rPr>
          <w:rtl w:val="true"/>
        </w:rPr>
        <w:t xml:space="preserve">) </w:t>
      </w:r>
      <w:r>
        <w:rPr>
          <w:rtl w:val="true"/>
        </w:rPr>
        <w:t>حفظ مذهب</w:t>
      </w:r>
      <w:bookmarkEnd w:id="256"/>
    </w:p>
    <w:p>
      <w:pPr>
        <w:pStyle w:val="BookText"/>
        <w:rPr/>
      </w:pPr>
      <w:r>
        <w:rPr>
          <w:rFonts w:ascii="IRNazanin" w:hAnsi="IRNazanin" w:eastAsia="IRNazanin"/>
          <w:color w:val="111111"/>
          <w:sz w:val="28"/>
          <w:sz w:val="28"/>
          <w:szCs w:val="28"/>
          <w:rtl w:val="true"/>
          <w:lang w:bidi="fa-IR"/>
        </w:rPr>
        <w:t>در منابع دينى و فقه اماميه، مذهب اماميه به عنوان مذهب حق دانسته شده است كه در آنجا حق در معناى حق بودن همراه با حق در معناى حق داشتن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حق داشتن ماده هجده ميثاق بين المللى حقوق سياسى و مدنى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آنكه كشورهاى اسلامى در هنگام پذيرش اين سند بر اين موضوع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عربستان در كميته سوم و به هنگام بررسى اين ميثاق متعهد بود كه كشور قدرتمند يا دين دولتى تبليغ گرا و دعوت كننده، در صورتى كه ابزار رسانه هاى جمعى را در اختيار داشته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Hajje - 1991, p,46</w:t>
      </w:r>
      <w:r>
        <w:rPr>
          <w:rFonts w:eastAsia="Times New Roman" w:cs="Times New Roman" w:ascii="Times New Roman" w:hAnsi="Times New Roman"/>
          <w:color w:val="111111"/>
          <w:sz w:val="28"/>
          <w:szCs w:val="28"/>
          <w:rtl w:val="true"/>
          <w:lang w:val="en-US" w:bidi="en-US"/>
        </w:rPr>
        <w:t>.</w:t>
      </w:r>
      <w:bookmarkStart w:id="257" w:name="pg8931_113789"/>
    </w:p>
    <w:p>
      <w:pPr>
        <w:pStyle w:val="BookText"/>
        <w:rPr/>
      </w:pPr>
      <w:bookmarkEnd w:id="257"/>
      <w:r>
        <w:rPr>
          <w:rFonts w:ascii="IRNazanin" w:hAnsi="IRNazanin" w:eastAsia="IRNazanin"/>
          <w:color w:val="111111"/>
          <w:sz w:val="28"/>
          <w:sz w:val="28"/>
          <w:szCs w:val="28"/>
          <w:rtl w:val="true"/>
          <w:lang w:bidi="fa-IR"/>
        </w:rPr>
        <w:t>باشد، مى تواند با استفاده از پذيرش حق حفظ مذهب همراه با لوازم اعمال آن مذهب، آن را تبليغ كند و تنها استثنايى كه بر آن وارد است، مواردى است كه به بى نظمى اجتماعى آن كشور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عربستان در اجلاس مذكور به همين مسئله استناد كرده است كه البته سخن او ناظر به افراد غيرتبعه مى باشد</w:t>
      </w:r>
      <w:r>
        <w:rPr>
          <w:rFonts w:eastAsia="IRNazanin" w:cs="IRNazanin"/>
          <w:color w:val="111111"/>
          <w:sz w:val="28"/>
          <w:szCs w:val="28"/>
          <w:rtl w:val="true"/>
          <w:lang w:bidi="fa-IR"/>
        </w:rPr>
        <w:t>.</w:t>
      </w:r>
    </w:p>
    <w:p>
      <w:pPr>
        <w:pStyle w:val="Heading4"/>
        <w:numPr>
          <w:ilvl w:val="3"/>
          <w:numId w:val="1"/>
        </w:numPr>
        <w:rPr/>
      </w:pPr>
      <w:bookmarkStart w:id="258" w:name="__RefHeading___Toc1314088_2870459653"/>
      <w:bookmarkStart w:id="259" w:name="_Toc91"/>
      <w:bookmarkEnd w:id="258"/>
      <w:r>
        <w:rPr>
          <w:rtl w:val="true"/>
        </w:rPr>
        <w:t>ج</w:t>
      </w:r>
      <w:r>
        <w:rPr>
          <w:rtl w:val="true"/>
        </w:rPr>
        <w:t xml:space="preserve">) </w:t>
      </w:r>
      <w:r>
        <w:rPr>
          <w:rtl w:val="true"/>
        </w:rPr>
        <w:t>امنيت مذهبى</w:t>
      </w:r>
      <w:bookmarkEnd w:id="259"/>
    </w:p>
    <w:p>
      <w:pPr>
        <w:pStyle w:val="BookText"/>
        <w:rPr/>
      </w:pPr>
      <w:r>
        <w:rPr>
          <w:rFonts w:ascii="IRNazanin" w:hAnsi="IRNazanin" w:eastAsia="IRNazanin"/>
          <w:color w:val="111111"/>
          <w:sz w:val="28"/>
          <w:sz w:val="28"/>
          <w:szCs w:val="28"/>
          <w:rtl w:val="true"/>
          <w:lang w:bidi="fa-IR"/>
        </w:rPr>
        <w:t>از ويژگى هاى سرزمين مكه و مسجدالحرام، برخورداربودن از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اين مكان به عنوان جايى امن تعريف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مدنظر هم شامل جسم و هم روان مى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به عنوان حج گزار در سرزمين وحى حاضر مى شود، نيازمند برخورداربودن از امنيت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لوازمى دارد كه از جمله آنها تعهد دولت سعودى به عدم انجام اقدامات و كارهايى است كه باعث عدم انجام مناسك حج توسط حاجى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از فيوضات معنوى در گرو بهره مندى از آرامش و آسايش است كه بدون وجود امنيت اين معنا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مختلفى مى تواند امنيت جسم يا روح و روان افراد را بر هم بزند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60" w:name="__RefHeading___Toc1314090_2870459653"/>
      <w:bookmarkStart w:id="261" w:name="_Toc92"/>
      <w:bookmarkEnd w:id="260"/>
      <w:r>
        <w:rPr>
          <w:rtl w:val="true"/>
        </w:rPr>
        <w:t>د</w:t>
      </w:r>
      <w:r>
        <w:rPr>
          <w:rtl w:val="true"/>
        </w:rPr>
        <w:t xml:space="preserve">) </w:t>
      </w:r>
      <w:r>
        <w:rPr>
          <w:rtl w:val="true"/>
        </w:rPr>
        <w:t>خواندن روضه</w:t>
      </w:r>
      <w:bookmarkEnd w:id="261"/>
    </w:p>
    <w:p>
      <w:pPr>
        <w:pStyle w:val="BookText"/>
        <w:rPr/>
      </w:pPr>
      <w:r>
        <w:rPr>
          <w:rFonts w:ascii="IRNazanin" w:hAnsi="IRNazanin" w:eastAsia="IRNazanin"/>
          <w:color w:val="111111"/>
          <w:sz w:val="28"/>
          <w:sz w:val="28"/>
          <w:szCs w:val="28"/>
          <w:rtl w:val="true"/>
          <w:lang w:bidi="fa-IR"/>
        </w:rPr>
        <w:t>با مرورى بر رويه دادگاه هاى حقوق بشرى از جمله دادگاه اروپايى حقوق بشرى، شاهد شناسايى حقى به نام حق روضه خوانى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اين حق همراه با لوازم خاصش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امن و برخوردار از شرايط حداقلى، از لوازم اوليه انجام اين حق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كاكينا كيس عليه يونان، خواهان به دليل برپايى روضه در نزاع محكوم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عليه خواهان اين بود كه تبليغ دينى در يونان ممنوع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فى الكتاب والسنه، محمدصادق آل اسحاق،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آزادى دينى از منظر حقوق بين الملل،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bookmarkStart w:id="262" w:name="pg8931_113790"/>
    </w:p>
    <w:p>
      <w:pPr>
        <w:pStyle w:val="BookText"/>
        <w:rPr/>
      </w:pPr>
      <w:bookmarkEnd w:id="262"/>
      <w:r>
        <w:rPr>
          <w:rFonts w:ascii="Amiri" w:hAnsi="Amiri" w:eastAsia="Amiri" w:cs="Amiri"/>
          <w:color w:val="111111"/>
          <w:sz w:val="28"/>
          <w:sz w:val="28"/>
          <w:szCs w:val="28"/>
          <w:rtl w:val="true"/>
          <w:lang w:bidi="ar-SA"/>
        </w:rPr>
        <w:t>درنهايت ديوان اعلام كرد ميان تبليغ دين و انجام اعمالى مانند خواندن روضه تفاوت وجود دارد و به نفع خواهان رأى 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روضه خوانى از سنت هاى پسنديده در فقه اماميه و نزد شيعيان است؛ به ويژه اينكه خواندن روضه با مضامين عالى باعث رقت قلب و زمينه مساعدى جهت خودسازى و تصفيه نفس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براساس حديث ثقلين، راه فلاح و سعادت را در تمسك به كتاب آسمانى و عترت مى داند؛ اين تمسك ابعاد مختلفى دارد؛ از جمله خواندن روضه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بدين معناست كه اگر كاكنياكيس حق تغيير مذهب داشته، پس حق تبليغ آن مذهب را هم داشته و روضه خوانى يكى از مصاديق تبليغ است، و قانون يونان مبنى بر ممنوعيت تبليغ دينى شامل آن نمى شود</w:t>
      </w:r>
      <w:r>
        <w:rPr>
          <w:rFonts w:eastAsia="IRNazanin" w:cs="IRNazanin"/>
          <w:color w:val="111111"/>
          <w:sz w:val="28"/>
          <w:szCs w:val="28"/>
          <w:rtl w:val="true"/>
          <w:lang w:bidi="fa-IR"/>
        </w:rPr>
        <w:t>.</w:t>
      </w:r>
    </w:p>
    <w:p>
      <w:pPr>
        <w:pStyle w:val="Heading4"/>
        <w:numPr>
          <w:ilvl w:val="3"/>
          <w:numId w:val="1"/>
        </w:numPr>
        <w:rPr/>
      </w:pPr>
      <w:bookmarkStart w:id="263" w:name="__RefHeading___Toc1314092_2870459653"/>
      <w:bookmarkStart w:id="264" w:name="_Toc93"/>
      <w:bookmarkEnd w:id="263"/>
      <w:r>
        <w:rPr>
          <w:rtl w:val="true"/>
        </w:rPr>
        <w:t>ه</w:t>
      </w:r>
      <w:r>
        <w:rPr>
          <w:rtl w:val="true"/>
        </w:rPr>
        <w:t xml:space="preserve">) </w:t>
      </w:r>
      <w:r>
        <w:rPr>
          <w:rtl w:val="true"/>
        </w:rPr>
        <w:t>اظهار و آشكارسازى مذهب</w:t>
      </w:r>
      <w:bookmarkEnd w:id="264"/>
    </w:p>
    <w:p>
      <w:pPr>
        <w:pStyle w:val="Heading5"/>
        <w:numPr>
          <w:ilvl w:val="4"/>
          <w:numId w:val="1"/>
        </w:numPr>
        <w:rPr/>
      </w:pPr>
      <w:bookmarkStart w:id="265" w:name="__RefHeading___Toc1314094_2870459653"/>
      <w:bookmarkStart w:id="266" w:name="_Toc94"/>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حق اظهار مذهب از ديگر مؤلفه هاى حق برخوردارى از مذهب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حق اظهار مذهب در اسناد مختلف حقوق بشرى از جمله اعلاميه جهانى حقوق بشر، ميثاقين و همين طور ماده نه كنوانسيون اروپايى حقوق بشر شناسايى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شرع انور انجام عبادات مختلف اعم از فردى و جمعى، تعليم دينى، عمل به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مراسم و آيين هاى دينى، همگى در اين راستا قابل طرح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اين موارد به طور دقيق در اسناد حقوق بشرى تعريف نشده است، اما اصل اين حق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در سرزمين وحى و در انجام مناسك حج، يا عمره، محدوده اين نوع اعمال بايد نظم عمومى مبتنى بر حفظ شرافت و اخلاق اسلامى باشد، نه نظم تعريف شده توسط مذهبى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Kokkinakis V. Greec, p 49</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راهنماى حقيقت، جعفر سبحانى،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bookmarkStart w:id="267" w:name="pg8931_113791"/>
    </w:p>
    <w:p>
      <w:pPr>
        <w:pStyle w:val="BookText"/>
        <w:rPr/>
      </w:pPr>
      <w:bookmarkEnd w:id="267"/>
      <w:r>
        <w:rPr>
          <w:rFonts w:ascii="IRNazanin" w:hAnsi="IRNazanin" w:eastAsia="IRNazanin"/>
          <w:color w:val="111111"/>
          <w:sz w:val="28"/>
          <w:sz w:val="28"/>
          <w:szCs w:val="28"/>
          <w:rtl w:val="true"/>
          <w:lang w:bidi="fa-IR"/>
        </w:rPr>
        <w:t>على رغم اين ابهام در جديدترين پرونده هاى مطرح نزد ديوان، دعواى سينان ايشيك عليه تركيه راهنماى خوبى براى تعيين اين حدود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پرونده، خواهان كه از علويان تركيه است، مدعى است كه در اوراق هويتى او بايد به جاى اسلام عنوان مذهب يعنى علوى درج گردد و اين را از حقوق فطرى خود مى داند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درنهايت ديوان اروپايى، دولت تركيه را به دليل نقض تعهد حقوق بشرى محكوم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ابعاد اظهار مناسك حج مبتنى بر مذهب شيعه در سرزمين وحى قابل توجه مى باشد، به چند مورد از آن توجه مى شود</w:t>
      </w:r>
      <w:r>
        <w:rPr>
          <w:rFonts w:eastAsia="IRNazanin" w:cs="IRNazanin"/>
          <w:color w:val="111111"/>
          <w:sz w:val="28"/>
          <w:szCs w:val="28"/>
          <w:rtl w:val="true"/>
          <w:lang w:bidi="fa-IR"/>
        </w:rPr>
        <w:t>:</w:t>
      </w:r>
    </w:p>
    <w:p>
      <w:pPr>
        <w:pStyle w:val="Heading5"/>
        <w:numPr>
          <w:ilvl w:val="4"/>
          <w:numId w:val="1"/>
        </w:numPr>
        <w:rPr/>
      </w:pPr>
      <w:bookmarkStart w:id="268" w:name="__RefHeading___Toc1314096_2870459653"/>
      <w:bookmarkStart w:id="269" w:name="_Toc95"/>
      <w:bookmarkEnd w:id="268"/>
      <w:r>
        <w:rPr>
          <w:rtl w:val="true"/>
        </w:rPr>
        <w:t xml:space="preserve">يك </w:t>
      </w:r>
      <w:r>
        <w:rPr>
          <w:rtl w:val="true"/>
        </w:rPr>
        <w:t xml:space="preserve">-. </w:t>
      </w:r>
      <w:r>
        <w:rPr>
          <w:rtl w:val="true"/>
        </w:rPr>
        <w:t>انجام عبادت</w:t>
      </w:r>
      <w:bookmarkEnd w:id="269"/>
    </w:p>
    <w:p>
      <w:pPr>
        <w:pStyle w:val="BookText"/>
        <w:rPr/>
      </w:pPr>
      <w:r>
        <w:rPr>
          <w:rFonts w:ascii="IRNazanin" w:hAnsi="IRNazanin" w:eastAsia="IRNazanin"/>
          <w:color w:val="111111"/>
          <w:sz w:val="28"/>
          <w:sz w:val="28"/>
          <w:szCs w:val="28"/>
          <w:rtl w:val="true"/>
          <w:lang w:bidi="fa-IR"/>
        </w:rPr>
        <w:t>عبادت به تمامى تشريفات و آداب دينى اطلاق مى شود كه نحوه نمازخواندن از جهت جهرواخفات، تكتف، مهرگذاشتن، شكسته و كامل خواندن را شامل مى شود؛ همچنان كه شامل لمس كردن اشياء مقدس و بوسيدن آنها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موارد قبلى، ساختن مكانى براى عبادت همچون مسجد، حسينيه، استفاده از كتاب دعا، مناجات، مفاتيح الجنان، نشان دادن علائم مذهبى، و حتى رعايت روزهاى تعطيل را نيز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حقوق بشر، موارد متعددى از مصاديق انجام عبادت به عنوان تعهد دولت هاى عضو اسناد بين المللى مطرح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حقوقى در دعوايى كه يك زندانى اجازه پيدا نكرده بود تا در مراسم نماز جماعت شركت كند و كتاب دعاى او را از وى گرفته بودند، اعلام كرد اين رفتار نقض ماده هجده ميثاق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Sinqn lsix v, Turkeg,2010,5.11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راهنماى حقيقت، صص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General commet</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UN.DOC. A/57/40 Vol.2, 2002, p.76</w:t>
      </w:r>
      <w:r>
        <w:rPr>
          <w:rFonts w:eastAsia="Times New Roman" w:cs="Times New Roman" w:ascii="Times New Roman" w:hAnsi="Times New Roman"/>
          <w:color w:val="111111"/>
          <w:sz w:val="28"/>
          <w:szCs w:val="28"/>
          <w:rtl w:val="true"/>
          <w:lang w:val="en-US" w:bidi="en-US"/>
        </w:rPr>
        <w:t>.</w:t>
      </w:r>
      <w:bookmarkStart w:id="270" w:name="pg8931_113792"/>
    </w:p>
    <w:p>
      <w:pPr>
        <w:pStyle w:val="BookText"/>
        <w:rPr/>
      </w:pPr>
      <w:bookmarkEnd w:id="270"/>
      <w:r>
        <w:rPr>
          <w:rFonts w:ascii="IRNazanin" w:hAnsi="IRNazanin" w:eastAsia="IRNazanin"/>
          <w:color w:val="111111"/>
          <w:sz w:val="28"/>
          <w:sz w:val="28"/>
          <w:szCs w:val="28"/>
          <w:rtl w:val="true"/>
          <w:lang w:bidi="fa-IR"/>
        </w:rPr>
        <w:t>بهره مندى از مكانى براى عبادت، براى مثال احداث مسجد شيعيان در مكه، از جمله اساسى ترين قسمت آزادى عبادت بوده است كه نوعاً توسط دولت ها با اعمال محدوديت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رويه ديوان اروپايى حمايت از اين حق است كه در پرونده هاى مختلف آن را تأييد كرده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نمادهاى ديگر انجام عبادت، بهره مندى از روزهاى تعطيل دينى است كه در كشورهاى اسلامى اين معنا وجود دارد و همگان نيز آن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پرونده هاى مختلفى به اين مسئله توجه شده است؛ از جمله پرونده فرانسيسكو سيسه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خواهان عليه دولت ايتاليا شكايت كرده است، و مدعى است روز تعيين دادگاه روز تعطيل دينى او بوده است كه البته ديوان ادعاى خواهان را نپذيرفت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71" w:name="__RefHeading___Toc1314098_2870459653"/>
      <w:bookmarkStart w:id="272" w:name="_Toc96"/>
      <w:bookmarkEnd w:id="271"/>
      <w:r>
        <w:rPr>
          <w:rtl w:val="true"/>
        </w:rPr>
        <w:t xml:space="preserve">دو </w:t>
      </w:r>
      <w:r>
        <w:rPr>
          <w:rtl w:val="true"/>
        </w:rPr>
        <w:t xml:space="preserve">-. </w:t>
      </w:r>
      <w:r>
        <w:rPr>
          <w:rtl w:val="true"/>
        </w:rPr>
        <w:t>برگزارى مناسك</w:t>
      </w:r>
      <w:bookmarkEnd w:id="272"/>
    </w:p>
    <w:p>
      <w:pPr>
        <w:pStyle w:val="BookText"/>
        <w:rPr/>
      </w:pPr>
      <w:r>
        <w:rPr>
          <w:rFonts w:ascii="IRNazanin" w:hAnsi="IRNazanin" w:eastAsia="IRNazanin"/>
          <w:color w:val="111111"/>
          <w:sz w:val="28"/>
          <w:sz w:val="28"/>
          <w:szCs w:val="28"/>
          <w:rtl w:val="true"/>
          <w:lang w:bidi="fa-IR"/>
        </w:rPr>
        <w:t>حج به عنوان بزرگ ترين فريضه اى كه به صورت جمعى برگزار مى شود، مناسك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مناسك نه تنها شامل تشريفاتى همانند حرمت صيد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اَلصَّيْدَ وَ أَنْتُمْ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بلكه شامل پوشيدن لباس مطابق با مذهب خاص همانند فقه اماميه، مشاركت در اجتماعات، همانند مراسم برائت از مشركان و حتى استفاده از گويش خاص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عامى است كه كميته حقوق بشر درباره برگزارى مناسك، فارغ از مثال، انجام داده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مناسك مى تواند دايره وسيعى داشته باشد، كميسيون حقوق بشر اروپايى در پرونده اسميت عليه پادشاهى متحده، محدوده اين مناسك را اعمال مطلوب يا مجاز تعريف كرد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اعمال مطلوب اعمالى است كه مستند به منابع فقهى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KLMLYA and others, V. Russia,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Francesco Sessa, V. Italy, 2012, pava.7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G.C.22,1993,para,4</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Arrow Smith V. U.K. 1978, p.19</w:t>
      </w:r>
      <w:r>
        <w:rPr>
          <w:rFonts w:eastAsia="Times New Roman" w:cs="Times New Roman" w:ascii="Times New Roman" w:hAnsi="Times New Roman"/>
          <w:color w:val="111111"/>
          <w:sz w:val="28"/>
          <w:szCs w:val="28"/>
          <w:rtl w:val="true"/>
          <w:lang w:val="en-US" w:bidi="en-US"/>
        </w:rPr>
        <w:t>.</w:t>
      </w:r>
      <w:bookmarkStart w:id="273" w:name="pg8931_113793"/>
    </w:p>
    <w:p>
      <w:pPr>
        <w:pStyle w:val="BookText"/>
        <w:rPr/>
      </w:pPr>
      <w:bookmarkEnd w:id="273"/>
      <w:r>
        <w:rPr>
          <w:rFonts w:ascii="IRNazanin" w:hAnsi="IRNazanin" w:eastAsia="IRNazanin"/>
          <w:color w:val="111111"/>
          <w:sz w:val="28"/>
          <w:sz w:val="28"/>
          <w:szCs w:val="28"/>
          <w:rtl w:val="true"/>
          <w:lang w:bidi="fa-IR"/>
        </w:rPr>
        <w:t xml:space="preserve">بهره مندى از پوشش، زينت آلات و حتى داشتن علائم خاص كه نوعى شعار مذهب تلقى مى شود، همانند بستن پيشانى بند با اسامى خاص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ديگر تشريفات مناسك است كه به عنوان تعهد ايجابى دولت ها براى حمايت مدنظر واقع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موارد، پرونده هاى زيادى در مراجع شبه قضايى حقوق بشرى مطرح شده است كه همگى حاكى از رويكرد گسترده حمايت از اين حقوق توسط مراجع فوق بوده است؛ براى مثال يك خانم استاديار در دانشكده اقتصاد دانشگاه استانبول با پوشش اسلامى وارد دانشگاه مى شود كه بارها مورد توضيح قرار گرفته است تا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استعفا مى كند و نزد ديوان عليه دولت تركيه شكايت، و دليل استعفا را نيز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پس از ملاحظاتى اعلام مى كند در يك جامعه دموكراتيك، دولت مى تواند محدوديت هايى در زمينه پوشيدن حجاب اسلامى، در صورتى كه اين حجاب با اهدافى كه در حمايت از حقوق و آزادى هاى ديگران و نظم عمومى تعقيب مى شود، ناسازگار نباشد، وضع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ديوان در وضع محدوديت منوط به نظم عمومى و نقض حقوق و آزادى هاى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آنچه امروز در بقيع رخ مى دهد، كه افراد مختلف تحت عنوان امر به معروف عمل مى كنند، اگر خلاف نظم نباشد، نقض حقوق و آزادى هاى شيعيان در بقيع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اين وضعيت، يا ايجاد وضعيت مشابه براى شيعيان حمايت از حقوق مشروع زائران مى باشد</w:t>
      </w:r>
      <w:r>
        <w:rPr>
          <w:rFonts w:eastAsia="IRNazanin" w:cs="IRNazanin"/>
          <w:color w:val="111111"/>
          <w:sz w:val="28"/>
          <w:szCs w:val="28"/>
          <w:rtl w:val="true"/>
          <w:lang w:bidi="fa-IR"/>
        </w:rPr>
        <w:t>.</w:t>
      </w:r>
    </w:p>
    <w:p>
      <w:pPr>
        <w:pStyle w:val="Heading5"/>
        <w:numPr>
          <w:ilvl w:val="4"/>
          <w:numId w:val="1"/>
        </w:numPr>
        <w:rPr/>
      </w:pPr>
      <w:bookmarkStart w:id="274" w:name="__RefHeading___Toc1314100_2870459653"/>
      <w:bookmarkStart w:id="275" w:name="_Toc97"/>
      <w:bookmarkEnd w:id="274"/>
      <w:r>
        <w:rPr>
          <w:rtl w:val="true"/>
        </w:rPr>
        <w:t xml:space="preserve">سه </w:t>
      </w:r>
      <w:r>
        <w:rPr>
          <w:rtl w:val="true"/>
        </w:rPr>
        <w:t xml:space="preserve">- </w:t>
      </w:r>
      <w:r>
        <w:rPr>
          <w:rtl w:val="true"/>
        </w:rPr>
        <w:t>حق تعليم و آموزش</w:t>
      </w:r>
      <w:bookmarkEnd w:id="275"/>
    </w:p>
    <w:p>
      <w:pPr>
        <w:pStyle w:val="BookText"/>
        <w:rPr/>
      </w:pPr>
      <w:r>
        <w:rPr>
          <w:rFonts w:ascii="IRNazanin" w:hAnsi="IRNazanin" w:eastAsia="IRNazanin"/>
          <w:color w:val="111111"/>
          <w:sz w:val="28"/>
          <w:sz w:val="28"/>
          <w:szCs w:val="28"/>
          <w:rtl w:val="true"/>
          <w:lang w:bidi="fa-IR"/>
        </w:rPr>
        <w:t>اين حق شامل اعمالى مى شود كه ارتباط تنگاتنگ با رفتارهاى گروه هاى مذهبى دارد؛ همچون حق انتخاب مرجع تقليد، آزادى تأسيس مدارس دينى، برگزارى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Evieda and other, v.the u.n.2013, para.95</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Kurtacmus V. Turkey, 2006, p.1</w:t>
      </w:r>
      <w:r>
        <w:rPr>
          <w:rFonts w:eastAsia="Times New Roman" w:cs="Times New Roman" w:ascii="Times New Roman" w:hAnsi="Times New Roman"/>
          <w:color w:val="111111"/>
          <w:sz w:val="28"/>
          <w:szCs w:val="28"/>
          <w:rtl w:val="true"/>
          <w:lang w:val="en-US" w:bidi="en-US"/>
        </w:rPr>
        <w:t>.</w:t>
      </w:r>
      <w:bookmarkStart w:id="276" w:name="pg8931_113794"/>
    </w:p>
    <w:p>
      <w:pPr>
        <w:pStyle w:val="BookText"/>
        <w:rPr/>
      </w:pPr>
      <w:bookmarkEnd w:id="276"/>
      <w:r>
        <w:rPr>
          <w:rFonts w:ascii="IRNazanin" w:hAnsi="IRNazanin" w:eastAsia="IRNazanin"/>
          <w:color w:val="111111"/>
          <w:sz w:val="28"/>
          <w:sz w:val="28"/>
          <w:szCs w:val="28"/>
          <w:rtl w:val="true"/>
          <w:lang w:bidi="fa-IR"/>
        </w:rPr>
        <w:t>سمينارها، آزادى تدارك و توزيع متون دينى، يا انتشار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حقوق بشر در تفسير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پاراگراف چهار اين نظر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ماده نه كنوانسيون اروپايى حقوق بشر و فراز دوم ماده دو، اولين پروتكل الحاقى به اين كنوانسيون آن را مورد شناسايى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رويه ديوان اروپايى هميشه در اين حوزه محافظه كارانه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آموزش را مورد پذيرش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 مى تواند توسط والدين، يا توسط مراجع ذى 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آموزش به مردم را از وظايف حاكم جامعه مى 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پرونده هاى مختلفى اين بحث مطرح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اى خواهان خواستار اعطاى معافيت كامل از حضور در درسى بود كه مربوط به اكثريت مسيحيان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ديوان، احتياط لازم را در اين زمينه انجام داد و صراحت رفتار دولت بلژيك در عدم اعطاى معافيت را نقض حقوق شهروندى ندانست، اما به شيوه اى ديگر به حمايت از خواهان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ديوان اين بود كه آيا گنجاندن يك برنامه درسى توسط آموزش به صورت بى طرفانه بوده يا رويكرد كثرت گرايانه را دنبال كرده است؟ كه در پاسخ به اين سؤال ديوان دولت بلژيك را محكوم، و به نفع خواهان حكم صادر كرد</w:t>
      </w:r>
      <w:r>
        <w:rPr>
          <w:rFonts w:eastAsia="IRNazanin" w:cs="IRNazanin"/>
          <w:color w:val="111111"/>
          <w:sz w:val="28"/>
          <w:szCs w:val="28"/>
          <w:rtl w:val="true"/>
          <w:lang w:bidi="fa-IR"/>
        </w:rPr>
        <w:t>.</w:t>
      </w:r>
    </w:p>
    <w:p>
      <w:pPr>
        <w:pStyle w:val="Heading5"/>
        <w:numPr>
          <w:ilvl w:val="4"/>
          <w:numId w:val="1"/>
        </w:numPr>
        <w:rPr/>
      </w:pPr>
      <w:bookmarkStart w:id="277" w:name="__RefHeading___Toc1314102_2870459653"/>
      <w:bookmarkStart w:id="278" w:name="_Toc98"/>
      <w:bookmarkEnd w:id="277"/>
      <w:r>
        <w:rPr>
          <w:rtl w:val="true"/>
        </w:rPr>
        <w:t xml:space="preserve">چهار </w:t>
      </w:r>
      <w:r>
        <w:rPr>
          <w:rtl w:val="true"/>
        </w:rPr>
        <w:t xml:space="preserve">- </w:t>
      </w:r>
      <w:r>
        <w:rPr>
          <w:rtl w:val="true"/>
        </w:rPr>
        <w:t>حق رهايى از زجر و آزار به خاطر مذهب</w:t>
      </w:r>
      <w:bookmarkEnd w:id="278"/>
    </w:p>
    <w:p>
      <w:pPr>
        <w:pStyle w:val="BookText"/>
        <w:rPr/>
      </w:pPr>
      <w:r>
        <w:rPr>
          <w:rFonts w:ascii="IRNazanin" w:hAnsi="IRNazanin" w:eastAsia="IRNazanin"/>
          <w:color w:val="111111"/>
          <w:sz w:val="28"/>
          <w:sz w:val="28"/>
          <w:szCs w:val="28"/>
          <w:rtl w:val="true"/>
          <w:lang w:bidi="fa-IR"/>
        </w:rPr>
        <w:t>يكى ديگر از حقوق مورد پذيرش اسناد جهانى، حق رهايى از زجر و آزار جسمى و روحى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سرزمين وحى بايد از اين حق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Talor,2055, 2005,p.217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Folger and others,v.Norway,2007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ايجاد فشار روحى و روانى اعم از آشكار و پنهان، فردى يا گروهى، با توجيه يا بدون توجيه، دليل بر سلب يا اعمال محدوديت بر اين حق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اعتقاد مذهبى شيعه كه نمادهاى مختلفى را نيز در خود جاى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موجب زجر و آزار وى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مختلف جهانى مصاديق زجر عملى بسيار زننده تلقى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فعل، يا ترك فعلى همانند دادن اجبارى يك كتاب خاص و جلوگيرى از داشتن يك كتاب، از ديگر مصاديق زجر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جنايت زجر و آزار را بايد انجام رفتارهايى دانست كه منافى با حقوق و آزادى هاى مشروع حجاج مى باشد؛ هرچند از يك درجه اهميت و اعتبار برخوردار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آزار مى تواند به صورت فيزيكى باشد، و يا روحى و روانى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وضع قوانين غيرقابل</w:t>
      </w:r>
    </w:p>
    <w:p>
      <w:pPr>
        <w:pStyle w:val="BookText"/>
        <w:rPr/>
      </w:pPr>
      <w:r>
        <w:rPr>
          <w:rFonts w:ascii="IRNazanin" w:hAnsi="IRNazanin" w:eastAsia="IRNazanin"/>
          <w:color w:val="111111"/>
          <w:sz w:val="28"/>
          <w:sz w:val="28"/>
          <w:szCs w:val="28"/>
          <w:rtl w:val="true"/>
          <w:lang w:bidi="fa-IR"/>
        </w:rPr>
        <w:t>توجيه و غيرقابل دفاع، سخنان تحريك آميز در مراكز عمومى و آزاردهنده نيز همين وضعيت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نفرت نسبت به برخى از طريق گفتار، نوشتار، موعظه، در رديف جنايت آزار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آيات قرآن كريم نيز مورد پذيرش قرار گرفته است كه به طور خاص در داستان جمعى از مسيحيان كه به دست ذونواس پادشاه يمن مورد آزار و اذيت و آدم سوزى واقع شدند، طرح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و گفتنى آن است كه در اسناد مختلف بيان شده، كه اين حقوق و آزادى ها مى تواند با محدوديت هايى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ديگران مهم ترين قيدى است كه در اسناد بين المللى وارد شده است كه باز خود به يك حق ديگر به نام همزيستى مسالمت آميز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اين محدوديت نبايد به صورت تبعيض آميز و غيرمنطقى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ديگران از وظايف دينى مسلمانان مى باشد؛ همچنان كه متفاوت بودن انسان ها نيز مورد پذيرش شرع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معيار اصلى را شكل مى دهد، تقواى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راهنماى حقيقت،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بين المللى اقتصادى، اجتماعى و فرهنگى، كويانك ساك كيتى شايزرى، ترجمه بهنام يوسفيان، ص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bookmarkStart w:id="279" w:name="pg8931_113796"/>
    </w:p>
    <w:p>
      <w:pPr>
        <w:pStyle w:val="Heading3"/>
        <w:numPr>
          <w:ilvl w:val="2"/>
          <w:numId w:val="1"/>
        </w:numPr>
        <w:rPr/>
      </w:pPr>
      <w:bookmarkStart w:id="280" w:name="__RefHeading___Toc1314104_2870459653"/>
      <w:bookmarkStart w:id="281" w:name="_Toc99"/>
      <w:bookmarkEnd w:id="279"/>
      <w:bookmarkEnd w:id="280"/>
      <w:r>
        <w:rPr/>
        <w:t>8</w:t>
      </w:r>
      <w:r>
        <w:rPr>
          <w:rtl w:val="true"/>
        </w:rPr>
        <w:t xml:space="preserve">. </w:t>
      </w:r>
      <w:r>
        <w:rPr>
          <w:rtl w:val="true"/>
        </w:rPr>
        <w:t>رويه مراجع شبه قضائى</w:t>
      </w:r>
      <w:bookmarkEnd w:id="28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رويه مراجع شبه قضائى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اروپايى حقوق بشر و حمايت از مذهب</w:t>
      </w:r>
    </w:p>
    <w:p>
      <w:pPr>
        <w:pStyle w:val="BookText"/>
        <w:rPr/>
      </w:pPr>
      <w:r>
        <w:rPr>
          <w:rFonts w:ascii="Amiri" w:hAnsi="Amiri" w:eastAsia="Amiri" w:cs="Amiri"/>
          <w:color w:val="111111"/>
          <w:sz w:val="28"/>
          <w:sz w:val="28"/>
          <w:szCs w:val="28"/>
          <w:rtl w:val="true"/>
          <w:lang w:bidi="ar-SA"/>
        </w:rPr>
        <w:t>از آنجا كه اين ديوان نقش مهمى در شناسايى حقوق بنيادين بشر از جمله آزادى مذهب دارد، دانستن آراى اين ديوان به منظور شناخت نوع حمايت هاى به عمل آمده از افراد مؤمن نسبت به اعمال و اجراى حقوق مذهبى خود، ضرورى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ابتدا به ماده نه كنوانسيون اروپايى حمايت از حقوق بشر و آزادى هاى اساسى توجه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دين و اعتقاد در ماده نه كنوانسيون اروپايى حمايت از حقوق بشر و آزادى هاى اساسى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پذيرش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اينگونه بيان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هركس حق آزادى انديشه، وجدان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اين حق كلى است و شامل آزادى تغيير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عقيده و آزادى اظهار آن به صورت فردى يا مجتمعاً با ديگران به شكل خصوصى يا عمومى در عبادت، آموزش، عمل و به جاى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اظهار يك دين يا عقيده تنها موضوع محدوديت هايى خواهد بود كه توسط قانون براى جامعه اى دموكراتيك و به نفع امنيت عمومى، براى حمايت از نظم، بهداشت يا اخلاق عمومى يا براى حمايت از حقوق و آزادى هاى ديگران، لازم تشخيص داده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ماده، در واقع تكرار جامع ترِ ماده هجده اعلاميه جهانى حقوق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بيان مى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يادآور مى شود كه در اين قسمت از مقاله مشترك اين جانب و جناب آقاى حسينى آزاد كه با نام جايگاه آزادى دينى در رويه ديوان اروپايى حقوق بشر براى همايش ملى جايگاه اديان در نظام هاى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 استفاده شده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Convention for the Protection of Human Rights and Fundamental Freedoms, 4 November 1950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حق دارد از آزادى انديشه، وجدان و مذهب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 شامل آزادى تغيير مذهب يا باور و نيز آزادى اظهار مذهب يا باور به شكل آموزش، عمل به شعائر، نيايش و به جاى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تنهايى و چه به صورت جمعى نيز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در ميثاق بين المللى حقوق مدنى و سياسى نيز همين حق با عباراتى تقريباً يكسان بيان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اسناد اساسى بين المللى و حقوق بشرى در سطح جهانى و منطقه اى به كرات مشاهده مى گردد كه جهت اجتناب از اطاله كلام از ذكر آنها حذر مى كنيم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 سند حقوق بشرى ديگرى نيز در دست است، تحت عنوان منشور حقوق اساسى و اتحاديه اروپا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مصوب پارلمان اروپايى، شوراى اتحاديه اروپا و كميسيون اروپايى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نيز در ماده ده با عباراتى مشابه ماده ى هجده اعلاميه جهانى حقوق بشر، حق آزادى مذهب يا دين را به رسميت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همين مقررات، اتحاديه اروپا يادآور مى شود كه آزادى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برابر درباره همه افراد اعمال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آزادى اساسى است كه شامل همه 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عقايد، ازجمله آنهايى كه به طور سنتى در كشورى خاص وجود نداشته است، عقايد اشخاصى كه اقليت هاى دينى هستند، و همچنين غير خداپرستان و كافران،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حق انتخاب، تغيير يا انكار يك دين يا مذهب را در بر مى گيرد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اروپايى حقوق بشر، كه به موجب بخش دوم كنوانسيون حمايت از حقوق بشر و آزادى هاى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كنوانسيون اروپايى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تضمين رعايت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جهت بررسى موردى اسناد،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Study guide: Freedom of Religion or Belief, University of Minnesota Human Rights Center, 2003; available at: http://www1.umn.edu/humanrts/edumat/studyguides /religion.html (last visited on 1 October 2013)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Charter of fundamental rights of the European Union, 7 Des.2000</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Council Conclusions on Freedom of religion or belief, 16 November 2009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تعهدات ناشى از كنوانسيون توسط اعضا، تأسيس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نوزده كنوانسيون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فراخور وظيفه اى كه به موجب كنوانسيون داشته است، به موضوع نقض حق آزادى دين و مذهب نيز به عنوان يكى از مسائل مبتلا به شوراى اروپا،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صلاحيت ديوان همه امور ناشى از اعمال و تفسير كنوانسيون را شامل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هم مى تواند به دعاوى ميان دولتى درباره نقض موادى از كنوانسيون رسيدگى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به دعاوى مطروحه از جانب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ادعاهايى را از جانب هر فرد، سازمان غيردولتى يا گروهى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مدعى اند توسط يكى از طرف هاى معظم متعاهد، قربانى نقض حقوقى شده اند كه در كنوانسيون و پروتكل هاى آن مقرر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هاى معظم متعاهد موظف اند مانع اجراى مؤثر اين حق به هر صورت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ويژه ديوان اروپايى حقوق بشر با كميسيون اروپايى به موجب پروتكل شماره يازده كنوانسيون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بالاتربردن اطمينان خاطر در رسيدگى به حجم عظيمى از پرونده هاى مطروحه نزد اين دو نهاد، به شكل دادگاهى واحد ادغام شدند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برخورد با موضوعات مطروحه نزد اين مرجع بين المللى، در تبيين محدوده عبارت دين يا اعتقاد مذكور در ماده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رويه ديوان اروپايى حقوق بشر، گستردگى دارد و علاوه بر اعتقادات دينى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 بزرگ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شامل عقايد صلح طلبانه،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 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اعتقادات منكران وجود خدا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فرقى كه ميان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Protocol 11 to the European Convention on Human Rights and Fundamental Freedoms (1994)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Harris, Boyle and Warbrick,1995 pp.706 - 714 p. 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Arrowsmith v. United Kingdom, Application. No, 7050/75,1978 para.69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Hazar and Ac Ḍ ik v. Turkey, Applications, No, 16311/90,1991,para,200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Angeleni v. Sweden, Application. No, 104,1,1986,51,D&amp;R,41</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Plattform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rzte fu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r das Leben v. Austria, Application No. 10126/82 (1985) 44 D&amp;R 65, at 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پيروان اين عقايد با دين داران ابراهيمى جهان در رويه ديوان وجود دارد، اين است كه پيروان عقايد غيرسنتى بار اثبات دليل را در اثبات وجود عقايد خود، بر عهده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دامنه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بسط نداده است كه بتوان مواردى چون عدم تجويز 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پخش اطلاعاتى براى واداركردن زنان به عدم سقط جنين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تحت لواى آن مورد حمايت قرار 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در رأيى اين امر را به خوبى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در اثبات ديدگاه خواهان درباره مساعدت در خودكشى هيچ ترديدى ندارد، با وجود اين بايستى اذعان داشت كه هر نظر و اعتقادى مشمول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مفهومى كه به موجب بند اول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حمايت واقع شده است، نخواهد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درحقيقت، ديوان به اين نتيجه رسيده است كه عقايدى را مشمول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درنهايت مورد حمايت بداند كه به حد ويژه اى از ثبات، جديت، انسجام و اهميت رسيده باشند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در مقام اعمال ماده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همواره در تكاپوى آشتى دادن عبارات دوگانه بند اول اين ماده كه حقوقى مطلق را شناسايى نموده، با بند دوم كه اطلاق اين حقوق را زدوده</w:t>
      </w:r>
    </w:p>
    <w:p>
      <w:pPr>
        <w:pStyle w:val="BookText"/>
        <w:rPr/>
      </w:pPr>
      <w:r>
        <w:rPr>
          <w:rFonts w:ascii="IRNazanin" w:hAnsi="IRNazanin" w:eastAsia="IRNazanin"/>
          <w:color w:val="111111"/>
          <w:sz w:val="28"/>
          <w:sz w:val="28"/>
          <w:szCs w:val="28"/>
          <w:rtl w:val="true"/>
          <w:lang w:bidi="fa-IR"/>
        </w:rPr>
        <w:t>و آنان را مقيد نموده، بوده است، و در اين راه بايستى مسائل چندى را چون حدود ضمانت هاى مصرح، مقاصد مداخلات دولتى در اين حقوق، مطابقت دخالت ها با قانون و ضرروت آنان براى يك جامعه دموكراتيك، در نظر مى گرفته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بايد اين گونه بيان داشت كه ديوان و كميسيون اروپايى حقوق بشر در برخورد با موارد ادعايى نقض حق آزادى دين و عقيده، ضمن احترام به حقوق افراد،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مثال، در پرونده اى كه خواهان مدعى وجود عقيده 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كميسيون بيان داشت كه بر عهده خواهان است كه وجود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X. v. United Kingdom, Application, Ni.7291/75, 1977,11 D&amp;R. P.56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Johnston and others v. Ireland, application, No 9697/88, 4CHR. Para.63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Van den Dungen v. the Netherlands, application, No, 22&amp; 3&amp; 193 , 1993 p.147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Murdoch,2007 p.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Pretty v The United Kingdom, 2002, para.82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Uitz, 2007, p. 28</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Murdoch,2007 p. 10</w:t>
      </w:r>
      <w:r>
        <w:rPr>
          <w:rFonts w:eastAsia="Times New Roman" w:cs="Times New Roman" w:ascii="Times New Roman" w:hAnsi="Times New Roman"/>
          <w:color w:val="111111"/>
          <w:sz w:val="28"/>
          <w:szCs w:val="28"/>
          <w:rtl w:val="true"/>
          <w:lang w:val="en-US" w:bidi="en-US"/>
        </w:rPr>
        <w:t>.</w:t>
      </w:r>
      <w:bookmarkStart w:id="282" w:name="pg8931_113800"/>
    </w:p>
    <w:p>
      <w:pPr>
        <w:pStyle w:val="BookText"/>
        <w:rPr/>
      </w:pPr>
      <w:bookmarkEnd w:id="282"/>
      <w:r>
        <w:rPr>
          <w:rFonts w:ascii="Amiri" w:hAnsi="Amiri" w:eastAsia="Amiri" w:cs="Amiri"/>
          <w:color w:val="111111"/>
          <w:sz w:val="28"/>
          <w:sz w:val="28"/>
          <w:szCs w:val="28"/>
          <w:rtl w:val="true"/>
          <w:lang w:bidi="ar-SA"/>
        </w:rPr>
        <w:t xml:space="preserve">فقط مواردى را كه اجازه عدول از اين حق را به دولت ها داده است، موارد اضطرارى و درواقع ضرورى مذكور در بند دوم ماده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كنوانسيون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ديوان اروپايى حقوق بشر، نظر به موانعى كه در سطح جهانى بر سر راه ترفيع استانداردها وجود دارد، خود را پذيراى انتقاداتى كرده است كه پيرو گسترش رويه خود درباره مواد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 مطرح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3" w:name="__RefHeading___Toc1314106_2870459653"/>
      <w:bookmarkStart w:id="284" w:name="_Toc100"/>
      <w:bookmarkEnd w:id="283"/>
      <w:r>
        <w:rPr/>
        <w:t>9</w:t>
      </w:r>
      <w:r>
        <w:rPr>
          <w:rtl w:val="true"/>
        </w:rPr>
        <w:t xml:space="preserve">. </w:t>
      </w:r>
      <w:r>
        <w:rPr>
          <w:rtl w:val="true"/>
        </w:rPr>
        <w:t>دادگاه اروپايى و حقوق مذهبى</w:t>
      </w:r>
      <w:bookmarkEnd w:id="284"/>
    </w:p>
    <w:p>
      <w:pPr>
        <w:pStyle w:val="Heading4"/>
        <w:numPr>
          <w:ilvl w:val="3"/>
          <w:numId w:val="1"/>
        </w:numPr>
        <w:rPr/>
      </w:pPr>
      <w:bookmarkStart w:id="285" w:name="__RefHeading___Toc1314108_2870459653"/>
      <w:bookmarkStart w:id="286" w:name="_Toc101"/>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حق آزادى دين و عقيده خود يك حق كلى و عام است كه به اجزاء ديگر مشتمل بر حقوقى خاص تر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حقوق بين الملل، حق آزادى دين و عقيده شامل دو مؤلفه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پذيرش، حفظ و يا امتناع از قبول يك دين يا عقيده؛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اظهار يك دين يا عقيده، به صورت فردى يا جمعى، در طى مراسم عبادى، انجام آيين هاى دينى و رعايت آن، و يا هنگام آموزش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اخير، خود به حق هاى خاص ترى تجزيه مى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87" w:name="__RefHeading___Toc1314110_2870459653"/>
      <w:bookmarkStart w:id="288" w:name="_Toc102"/>
      <w:bookmarkEnd w:id="287"/>
      <w:r>
        <w:rPr>
          <w:rtl w:val="true"/>
        </w:rPr>
        <w:t>بند اول</w:t>
      </w:r>
      <w:r>
        <w:rPr>
          <w:rtl w:val="true"/>
        </w:rPr>
        <w:t xml:space="preserve">: </w:t>
      </w:r>
      <w:r>
        <w:rPr>
          <w:rtl w:val="true"/>
        </w:rPr>
        <w:t>حقِ آزادى داشتن و پذيرش دين</w:t>
      </w:r>
      <w:bookmarkEnd w:id="288"/>
    </w:p>
    <w:p>
      <w:pPr>
        <w:pStyle w:val="BookText"/>
        <w:rPr/>
      </w:pPr>
      <w:r>
        <w:rPr>
          <w:rFonts w:ascii="IRNazanin" w:hAnsi="IRNazanin" w:eastAsia="IRNazanin"/>
          <w:color w:val="111111"/>
          <w:sz w:val="28"/>
          <w:sz w:val="28"/>
          <w:szCs w:val="28"/>
          <w:rtl w:val="true"/>
          <w:lang w:bidi="fa-IR"/>
        </w:rPr>
        <w:t>آزادى داشتن، يا پذيرش دين، متضمن حق آزادى انتخاب مذهب يا دين، ازجمله حق جايگزينى دينى جديد به جاى دين سابق، همچنين حق نگهداشتن و حفظ يك دين مى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 ماده نه كنوانسيون كه صرفاً آزادى در اظهار دين و عقيده را تحت شرايطى محدود كرده است، گوياى اين مطلب است كه آزادى در داشتن يا حفظ دين، 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Taylor, 2005 P.P 26 - 27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Council of Europe, 2013, para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Human Rights Council, 2011p</w:t>
      </w: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General comment. Nol 22,1993, para5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آن به هيچ وجه نمى تواند موضوع اين محدوديت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هيچ گونه محدوديتى بر آزادى داشتن يا پذيرش يك دين يا عقيده مجاز نخواهد بود، و اين حق از جمله حقوق غيرقابل عدول مذكور در بند دو ماده چهار ميثاق حقوق مدنى و سياسى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تغيير دين كه از زيرمجموعه هاى حق كلى آزادى در داشتن و پذيرش دين است، به صراحت در ماده 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جهانى حقوق بشر آمده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عبارات آن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 اروپايى حقوق بشر تكرار شد؛ درحالى كه اين حق در ميثاق حقوق مدنى و سياسى و همچنين در اعلاميه امحاء همه اشكال تعصب و تبعيضات دينى يا عقيدتى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مورد اشاره واقع نشده است؛ هرچند اين عدم صراحت را نمى توان به معنى عدم تقيد به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جهانى حقوق بشر تعبير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بر اين باورند كه حق آزادى دين را نمى توان به حق تغيير دين گسترش 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كشورهاى خاورميانه و كشورهاى اسلامى همواره با اين حق مخالفت نموده 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 بدان دليل است كه تغيير دين از اسلام به يك دين ديگر به معناى عدول از دين مورد رضايت خداوند، به يك دين نسخ شده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ديوان اروپايى حقوق بشر و همچنين كميسيون در مقام اعمال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تصميمات خود، آزادى ترك كردن يك دين خاص را به رسميت شناخته 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Un. Doc.A/c.3/3/Sr,127, 1948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Declaration on the Elimination of All Forms of Intolerance and of Discrimination Based on Religion or Belief, UN General Assembly,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Human Rights Council, 2011 p.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Human Rights Council,2011 p.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El Hajje,1991 p. 46</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Gottesmann v. Switzerland, Application No, 101616/83, 1984, And Darby v. Sweden No, 187, 1995, ECHR annex to the decision of the Court</w:t>
      </w:r>
      <w:r>
        <w:rPr>
          <w:rFonts w:eastAsia="Times New Roman" w:cs="Times New Roman" w:ascii="Times New Roman" w:hAnsi="Times New Roman"/>
          <w:color w:val="111111"/>
          <w:sz w:val="28"/>
          <w:szCs w:val="28"/>
          <w:rtl w:val="true"/>
          <w:lang w:val="en-US" w:bidi="en-US"/>
        </w:rPr>
        <w:t>.</w:t>
      </w:r>
      <w:bookmarkStart w:id="289" w:name="pg8931_113802"/>
    </w:p>
    <w:p>
      <w:pPr>
        <w:pStyle w:val="BookText"/>
        <w:rPr/>
      </w:pPr>
      <w:bookmarkEnd w:id="289"/>
      <w:r>
        <w:rPr>
          <w:rFonts w:ascii="IRNazanin" w:hAnsi="IRNazanin" w:eastAsia="IRNazanin"/>
          <w:color w:val="111111"/>
          <w:sz w:val="28"/>
          <w:sz w:val="28"/>
          <w:szCs w:val="28"/>
          <w:rtl w:val="true"/>
          <w:lang w:bidi="fa-IR"/>
        </w:rPr>
        <w:t>كاكيناكيس عليه يونان، خواهان يك شاهد يهُوَه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بحث هايى كه در طى بازديدى كه از منزل يك مبلّغ ارتدوكس داشت، بيان داشته بود، به موجب قانون يونان به ممنوعيت تبليغ دينى محكوم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با استدلال هايى منطقى و قانونى بيان داشت كه ميان تبليغ دينى و حق آزادى تغيير يك دين و عقيده، ارتباطى ناگسستنى وجود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ديوان به نفع خواهان تصميم گرفت و به عدم كفايت دلايل تصميم دادگاه تجديدنظر يونان درباره محكوميت كيفرى خواهان، نظر 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يكى از قضات ديوان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هم عقيده بودن با ديوان، نگرانى خود را درباره اينكه ديوان در تصميم خود به آزادى اساسى در تغيير دين به خوبى توجه نكرده است،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رأى ديوان را از اين جهت مورد انتقاد قرار مى دهد كه به زعم او ديوان در اين قضيه به محورى ترين موضوع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شايسته بوده، نپرداخته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290" w:name="__RefHeading___Toc1314112_2870459653"/>
      <w:bookmarkStart w:id="291" w:name="_Toc103"/>
      <w:bookmarkEnd w:id="290"/>
      <w:r>
        <w:rPr>
          <w:rtl w:val="true"/>
        </w:rPr>
        <w:t>بند دوم</w:t>
      </w:r>
      <w:r>
        <w:rPr>
          <w:rtl w:val="true"/>
        </w:rPr>
        <w:t xml:space="preserve">: </w:t>
      </w:r>
      <w:r>
        <w:rPr>
          <w:rtl w:val="true"/>
        </w:rPr>
        <w:t>حق اظهار دين يا مذهب</w:t>
      </w:r>
      <w:bookmarkEnd w:id="291"/>
    </w:p>
    <w:p>
      <w:pPr>
        <w:pStyle w:val="Heading5"/>
        <w:numPr>
          <w:ilvl w:val="4"/>
          <w:numId w:val="1"/>
        </w:numPr>
        <w:rPr/>
      </w:pPr>
      <w:bookmarkStart w:id="292" w:name="__RefHeading___Toc1314114_2870459653"/>
      <w:bookmarkStart w:id="293" w:name="_Toc104"/>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حق اظهار دين، مؤلفه دوم حق آزادى دين و عقيده است كه در اساسى ترين اسناد حقوق بشرى جهانى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 اروپايى حقوق بشر به صراحت و در قالب عباراتى همسان مورد توجه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متنوع اظهار دين و عقيده، در همه اين مواد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شاهدان يَهُوَه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Jehovahs Witness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فرقه اى مذهبى هستند كه از شاخه هاى مسيحيت محسوب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كسب اطلاعات بيشتر،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http://www.jw.org/en/jehovahs-witnesses/ (last visited in 6/10/2013)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Kokkinakis v. Greece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Ihib. Para. 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Judge Martens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 34</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جمله اعلاميه جهانى حقوق بشر، ميثاق بين المللى حقوق مدنى و سياسى و اعلاميه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عمومى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مراسم و آيين هاى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رويه و رويكرد ديوان اروپايى حقوق بشر معانى و محدوده اين موارد را هيچ گاه به طور دقيق و جزئى توصيف، يا تعريف نكرده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شايان توجه درباره اين دسته از حقوق اين است كه برخلاف شق نخست، حق آزادى دين، يعنى حق در داشتن، يا پذيرش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اخير در زمره حقوق غيرقابل عدول نيست و در شرايط استثنايى مى توان آنان را مقيد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 هاى عملى آن در رويه ديوان در ادامه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اينكه اين حق، چه اعتقاداتى را شامل مى شود و طبيعت و محدوده آن تا كجاست، كه در اين مختصر نمى گنجد، در اين بند صرفاً سعى مى شود حق هاى خاصِ ناشى از آزادى اظهار دين را در عملكرد و رويه ديوان اروپايى حقوق بشر، كنكاش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هاى انبوهى درباره حق آزادى در اظهار دين نزد ديوان مطرح شده است</w:t>
      </w:r>
    </w:p>
    <w:p>
      <w:pPr>
        <w:pStyle w:val="BookText"/>
        <w:rPr/>
      </w:pPr>
      <w:r>
        <w:rPr>
          <w:rFonts w:ascii="IRNazanin" w:hAnsi="IRNazanin" w:eastAsia="IRNazanin"/>
          <w:color w:val="111111"/>
          <w:sz w:val="28"/>
          <w:sz w:val="28"/>
          <w:szCs w:val="28"/>
          <w:rtl w:val="true"/>
          <w:lang w:bidi="fa-IR"/>
        </w:rPr>
        <w:t>كه جديدترين آنها در اين خصوص، پرونده سينان ايشيك عليه تركيه است كه در آن خواهان، از علويان تركيه بود و مدعى شده بود كه در اوراق هويتى وى بايد به جاى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Taylor,2005 P. 219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General comment, No, 22, 1993, para1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مطالعه بيشتر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M. Taylor, Freedom of Religion; UN and European Human Rights Law and Practice, Cambidge, university, press,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Renata Uitz, Freedom of Religion in European constitutional and international case law, council of Europe publishing Belgaium,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J. Patrick &amp; Gerald P. Long (Editors), Constitutional Debates on Freedom of Religion, First published Green wood press, USA,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جهت بررسى و مطالعه آمارىِ جايگاه آزادى دين و عقيده در نظام هاى حقوقى كشورهاى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Kevin Boyle and Juliet Sheen, Freedom of Religion and Belief; A world report, publised</w:t>
      </w:r>
      <w:r>
        <w:rPr>
          <w:rFonts w:eastAsia="Times New Roman" w:cs="Times New Roman" w:ascii="Times New Roman" w:hAnsi="Times New Roman"/>
          <w:color w:val="111111"/>
          <w:sz w:val="28"/>
          <w:szCs w:val="28"/>
          <w:rtl w:val="true"/>
          <w:lang w:val="en-US" w:bidi="en-US"/>
        </w:rPr>
        <w:t>.</w:t>
      </w:r>
      <w:bookmarkStart w:id="294" w:name="pg8931_113804"/>
    </w:p>
    <w:p>
      <w:pPr>
        <w:pStyle w:val="BookText"/>
        <w:rPr/>
      </w:pPr>
      <w:bookmarkEnd w:id="294"/>
      <w:r>
        <w:rPr>
          <w:rFonts w:ascii="IRNazanin" w:hAnsi="IRNazanin" w:eastAsia="IRNazanin"/>
          <w:color w:val="111111"/>
          <w:sz w:val="28"/>
          <w:sz w:val="28"/>
          <w:szCs w:val="28"/>
          <w:rtl w:val="true"/>
          <w:lang w:bidi="fa-IR"/>
        </w:rPr>
        <w:t>اسلام، عنوان دقيق فرقه يا مذهبى كه پيرو آن است، يعنى علوى، درج شود، و اين را از حقوق قطعى خود در رابطه با حق اظهار دين قلمداد مى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درنهايت ديوان نيز عمل دولت تركيه را نقض ماده نه كنوانسيون دانست و به نفع خواهان دعوا رأى صادر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95" w:name="__RefHeading___Toc1314116_2870459653"/>
      <w:bookmarkStart w:id="296" w:name="_Toc105"/>
      <w:bookmarkEnd w:id="295"/>
      <w:r>
        <w:rPr>
          <w:rtl w:val="true"/>
        </w:rPr>
        <w:t>الف</w:t>
      </w:r>
      <w:r>
        <w:rPr>
          <w:rtl w:val="true"/>
        </w:rPr>
        <w:t xml:space="preserve">) </w:t>
      </w:r>
      <w:r>
        <w:rPr>
          <w:rtl w:val="true"/>
        </w:rPr>
        <w:t>پرستش و عبادت</w:t>
      </w:r>
      <w:bookmarkEnd w:id="2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عبادت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عبادت به همه تشريفات و آداب دينى اطلاق مى شود كه مختص يك عقيده است و همچنين اعمال متعددى را نظير ساختن مكانى براى عبادت، استفاده از اشياء و اوراد مذهبى، نشان دادن علائم، و رعايت روزهاى تعطيل، در بر مى گيرد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كميته حقوق بشر كه در دعوايى كه در آن به يك زندانى اجازه نداده بودند، تا در مراسم نمازگزارى شركت كند و كتابچه دعاى او را از وى گرفته بودند، عمل را نقض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دانست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ديوان يا كميسيون اروپايى در اين زمينه همواره از محدوديت هاى دولتى درخصوص زندانيان حمايت كرده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ديگر نيز اعمال محدوديت در عبادت مورد تأييد كميسيون واقع شده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محدوديت هاى عبادى ناشى از مقررات استخدامى نيز در پرونده ايكس عليه پادشاهى متحده مى بينيم كه خواهان ادعا مى كند كه بنا به ماده نه كنوانسيون، حق اظهار دين خود در عبادت جمعى با ديگران را داشته است، اما كميسيون اولاً به دليل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Sinan Isik v. Turkey,2015 P 5 - 11. Londan, routliedge,1996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worship</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General comment, no, 22, 1993, para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UN Doc. A/57/40 vol. 2, 2002, p.76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Childs v. United Kingdom, Application No. 9813/82, unpublished, decision of 1 March 1983</w:t>
      </w: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 R. M. Chappell v. United Kingdom, Application No. 12587/86 (1987) 53 D&amp;R 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انتخابى كه خواهان در هنگام استخدام شدن اداره آموزش لندن داشته است و نيز با اشاره به قابليت تحديد اين حق به موجب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دعواى خواهان را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پرونده نيز اصرار خواهان بر اين است كه حق وى مبنى بر آزادى عبادت اعم از انفرادى يا جمعى نقض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برخى نويسندگان، درك شايسته اين رويكرد اروپايى در اين خصوص نيازمند بيان اين نكته است كه ديوان يا كميسيون، اولاً در اين پرونده ها آزادى عبادت خواهان را فقط در تحت شرايط خاص و ويژه همان پرونده محدود ساخته اند، و نه غير؛ ثانيا در موارد عادى و معمولى، عبادت به عنوان شكلى از آزادى اظهار دين، هم از جانب كميسيون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جانب ديوان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و حمايت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حق هاى شايان توجه ناشى از آزادى عبادت و پرستش، داشتن مكانى براى انجام اين عبادات است كه به طور تاريخى از جمله اصلى ترين قسمت آزادى عبادت بوده است كه توسط مقررات مملكتى و در پناه مجوز مذكور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 مورد محدوديت واقع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اروپايى حقوق بشر در پرونده مانوساكى و ديگران عليه يونان كه خواهان ها يهوديانى بودند كه توسط مقامات دولتى از استفاده از مكانى كه براى عبادت در اجاره داشتند، منع شده بودند، ضمن بررسى و رد احتمال لزوم وضع محدوديت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بند دو ماده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درنهايت نظر داد كه با اين عمل، ماده نه كنوانسيون نقض گرديده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X. v. United Kingdom,1981 p. 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 v. United Kingdom, Application No. 10358/83 (1983) 37 D&amp;R 142; X. v. United Kingdom, Application No. 8160/78 (1981) 22 D&amp;R 27; ISCON and others v. United Kingdom, Application No. 20490/92 (1994) 90 D&amp;R 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Manoussakis and others v. Greece, Application no. 18748/91, 1996; Metropolitan Church of Bessarabia and others v. Moldova (2002) 35 EHRR 306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Taylor, 2005 P. 242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 243</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Manoussakis and others v. Greece, 1996, p 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پرونده اى ديگر كه در خصوص مكانى براى عبادت عليه روسيه مطرح شده بود، نيز ديوان نقض ماده نه را محرز دانست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پرونده، خواهان ها كه رئيس و عضو يك كليسا بودند، در پى ثبت كليسا به عنوان يك سازمان غيردولتى اجتماعى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در نتيجه الزامى بود كه به موجب قانونى مصوب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براى آنها وجود داشت، مبنى بر اينكه هر مؤسسه غيردولتى بايد به ثبت برسد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درخواست آنها به دليل اهداف دينى داشتن مؤسسه، توسط مقامات رد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مدعى شدند كه تمايز قائل شدن توسط قانون ميان گروه ها و سازمان هاى دينى مذهبى از يك طرف، همراه با شرط ارائه سابقه اى حداقل پانزده سال حضور در سرزمينى معين به منظور كسب شخصيت حقوقى به عنوان يك سازمان دينى و مذهبى از طرف ديگر، منجر به نقض حقوق آنها به موجب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نيز اعمال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پرونده مى پذيرد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مقامات دولتى را در عدم اعطاى شخصيت حقوقى به مؤسسه خواهان ها را مداخله در حق آنان به موجب ماده نه كنوانسيون دانسته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مداخله مزبور را توجيه 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 و حقوق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است و مدخله در حق آزادى دين و اجتماعات را از ضروريات يك جامعه دموكراتيك نمى داند و درنهايت نقض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محرز دانست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تعطيل دينى و مذهبى نيز يكى ديگر از جوانب آزادى عبادت و پرستش است كه علاوه بر پرونده ايكس عليه پادشاهى متحده كه در بالا ديديم، دعاوى ديگرى نيز در اين خصوص نزد ديوان يا كميسيون مطرح شده است كه جديدترين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Kimlya and others v. Russia, 2009, para. 113(1)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89</w:t>
      </w: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پرونده اى است كه با اين موضوع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فرانسيسكو سيسه، خواهان اين پرونده، وكيلى يهودى بود كه درخواست تأمين دليلى را نزد قاضى تحقيق ثبت نموده بود، اما قاضى پرونده وقت رسيدگى را به رغم اصرار وكيل روزى قرار داده بود كه مصادف با تعطيلى آخر هفته يهوديان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عدم حضور وكيل، قاضى تحقيق پرونده را مختومه و بايگانى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خواهان، ادعا مى نمود كه امتناع مقام قضايى از موكول نمودن رسيدگى به وقتى كه مصادف با روز تعطيلى مذهبى يهوديان است، مانع حضور وى در رسيدگى به عنوان وكيل شده، و به حق او در اظهار دين خود، آشكارا تعدى نموده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ديوان در مقابل استدلال مى كند كه امتناع از</w:t>
      </w:r>
    </w:p>
    <w:p>
      <w:pPr>
        <w:pStyle w:val="BookText"/>
        <w:rPr/>
      </w:pPr>
      <w:r>
        <w:rPr>
          <w:rFonts w:ascii="IRNazanin" w:hAnsi="IRNazanin" w:eastAsia="IRNazanin"/>
          <w:color w:val="111111"/>
          <w:sz w:val="28"/>
          <w:sz w:val="28"/>
          <w:szCs w:val="28"/>
          <w:rtl w:val="true"/>
          <w:lang w:bidi="fa-IR"/>
        </w:rPr>
        <w:t>موكول نمودن وقت رسيدگى به روزى غير از تعطيلى يهوديان، مداخله در حق آزادى اظهار دين خواهان نبوده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به موجب قانون آيين دادرسى كيفرى داخلى، حضور وكيل شاكى، از موجبات عدم تشكيل جلسه نمى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دو طرف محرز است كه خواهان مى توانسته است آزادانه به انجام اعمال دينى خود بپردازد؛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درنتيجه ديوان نتيجه مى گيرد كه به اين دلايل، نقض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نيفتاده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Francessco sessav. Italy, 2012, p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نظريه مخالف مشتركى، توسط قضات تالكنس، پاپويك و كلر به اين رأى ضميمه شد كه به پندار آنان عمل انجام شده مداخله در حق آزادى دينِ خواهان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آنان، عمل مقام قضايى مخالف با بهره مندى از آزادى دين به موجب ماده نه كنوانسيون براى اعمال اين آزادى به نظر مى رسد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Francesco sessa v, Italy judgment sepaeate opinion, p.7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نتيجه بر اين باورند كه از آنجايى كه مقامات مجهز به دليلى نبوده اند كه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لازم را جهت حفظ حق خواهان بر آزادى دين انجام داده اند، لذا نقض ماده نه كنوانسيون صورت گرفته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ibid, p 15</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 39</w:t>
      </w:r>
      <w:r>
        <w:rPr>
          <w:rFonts w:eastAsia="Times New Roman" w:cs="Times New Roman" w:ascii="Times New Roman" w:hAnsi="Times New Roman"/>
          <w:color w:val="111111"/>
          <w:sz w:val="28"/>
          <w:szCs w:val="28"/>
          <w:rtl w:val="true"/>
          <w:lang w:val="en-US" w:bidi="en-US"/>
        </w:rPr>
        <w:t>.</w:t>
      </w:r>
      <w:bookmarkStart w:id="297" w:name="pg8931_113808"/>
    </w:p>
    <w:p>
      <w:pPr>
        <w:pStyle w:val="Heading5"/>
        <w:numPr>
          <w:ilvl w:val="4"/>
          <w:numId w:val="1"/>
        </w:numPr>
        <w:rPr/>
      </w:pPr>
      <w:bookmarkStart w:id="298" w:name="__RefHeading___Toc1314118_2870459653"/>
      <w:bookmarkStart w:id="299" w:name="_Toc106"/>
      <w:bookmarkEnd w:id="297"/>
      <w:bookmarkEnd w:id="298"/>
      <w:r>
        <w:rPr>
          <w:rtl w:val="true"/>
        </w:rPr>
        <w:t>ب</w:t>
      </w:r>
      <w:r>
        <w:rPr>
          <w:rtl w:val="true"/>
        </w:rPr>
        <w:t xml:space="preserve">) </w:t>
      </w:r>
      <w:r>
        <w:rPr>
          <w:rtl w:val="true"/>
        </w:rPr>
        <w:t>انجام مراسم دينى و برگزارى مناسك</w:t>
      </w:r>
      <w:bookmarkEnd w:id="2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مراسم دينى و برگزارى مناسك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مراسم مذهبى و عمل به مناسك نه تنها شامل اعمال تشريفاتى، بلكه شامل سنت هايى چون رعايت پرهيزهاى غذايى، پوشيدن لباس هاى متمايز يا پوشش سر، مشاركت در اجتماعات مراسم مذهبى و استفاده از گويشى خاص،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اينكه ممكن است محدوده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انجام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شود، كميسيون در پرونده اسميت عليه پادشاهى متحده، حيطه اين اعمال را در دايره اعمال مطلوب يا مجاز محدود ساخت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رويكرد در تصميمات بعدى نيز مورد متابعت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اى در اين پرونده به رسميت شناخته شد، كه طبق آن كميسيون بيان مى داشت كه اعمال دينى شامل هرگونه عملى كه توسط يك دين يا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تجويز يا توصيه شده است، نخواهد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رويه ديوان و كميسيون بر مى آيد، براى مجاز و مطلوب دانستن اعمال دينى، ضابطه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اعمال مى كنند؛ يعنى عمل مزبور به لحاظ دينى واجب باشد؛ براى مثال، در پرونده ايكس عليه پادشاهى متحده،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پرونده كه خواهان معلم بود و نمى توانست در روزهاى جمعه كه در انگلستان بايستى به مدرسه مى رفت، به خاطر اعمال دينى خود، در مدرسه حضور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ميان طرفين اين بود كه آيا حضور خواهان در مسجد در روز جمعه به موجب اسلام واجب است يا خير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پرونده اى ديگر نيز خواهان ادعا نمود كه وى به اتهام ربودن و تجاوز جنسى به دخترى چهارده ساله متهم شده است كه به موجب اسلام زن شرعى وى بوده، و او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The observance and practice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General comment No. 22, 1993, para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Arrowsmith v. United Kingdom, para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71</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X. v. United Kingdom, 1981 para 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خود حق ازدواج با اين دختر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كميسيون به آن دليل كه اين عمل از ضروريات دينى خواهان نبوده است، عمل دولت را نقض ماده نه كنوانسيون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كميسيون،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ماده نه هرگونه عملى را كه به موجب يك دين تجويز، يا توصيه شده است در بر نمى گيرد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پرونده اى ديگر نيز ديوان اروپايى حقوق بشر درباره دعواى كسانى كه به دليل استفاده از نشانه 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امتناع از وظايف شغلى خود به علت محدوديت هاى اعتقادى، مورد تعقيب انتظامى قرار گرفته بودند، باز به اين معيار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پرونده، خواهان اول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Eweda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كاركنان شركت هواپيمايى بود كه به موجب نظامات پوششى لازم بود هرگونه زينت آلات و پوششى كه از نظر دينى واجب است، تمام وقت در زير لباس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زنان مسلمان اجازه استفاده از حجاب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صليبى را آشكارا بر گردن آويخته بود و بابت اين عمل به ترك محل كار اجبار شده بود، در مراجع داخلى با اين استدلال دعوايش رد شد؛ زيرا به زعم اين مراجع، آشكار نمودن نماد در خارج از يونيفورم از واجبات و ملزومات دينى او نبوده، و عمل كارفرما نقض ماده نه كنوانسيون نبوده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ديوان، نظرى ديگرگونه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بر اين عقيده بود كه مقامات داخلى از حق او در اظهار دينش حمايت كافى ننموده، و عمل آنان نقض تعهد ايجابى ماده نه كنوانسيون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خواهان دوم اين پرونده، خانم چاپلين،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و در بيمارستانى دولتى پرستار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گردنبندى صليب نشان در محيط كار استفاده مى كرد و وقتى از درخواست كارفرما مبنى بر عدم استفاده از آن گردنبند امتناع ورزيد، از سمت پرستارى بركنار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Khan v. United Kingdom,1986 p255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 weida and thers v. the united kingdom,2013 p. 14 - 17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Chaplin</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19, 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در بررسى اين پرونده اذعان نمود كه عمل كارفرما دخالت در حق آزادى خواهان در اظهار دينش مى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آنجايى كه كارفرماى خواهان مقام دولتى بود، ديوان بنا به دلايل موجود در پرونده و علل ممنوعيت پوشيدن جواهرآلات در هنگام كار، به اين نتيجه رسيد كه اين كار، در حيطه محدوديت هاى مندرج در بند دوم ماده نه كنوانسيون بوده و عمل خواهان را فى نفسه عملى نامناسب نمى داند، اما دخالت به عمل آمده در آزادى اظهار دين او توسط كارفرما از ملزومات يك جامعه دموكراتيك است و</w:t>
      </w:r>
    </w:p>
    <w:p>
      <w:pPr>
        <w:pStyle w:val="BookText"/>
        <w:rPr/>
      </w:pPr>
      <w:r>
        <w:rPr>
          <w:rFonts w:ascii="Amiri" w:hAnsi="Amiri" w:eastAsia="Amiri" w:cs="Amiri"/>
          <w:color w:val="111111"/>
          <w:sz w:val="28"/>
          <w:sz w:val="28"/>
          <w:szCs w:val="28"/>
          <w:rtl w:val="true"/>
          <w:lang w:bidi="ar-SA"/>
        </w:rPr>
        <w:t xml:space="preserve">ازاين رو عمل كارفرما نقض ماده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كنوانسيون نبوده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درحقيقت ديوان به دنبال آن است كه مرز واجبات را از نمادها تفكيك كند كه در جاى خود امر مطلوبى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شركت در مراسم و آيين هاى دينى نيز، از پرونده ايكس عليه بريتانيا به دست مى آيد كه موضوع شركت معلم هندى تبار ساكن انگلستان در مراسم دينى مسلمانان به عنوان نماز جمعه به طور جدى مطرح بود كه آنجا نيز خواهان مدعى بود حق وى در انجام مراسم جمعى نماز جمعه، يكى از جوانب آزادى در اظهار دين مى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موارد عمل به مناسك، چگونگى پوشش است كه به خصوص در رابطه با مسلمانان زياد با اين موضوع برخورد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معروف ترين دعاوى مطروحه نزد ديوان در اين باره، دعواى كوز و ديگران عليه تركيه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دعوا خواهان ها دانش آموزان مسلمان دبيرستانى بودند، كه در مدرسه اى دينى و دولتى درس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آموزان بنا به اعتقادات خود و خانوادهايشان، همواره با حجاب به مدرسه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پذيرش دانش آموزان محجبه در مدرسه امتناع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ها مدعى نقض حقوق خود به موجب مواد متعددى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X. v. United Kingdom, 1981, para 4</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Kose and others v. Turkey, 2006, para 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كنوانسيون، و از جمله ماده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در تصميم خود درنهايت به اين نتيجه مى رسد كه پوشيدن يونيفورم مدرسه و عدم پوشش سر براى تمامى دانش آموزان، صرف نظر از اعتقادات مذهبى آنان الزامى بوده است؛ درنتيجه با اينكه حق خواهان ها در آزادى دين تا حدى مورد مداخله قرار گرفته است، اما ديوان نقض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نمى تابد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 خانمى بود كه استاديار دانشكده اقتصاد دانشگاه استانبول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ابتدا با پوشش اسلامى وارد دانشگاه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طور رسمى به خاطر پوشش دينى اش در هنگام تدريس بارها توبيخ شد تا اينكه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تصميم گرفت از پست خود استعفا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نزد ديوان اين گونه بيان مى دارد كه ممنوعيت او در پوشيدن حجاب به هنگام تدريس، حق او را به موجب ماده نه نقض نموده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پس از ملاحظاتى چند اين گونه بيان مى دارد كه در يك جامعه دموكراتيك، دولت مى تواند محدوديت هايى را در زمينه پوشيدن حجاب اسلامى درصورتى كه اين حجاب با اهدافى كه در حمايت از حقوق و آزادى هاى ديگران و نظم عمومى تعقيب مى شود، ناسازگار باشد، وضع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درنتيجه عمل دولت تركيه را نقض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نتيجه اى است كه در مواردى مشابه در قضيه دهلب عليه سوئيس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ليلا شاهين عليه تركيه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ديوان به آن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ليلا شاهين نيز ديوان بيان داشت كه وضع محدوديت براى پوشيدن حجاب اسلامى در دانشگاه، ناشى از قانون و منطبق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Kurtuimus Turkey 2006, p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Dahlab v. Switzerland,2001 ECHR</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Leyla ahin v. Turkey, ECtHR, 2005</w:t>
      </w:r>
      <w:r>
        <w:rPr>
          <w:rFonts w:eastAsia="Times New Roman" w:cs="Times New Roman" w:ascii="Times New Roman" w:hAnsi="Times New Roman"/>
          <w:color w:val="111111"/>
          <w:sz w:val="28"/>
          <w:szCs w:val="28"/>
          <w:rtl w:val="true"/>
          <w:lang w:val="en-US" w:bidi="en-US"/>
        </w:rPr>
        <w:t>.</w:t>
      </w:r>
      <w:bookmarkStart w:id="300" w:name="pg8931_113812"/>
    </w:p>
    <w:p>
      <w:pPr>
        <w:pStyle w:val="BookText"/>
        <w:rPr/>
      </w:pPr>
      <w:bookmarkEnd w:id="300"/>
      <w:r>
        <w:rPr>
          <w:rFonts w:ascii="IRNazanin" w:hAnsi="IRNazanin" w:eastAsia="IRNazanin"/>
          <w:color w:val="111111"/>
          <w:sz w:val="28"/>
          <w:sz w:val="28"/>
          <w:szCs w:val="28"/>
          <w:rtl w:val="true"/>
          <w:lang w:bidi="fa-IR"/>
        </w:rPr>
        <w:t xml:space="preserve">با موارد مشروع مندرج در بند دوم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كنوانسيون صورت گرفته است، و درنتيجه از ديدگاه ديوان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01" w:name="__RefHeading___Toc1314120_2870459653"/>
      <w:bookmarkStart w:id="302" w:name="_Toc107"/>
      <w:bookmarkEnd w:id="301"/>
      <w:r>
        <w:rPr>
          <w:rtl w:val="true"/>
        </w:rPr>
        <w:t>ج</w:t>
      </w:r>
      <w:r>
        <w:rPr>
          <w:rtl w:val="true"/>
        </w:rPr>
        <w:t xml:space="preserve">) </w:t>
      </w:r>
      <w:r>
        <w:rPr>
          <w:rtl w:val="true"/>
        </w:rPr>
        <w:t>تعليمات دينى و آموزش</w:t>
      </w:r>
      <w:bookmarkEnd w:id="30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تعليمات دينى و آموزش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تعريف ارائه شده توسط كميته حقوق بشر، اين حق اعمالى را شامل مى شود كه ارتباط تنگاتنگ با رفتارهاى گروه هاى مذهبى دارند، همچون آزادى انتخاب</w:t>
      </w:r>
    </w:p>
    <w:p>
      <w:pPr>
        <w:pStyle w:val="BookText"/>
        <w:rPr/>
      </w:pPr>
      <w:r>
        <w:rPr>
          <w:rFonts w:ascii="Amiri" w:hAnsi="Amiri" w:eastAsia="Amiri" w:cs="Amiri"/>
          <w:color w:val="111111"/>
          <w:sz w:val="28"/>
          <w:sz w:val="28"/>
          <w:szCs w:val="28"/>
          <w:rtl w:val="true"/>
          <w:lang w:bidi="ar-SA"/>
        </w:rPr>
        <w:t xml:space="preserve">رهبران دينى، كشيش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معلمان، آزادى تأسيس مدارس دينى يا سمينارها و آزادى تدارك و توزيع متون دينى يا انتشار آنها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مفاد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كنوانسيون كه حق آزادى دين را به طور كلى برشمرده، درخصوص حق آموزش دينى، فراز دوم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پروتكل الحاقى به اين كنوانسيون، براى والدين حق آموزش و تعليم فرزندان خود را منطبق با اعتقادات دينى و فلسفى شان محترم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رويه ديوان اروپايى حقوق بشر درباره تبيين حدود اين فعاليت ها هميشه محافظه كارانه بوده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تبليغ دينى در پرونده كاكيناكيس عليه يونان حق اظهار دين را شامل متقاعدكردن يك نفر ديگر از طريق آموزش دادن دانست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ديوان اظهار مى دارد كه اشكال خاصى از تبليغ دينى مى تواند به عنوان تعليم تلقى شود، اما در كل حدود دقيقى براى آن مشخص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حق تعليم و آموزش دينى بى ترديد هم در نظام ملل متحد و هم در نظام اروپايى به رسميت شناخته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71 &amp; 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Teaching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General comment No. 22, 1993 para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Taylor,2005 P. 217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Kokkinakis v. Greece, 1993. para 31</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Taylor, 2005. P. 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مفهوم آموزش دينى ضمن برنامه هاى درسى مدارس دولتى يا صرفاً در مؤسسات و مدارس دينى، اختلاف نظر وجود دارد و قاضى والتيكوس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نظريه مخالف خود در پرونده كاكيناكيس عليه يونان آموزش و تعليم را شامل هر دو مورد مى دانست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مبتلابه در اين خصوص، تربيت دينى در هنگام حضانت فرزندان است كه هم نزد كميته حقوق بشر ملل متحد و هم ديوان اروپايى حقوق بشر به كرات مطرح شده است؛ مثلاً در پرونده پالائو مارتينز عليه فرانسه بود كه در آن به موجب دستور دادگاه، فرزندانى را كه از طريق مادر يا محيط ممكن بود به سمت كيش شاهدان يهوه كشيده شوند مجاز به اقامت با پدر كرده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فرزندان، جداكردن آنها را به اين دليل كه خوف گراييدن به آيين شاهدان يهوه مى رود در تناقض با حق آزادى دين مندرج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درنهايت ديوان اين موضوع را نقض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 و موضوع را مربوط به مواد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احترام به زندگى خصوصى و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موضوع اين مقاله نيست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اى مشابه در پرونده هافمن عليه استراليا نيز توسط ديوان اتخاذ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موارد، كه هر دو از نقض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پرونده اى را نمى توان يافت، و درنتيجه اين پرونده ها نمى توانند گوياى محدوديت هاى بالقوه بر آزادى آموزش دينى حتى در خانه باشند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Judge Valticos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Kokkinakis v. Greece,1993 p. 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Palau - Martinez v. France,2003 p 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 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Hoffmann v. Austria,1993, para 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پرونده نيز دادگاه از اعطاى حضانت اطفال به مادر به علت دين و اعتقادات او كه از شاهدان يهوه بود، امتناع ورزيد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Taylor, 2005, P. 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جديدترين پرونده اى كه در اين خصوص نزد ديوان مطرح شد و شايان توجه است، قضيه فاگرو و ديگران عليه نروژ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مى توان گفت در نروژ كه كشورى با اكثريت جمعيت مسيحى است، از سال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آموزش آيين مسيحيت نيز يكى از مواد برنامه هاى آموزشى مدارس اين كشور بوده است تا اينكه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اقليت غيرمسيحى از گذراندن اين دروس معاف شدند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پاييز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موضوع درسى با عنوان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وارد برنامه هاى آموزشى ابتدايى نمودند و جايگزين درس مسيحيت و فلسفه حيات شد، و 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اين درس به همه سطوح وارد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قانون، براى اقليت، شرط معافيت از آن دروس و جايگزينى دروس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پرونده مربوط به شكايت والدينى غيرمسيحى بود كه امتناع مقامات داخلى را از اعطاى معافيت كامل درخصوص عنوان درسى اجبارى </w:t>
      </w:r>
      <w:r>
        <w:rPr>
          <w:rFonts w:eastAsia="Times New Roman" w:cs="Times New Roman" w:ascii="Times New Roman" w:hAnsi="Times New Roman"/>
          <w:color w:val="111111"/>
          <w:sz w:val="28"/>
          <w:szCs w:val="28"/>
          <w:lang w:val="en-US" w:bidi="en-US"/>
        </w:rPr>
        <w:t>KRL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نقض حقوق خود به موجب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كنوانسيون و همچنين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پروتكل شماره يك، مى دانستند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پرونده نيز به تنهايى بر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نشد و ادعاى نقض آن را در پيوند با مواد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براى پاسخ دادن به ادعاهاى مذكور، نظر به شرايط دموكراتيك يك جامعه و نيز احترام و پذيرش نظر اكثريت قضات و لحاظ نظم عمومى، از شناسايى برخى حق هاى ادعايى خواهان ها حذر، و شيوه احتياط را دنبال كرد و ابتدا به بررسى برنامه آموزشى و عنوان درسى </w:t>
      </w:r>
      <w:r>
        <w:rPr>
          <w:rFonts w:eastAsia="Times New Roman" w:cs="Times New Roman" w:ascii="Times New Roman" w:hAnsi="Times New Roman"/>
          <w:color w:val="111111"/>
          <w:sz w:val="28"/>
          <w:szCs w:val="28"/>
          <w:lang w:val="en-US" w:bidi="en-US"/>
        </w:rPr>
        <w:t>KRL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پرداخت تا به اين پاسخ برسد كه آيا دولت در اين برنامه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Folgerg and others,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9 - 10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Christianity, religion and philosophy (kristendoms kunnskap med religionsog livssynsori entering)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مسيحيت، دين و فلسفه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 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18</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3</w:t>
      </w:r>
      <w:r>
        <w:rPr>
          <w:rFonts w:eastAsia="Times New Roman" w:cs="Times New Roman" w:ascii="Times New Roman" w:hAnsi="Times New Roman"/>
          <w:color w:val="111111"/>
          <w:sz w:val="28"/>
          <w:szCs w:val="28"/>
          <w:rtl w:val="true"/>
          <w:lang w:val="en-US" w:bidi="en-US"/>
        </w:rPr>
        <w:t>.</w:t>
      </w:r>
      <w:bookmarkStart w:id="303" w:name="pg8931_113815"/>
    </w:p>
    <w:p>
      <w:pPr>
        <w:pStyle w:val="BookText"/>
        <w:rPr/>
      </w:pPr>
      <w:bookmarkEnd w:id="303"/>
      <w:r>
        <w:rPr>
          <w:rFonts w:ascii="IRNazanin" w:hAnsi="IRNazanin" w:eastAsia="IRNazanin"/>
          <w:color w:val="111111"/>
          <w:sz w:val="28"/>
          <w:sz w:val="28"/>
          <w:szCs w:val="28"/>
          <w:rtl w:val="true"/>
          <w:lang w:bidi="fa-IR"/>
        </w:rPr>
        <w:t xml:space="preserve">شيوه هاى بى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و بدون اعمال نظر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انتقادى و كثرت گرايانه را در پيش گرفته است، يا رويكردى تلقينى داشته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آيا آموزش به گونه اى بوده است كه متناقض با اعتقادات والدين آن بچه ها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درنهايت ديوان به پرسش اخير پاسخ منفى مى دهد و عدم اعطاى معافيت از گذراندن دروس </w:t>
      </w:r>
      <w:r>
        <w:rPr>
          <w:rFonts w:eastAsia="Times New Roman" w:cs="Times New Roman" w:ascii="Times New Roman" w:hAnsi="Times New Roman"/>
          <w:color w:val="111111"/>
          <w:sz w:val="28"/>
          <w:szCs w:val="28"/>
          <w:lang w:val="en-US" w:bidi="en-US"/>
        </w:rPr>
        <w:t>KRL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جانب مقامات آموزشى دولتى، نقض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پروتكل اول مى داند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درخصوص مواد چهارده و نه لزومى نمى بيند كه به طور جداگانه به آنها بپردازد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04" w:name="__RefHeading___Toc1314122_2870459653"/>
      <w:bookmarkStart w:id="305" w:name="_Toc108"/>
      <w:bookmarkEnd w:id="304"/>
      <w:r>
        <w:rPr/>
        <w:t>10</w:t>
      </w:r>
      <w:r>
        <w:rPr>
          <w:rtl w:val="true"/>
        </w:rPr>
        <w:t xml:space="preserve">. </w:t>
      </w:r>
      <w:r>
        <w:rPr>
          <w:rtl w:val="true"/>
        </w:rPr>
        <w:t>كميسيون آفريقايى حقوق بشر و آزادى مذهبى</w:t>
      </w:r>
      <w:bookmarkEnd w:id="305"/>
    </w:p>
    <w:p>
      <w:pPr>
        <w:pStyle w:val="Heading4"/>
        <w:numPr>
          <w:ilvl w:val="3"/>
          <w:numId w:val="1"/>
        </w:numPr>
        <w:rPr/>
      </w:pPr>
      <w:bookmarkStart w:id="306" w:name="__RefHeading___Toc1314124_2870459653"/>
      <w:bookmarkStart w:id="307" w:name="_Toc109"/>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كميسيون آفريقايى حقوق بشر و مردم كه براساس بخش دوم منشور بانجول،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تضمين اجراى مقررات آن منشور تشكيل شده است، در طى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توانسته است به پرونده هايى بالغ بر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رسيدگى كند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مقوله آزادى دين، و حق افراد در اين خصوص 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يا منشور به اين ترتيب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آزادى وجدان، حرفه و اعمال آزادانه دين تضمين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موضوع قانون يا دستورى مبنى بر اقدامات محدودكننده اعمال اين آزادى 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منشور به اين حد از بيان آزادى دين بسنده نموده، و همچون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 اروپايى حقوق بشر به شرح اين حق همت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ماده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 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African Sharter on Human and Peoples Rights (Banlul Charter), (Adopted 27 June 1981, OAU Doc. CAB/LEG/69/3 rev. 5,21I.L.M 58 (1982), entered into force 21 October 1986)</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see: http://www.achpr.org/about</w:t>
      </w:r>
      <w:r>
        <w:rPr>
          <w:rFonts w:eastAsia="Times New Roman" w:cs="Times New Roman" w:ascii="Times New Roman" w:hAnsi="Times New Roman"/>
          <w:color w:val="111111"/>
          <w:sz w:val="28"/>
          <w:szCs w:val="28"/>
          <w:rtl w:val="true"/>
          <w:lang w:val="en-US" w:bidi="en-US"/>
        </w:rPr>
        <w:t>/</w:t>
      </w:r>
      <w:bookmarkStart w:id="308" w:name="pg8931_113816"/>
    </w:p>
    <w:p>
      <w:pPr>
        <w:pStyle w:val="BookText"/>
        <w:rPr/>
      </w:pPr>
      <w:bookmarkEnd w:id="308"/>
      <w:r>
        <w:rPr>
          <w:rFonts w:ascii="IRNazanin" w:hAnsi="IRNazanin" w:eastAsia="IRNazanin"/>
          <w:color w:val="111111"/>
          <w:sz w:val="28"/>
          <w:sz w:val="28"/>
          <w:szCs w:val="28"/>
          <w:rtl w:val="true"/>
          <w:lang w:bidi="fa-IR"/>
        </w:rPr>
        <w:t>كنوانسيون اخيرالذكر در دو بند ابتدا حق آزادى دين و عقيده را به رسميت شناخته، و سپس استثنائات ممكن بر آن را بيان داشته، و نيز به حق هاى برآمده از آن، يعنى حق اظهار دين و عقيده نيز پرداخته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فراخور اين توجه به ظاهر اندك منشور، به حق، آزادى دين و اظهار آن، پرونده هايى كه به استناد نقض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كميسيون مطرح شده است، نيز به نسبت ديوان و كميسيون اروپايى حقوق بشر اندك و ادعاى نقض اين ماده چندان زياد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تمام پرونده هايى كه در دو دهه اخير به ادعاى نقض ماده نه منشور بانجول نزد كميسيون آفريقايى حقوق بشر مطرح شده است، بيانگر رويكرد كم وبيش مشابه اين دو ديوان درمورد حق مذهبى است؛ هرچند تفاوت هايى نيز وجود دارد كه مهم ترين آنها را در معناى دين و نحوه شناسايى آن مى توان ملاحظه كرد</w:t>
      </w:r>
      <w:r>
        <w:rPr>
          <w:rFonts w:eastAsia="IRNazanin" w:cs="IRNazanin"/>
          <w:color w:val="111111"/>
          <w:sz w:val="28"/>
          <w:szCs w:val="28"/>
          <w:rtl w:val="true"/>
          <w:lang w:bidi="fa-IR"/>
        </w:rPr>
        <w:t>.</w:t>
      </w:r>
    </w:p>
    <w:p>
      <w:pPr>
        <w:pStyle w:val="Heading4"/>
        <w:numPr>
          <w:ilvl w:val="3"/>
          <w:numId w:val="1"/>
        </w:numPr>
        <w:rPr/>
      </w:pPr>
      <w:bookmarkStart w:id="309" w:name="__RefHeading___Toc1314126_2870459653"/>
      <w:bookmarkStart w:id="310" w:name="_Toc110"/>
      <w:bookmarkEnd w:id="309"/>
      <w:r>
        <w:rPr>
          <w:rtl w:val="true"/>
        </w:rPr>
        <w:t>الف</w:t>
      </w:r>
      <w:r>
        <w:rPr>
          <w:rtl w:val="true"/>
        </w:rPr>
        <w:t xml:space="preserve">) </w:t>
      </w:r>
      <w:r>
        <w:rPr>
          <w:rtl w:val="true"/>
        </w:rPr>
        <w:t>نگاهى به آراء</w:t>
      </w:r>
      <w:bookmarkEnd w:id="310"/>
    </w:p>
    <w:p>
      <w:pPr>
        <w:pStyle w:val="BookText"/>
        <w:rPr/>
      </w:pPr>
      <w:r>
        <w:rPr>
          <w:rFonts w:ascii="IRNazanin" w:hAnsi="IRNazanin" w:eastAsia="IRNazanin"/>
          <w:color w:val="111111"/>
          <w:sz w:val="28"/>
          <w:sz w:val="28"/>
          <w:szCs w:val="28"/>
          <w:rtl w:val="true"/>
          <w:lang w:bidi="fa-IR"/>
        </w:rPr>
        <w:t xml:space="preserve">در پرونده اى كه به ادعاى نقض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سودان مطرح شده بود، كميسيون اظهار داشت كه اين ماده را بايد تحت ماده دو مبنى بر برخوردارى مساوى همه افراد از حقوق اين منشور، تفسير و اعمال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طبق نظر كميسيون، از آنجايى كه حمايت هاى كافى از آزادى دينى درخصوص مسلمانان در سودان وجود دارد، كميسيون نمى تواند با اعمال اين قانون، موجب تبعيض ناروا عليه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كميسيون، نمى توان مقررات شريعت را بر غيرمسلمانان جارى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هاى سودان بايد به اين موضوع توجه كنند و به تعهدات بين المللى خود مبنى بر دادرسى منصفانه پايبند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Convention for the Protection of Human Rights and Fundamental Freedoms, Rome, 4.XI.1950, article.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Amnesty International, Comit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Loosli Bachelard, Lawyers Committee for Human Rights, Association of Members of the Episcopal Conference of East Africa V. Sudan, no. 48/90-50/91-89/93, p72</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para.73-74</w:t>
      </w:r>
      <w:bookmarkStart w:id="311" w:name="pg8931_113817"/>
    </w:p>
    <w:p>
      <w:pPr>
        <w:pStyle w:val="BookText"/>
        <w:rPr/>
      </w:pPr>
      <w:bookmarkEnd w:id="311"/>
      <w:r>
        <w:rPr>
          <w:rFonts w:ascii="Amiri" w:hAnsi="Amiri" w:eastAsia="Amiri" w:cs="Amiri"/>
          <w:color w:val="111111"/>
          <w:sz w:val="28"/>
          <w:sz w:val="28"/>
          <w:szCs w:val="28"/>
          <w:rtl w:val="true"/>
          <w:lang w:bidi="ar-SA"/>
        </w:rPr>
        <w:t>و مقررات شريعت را درخصوص غير مسلمانان اعمال نكنند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 شده بود كه غيرمسلمانان نمى توانند به عبادت بپردازند و حتى براى به اسلام گرويدن تحت فشار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ادعا شده است كه غيرمسلمانان از نظر كارى و آزادى بيان در مطبوعات و حتى دسترسى به منابع غذايى دچار تبعيض و فشارهاى ناروا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با بررسى همه اين موارد، درنهايت به اين نتيجه مى رسد كه از آنجايى كه اين دولت نتوانسته است، دلايلى محكمه پسند و كافى بر رد ادعاهاى مزبور ارائه كند، نقض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محرز، و ثابت تشخيص مى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دعوايى ديگر نيز كه عليه مصر اقامه شد، ادعا شده بود كه حقوق خواهان به موجب اين منشور به خاطر اعتقادات دينى او به صورتى تبعيض آميز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اظهار شد كه به وى اجازه ابراز آزادانه افكار مذهبى اش را نداده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متفاوتى كه در اين پرونده مطرح شده است، توجيه رأى دادگاه براساس اضطرار مى باشد، اما كميسيون در اينجا و در برخى فرصت هاى ديگر، همواره اشاره داشته است كه منشور به دولت ها اجازه نمى دهد كه از تعهدات خود به بهانه اوضاع اضطرارى عدول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به اين اصل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محدودنمودن حقوق بشر، راه حل مشكلات ملى نيست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312" w:name="__RefHeading___Toc1314128_2870459653"/>
      <w:bookmarkStart w:id="313" w:name="_Toc111"/>
      <w:bookmarkEnd w:id="312"/>
      <w:r>
        <w:rPr>
          <w:rtl w:val="true"/>
        </w:rPr>
        <w:t>ب</w:t>
      </w:r>
      <w:r>
        <w:rPr>
          <w:rtl w:val="true"/>
        </w:rPr>
        <w:t xml:space="preserve">) </w:t>
      </w:r>
      <w:r>
        <w:rPr>
          <w:rtl w:val="true"/>
        </w:rPr>
        <w:t>مقايسه و نتيجه گيرى</w:t>
      </w:r>
      <w:bookmarkEnd w:id="313"/>
    </w:p>
    <w:p>
      <w:pPr>
        <w:pStyle w:val="BookText"/>
        <w:rPr/>
      </w:pPr>
      <w:r>
        <w:rPr>
          <w:rFonts w:ascii="IRNazanin" w:hAnsi="IRNazanin" w:eastAsia="IRNazanin"/>
          <w:color w:val="111111"/>
          <w:sz w:val="28"/>
          <w:sz w:val="28"/>
          <w:szCs w:val="28"/>
          <w:rtl w:val="true"/>
          <w:lang w:bidi="fa-IR"/>
        </w:rPr>
        <w:t>با بررسى آراى كميسيون آفريقايى حقوق بشر و نگاهى مقايسه اى ميان اين آرا با يكديگر و نيز با آراى ساير همتايان بين المللى اين كميسيون، نظير ديوان و كميسيون اروپايى حقوق بشر، به نتايجى جالب و قابل توجهى نائل مى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Ibid. para.74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Ibib, para.76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INTERIGHTS and the Egyptian Initiative for Personal Rights V. Egypt, no. 312/05, p3</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Ibid. para.3</w:t>
      </w:r>
    </w:p>
    <w:p>
      <w:pPr>
        <w:pStyle w:val="BookText"/>
        <w:rPr/>
      </w:pPr>
      <w:r>
        <w:rPr>
          <w:rFonts w:ascii="IRNazanin" w:hAnsi="IRNazanin" w:eastAsia="IRNazanin"/>
          <w:color w:val="111111"/>
          <w:sz w:val="28"/>
          <w:sz w:val="28"/>
          <w:szCs w:val="28"/>
          <w:rtl w:val="true"/>
          <w:lang w:bidi="fa-IR"/>
        </w:rPr>
        <w:t>نخست، كميسيون در برخورد با مسائل مربوط به آزادى دين بيش از آنچه انتظار مى رود، در بررسى هاى خود وسواس به خرج مى دهد و جانب حق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ديدگاه از گوناگونى قومى و مذهبى قاره آفريقا ناشى شده باشد كه نتيجه آن را در نحوه تدوين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بانجول نيز مى بينيم كه برخلاف ساير كنوانسيون هاى مشابه، هيچ استثنايى را براى عدول از قواعد آن، حداقل اگر منع نكرده، بدان تصريح نيز نكرده است تا دست دولت ها را در اين بين باز نگذارده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سختگيرى هاى كميسيون نيز پيرو بيان قاطع و محكم منشور شكل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رويكرد از آن جهت قابل توجه است كه كميسيون در حمايت از حق آزادى دين، همچون ديوان اروپايى حقوق بشر به ترديد و ضعف دچار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طوركه يكى از قضات ديوان اروپايى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درواقع، ديوان نتوانسته است در مواجهه با قضايايى كه به تعارض ميان جوامع دينى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محدوديت هاى قضايى مشابهى را مقرر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رويكرد كميسيون در شناسايى اديان غيرابراهيمى با احتياط بيشترى بوده است؛ زيرا نگرانى ناشى از نوع مناسك اين اديان آثار مطلوبى ندارد؛</w:t>
      </w:r>
    </w:p>
    <w:p>
      <w:pPr>
        <w:pStyle w:val="BookText"/>
        <w:rPr/>
      </w:pPr>
      <w:r>
        <w:rPr>
          <w:rFonts w:ascii="IRNazanin" w:hAnsi="IRNazanin" w:eastAsia="IRNazanin"/>
          <w:color w:val="111111"/>
          <w:sz w:val="28"/>
          <w:sz w:val="28"/>
          <w:szCs w:val="28"/>
          <w:rtl w:val="true"/>
          <w:lang w:bidi="fa-IR"/>
        </w:rPr>
        <w:t>سوم، برخلاف كميسيون رويه دادگاه اروپايى در شناسايى انجام مناسك تا آنجا مى باشد كه اصول نظام جامعه دموكراتيك خدشه 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ناشى از جايگاه حاكميتى در حقوق بين 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اين نگاه را در نوع آراى صادره از سوى اين دادگاه مى توان ملاحظه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Leyla ahin v. Turkey, Dissenting opinion of judge Tulkens, para 2</w:t>
      </w: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see. Serif v. Greece, no. 38178/97, ECHR 1999-IX, and Metropplitan Church of Bessarabia and Others v. Moldova, no. 45701/00, ECHR 2001-XII</w:t>
      </w:r>
      <w:bookmarkStart w:id="314" w:name="pg8931_113820"/>
    </w:p>
    <w:p>
      <w:pPr>
        <w:pStyle w:val="Heading2"/>
        <w:numPr>
          <w:ilvl w:val="1"/>
          <w:numId w:val="1"/>
        </w:numPr>
        <w:rPr/>
      </w:pPr>
      <w:bookmarkStart w:id="315" w:name="__RefHeading___Toc1314130_2870459653"/>
      <w:bookmarkStart w:id="316" w:name="_Toc112"/>
      <w:bookmarkEnd w:id="314"/>
      <w:bookmarkEnd w:id="315"/>
      <w:r>
        <w:rPr>
          <w:rtl w:val="true"/>
        </w:rPr>
        <w:t>جمع بندى</w:t>
      </w:r>
      <w:bookmarkEnd w:id="316"/>
    </w:p>
    <w:p>
      <w:pPr>
        <w:pStyle w:val="BookText"/>
        <w:rPr/>
      </w:pPr>
      <w:r>
        <w:rPr>
          <w:rFonts w:ascii="IRNazanin" w:hAnsi="IRNazanin" w:eastAsia="IRNazanin"/>
          <w:color w:val="111111"/>
          <w:sz w:val="28"/>
          <w:sz w:val="28"/>
          <w:szCs w:val="28"/>
          <w:rtl w:val="true"/>
          <w:lang w:bidi="fa-IR"/>
        </w:rPr>
        <w:t>آزادى دين و عقيده، به عنوان يكى از حقوق بنيادين بشرى در مهم ترين اسناد بين المللى و نيز قوانين داخلى، در محدوده اى خاص تر مورد حمايت كنوانسيون اروپايى حقوق بشر، و همچنين ديوان اروپايى حقوق بشر و منشور ديوان آفريقايى حقوق بشر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 كلى آزادى دين به دو جزء اصلى، يعنى حق داشتن و پذيرش دين و حق اظهار دين منقسم مى شود، رويكرد ديوان يكسان شكل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داشتن، تغيير يا پذيرش دين از حقوق غيرقابل عدول بشرى تعريف شده است و جزء دوم آن، يعنى حق اظهار دين، قابل تجديد و عدول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برخورد ديوان نيز با اين دو مقوله دوگانه بوده، و همواره با اين پيش زمينه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عدول يا تغيير دين در دو ديوان به يك صورت نبوده است، و دادگاه اروپايى حقوق بشر گسترده تر به اين مسئله پرداخته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بررسى پرونده هاى مطروحه نزد ديوان و مشاهده رويه آن به اين نتيجه مى توان رسيد كه در مواردى كه سخن از نقض حق و آزادى داشتن، پذيرش و يا تغيير دين بوده است، ديوان اروپايى حقوق بشر، مستحكم، در مقابل خواست دولت ها ايستاده و حق ادعايى افراد را مورد حمايت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ادعاى نقض بخش دوم، يعنى حق اظهار دين، ديوان به اين صورت عمل نكرده؛ بلكه تلاش كرده</w:t>
      </w:r>
    </w:p>
    <w:p>
      <w:pPr>
        <w:pStyle w:val="BookText"/>
        <w:rPr/>
      </w:pPr>
      <w:r>
        <w:rPr>
          <w:rFonts w:ascii="IRNazanin" w:hAnsi="IRNazanin" w:eastAsia="IRNazanin"/>
          <w:color w:val="111111"/>
          <w:sz w:val="28"/>
          <w:sz w:val="28"/>
          <w:szCs w:val="28"/>
          <w:rtl w:val="true"/>
          <w:lang w:bidi="fa-IR"/>
        </w:rPr>
        <w:t>است كه اين گونه رأى صادر نكند و همواره به مؤلفه ها، عوامل، ضوابط و شرايط متعددى با لحاظ عنصر حاكميت در حكم خود توجه كند، كه به نتايج بسيار مختلف و گاه جالب نيز رسيده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 در برخى موارد حق اظهار دين افراد را با پشتوانه اى كه بند دوم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 براى او مهيا ساخته است، مقهور الزامات اجتماعى، سياسى يا نظم عمومى نموده و به محدودنمودن آنها اعتقاد داشته است و مواردى نيز اين حق را به رغم ادعاهاى مختلف دولت ها مبنى بر لزوم مقيدنمودن آن، مورد حمايت قرار داده و به رسميت شناخته است</w:t>
      </w:r>
      <w:r>
        <w:rPr>
          <w:rFonts w:eastAsia="IRNazanin" w:cs="IRNazanin"/>
          <w:color w:val="111111"/>
          <w:sz w:val="28"/>
          <w:szCs w:val="28"/>
          <w:rtl w:val="true"/>
          <w:lang w:bidi="fa-IR"/>
        </w:rPr>
        <w:t>.</w:t>
      </w:r>
      <w:bookmarkStart w:id="317" w:name="pg8931_113822"/>
    </w:p>
    <w:p>
      <w:pPr>
        <w:pStyle w:val="Heading2"/>
        <w:numPr>
          <w:ilvl w:val="1"/>
          <w:numId w:val="1"/>
        </w:numPr>
        <w:rPr/>
      </w:pPr>
      <w:bookmarkStart w:id="318" w:name="__RefHeading___Toc1314132_2870459653"/>
      <w:bookmarkStart w:id="319" w:name="_Toc113"/>
      <w:bookmarkEnd w:id="317"/>
      <w:bookmarkEnd w:id="318"/>
      <w:r>
        <w:rPr>
          <w:rtl w:val="true"/>
        </w:rPr>
        <w:t>نتيجه گيرى</w:t>
      </w:r>
      <w:bookmarkEnd w:id="319"/>
    </w:p>
    <w:p>
      <w:pPr>
        <w:pStyle w:val="Heading3"/>
        <w:numPr>
          <w:ilvl w:val="2"/>
          <w:numId w:val="1"/>
        </w:numPr>
        <w:rPr/>
      </w:pPr>
      <w:bookmarkStart w:id="320" w:name="__RefHeading___Toc1314134_2870459653"/>
      <w:bookmarkStart w:id="321" w:name="_Toc114"/>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حمايت از حجاج بيت الله الحرام در كشور خويش و در كشور ميزبان را به عنوان يك وظيفه شرعى مورد پذيرش همگان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از آنجا كه مصداق ضيوف الرحمن يا وفدالله است، جايگاه خاصى دارد كه درنتيجه علاوه بر بهره مندى از فيوضات معنوى و كسب رضايت خداوند، از حمايت هاى دولت هاى خويش و ميزبان نيز برخوردار، و داراى حمايت ويژه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حمايت در قالب گفتمانى تحت عنوان حقوق بشر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در معناى حمايت از انسان ها به دليل برخوردارى از كرامت ذاتى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هاى دينى اين حمايت به منظور ايجاد فرصت در رشد و تعالى معنوى انسان تلقى شده است؛ هرچند كرامت ذاتى او نيز مورد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گفتنى است كه رويكرد حقوق بشر، رويكرد حمايتى است؛ درحالى كه رويكرد آموزه هاى اسلامى، هدايتى و حمايتى است و حمايت انجام شده از مؤمنان نيز به منظور تحقق هدف خلقت در راستاى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اين تحقيق بر آن بود كه هم با رويكرد حمايتى و هم رويكرد هدايتى، سازوكارهاى حمايتى از حجاج، به ويژه حجاج ايرانى، در سرزمين وحى روشن شود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به دست مى آيد كه آموزه هاى اسلامى در چند بعد ابزار حمايتى را مدنظر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جهت، انتخاب اسامى خاص با رويكرد حمايتى براى</w:t>
      </w:r>
    </w:p>
    <w:p>
      <w:pPr>
        <w:pStyle w:val="BookText"/>
        <w:rPr/>
      </w:pPr>
      <w:r>
        <w:rPr>
          <w:rFonts w:ascii="IRNazanin" w:hAnsi="IRNazanin" w:eastAsia="IRNazanin"/>
          <w:color w:val="111111"/>
          <w:sz w:val="28"/>
          <w:sz w:val="28"/>
          <w:szCs w:val="28"/>
          <w:rtl w:val="true"/>
          <w:lang w:bidi="fa-IR"/>
        </w:rPr>
        <w:t>سرزمين وحى كه حاكى از قرنطينه سازى محيط بيت الله براى حجاج است، و از طرف ديگر وضع احكام خاص مربوط به بيت الله، شامل ممنوعيت حمل سلاح، مگر براى دفاع يا شمشير مسافر به گونه اى كه محيط امن الهى، ناامن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شناسايى حقوق حج گزاران كه درواقع اين شناسايى مهم ترين قدم در حمايت از حجاج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چهارم تبيين سازوكارهايى كه از طريق آن بتوان از حجاج حمايت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سازوكارها بر عهده خود حجاج است كه از يكديگر حمايت كنند، و برخى بر عهده حاكم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شارع مقدس از همه ظرفيت هاى موجود براى حمايت از حجاج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رويكرد فقهى به مسئله، و حمايت از حجاج در قالب ادبيات حقوق بشرى، تلاش شد كه از آموزه هاى نظام بين المللى حقوق بشرى نيز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تلاش شد كه با تأكيد بر رويه قضايى دادگاه اروپايى و آفريقايى حقوق بشر، مسئله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رهگذر حاصل شد، آن است كه در آموزه هاى حقوق بشرى سعى شده است ابتدا، مجموعه اى از اسناد بين المللى تصويب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اين اسناد به منزله شناسايى حقوق بنيادين بشر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مجموعه ابزارهاى حمايتى در راستاى اجرايى شدن اين حقوق بنيان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ابزارها شامل، وضع قوانين داخلى، ايجاد ساختارهاى اجرايى، قضايى و نظارتى، تعقيب و مجازات براى ناقضان، راه اندازى كميته هاى ناظر، ايجاد گزارشگران ويژه و درنهايت استفاده از سازمان هاى مردم نهاد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نظام بين المللى حقوق بشر، حق را در معناى حق داشتن خلاصه، و فقط به اين مقدار بسنده كرده است كه حقوق افراد را براساس كرامت ذاتى آنها شناسايى كند و به دنبال درست بودن يا نبودن آنها نباشد، ولى آموزه هاى اسلامى از آنجا كه داعيه هدايت دارد، تنها به دنبال مسئله حق داشتن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 در معناى حق بودن را نيز مدنظر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هر حقى معتقد نيست و حقوق موجود را نيز به هر صورتى قابل اعمال و اجرا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رويكرد، به معناى ايجاد محدوديت در حقوق</w:t>
      </w:r>
    </w:p>
    <w:p>
      <w:pPr>
        <w:pStyle w:val="BookText"/>
        <w:rPr/>
      </w:pPr>
      <w:r>
        <w:rPr>
          <w:rFonts w:ascii="IRNazanin" w:hAnsi="IRNazanin" w:eastAsia="IRNazanin"/>
          <w:color w:val="111111"/>
          <w:sz w:val="28"/>
          <w:sz w:val="28"/>
          <w:szCs w:val="28"/>
          <w:rtl w:val="true"/>
          <w:lang w:bidi="fa-IR"/>
        </w:rPr>
        <w:t>حجاج نيست؛ بلكه به معناى حمايت از حجاج در مسير هدايت و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حمايت و هدايت هر دو موضوعيت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در دو رويكرد حقوق بشرى و حقوق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نويسنده تلاش كرد تا حد امكان و تا آنجا كه اصول اسلامى خدشه دار نشوند از هر دو رويكرد، سازوكارهايى را براى حمايت از حجاج شناسايى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همچنان كه يك بار ديگر در قطعنامه مراسم برائت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ذيل بند هفتم آمده است، تدوين منشور حقوق بشر از ديدگاه اسلام با توجه به اعلاميه جهانى حقوق بشر اسلامى قاهره، و در رويكرد عملياتى، اجرايى، مدنظر سازمان همكارى كشورهاى اسلامى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 حاكى از آن است كه اين سازمان در مسئله مكه و مدينه رويكرد فراحاكميتى را دنبال نكرده است و گويا همچنان اين دو منطقه امن الهى را تحت سيطره واقعى و همه جانبه دولت عربستان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اين صورت نمى توان اجراى حقوق بشر اسلامى را انتظار داشت؛ زيرا امروزه بيشترين نقض حقوق بشر حجاج توسط مأموران و كارگزاران دولت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دولت به گونه اى موضوع را به حالت فرافكنى درآورده است و اقدامات صورت گرفته در محيط امن الهى را با عناوينى از قبيل، استناد دادن اين اعمال به نيروهاى بنيادگراى غيردولتى، توجيه كرده است؛ ولى اين توجيه سالب مسئوليت حاكميتى دولت عربستان نسبت به اين گروه ها نيست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مهم اين اقدامات بين المللى نه فقط حمايت از حجاج در سرزمين وحى، بلكه حمايت اين كنگره عظيم الهى از همه مسلمانان در اقصى نقاط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موضوع ضرورى است كه همه مسلمانان مظلوم عالم، به ويژه ملت فلسطين و ميانمار، از اين كنگره بزرگ، توقع حمايت داشته باشند؛ زيرا اين اجتماع پرشكوه ظرفيت حمايت همه جانبه، اعم از مالى، اقتصادى، جانى، امنيتى و سياسى، نسبت به همه مسلمانان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مفهوم حج براى حقوق بشر و حقوق بشر براى حج، بايد خود را در اين فضا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حج از حقوق انسان هاى مظلوم و مسلمان سراسر جهان و</w:t>
      </w:r>
      <w:bookmarkStart w:id="322" w:name="pg8931_113825"/>
    </w:p>
    <w:p>
      <w:pPr>
        <w:pStyle w:val="BookText"/>
        <w:rPr/>
      </w:pPr>
      <w:bookmarkEnd w:id="322"/>
      <w:r>
        <w:rPr>
          <w:rFonts w:ascii="IRNazanin" w:hAnsi="IRNazanin" w:eastAsia="IRNazanin"/>
          <w:color w:val="111111"/>
          <w:sz w:val="28"/>
          <w:sz w:val="28"/>
          <w:szCs w:val="28"/>
          <w:rtl w:val="true"/>
          <w:lang w:bidi="fa-IR"/>
        </w:rPr>
        <w:t>حمايت از همه انسان ها به طور عام و از حجاج به طور ويژه، انتظارى است كه از اين گردهمائى بزرگ انسانى مؤمنانه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اقدام كشورهاى اسلامى افزون بر آنكه يك اصل خودكنترلى را شكل مى دهد، و دولت هاى اسلامى را وادار به انجام تعهدات حقوق بشرى مى كند، زمينه ايراد و اعتراضات مختلف را نيز در اين زمينه از بين خواهد برد و در غير اين صورت و رعايت نكردن اصول مذكور، عملاً ضمانت اجراى اعمال مطالبات حقوق بشرى، با مشكل مواجه مى شود و در عوض مى توان گفت كه مسير حقوق بشر راهى است كه فرصت هاى آتى بهترى را براى حمايت از حجاج فراهم خواهد آورد و تجربه نشان داده است كه چنين مسيرى عملى است</w:t>
      </w:r>
      <w:r>
        <w:rPr>
          <w:rFonts w:eastAsia="IRNazanin" w:cs="IRNazanin"/>
          <w:color w:val="111111"/>
          <w:sz w:val="28"/>
          <w:szCs w:val="28"/>
          <w:rtl w:val="true"/>
          <w:lang w:bidi="fa-IR"/>
        </w:rPr>
        <w:t>.</w:t>
      </w:r>
    </w:p>
    <w:p>
      <w:pPr>
        <w:pStyle w:val="Heading3"/>
        <w:numPr>
          <w:ilvl w:val="2"/>
          <w:numId w:val="1"/>
        </w:numPr>
        <w:rPr/>
      </w:pPr>
      <w:bookmarkStart w:id="323" w:name="__RefHeading___Toc1314136_2870459653"/>
      <w:bookmarkStart w:id="324" w:name="_Toc115"/>
      <w:bookmarkEnd w:id="323"/>
      <w:r>
        <w:rPr>
          <w:rtl w:val="true"/>
        </w:rPr>
        <w:t>پيشنهادها</w:t>
      </w:r>
      <w:r>
        <w:rPr>
          <w:rtl w:val="true"/>
        </w:rPr>
        <w:t>:</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برخوردارشدن از گزارشگران ويژه در مسئله حج و ارزيابى رفتار دولت عربستان در اين رابطه؛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دادگاه حقوق بشر اسلامى در راستاى تضمين حمايت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گزارش ساليانه در كنگره عظيم حج به حجاج توسط دولت عربستان و وجود ابزارهاى اطمينان بخش براى سنجش گزارش هاى مذكور؛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 مندى از نهادهاى نظارتى بر عملكرد دولت با تصويب سازمان همكارى كشورهاى اسلامى؛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شناسايى حرمين شريفين به عنوان منطقه آزاد اسلامى شبيه آنچه در حقوق درياها و در حوزه درياهاى آزاد وجود دارد</w:t>
      </w:r>
      <w:r>
        <w:rPr>
          <w:rFonts w:eastAsia="IRNazanin" w:cs="IRNazanin"/>
          <w:color w:val="111111"/>
          <w:sz w:val="28"/>
          <w:szCs w:val="28"/>
          <w:rtl w:val="true"/>
          <w:lang w:bidi="fa-IR"/>
        </w:rPr>
        <w:t>.</w:t>
      </w:r>
      <w:bookmarkStart w:id="325" w:name="pg8931_113826"/>
    </w:p>
    <w:p>
      <w:pPr>
        <w:pStyle w:val="Heading2"/>
        <w:numPr>
          <w:ilvl w:val="1"/>
          <w:numId w:val="1"/>
        </w:numPr>
        <w:rPr/>
      </w:pPr>
      <w:bookmarkStart w:id="326" w:name="__RefHeading___Toc1314138_2870459653"/>
      <w:bookmarkStart w:id="327" w:name="_Toc116"/>
      <w:bookmarkEnd w:id="325"/>
      <w:bookmarkEnd w:id="326"/>
      <w:r>
        <w:rPr>
          <w:rtl w:val="true"/>
        </w:rPr>
        <w:t>فهرست منابع</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اسلامى مكه و مدينه، رسول جعفريان، تهران، نشرمشعر،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آزادى دينى از منظر حقوق بين الملل، سعيد رهايى، قم، دانشگاه مفيد،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آزموده ها، معاونت امور روحانيون، تهران، نشرمشعر،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آزموده ها، معاونت امور روحانيون، قم، نشر 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آيين زندگى، احمدحسين شريفى، قم، دفتر نشر،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آيين وهابيت، جعفر سبحانى، تهران، نشرمشعر،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آئينه رمضان، محمدحسين فلاح زاده، تهران، نشر مشعر،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ابعاد سياسى و اجتماعى حج، محمدتقى رهبر، تهران، نشر مشعر،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احمد بن على طبرسى،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الاحكام السلطانيه، ماوردى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اداره، حسين مظاهرى، چاپ دوازدهم، قم، بوستان كتاب،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ادب و آداب زائر، حسين انصاريان، تهران، نشرمشعر،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عرفانى عمره، محمدتقى فعالى، تهران، مشعر،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حقوق بين الملل خصوصى، مصطفى دانش پژوه، تهران، وزارت امور خارجه،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افشاى يك توطئه، حميدرضا آژير، على آل محسن، تهران، نشر مشعر،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ابوجعفر، محمد بن يعقوب كلينى، قم، دارالحديث للطباعة و النشر،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فى فقه الاماميه، محمدبن حسن طوسى، تهران، چاپ سوم، المكتبة المرتضوية،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محمدحسين طباطبايى، قم، جامعه مدرسين،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 فى تفسير الكتاب العزيز، دخيل على بن محمد على، بيروت، دارالتعارف للمطبوعات،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تفسير التبيان، ابن ادريس حلى ابو عبدالله محمد بن احمد، قم، كتابخانه آيت الله مرعشى نجفى،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كاروان ابراهيم در سال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رسول جعفريان، محمدعلى خسروى، نشرمشعر،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كاروان صفا در سال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رسول جعفريان، تهران، نشر مشعر،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محمدباقر مجلسى،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فتواى تكفير در نگاه مذاهب اسلامى، حسين رجبى، تهران، نشر مشعر،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پرسمان ولايى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دبيرخانه مجلس خبرگان رهبرى،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گفتار در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سينا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آل نجد،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درآمدى بر فرهنگ نامه اسرار و معارف حج، معاونت امور روحانيون، چاپ سوم، قم، دارالحديث،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الدعائم، ابن حيون، نعمان بن محمد، چاپ دوم، قاهره، دارالمعارف،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الوسيط، وهبة بن مصطفى زحيلى، دمشق، دارالفكر،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البيان، حقى بروسوى اسماعيل، بيروت، دارالفكر،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مقاتل بن سليمان، مقاتل بن سليمان بلخى، بيروت، دارالاحياء التراث،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جرعه اى از صهباى حج، عبدالله جوادى آملى، چاپ هشتم، قم، نشر مشعر،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فى شرح شرايع الاسلام، محمدحسن بن باقر النجفى، تهران، دارالكتب الاسلاميه،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اندازى به توسعه ميثاق بين المللى حقوق اقتصادى، اجتماعى و فرهنگى، متيوسى آركريون،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حبيبى، قم، دانشگاه مفيد،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حسن مهدويان، تهران، نشر مشعر،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برنامه تكامل، سيد محمد ضياء آبادى، قم، نشر مشعر،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در انديشه اسلامى، سيدعلى قاضى عسكر، چاپ دهم، قم، نشر مشعر،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رموز و حكم، عبدالله جوادى آملى،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حب اعلا، قم، نشر 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عارفان، رحيم كارگر، تهران، نشرمشعر،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 فى الكتاب و السنه، محمدصادق آل اسحاق، قم، دار مشعر،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محمدحسين رجبى، تهران، نشرمشعر،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حرمة تكفير المسلمين، معهد الحج و الزياره، قم، دار مشعر،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شرط در اسناد حقوق بشرى از ديدگاه حقوق بين الملل عمومى و حقوق بين الملل اسلام، مسعود راعى، قم، مؤسسه آموزشى و پژوهشى امام خمينى،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اجتماعى و سياسى در اسلام، حسين جوان آراسته، قم، دفتر نشر معارف،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بشر و قانون اساسى جمهورى اسلامى، محمدمهدى كريمى نيا، قم، انتشارات جلوه كمال،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بشر، نظريه ها و رويه ها، حسين شريفى طراز كوهى، دانشگاه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بين الملل عمومى، محمدرضا بيگدلى، تهران، انتشارات گنج دانش،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بين الملل كيفرى، كويانگ ساك كيتى شايزرى،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يوسفيان و محمد</w:t>
      </w:r>
    </w:p>
    <w:p>
      <w:pPr>
        <w:pStyle w:val="BookText"/>
        <w:rPr/>
      </w:pPr>
      <w:r>
        <w:rPr>
          <w:rFonts w:ascii="Amiri" w:hAnsi="Amiri" w:eastAsia="Amiri" w:cs="Amiri"/>
          <w:color w:val="111111"/>
          <w:sz w:val="28"/>
          <w:sz w:val="28"/>
          <w:szCs w:val="28"/>
          <w:rtl w:val="true"/>
          <w:lang w:bidi="ar-SA"/>
        </w:rPr>
        <w:t xml:space="preserve">اسماعيلى، تهران، انتشارات سمت،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شناسى، محمدحسين ساكت، تهران، نشر ثالث،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بشر و سازوكارهاى نظارتى در اسناد بين المللى و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معرفت حقوقى، مسعود راعى، شماره سوم،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ساحل حقيقت، رضا محمدى، تهران، نشر مشعر،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اسرار حج، محمدتقى فعالى، تهران، مشعر،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درسنامه اسرار و معارف حج، معاونت امور روحانيون، تهران، نشرمشعر،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الشرعيه فى فقه الاماميه، شهيد اول، قم، جامعة مدرسين،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بين الملل دادگسترى در تئورى و عمل، سيد باقر ميرعباسى و سيد حسين سادات ميدانى،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توشه مبلغ، محمدتقى رهبر، تهران، نشر مشعر،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ساختار اجتماعى و سياسى نخستين حكومت اسلامى، حميدالله محمد، بى جا، مجموعه الوثاق،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سازمان ملل متحد در دنياى امروز،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ايثارى كسمائى، تهران، آبارون،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شرايع الاسلام، محقق حلى، جعفر بن حسن، قم، اسماعيليان،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صحيفه حج،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شيخ صدوق، قم، انتشارات داورى،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الفباى آموزش حقوق بشر، سهراب رضايى، تهران، انتشارات سازمان ملل متحد،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محمدبن على شوكانى، دمشق، دارابن كثير، دار الكلم الطيب،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زيارت، جواد محدثى، تهران، نشر مشعر،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الخطاب فى مذهب ابن عبدالوهاب، شيخ سليمان بن عبدالوهاب، تهران، نشر مشعر،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الخطاب،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فصلنامه ميقات حج، شماره هاى مختلف، مركز تحقيقات حج، تهران، نشر 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سياسى، عباسعلى عميد زنجانى، تهران، اميركبير،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قرآن، سيد على اكبر قرشى، تهران، دارالكتب الاسلاميه،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قابليت اجرايى طرح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مسؤليت دولت ها در حوزه قواعدحقوق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فصلنامه حقوق مجله دانشكده حقوق و علوم سياسى، مسعود راعى، شماره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گزيده راهنماى حقيقت، شيخ جعفر سبحانى، قم، نشر مشعر،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مبانى حقوق بشر از ديدگاه اسلام و ساير مكاتب، سيد صادق و سيد على مير موسوى، قم، پژوهشگاه فرهنگ و انديشه اسلامى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مخزن العرفان در تفسير قرآن، سيده نصرت امين، نهضت زنان مسلمان، تهران،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الافهام، جواد بن سعيد كاظمى، تهران، كتابفروشى مرتضوى،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حسين بن محمدتقى نورى، بيروت، مؤسسة آل البيت،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مسوليت بين المللى دولت ها ناشى از اقدامات افراد و گروه هاى عادى در پرتو رويه قضايى، مسعود راعى، پايان نامه مقطع دكترى دانشگاه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مقتنيات الدرر و ملتقطات الثمر، ميرسيدعلى حائرى تهرانى، تهران، دارالكتب الاسلاميه،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صدوق، قم، جامعه مدرسين،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حج با حواشى مراجع تقليد، محمدرضا محمودى، تهران، نشر مشعر،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حلى، قم، بى جا،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مهذب الاحكام، عبدالاعلى سبزوارى، قم، مؤسسة المنار،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نرم افزار جامع فقه اهل بيت،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 جامع نورالانوار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نرم افزار مجموع كتاب هاى روايى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نهادها و سازو كارهاى منطقه اى حمايت از حقوق بشر، سيد قاسم زمانى، امير ساعد وكيل و پوريا عسكرى، شهر دانش،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البيان عن كشف معانى القرآن، محمدبن حسن شيبانى، تهران، بنياد دايرة المعارف اسلامى، تحقيق، حسين درگاهى،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وسايل الشيعه، شيخ حر عاملى، قم،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انگليسى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Boyle, Kevin And Sheen, Juliet, Freedom of Religion and Belief; A world report, london, Routledge, First published, edition published in the Taylor &amp; Francis 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2003. 2. El Hajje, O, Islamic Countries and the International Instruments on Human Rights, 3(1) Con &amp; Lib, first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Harris, D. J., OBoyle, M. and Warbrick. C., 1995, Law of the European Convention on Human Rights, London, Butterworths 1995, first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Human Rights Council, Rapporteurs Digest on Freedom of Religion or Belief, Geneva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Murdoch, Jim, Freedom of thought, conscience and religion; A guide to the implementation of Article 9 of the European Convention on Human Rights, Human rights handbooks No. 9, Belgium, Council of Europe, first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Patrick, John J. And Long, Gerald P. (Editors), Constitutional Debates on</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Freedom of Religion USA, Greenwood Press, First published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Taylor, Paul M, Freedom of Religion; UN and European Human Rights Law and Practice, USA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Uitz, Renata, Freedom of Religion in European constitutional and international case law, Belgium, council of Europe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University of Minnesota, Study guide: Freedom of Religion or Belief, Human Rights Center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available at: http://www1.umn.edu/ humanrts/edumat/studyguides/ religion.html (last visited on 1 October 2013)</w:t>
      </w:r>
    </w:p>
    <w:p>
      <w:pPr>
        <w:pStyle w:val="BookText"/>
        <w:rPr/>
      </w:pP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Universal Declaration of Human Rights, 10 December 1948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Convention for the Protection of Human Rights and Fundamental Freedoms, 4 November 1950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covenant on civil and political rights, 16 Dec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Charter of fundamental rights of the European Union, 7 December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Council Conclusions on Freedom of religion or belief; 16 November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Protocol 11 to the European Convention on Human Rights and Fundamental Freedoms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EU Guidelines on the promotion and protection of freedom of religion or belief, Council of Europe, Foreign affairs Council meeting, 24 June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Human Rights Committee, General comment No. 22 (48), 20 July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Doc. A/C.3/3/SR. 127 1948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Declaration on the Elimination of All Forms of Intolerance and of</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Discrimination Based on Religion or Belief, UN General Assembly, 1981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Arrowsmith v. United Kingdom, Application No. 7050/75 (1978) 19 D&amp;R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Hazar and Ac</w:t>
      </w:r>
    </w:p>
    <w:p>
      <w:pPr>
        <w:pStyle w:val="BookText"/>
        <w:rPr/>
      </w:pPr>
      <w:r>
        <w:rPr>
          <w:rFonts w:eastAsia="Times New Roman" w:cs="Times New Roman" w:ascii="Times New Roman" w:hAnsi="Times New Roman"/>
          <w:color w:val="111111"/>
          <w:sz w:val="28"/>
          <w:szCs w:val="28"/>
          <w:lang w:val="en-US" w:bidi="en-US"/>
        </w:rPr>
        <w:t>Ḍ ik v. Turkey, Applications Nos. 16311/90, 16312/90 and 16313/90 1991 72 D&amp;R 200. 25. Angeleni v. Sweden, Application No. 10491/83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Plattform A</w:t>
      </w:r>
    </w:p>
    <w:p>
      <w:pPr>
        <w:pStyle w:val="BookText"/>
        <w:rPr/>
      </w:pP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rzte fu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r das Leben v. Austria, Application No. 10126/82 1985. 27. X. v. United Kingdom, Application No. 7291/75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Johnston and others v. Ireland, Application No.9697/82, ECtHR,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 den Dungen v. the Netherlands, Application No. 22838/93,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Pretty v. the United Kingdom, Application No. 2346/02, Reports 2002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III. 31. Gottesmann v. Switzerland, Application No. 101616/83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Darby v. Sweden (Ser. A) No. 187 (1990) ECtHR annex to the decision of the Court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Kokkinakis v. Greece, Application No. 14307/88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 xml:space="preserve">ف </w:t>
      </w:r>
      <w:r>
        <w:rPr>
          <w:rFonts w:eastAsia="Times New Roman" w:cs="Times New Roman" w:ascii="Times New Roman" w:hAnsi="Times New Roman"/>
          <w:color w:val="111111"/>
          <w:sz w:val="28"/>
          <w:szCs w:val="28"/>
          <w:lang w:val="en-US" w:bidi="en-US"/>
        </w:rPr>
        <w:t>NAN 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IK v. TURKEY, Application No. 21924/05, 2010. 35. Boodoo v. Trinidad and Tobago, Communication No. 721/1997 views of 2 August 2002, UNHRC, UN Doc. A/57/40 vol. 2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Childs v. United Kingdom, Application No. 9813/82, unpublished, decision,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M. Chappell v. United Kingdom, Application No. 12587/86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X. v. United Kingdom, Application No. 8160/78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 United Kingdom, Application No. 10358/83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 v. United Kingdom, Application No. 8160/78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ISCON and others v. United Kingdom, Application No. 20490/92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Manoussakis and others v. Greece, Application No. 18748/91,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Metropolitan Church of Bessarabia and others v. Moldova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KIMLYA AND OTHERS v. RUSSIA, Applications Nos. 76836/01 and 32782/03,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FRANCESCO SESSA v. ITALY, Application No. 28790/08,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Arrowsmith v. United Kingdom, Application No. 7050/75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Khan v. United Kingdom, Application No. 11579/85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EWEIDA AND OTHERS v. THE UNITED KINGDOM, Applications Nos. 48420/10, 59842/10, 51671/10 and 36516/10,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w:t>
      </w:r>
    </w:p>
    <w:p>
      <w:pPr>
        <w:pStyle w:val="BookText"/>
        <w:rPr/>
      </w:pPr>
      <w:r>
        <w:rPr>
          <w:rFonts w:ascii="IRNazanin" w:hAnsi="IRNazanin" w:eastAsia="IRNazanin"/>
          <w:color w:val="111111"/>
          <w:sz w:val="28"/>
          <w:sz w:val="28"/>
          <w:szCs w:val="28"/>
          <w:rtl w:val="true"/>
          <w:lang w:bidi="fa-IR"/>
        </w:rPr>
        <w:t xml:space="preserve">ض </w:t>
      </w:r>
      <w:r>
        <w:rPr>
          <w:rFonts w:eastAsia="Times New Roman" w:cs="Times New Roman" w:ascii="Times New Roman" w:hAnsi="Times New Roman"/>
          <w:color w:val="111111"/>
          <w:sz w:val="28"/>
          <w:szCs w:val="28"/>
          <w:lang w:val="en-US" w:bidi="en-US"/>
        </w:rPr>
        <w:t>SE AND OTHERS v. TURKEY, ECHR, Decision 2006. 50. KURTULMU</w:t>
      </w:r>
    </w:p>
    <w:p>
      <w:pPr>
        <w:pStyle w:val="BookText"/>
        <w:rPr/>
      </w:pPr>
      <w:r>
        <w:rPr>
          <w:rFonts w:ascii="IRNazanin" w:hAnsi="IRNazanin" w:eastAsia="IRNazanin"/>
          <w:color w:val="111111"/>
          <w:sz w:val="28"/>
          <w:sz w:val="28"/>
          <w:szCs w:val="28"/>
          <w:rtl w:val="true"/>
          <w:lang w:bidi="fa-IR"/>
        </w:rPr>
        <w:t xml:space="preserve">ض </w:t>
      </w:r>
      <w:r>
        <w:rPr>
          <w:rFonts w:eastAsia="Times New Roman" w:cs="Times New Roman" w:ascii="Times New Roman" w:hAnsi="Times New Roman"/>
          <w:color w:val="111111"/>
          <w:sz w:val="28"/>
          <w:szCs w:val="28"/>
          <w:lang w:val="en-US" w:bidi="en-US"/>
        </w:rPr>
        <w:t>v. TURKEY DECISION, ECHR, Decision 2006. 51. Dahlab v. Switzerland, Application No. 42393/98, ECHR Decision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Leyla</w:t>
      </w:r>
    </w:p>
    <w:p>
      <w:pPr>
        <w:pStyle w:val="BookText"/>
        <w:rPr/>
      </w:pPr>
      <w:r>
        <w:rPr>
          <w:rFonts w:ascii="IRNazanin" w:hAnsi="IRNazanin" w:eastAsia="IRNazanin"/>
          <w:color w:val="111111"/>
          <w:sz w:val="28"/>
          <w:sz w:val="28"/>
          <w:szCs w:val="28"/>
          <w:rtl w:val="true"/>
          <w:lang w:bidi="fa-IR"/>
        </w:rPr>
        <w:t xml:space="preserve">ض </w:t>
      </w:r>
      <w:r>
        <w:rPr>
          <w:rFonts w:eastAsia="Times New Roman" w:cs="Times New Roman" w:ascii="Times New Roman" w:hAnsi="Times New Roman"/>
          <w:color w:val="111111"/>
          <w:sz w:val="28"/>
          <w:szCs w:val="28"/>
          <w:lang w:val="en-US" w:bidi="en-US"/>
        </w:rPr>
        <w:t>ahin v. Turkey, Application No. 44774/98, ECtHR 2005. 53. Palau</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Martinez v. France, Application No. 64927/01, ECtHR, 2003. 54. Hoffmann v. Austria, Application No. 12875/87,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FOLGER</w:t>
      </w:r>
    </w:p>
    <w:p>
      <w:pPr>
        <w:pStyle w:val="BookText"/>
        <w:rPr/>
      </w:pPr>
      <w:r>
        <w:rPr>
          <w:rFonts w:ascii="IRNazanin" w:hAnsi="IRNazanin" w:eastAsia="IRNazanin"/>
          <w:color w:val="111111"/>
          <w:sz w:val="28"/>
          <w:sz w:val="28"/>
          <w:szCs w:val="28"/>
          <w:rtl w:val="true"/>
          <w:lang w:bidi="fa-IR"/>
        </w:rPr>
        <w:t xml:space="preserve">ط </w:t>
      </w:r>
      <w:r>
        <w:rPr>
          <w:rFonts w:eastAsia="Times New Roman" w:cs="Times New Roman" w:ascii="Times New Roman" w:hAnsi="Times New Roman"/>
          <w:color w:val="111111"/>
          <w:sz w:val="28"/>
          <w:szCs w:val="28"/>
          <w:lang w:val="en-US" w:bidi="en-US"/>
        </w:rPr>
        <w:t>AND OTHERS v. NORWAY, Application No. 15472/02, 2007. 56. Andr</w:t>
      </w:r>
    </w:p>
    <w:p>
      <w:pPr>
        <w:pStyle w:val="BookText"/>
        <w:rPr/>
      </w:pP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Nollkaemper &amp; Dov Jacobs. Shared Responsibility in International Law: A Concept Paper Cite as ACIL Research Paper No 2011 - 07 (SHARES Series finalized 2 August 2011). 57. Jack Donnelly, Universal Human Rights cornell university press,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J.Goldstone. Intenational Judiciql Institiution, First Publised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Mohamed saiva, Taking stock of the responsibility to protect, Stanford journal of intevnational law, summer 2012, Vol48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هاى اينترنتى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hudoc.echr.coe.int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www.echr.coe.int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www.jw.org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www.ohchr.org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www.umn.edu</w:t>
      </w:r>
    </w:p>
    <w:p>
      <w:pPr>
        <w:pStyle w:val="BookText"/>
        <w:rPr/>
      </w:pPr>
      <w:r>
        <w:rPr>
          <w:rFonts w:ascii="Amiri" w:hAnsi="Amiri" w:eastAsia="Amiri" w:cs="Amiri"/>
          <w:color w:val="111111"/>
          <w:sz w:val="28"/>
          <w:sz w:val="28"/>
          <w:szCs w:val="28"/>
          <w:rtl w:val="true"/>
          <w:lang w:bidi="ar-SA"/>
        </w:rPr>
        <w:t>همايش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همايش فرهنگ حقوق بشر، عربستان، </w:t>
      </w:r>
      <w:r>
        <w:rPr>
          <w:rFonts w:eastAsia="IRNazanin" w:cs="IRNazanin"/>
          <w:color w:val="111111"/>
          <w:sz w:val="28"/>
          <w:szCs w:val="28"/>
          <w:lang w:bidi="fa-IR"/>
        </w:rPr>
        <w:t>87/10/4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حج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گزارش از حج گزارى،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همايش، اشاعه آموزه هاى اسلامى درزمينه معارف حقوق همنوعان، توجه به اين حقيقت كه حقوق بشر از اصول اساسى دين اسلام به شمار مى رود، مبارزه با پديده خشونت و هتك حرمت ديگران، و گسترش احترام به خود و ديگران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محضر الاتفاق على ترتيبات و اسس شؤون الحج، العام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محضر الاتفاق على ترتيبات و اسس شؤون الحج، العام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محضر الاتفاق على ترتيبات و اسس شؤون الحج، العام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ملحق تعليمات نقل الحجاج الى المملكة العربية السعودية و اعادتهم الى بلادهم و تعليمات النسل بين مدن الحج و المشاعر المقدسه لموسم حج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61739</Words>
  <Characters>238483</Characters>
  <CharactersWithSpaces>298142</CharactersWithSpaces>
  <Paragraphs>2081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2026-08-20T07:22:49Z</dcterms:created>
  <dc:creator>ghaemiyeh.com</dc:creator>
  <dc:description/>
  <dc:language>en-US</dc:language>
  <cp:lastModifiedBy/>
  <dcterms:modified xsi:type="dcterms:W3CDTF">2026-08-20T10:52:54Z</dcterms:modified>
  <cp:revision>1</cp:revision>
  <dc:subject/>
  <dc:title>حج و حقوق بشر</dc:title>
</cp:coreProperties>
</file>

<file path=docProps/custom.xml><?xml version="1.0" encoding="utf-8"?>
<Properties xmlns="http://schemas.openxmlformats.org/officeDocument/2006/custom-properties" xmlns:vt="http://schemas.openxmlformats.org/officeDocument/2006/docPropsVTypes"/>
</file>