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بیع مصحف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8710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18712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18714_65377670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3218716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218718_653776707">
            <w:r>
              <w:rPr>
                <w:webHidden/>
                <w:rStyle w:val="IndexLink"/>
                <w:rtl w:val="true"/>
              </w:rPr>
              <w:t>بيع مصحف</w:t>
            </w:r>
            <w:r>
              <w:rPr>
                <w:rStyle w:val="IndexLink"/>
                <w:rtl w:val="true"/>
              </w:rPr>
              <w:tab/>
            </w:r>
            <w:r>
              <w:rPr>
                <w:rStyle w:val="IndexLink"/>
              </w:rPr>
              <w:t>10</w:t>
            </w:r>
          </w:hyperlink>
        </w:p>
        <w:p>
          <w:pPr>
            <w:pStyle w:val="Contents2"/>
            <w:tabs>
              <w:tab w:val="clear" w:pos="8743"/>
              <w:tab w:val="right" w:pos="9026" w:leader="dot"/>
            </w:tabs>
            <w:rPr/>
          </w:pPr>
          <w:hyperlink w:anchor="__RefHeading___Toc3218720_653776707">
            <w:r>
              <w:rPr>
                <w:webHidden/>
                <w:rStyle w:val="IndexLink"/>
                <w:rtl w:val="true"/>
              </w:rPr>
              <w:t>كلمات فقهاء</w:t>
            </w:r>
            <w:r>
              <w:rPr>
                <w:rStyle w:val="IndexLink"/>
                <w:rtl w:val="true"/>
              </w:rPr>
              <w:tab/>
            </w:r>
            <w:r>
              <w:rPr>
                <w:rStyle w:val="IndexLink"/>
              </w:rPr>
              <w:t>10</w:t>
            </w:r>
          </w:hyperlink>
        </w:p>
        <w:p>
          <w:pPr>
            <w:pStyle w:val="Contents2"/>
            <w:tabs>
              <w:tab w:val="clear" w:pos="8743"/>
              <w:tab w:val="right" w:pos="9026" w:leader="dot"/>
            </w:tabs>
            <w:rPr/>
          </w:pPr>
          <w:hyperlink w:anchor="__RefHeading___Toc3218722_653776707">
            <w:r>
              <w:rPr>
                <w:webHidden/>
                <w:rStyle w:val="IndexLink"/>
                <w:rtl w:val="true"/>
              </w:rPr>
              <w:t>قول به حرمت</w:t>
            </w:r>
            <w:r>
              <w:rPr>
                <w:rStyle w:val="IndexLink"/>
                <w:rtl w:val="true"/>
              </w:rPr>
              <w:tab/>
            </w:r>
            <w:r>
              <w:rPr>
                <w:rStyle w:val="IndexLink"/>
              </w:rPr>
              <w:t>10</w:t>
            </w:r>
          </w:hyperlink>
        </w:p>
        <w:p>
          <w:pPr>
            <w:pStyle w:val="Contents2"/>
            <w:tabs>
              <w:tab w:val="clear" w:pos="8743"/>
              <w:tab w:val="right" w:pos="9026" w:leader="dot"/>
            </w:tabs>
            <w:rPr/>
          </w:pPr>
          <w:hyperlink w:anchor="__RefHeading___Toc3218724_653776707">
            <w:r>
              <w:rPr>
                <w:webHidden/>
                <w:rStyle w:val="IndexLink"/>
                <w:rtl w:val="true"/>
              </w:rPr>
              <w:t>قول به کراهت</w:t>
            </w:r>
            <w:r>
              <w:rPr>
                <w:rStyle w:val="IndexLink"/>
                <w:rtl w:val="true"/>
              </w:rPr>
              <w:tab/>
            </w:r>
            <w:r>
              <w:rPr>
                <w:rStyle w:val="IndexLink"/>
              </w:rPr>
              <w:t>14</w:t>
            </w:r>
          </w:hyperlink>
        </w:p>
        <w:p>
          <w:pPr>
            <w:pStyle w:val="Contents2"/>
            <w:tabs>
              <w:tab w:val="clear" w:pos="8743"/>
              <w:tab w:val="right" w:pos="9026" w:leader="dot"/>
            </w:tabs>
            <w:rPr/>
          </w:pPr>
          <w:hyperlink w:anchor="__RefHeading___Toc3218726_653776707">
            <w:r>
              <w:rPr>
                <w:webHidden/>
                <w:rStyle w:val="IndexLink"/>
                <w:rtl w:val="true"/>
              </w:rPr>
              <w:t>روایات</w:t>
            </w:r>
            <w:r>
              <w:rPr>
                <w:rStyle w:val="IndexLink"/>
                <w:rtl w:val="true"/>
              </w:rPr>
              <w:tab/>
            </w:r>
            <w:r>
              <w:rPr>
                <w:rStyle w:val="IndexLink"/>
              </w:rPr>
              <w:t>15</w:t>
            </w:r>
          </w:hyperlink>
        </w:p>
        <w:p>
          <w:pPr>
            <w:pStyle w:val="Contents3"/>
            <w:tabs>
              <w:tab w:val="clear" w:pos="8459"/>
              <w:tab w:val="right" w:pos="9026" w:leader="dot"/>
            </w:tabs>
            <w:rPr/>
          </w:pPr>
          <w:hyperlink w:anchor="__RefHeading___Toc3218728_653776707">
            <w:r>
              <w:rPr>
                <w:webHidden/>
                <w:rStyle w:val="IndexLink"/>
                <w:rtl w:val="true"/>
              </w:rPr>
              <w:t>گروه اوّل</w:t>
            </w:r>
            <w:r>
              <w:rPr>
                <w:rStyle w:val="IndexLink"/>
                <w:rtl w:val="true"/>
              </w:rPr>
              <w:t xml:space="preserve">: </w:t>
            </w:r>
            <w:r>
              <w:rPr>
                <w:rStyle w:val="IndexLink"/>
                <w:rtl w:val="true"/>
              </w:rPr>
              <w:t>روایاتی که بر حرمت بیع مصحف دلالت دارد</w:t>
            </w:r>
            <w:r>
              <w:rPr>
                <w:rStyle w:val="IndexLink"/>
                <w:rtl w:val="true"/>
              </w:rPr>
              <w:t>:</w:t>
              <w:tab/>
            </w:r>
            <w:r>
              <w:rPr>
                <w:rStyle w:val="IndexLink"/>
              </w:rPr>
              <w:t>15</w:t>
            </w:r>
          </w:hyperlink>
        </w:p>
        <w:p>
          <w:pPr>
            <w:pStyle w:val="Contents3"/>
            <w:tabs>
              <w:tab w:val="clear" w:pos="8459"/>
              <w:tab w:val="right" w:pos="9026" w:leader="dot"/>
            </w:tabs>
            <w:rPr/>
          </w:pPr>
          <w:hyperlink w:anchor="__RefHeading___Toc3218730_653776707">
            <w:r>
              <w:rPr>
                <w:webHidden/>
                <w:rStyle w:val="IndexLink"/>
                <w:rtl w:val="true"/>
              </w:rPr>
              <w:t>گروه دوم</w:t>
            </w:r>
            <w:r>
              <w:rPr>
                <w:rStyle w:val="IndexLink"/>
                <w:rtl w:val="true"/>
              </w:rPr>
              <w:t xml:space="preserve">: </w:t>
            </w:r>
            <w:r>
              <w:rPr>
                <w:rStyle w:val="IndexLink"/>
                <w:rtl w:val="true"/>
              </w:rPr>
              <w:t>روایاتی که بر جایز بودن بیع مصحف دلالت دارند</w:t>
            </w:r>
            <w:r>
              <w:rPr>
                <w:rStyle w:val="IndexLink"/>
                <w:rtl w:val="true"/>
              </w:rPr>
              <w:tab/>
            </w:r>
            <w:r>
              <w:rPr>
                <w:rStyle w:val="IndexLink"/>
              </w:rPr>
              <w:t>19</w:t>
            </w:r>
          </w:hyperlink>
        </w:p>
        <w:p>
          <w:pPr>
            <w:pStyle w:val="Contents2"/>
            <w:tabs>
              <w:tab w:val="clear" w:pos="8743"/>
              <w:tab w:val="right" w:pos="9026" w:leader="dot"/>
            </w:tabs>
            <w:rPr/>
          </w:pPr>
          <w:hyperlink w:anchor="__RefHeading___Toc3218732_653776707">
            <w:r>
              <w:rPr>
                <w:webHidden/>
                <w:rStyle w:val="IndexLink"/>
                <w:rtl w:val="true"/>
              </w:rPr>
              <w:t>نقدی به استاد قدس سره</w:t>
            </w:r>
            <w:r>
              <w:rPr>
                <w:rStyle w:val="IndexLink"/>
                <w:rtl w:val="true"/>
              </w:rPr>
              <w:tab/>
            </w:r>
            <w:r>
              <w:rPr>
                <w:rStyle w:val="IndexLink"/>
              </w:rPr>
              <w:t>24</w:t>
            </w:r>
          </w:hyperlink>
        </w:p>
        <w:p>
          <w:pPr>
            <w:pStyle w:val="Contents2"/>
            <w:tabs>
              <w:tab w:val="clear" w:pos="8743"/>
              <w:tab w:val="right" w:pos="9026" w:leader="dot"/>
            </w:tabs>
            <w:rPr/>
          </w:pPr>
          <w:hyperlink w:anchor="__RefHeading___Toc3218734_653776707">
            <w:r>
              <w:rPr>
                <w:webHidden/>
                <w:rStyle w:val="IndexLink"/>
                <w:rtl w:val="true"/>
              </w:rPr>
              <w:t>مؤیداتی و نقد آن</w:t>
            </w:r>
            <w:r>
              <w:rPr>
                <w:rStyle w:val="IndexLink"/>
                <w:rtl w:val="true"/>
              </w:rPr>
              <w:tab/>
            </w:r>
            <w:r>
              <w:rPr>
                <w:rStyle w:val="IndexLink"/>
              </w:rPr>
              <w:t>25</w:t>
            </w:r>
          </w:hyperlink>
        </w:p>
        <w:p>
          <w:pPr>
            <w:pStyle w:val="Contents2"/>
            <w:tabs>
              <w:tab w:val="clear" w:pos="8743"/>
              <w:tab w:val="right" w:pos="9026" w:leader="dot"/>
            </w:tabs>
            <w:rPr/>
          </w:pPr>
          <w:hyperlink w:anchor="__RefHeading___Toc3218736_653776707">
            <w:r>
              <w:rPr>
                <w:webHidden/>
                <w:rStyle w:val="IndexLink"/>
                <w:rtl w:val="true"/>
              </w:rPr>
              <w:t>مقصود از حرمت بیع مصحف چیست؟</w:t>
            </w:r>
            <w:r>
              <w:rPr>
                <w:rStyle w:val="IndexLink"/>
                <w:rtl w:val="true"/>
              </w:rPr>
              <w:tab/>
            </w:r>
            <w:r>
              <w:rPr>
                <w:rStyle w:val="IndexLink"/>
              </w:rPr>
              <w:t>28</w:t>
            </w:r>
          </w:hyperlink>
        </w:p>
        <w:p>
          <w:pPr>
            <w:pStyle w:val="Contents3"/>
            <w:tabs>
              <w:tab w:val="clear" w:pos="8459"/>
              <w:tab w:val="right" w:pos="9026" w:leader="dot"/>
            </w:tabs>
            <w:rPr/>
          </w:pPr>
          <w:hyperlink w:anchor="__RefHeading___Toc3218738_65377670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218740_653776707">
            <w:r>
              <w:rPr>
                <w:webHidden/>
                <w:rStyle w:val="IndexLink"/>
                <w:rtl w:val="true"/>
              </w:rPr>
              <w:t>مسأله اوّل</w:t>
            </w:r>
            <w:r>
              <w:rPr>
                <w:rStyle w:val="IndexLink"/>
                <w:rtl w:val="true"/>
              </w:rPr>
              <w:t xml:space="preserve">: </w:t>
            </w:r>
            <w:r>
              <w:rPr>
                <w:rStyle w:val="IndexLink"/>
                <w:rtl w:val="true"/>
              </w:rPr>
              <w:t>جایز بودن گرفتن دست مزد برای نوشتن خط قرآن کریم</w:t>
            </w:r>
            <w:r>
              <w:rPr>
                <w:rStyle w:val="IndexLink"/>
                <w:rtl w:val="true"/>
              </w:rPr>
              <w:tab/>
            </w:r>
            <w:r>
              <w:rPr>
                <w:rStyle w:val="IndexLink"/>
              </w:rPr>
              <w:t>32</w:t>
            </w:r>
          </w:hyperlink>
        </w:p>
        <w:p>
          <w:pPr>
            <w:pStyle w:val="Contents3"/>
            <w:tabs>
              <w:tab w:val="clear" w:pos="8459"/>
              <w:tab w:val="right" w:pos="9026" w:leader="dot"/>
            </w:tabs>
            <w:rPr/>
          </w:pPr>
          <w:hyperlink w:anchor="__RefHeading___Toc3218742_653776707">
            <w:r>
              <w:rPr>
                <w:webHidden/>
                <w:rStyle w:val="IndexLink"/>
                <w:rtl w:val="true"/>
              </w:rPr>
              <w:t>مسأله دوم</w:t>
            </w:r>
            <w:r>
              <w:rPr>
                <w:rStyle w:val="IndexLink"/>
                <w:rtl w:val="true"/>
              </w:rPr>
              <w:t xml:space="preserve">: </w:t>
            </w:r>
            <w:r>
              <w:rPr>
                <w:rStyle w:val="IndexLink"/>
                <w:rtl w:val="true"/>
              </w:rPr>
              <w:t>حکم تعشیر مصحف</w:t>
            </w:r>
            <w:r>
              <w:rPr>
                <w:rStyle w:val="IndexLink"/>
                <w:rtl w:val="true"/>
              </w:rPr>
              <w:tab/>
            </w:r>
            <w:r>
              <w:rPr>
                <w:rStyle w:val="IndexLink"/>
              </w:rPr>
              <w:t>36</w:t>
            </w:r>
          </w:hyperlink>
        </w:p>
        <w:p>
          <w:pPr>
            <w:pStyle w:val="Contents2"/>
            <w:tabs>
              <w:tab w:val="clear" w:pos="8743"/>
              <w:tab w:val="right" w:pos="9026" w:leader="dot"/>
            </w:tabs>
            <w:rPr/>
          </w:pPr>
          <w:hyperlink w:anchor="__RefHeading___Toc3218744_653776707">
            <w:r>
              <w:rPr>
                <w:webHidden/>
                <w:rStyle w:val="IndexLink"/>
                <w:rtl w:val="true"/>
              </w:rPr>
              <w:t>ادامه بحث</w:t>
            </w:r>
            <w:r>
              <w:rPr>
                <w:rStyle w:val="IndexLink"/>
                <w:rtl w:val="true"/>
              </w:rPr>
              <w:tab/>
            </w:r>
            <w:r>
              <w:rPr>
                <w:rStyle w:val="IndexLink"/>
              </w:rPr>
              <w:t>38</w:t>
            </w:r>
          </w:hyperlink>
        </w:p>
        <w:p>
          <w:pPr>
            <w:pStyle w:val="Contents3"/>
            <w:tabs>
              <w:tab w:val="clear" w:pos="8459"/>
              <w:tab w:val="right" w:pos="9026" w:leader="dot"/>
            </w:tabs>
            <w:rPr/>
          </w:pPr>
          <w:hyperlink w:anchor="__RefHeading___Toc3218746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218748_653776707">
            <w:r>
              <w:rPr>
                <w:webHidden/>
                <w:rStyle w:val="IndexLink"/>
                <w:rtl w:val="true"/>
              </w:rPr>
              <w:t>مسأله سوم</w:t>
            </w:r>
            <w:r>
              <w:rPr>
                <w:rStyle w:val="IndexLink"/>
                <w:rtl w:val="true"/>
              </w:rPr>
              <w:t xml:space="preserve">: </w:t>
            </w:r>
            <w:r>
              <w:rPr>
                <w:rStyle w:val="IndexLink"/>
                <w:rtl w:val="true"/>
              </w:rPr>
              <w:t>آیا کافر مالک مصحف می شود؟</w:t>
            </w:r>
            <w:r>
              <w:rPr>
                <w:rStyle w:val="IndexLink"/>
                <w:rtl w:val="true"/>
              </w:rPr>
              <w:tab/>
            </w:r>
            <w:r>
              <w:rPr>
                <w:rStyle w:val="IndexLink"/>
              </w:rPr>
              <w:t>39</w:t>
            </w:r>
          </w:hyperlink>
        </w:p>
        <w:p>
          <w:pPr>
            <w:pStyle w:val="Contents3"/>
            <w:tabs>
              <w:tab w:val="clear" w:pos="8459"/>
              <w:tab w:val="right" w:pos="9026" w:leader="dot"/>
            </w:tabs>
            <w:rPr/>
          </w:pPr>
          <w:hyperlink w:anchor="__RefHeading___Toc3218750_653776707">
            <w:r>
              <w:rPr>
                <w:webHidden/>
                <w:rStyle w:val="IndexLink"/>
                <w:rtl w:val="true"/>
              </w:rPr>
              <w:t>مسأله چهارم</w:t>
            </w:r>
            <w:r>
              <w:rPr>
                <w:rStyle w:val="IndexLink"/>
                <w:rtl w:val="true"/>
              </w:rPr>
              <w:t xml:space="preserve">: </w:t>
            </w:r>
            <w:r>
              <w:rPr>
                <w:rStyle w:val="IndexLink"/>
                <w:rtl w:val="true"/>
              </w:rPr>
              <w:t>خریدن مصحف توسط کافر</w:t>
            </w:r>
            <w:r>
              <w:rPr>
                <w:rStyle w:val="IndexLink"/>
                <w:rtl w:val="true"/>
              </w:rPr>
              <w:tab/>
            </w:r>
            <w:r>
              <w:rPr>
                <w:rStyle w:val="IndexLink"/>
              </w:rPr>
              <w:t>41</w:t>
            </w:r>
          </w:hyperlink>
        </w:p>
        <w:p>
          <w:pPr>
            <w:pStyle w:val="Contents3"/>
            <w:tabs>
              <w:tab w:val="clear" w:pos="8459"/>
              <w:tab w:val="right" w:pos="9026" w:leader="dot"/>
            </w:tabs>
            <w:rPr/>
          </w:pPr>
          <w:hyperlink w:anchor="__RefHeading___Toc3218752_653776707">
            <w:r>
              <w:rPr>
                <w:webHidden/>
                <w:rStyle w:val="IndexLink"/>
                <w:rtl w:val="true"/>
              </w:rPr>
              <w:t>دلیل اوّل</w:t>
            </w:r>
            <w:r>
              <w:rPr>
                <w:rStyle w:val="IndexLink"/>
                <w:rtl w:val="true"/>
              </w:rPr>
              <w:t xml:space="preserve">: </w:t>
            </w:r>
            <w:r>
              <w:rPr>
                <w:rStyle w:val="IndexLink"/>
                <w:rtl w:val="true"/>
              </w:rPr>
              <w:t>فحوای آن چه دلالت می کند بر این که کافر مالک عبد مسلمان نمی شود</w:t>
            </w:r>
            <w:r>
              <w:rPr>
                <w:rStyle w:val="IndexLink"/>
                <w:rtl w:val="true"/>
              </w:rPr>
              <w:tab/>
            </w:r>
            <w:r>
              <w:rPr>
                <w:rStyle w:val="IndexLink"/>
              </w:rPr>
              <w:t>42</w:t>
            </w:r>
          </w:hyperlink>
        </w:p>
        <w:p>
          <w:pPr>
            <w:pStyle w:val="Contents3"/>
            <w:tabs>
              <w:tab w:val="clear" w:pos="8459"/>
              <w:tab w:val="right" w:pos="9026" w:leader="dot"/>
            </w:tabs>
            <w:rPr/>
          </w:pPr>
          <w:hyperlink w:anchor="__RefHeading___Toc3218754_653776707">
            <w:r>
              <w:rPr>
                <w:webHidden/>
                <w:rStyle w:val="IndexLink"/>
                <w:rtl w:val="true"/>
              </w:rPr>
              <w:t>دلیل دوم</w:t>
            </w:r>
            <w:r>
              <w:rPr>
                <w:rStyle w:val="IndexLink"/>
                <w:rtl w:val="true"/>
              </w:rPr>
              <w:t xml:space="preserve">: </w:t>
            </w:r>
            <w:r>
              <w:rPr>
                <w:rStyle w:val="IndexLink"/>
                <w:rtl w:val="true"/>
              </w:rPr>
              <w:t>روایت نبوی مشهور الإسلامُ یَعْلُوا وَ لا یُعْلَی عَلَیْهِ</w:t>
            </w:r>
            <w:r>
              <w:rPr>
                <w:rStyle w:val="IndexLink"/>
                <w:rtl w:val="true"/>
              </w:rPr>
              <w:tab/>
            </w:r>
            <w:r>
              <w:rPr>
                <w:rStyle w:val="IndexLink"/>
              </w:rPr>
              <w:t>44</w:t>
            </w:r>
          </w:hyperlink>
        </w:p>
        <w:p>
          <w:pPr>
            <w:pStyle w:val="Contents2"/>
            <w:tabs>
              <w:tab w:val="clear" w:pos="8743"/>
              <w:tab w:val="right" w:pos="9026" w:leader="dot"/>
            </w:tabs>
            <w:rPr/>
          </w:pPr>
          <w:hyperlink w:anchor="__RefHeading___Toc3218756_653776707">
            <w:r>
              <w:rPr>
                <w:webHidden/>
                <w:rStyle w:val="IndexLink"/>
                <w:rtl w:val="true"/>
              </w:rPr>
              <w:t>اشکال</w:t>
            </w:r>
            <w:r>
              <w:rPr>
                <w:rStyle w:val="IndexLink"/>
                <w:rtl w:val="true"/>
              </w:rPr>
              <w:tab/>
            </w:r>
            <w:r>
              <w:rPr>
                <w:rStyle w:val="IndexLink"/>
              </w:rPr>
              <w:t>45</w:t>
            </w:r>
          </w:hyperlink>
        </w:p>
        <w:p>
          <w:pPr>
            <w:pStyle w:val="Contents3"/>
            <w:tabs>
              <w:tab w:val="clear" w:pos="8459"/>
              <w:tab w:val="right" w:pos="9026" w:leader="dot"/>
            </w:tabs>
            <w:rPr/>
          </w:pPr>
          <w:hyperlink w:anchor="__RefHeading___Toc3218758_653776707">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218760_653776707">
            <w:r>
              <w:rPr>
                <w:webHidden/>
                <w:rStyle w:val="IndexLink"/>
                <w:rtl w:val="true"/>
              </w:rPr>
              <w:t>دلیل سوم</w:t>
            </w:r>
            <w:r>
              <w:rPr>
                <w:rStyle w:val="IndexLink"/>
                <w:rtl w:val="true"/>
              </w:rPr>
              <w:t xml:space="preserve">: </w:t>
            </w:r>
            <w:r>
              <w:rPr>
                <w:rStyle w:val="IndexLink"/>
                <w:rtl w:val="true"/>
              </w:rPr>
              <w:t>خرید مصحف توسط کافر موجب هتک و استخفاف آن است</w:t>
            </w:r>
            <w:r>
              <w:rPr>
                <w:rStyle w:val="IndexLink"/>
                <w:rtl w:val="true"/>
              </w:rPr>
              <w:tab/>
            </w:r>
            <w:r>
              <w:rPr>
                <w:rStyle w:val="IndexLink"/>
              </w:rPr>
              <w:t>46</w:t>
            </w:r>
          </w:hyperlink>
        </w:p>
        <w:p>
          <w:pPr>
            <w:pStyle w:val="Contents3"/>
            <w:tabs>
              <w:tab w:val="clear" w:pos="8459"/>
              <w:tab w:val="right" w:pos="9026" w:leader="dot"/>
            </w:tabs>
            <w:rPr/>
          </w:pPr>
          <w:hyperlink w:anchor="__RefHeading___Toc3218762_653776707">
            <w:r>
              <w:rPr>
                <w:webHidden/>
                <w:rStyle w:val="IndexLink"/>
                <w:rtl w:val="true"/>
              </w:rPr>
              <w:t>دلیل چهارم</w:t>
            </w:r>
            <w:r>
              <w:rPr>
                <w:rStyle w:val="IndexLink"/>
                <w:rtl w:val="true"/>
              </w:rPr>
              <w:t xml:space="preserve">: </w:t>
            </w:r>
            <w:r>
              <w:rPr>
                <w:rStyle w:val="IndexLink"/>
                <w:rtl w:val="true"/>
              </w:rPr>
              <w:t>بیع مصحف توسط کافر مستلزم نجس شدن آن است</w:t>
            </w:r>
            <w:r>
              <w:rPr>
                <w:rStyle w:val="IndexLink"/>
                <w:rtl w:val="true"/>
              </w:rPr>
              <w:tab/>
            </w:r>
            <w:r>
              <w:rPr>
                <w:rStyle w:val="IndexLink"/>
              </w:rPr>
              <w:t>47</w:t>
            </w:r>
          </w:hyperlink>
        </w:p>
        <w:p>
          <w:pPr>
            <w:pStyle w:val="Contents3"/>
            <w:tabs>
              <w:tab w:val="clear" w:pos="8459"/>
              <w:tab w:val="right" w:pos="9026" w:leader="dot"/>
            </w:tabs>
            <w:rPr/>
          </w:pPr>
          <w:hyperlink w:anchor="__RefHeading___Toc3218764_653776707">
            <w:r>
              <w:rPr>
                <w:webHidden/>
                <w:rStyle w:val="IndexLink"/>
                <w:rtl w:val="true"/>
              </w:rPr>
              <w:t>مسأله پنجم</w:t>
            </w:r>
            <w:r>
              <w:rPr>
                <w:rStyle w:val="IndexLink"/>
                <w:rtl w:val="true"/>
              </w:rPr>
              <w:t xml:space="preserve">: </w:t>
            </w:r>
            <w:r>
              <w:rPr>
                <w:rStyle w:val="IndexLink"/>
                <w:rtl w:val="true"/>
              </w:rPr>
              <w:t>حکم بیع قسمت هایی از مصحف</w:t>
            </w:r>
            <w:r>
              <w:rPr>
                <w:rStyle w:val="IndexLink"/>
                <w:rtl w:val="true"/>
              </w:rPr>
              <w:tab/>
            </w:r>
            <w:r>
              <w:rPr>
                <w:rStyle w:val="IndexLink"/>
              </w:rPr>
              <w:t>48</w:t>
            </w:r>
          </w:hyperlink>
        </w:p>
        <w:p>
          <w:pPr>
            <w:pStyle w:val="Contents3"/>
            <w:tabs>
              <w:tab w:val="clear" w:pos="8459"/>
              <w:tab w:val="right" w:pos="9026" w:leader="dot"/>
            </w:tabs>
            <w:rPr/>
          </w:pPr>
          <w:hyperlink w:anchor="__RefHeading___Toc3218766_653776707">
            <w:r>
              <w:rPr>
                <w:webHidden/>
                <w:rStyle w:val="IndexLink"/>
                <w:rtl w:val="true"/>
              </w:rPr>
              <w:t>مسأله ششم</w:t>
            </w:r>
            <w:r>
              <w:rPr>
                <w:rStyle w:val="IndexLink"/>
                <w:rtl w:val="true"/>
              </w:rPr>
              <w:t xml:space="preserve">: </w:t>
            </w:r>
            <w:r>
              <w:rPr>
                <w:rStyle w:val="IndexLink"/>
                <w:rtl w:val="true"/>
              </w:rPr>
              <w:t>آیا کتب حدیث نیز به مصحف ملحق می شود؟</w:t>
            </w:r>
            <w:r>
              <w:rPr>
                <w:rStyle w:val="IndexLink"/>
                <w:rtl w:val="true"/>
              </w:rPr>
              <w:tab/>
            </w:r>
            <w:r>
              <w:rPr>
                <w:rStyle w:val="IndexLink"/>
              </w:rPr>
              <w:t>49</w:t>
            </w:r>
          </w:hyperlink>
        </w:p>
        <w:p>
          <w:pPr>
            <w:pStyle w:val="Contents3"/>
            <w:tabs>
              <w:tab w:val="clear" w:pos="8459"/>
              <w:tab w:val="right" w:pos="9026" w:leader="dot"/>
            </w:tabs>
            <w:rPr/>
          </w:pPr>
          <w:hyperlink w:anchor="__RefHeading___Toc3218768_653776707">
            <w:r>
              <w:rPr>
                <w:webHidden/>
                <w:rStyle w:val="IndexLink"/>
                <w:rtl w:val="true"/>
              </w:rPr>
              <w:t>مسأله هفتم</w:t>
            </w:r>
            <w:r>
              <w:rPr>
                <w:rStyle w:val="IndexLink"/>
                <w:rtl w:val="true"/>
              </w:rPr>
              <w:t xml:space="preserve">: </w:t>
            </w:r>
            <w:r>
              <w:rPr>
                <w:rStyle w:val="IndexLink"/>
                <w:rtl w:val="true"/>
              </w:rPr>
              <w:t>آیا نام پیامبر اکرم صلی الله علیه و آله و خاندانش صلی الله علیه و آله به احادیث ملحق می شود؟</w:t>
            </w:r>
            <w:r>
              <w:rPr>
                <w:rStyle w:val="IndexLink"/>
                <w:rtl w:val="true"/>
              </w:rPr>
              <w:tab/>
            </w:r>
            <w:r>
              <w:rPr>
                <w:rStyle w:val="IndexLink"/>
              </w:rPr>
              <w:t>51</w:t>
            </w:r>
          </w:hyperlink>
        </w:p>
        <w:p>
          <w:pPr>
            <w:pStyle w:val="Contents3"/>
            <w:tabs>
              <w:tab w:val="clear" w:pos="8459"/>
              <w:tab w:val="right" w:pos="9026" w:leader="dot"/>
            </w:tabs>
            <w:rPr/>
          </w:pPr>
          <w:hyperlink w:anchor="__RefHeading___Toc3218770_653776707">
            <w:r>
              <w:rPr>
                <w:webHidden/>
                <w:rStyle w:val="IndexLink"/>
                <w:rtl w:val="true"/>
              </w:rPr>
              <w:t>مسأله هشتم</w:t>
            </w:r>
            <w:r>
              <w:rPr>
                <w:rStyle w:val="IndexLink"/>
                <w:rtl w:val="true"/>
              </w:rPr>
              <w:t xml:space="preserve">: </w:t>
            </w:r>
            <w:r>
              <w:rPr>
                <w:rStyle w:val="IndexLink"/>
                <w:rtl w:val="true"/>
              </w:rPr>
              <w:t>هبه مصحف</w:t>
            </w:r>
            <w:r>
              <w:rPr>
                <w:rStyle w:val="IndexLink"/>
                <w:rtl w:val="true"/>
              </w:rPr>
              <w:tab/>
            </w:r>
            <w:r>
              <w:rPr>
                <w:rStyle w:val="IndexLink"/>
              </w:rPr>
              <w:t>53</w:t>
            </w:r>
          </w:hyperlink>
        </w:p>
        <w:p>
          <w:pPr>
            <w:pStyle w:val="Contents3"/>
            <w:tabs>
              <w:tab w:val="clear" w:pos="8459"/>
              <w:tab w:val="right" w:pos="9026" w:leader="dot"/>
            </w:tabs>
            <w:rPr/>
          </w:pPr>
          <w:hyperlink w:anchor="__RefHeading___Toc3218772_653776707">
            <w:r>
              <w:rPr>
                <w:webHidden/>
                <w:rStyle w:val="IndexLink"/>
                <w:rtl w:val="true"/>
              </w:rPr>
              <w:t>مسأله نهم</w:t>
            </w:r>
            <w:r>
              <w:rPr>
                <w:rStyle w:val="IndexLink"/>
                <w:rtl w:val="true"/>
              </w:rPr>
              <w:t xml:space="preserve">: </w:t>
            </w:r>
            <w:r>
              <w:rPr>
                <w:rStyle w:val="IndexLink"/>
                <w:rtl w:val="true"/>
              </w:rPr>
              <w:t>مراد از هدیه در معامله مصحف چیست؟</w:t>
            </w:r>
            <w:r>
              <w:rPr>
                <w:rStyle w:val="IndexLink"/>
                <w:rtl w:val="true"/>
              </w:rPr>
              <w:tab/>
            </w:r>
            <w:r>
              <w:rPr>
                <w:rStyle w:val="IndexLink"/>
              </w:rPr>
              <w:t>54</w:t>
            </w:r>
          </w:hyperlink>
        </w:p>
        <w:p>
          <w:pPr>
            <w:pStyle w:val="Contents3"/>
            <w:tabs>
              <w:tab w:val="clear" w:pos="8459"/>
              <w:tab w:val="right" w:pos="9026" w:leader="dot"/>
            </w:tabs>
            <w:rPr/>
          </w:pPr>
          <w:hyperlink w:anchor="__RefHeading___Toc3218774_653776707">
            <w:r>
              <w:rPr>
                <w:webHidden/>
                <w:rStyle w:val="IndexLink"/>
                <w:rtl w:val="true"/>
              </w:rPr>
              <w:t xml:space="preserve">مسأله دهم </w:t>
            </w:r>
            <w:r>
              <w:rPr>
                <w:rStyle w:val="IndexLink"/>
                <w:rtl w:val="true"/>
              </w:rPr>
              <w:t xml:space="preserve">: </w:t>
            </w:r>
            <w:r>
              <w:rPr>
                <w:rStyle w:val="IndexLink"/>
                <w:rtl w:val="true"/>
              </w:rPr>
              <w:t>آیا خیار عیب در خط مصحف ثابت می شود؟</w:t>
            </w:r>
            <w:r>
              <w:rPr>
                <w:rStyle w:val="IndexLink"/>
                <w:rtl w:val="true"/>
              </w:rPr>
              <w:tab/>
            </w:r>
            <w:r>
              <w:rPr>
                <w:rStyle w:val="IndexLink"/>
              </w:rPr>
              <w:t>55</w:t>
            </w:r>
          </w:hyperlink>
        </w:p>
        <w:p>
          <w:pPr>
            <w:pStyle w:val="Contents2"/>
            <w:tabs>
              <w:tab w:val="clear" w:pos="8743"/>
              <w:tab w:val="right" w:pos="9026" w:leader="dot"/>
            </w:tabs>
            <w:rPr/>
          </w:pPr>
          <w:hyperlink w:anchor="__RefHeading___Toc3218776_653776707">
            <w:r>
              <w:rPr>
                <w:webHidden/>
                <w:rStyle w:val="IndexLink"/>
                <w:rtl w:val="true"/>
              </w:rPr>
              <w:t>منابع</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1_73298"/>
      <w:bookmarkStart w:id="1" w:name="pg8741_73298"/>
      <w:bookmarkEnd w:id="1"/>
    </w:p>
    <w:p>
      <w:pPr>
        <w:pStyle w:val="Heading2"/>
        <w:numPr>
          <w:ilvl w:val="1"/>
          <w:numId w:val="1"/>
        </w:numPr>
        <w:rPr/>
      </w:pPr>
      <w:bookmarkStart w:id="2" w:name="pg8741_73298"/>
      <w:bookmarkStart w:id="3" w:name="__RefHeading___Toc321871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 هادی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الفقهیه قسم المکاسب المحرمه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 ترجمه محمد جعفر 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410389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قسمت بیع مصحف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الآراء الفقهیه قسم المکاسب 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Qur'an sales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Transactions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قدیری، محمد جعفر،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297/327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6055766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8712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41_73302"/>
      <w:bookmarkStart w:id="8" w:name="pg8741_73302"/>
      <w:bookmarkEnd w:id="8"/>
    </w:p>
    <w:p>
      <w:pPr>
        <w:pStyle w:val="Heading2"/>
        <w:numPr>
          <w:ilvl w:val="1"/>
          <w:numId w:val="1"/>
        </w:numPr>
        <w:rPr/>
      </w:pPr>
      <w:bookmarkStart w:id="9" w:name="pg8741_73302"/>
      <w:bookmarkStart w:id="10" w:name="__RefHeading___Toc3218714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بیع مصحف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كلمات 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قول به حرمت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قول به کراهت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حرمت بیع مصحف دلالت دارد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جایز بودن بیع مصحف دلالت دارند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نقدی به استاد قدس سره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مؤیداتی و نقد آن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مقصود از حرمت بیع مصحف چیست؟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گرفتن دست مزد برای نوشتن خط قرآن کریم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مسأله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تعشير 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مالک مصحف می شود؟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مصحف توسط کافر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آن چه دلالت می کند بر این که کافر مالک عبد مسلمان نمی شود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نبوی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یَعْلُوا وَ لا یُعْلَی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مصحف توسط کافر موجب هتک و استخفاف آن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مصحف توسط کافر مستلزم نجس شدن آن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قسمت هایی از مصحف</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کتب حدیث نیز به مصحف ملحق می شود؟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پیامبر اکرم صلی الله علیه و آله و خاندانش علیهم السلام به احادیث ملحق می شود؟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مصحف</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هدیه در معامله مصحف چیست؟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خیار عیب در خط مصحف ثابت می شود؟</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41_73305"/>
      <w:bookmarkStart w:id="13" w:name="pg8741_73305"/>
      <w:bookmarkEnd w:id="13"/>
    </w:p>
    <w:p>
      <w:pPr>
        <w:pStyle w:val="BookText"/>
        <w:rPr/>
      </w:pPr>
      <w:bookmarkStart w:id="14" w:name="pg8741_73305"/>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3218716_653776707"/>
      <w:bookmarkStart w:id="16" w:name="_Toc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 xml:space="preserve">الْحَمْدُ لِلَّهِ الَّذِی أَنزَلَ القرآن عَلَی عَبْدِهِ وَ الصَّلَاةُ وَ السَّلَامُ عَلَى صَاحِبُ الْقُرْآنِ خَاتَمِ الْأَنْبِيَاءِ وَ الْمُرْسَلِينَ مُحَمَّدِ الْمُصْطَفَى وَ عَلَى وَصِيِّهِ وَ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 الْأَحَدَ عَشَرَ مِنَ وُلْدِهِ الْأَئِمَّةِ الْمَعْصُومِينَ الْمُفَسِّرِينَ لِلْقُرْآنِ وَ لَا سِيَّمَا عَلَى خَاتَمُهُمْ الْمَهْدِيِّ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در این رساله می خوانید بحثی است پیرامون خرید و فروش قرآن کریم که برگردان مسأله بیع مصحف </w:t>
      </w:r>
      <w:r>
        <w:rPr>
          <w:rStyle w:val="FootnoteAnchor"/>
          <w:rtl w:val="true"/>
        </w:rPr>
        <w:footnoteReference w:id="2"/>
      </w:r>
      <w:r>
        <w:rPr>
          <w:rFonts w:ascii="IRNazanin" w:hAnsi="IRNazanin" w:eastAsia="IRNazanin"/>
          <w:color w:val="111111"/>
          <w:sz w:val="28"/>
          <w:sz w:val="28"/>
          <w:szCs w:val="28"/>
          <w:rtl w:val="true"/>
          <w:lang w:bidi="fa-IR"/>
        </w:rPr>
        <w:t>در کتاب دائرة المعارف الآراء الفقهية،</w:t>
      </w:r>
      <w:r>
        <w:rPr>
          <w:rStyle w:val="FootnoteAnchor"/>
          <w:rtl w:val="true"/>
        </w:rPr>
        <w:footnoteReference w:id="3"/>
      </w:r>
      <w:r>
        <w:rPr>
          <w:rFonts w:ascii="IRNazanin" w:hAnsi="IRNazanin" w:eastAsia="IRNazanin"/>
          <w:color w:val="111111"/>
          <w:sz w:val="28"/>
          <w:sz w:val="28"/>
          <w:szCs w:val="28"/>
          <w:rtl w:val="true"/>
          <w:lang w:bidi="fa-IR"/>
        </w:rPr>
        <w:t xml:space="preserve">تأليف صاحب این قلم می باشد که توسط جناب آقای مهندس محمّد جعفر قدیری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والد قدس سره می باشند و فرزند مرحوم آیة الله آقای حاج شیخ علی قدیری اصفهانی قدس سره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 منیری رسم کن تاریخ فوت آن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جنت آیة الله قدیری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علمی و اجتماعی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شرح حال شیخ عبد الله کفرانی اصفهانی متوفی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نام برده عموی پدر مرحوم آیة الله حاج شیخ علی قدیری می باشد؛ تربت پاکان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اعلام اصفهان، ج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شده و توسط این جانب</w:t>
      </w:r>
    </w:p>
    <w:p>
      <w:pPr>
        <w:pStyle w:val="BookText"/>
        <w:rPr/>
      </w:pPr>
      <w:r>
        <w:rPr>
          <w:rFonts w:ascii="IRNazanin" w:hAnsi="IRNazanin" w:eastAsia="IRNazanin"/>
          <w:color w:val="111111"/>
          <w:sz w:val="28"/>
          <w:sz w:val="28"/>
          <w:szCs w:val="28"/>
          <w:rtl w:val="true"/>
          <w:lang w:bidi="fa-IR"/>
        </w:rPr>
        <w:t>نیز تصحیح گردیده خدمت علاقه مندان به فقه اهل بیت علیهم السلام تقدیم می شود</w:t>
      </w:r>
    </w:p>
    <w:p>
      <w:pPr>
        <w:pStyle w:val="BookText"/>
        <w:rPr/>
      </w:pPr>
      <w:r>
        <w:rPr>
          <w:rFonts w:ascii="IRNazanin" w:hAnsi="IRNazanin" w:eastAsia="IRNazanin"/>
          <w:color w:val="111111"/>
          <w:sz w:val="28"/>
          <w:sz w:val="28"/>
          <w:szCs w:val="28"/>
          <w:rtl w:val="true"/>
          <w:lang w:bidi="fa-IR"/>
        </w:rPr>
        <w:t>به این امید که مرضی مولایمان صاحب العصر و الزمان عجل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7" w:name="pg8741_73309"/>
    </w:p>
    <w:p>
      <w:pPr>
        <w:pStyle w:val="Heading2"/>
        <w:numPr>
          <w:ilvl w:val="1"/>
          <w:numId w:val="1"/>
        </w:numPr>
        <w:rPr/>
      </w:pPr>
      <w:bookmarkStart w:id="18" w:name="__RefHeading___Toc3218718_653776707"/>
      <w:bookmarkStart w:id="19" w:name="_Toc5"/>
      <w:bookmarkEnd w:id="17"/>
      <w:bookmarkEnd w:id="18"/>
      <w:r>
        <w:rPr>
          <w:rtl w:val="true"/>
        </w:rPr>
        <w:t>بيع مصحف</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مصحف </w:t>
      </w:r>
      <w:r>
        <w:rPr>
          <w:rStyle w:val="FootnoteAnchor"/>
          <w:rtl w:val="true"/>
        </w:rPr>
        <w:footnoteReference w:id="5"/>
      </w:r>
    </w:p>
    <w:p>
      <w:pPr>
        <w:pStyle w:val="Heading2"/>
        <w:numPr>
          <w:ilvl w:val="1"/>
          <w:numId w:val="1"/>
        </w:numPr>
        <w:rPr/>
      </w:pPr>
      <w:bookmarkStart w:id="20" w:name="__RefHeading___Toc3218720_653776707"/>
      <w:bookmarkStart w:id="21" w:name="_Toc6"/>
      <w:bookmarkEnd w:id="20"/>
      <w:r>
        <w:rPr>
          <w:rtl w:val="true"/>
        </w:rPr>
        <w:t>كلمات فقهاء</w:t>
      </w:r>
      <w:bookmarkEnd w:id="21"/>
    </w:p>
    <w:p>
      <w:pPr>
        <w:pStyle w:val="BookText"/>
        <w:rPr/>
      </w:pPr>
      <w:r>
        <w:rPr>
          <w:rFonts w:ascii="IRNazanin" w:hAnsi="IRNazanin" w:eastAsia="IRNazanin"/>
          <w:color w:val="111111"/>
          <w:sz w:val="28"/>
          <w:sz w:val="28"/>
          <w:szCs w:val="28"/>
          <w:rtl w:val="true"/>
          <w:lang w:bidi="fa-IR"/>
        </w:rPr>
        <w:t xml:space="preserve">مشهور بین فقها آن است که خرید و فروش مصحف </w:t>
      </w:r>
      <w:r>
        <w:rPr>
          <w:rStyle w:val="FootnoteAnchor"/>
          <w:rtl w:val="true"/>
        </w:rPr>
        <w:footnoteReference w:id="6"/>
      </w:r>
      <w:r>
        <w:rPr>
          <w:rFonts w:ascii="IRNazanin" w:hAnsi="IRNazanin" w:eastAsia="IRNazanin"/>
          <w:color w:val="111111"/>
          <w:sz w:val="28"/>
          <w:sz w:val="28"/>
          <w:szCs w:val="28"/>
          <w:rtl w:val="true"/>
          <w:lang w:bidi="fa-IR"/>
        </w:rPr>
        <w:t>حرام می باشد و برای مطالعه خوانندگان برخی از کلمات فقهای عظام را نقل می کنیم</w:t>
      </w:r>
      <w:r>
        <w:rPr>
          <w:rFonts w:eastAsia="IRNazanin" w:cs="IRNazanin"/>
          <w:color w:val="111111"/>
          <w:sz w:val="28"/>
          <w:szCs w:val="28"/>
          <w:rtl w:val="true"/>
          <w:lang w:bidi="fa-IR"/>
        </w:rPr>
        <w:t>:</w:t>
      </w:r>
    </w:p>
    <w:p>
      <w:pPr>
        <w:pStyle w:val="Heading2"/>
        <w:numPr>
          <w:ilvl w:val="1"/>
          <w:numId w:val="1"/>
        </w:numPr>
        <w:rPr/>
      </w:pPr>
      <w:bookmarkStart w:id="22" w:name="__RefHeading___Toc3218722_653776707"/>
      <w:bookmarkStart w:id="23" w:name="_Toc7"/>
      <w:bookmarkEnd w:id="22"/>
      <w:r>
        <w:rPr>
          <w:rtl w:val="true"/>
        </w:rPr>
        <w:t>قول به حرمت</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و فروش مصحف و کسب در آمد از این کار اشکال ندارد ولی خرید و فروش متن نوشته شده قرآن کریم جایز نیست بلکه می توان جلد و ورق های مصحف را معامله کرد اما در مورد سایر کتب غیر از مصحف، معامله آن ها مطلقاً </w:t>
      </w:r>
    </w:p>
    <w:p>
      <w:pPr>
        <w:pStyle w:val="BookText"/>
        <w:rPr/>
      </w:pPr>
      <w:r>
        <w:rPr>
          <w:rFonts w:ascii="IRNazanin" w:hAnsi="IRNazanin" w:eastAsia="IRNazanin"/>
          <w:color w:val="111111"/>
          <w:sz w:val="28"/>
          <w:sz w:val="28"/>
          <w:szCs w:val="28"/>
          <w:rtl w:val="true"/>
          <w:lang w:bidi="fa-IR"/>
        </w:rPr>
        <w:t>اشکال ندارد و هم می توان جلد و اوراق کتاب را معامله کرد و هم می توان متن کتاب را مورد خرید و فروش قرار داد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حلى بيع مصحف را جزو کسب های حرام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مصحف در صورتی که قرآن کریم در آن نوشته شده باشد حرام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قواعد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مصحف حرام است امّا می شود جلد و ورق های آن را معامله کرد و اگر کافر آن را خریداری کند اقرب این است که معامله اش باطل است و بری نوشتن قرآن کریم دریافت دست مزد اشکال ندارد و جایز است</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علامه حلّی در تحریر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مصحف حرام است و معامله جلد و کاغذ های آن جایز است ولی خرید و فروش کلام خدا جایز نیست و اگر مصحف را خریداری کند و عقد بیع جاری شود بر جلد و کاغذ ها جایز است و در غیر این صورت به عنوان بیع حرام است و اگر کافر مصحف را بخرد معامله واقع نمی شود و بعضی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قرآن کریم توسط کافر جایز است ولی باید او را مجبور کنند که آن را نگه ندارد و به مسلمانی بفروشد و گرفتن اجرت و دستمزد برای نوشتن متن قرآن کریم جایز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در کتاب تذکرة الفقهاء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و فروش مصحف حرام است برای این که موجب پایین آوردن شأن </w:t>
      </w:r>
    </w:p>
    <w:p>
      <w:pPr>
        <w:pStyle w:val="BookText"/>
        <w:rPr/>
      </w:pPr>
      <w:r>
        <w:rPr>
          <w:rFonts w:ascii="IRNazanin" w:hAnsi="IRNazanin" w:eastAsia="IRNazanin"/>
          <w:color w:val="111111"/>
          <w:sz w:val="28"/>
          <w:sz w:val="28"/>
          <w:szCs w:val="28"/>
          <w:rtl w:val="true"/>
          <w:lang w:bidi="fa-IR"/>
        </w:rPr>
        <w:t xml:space="preserve">قرآن کریم می شود و با بزرگ داشت کتاب الهی منافات دارد و می توانند جلد و کاغذ های آن را معامله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روایت را در مورد این مطلب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دستمزد برای نوشتن متن قرآن کریم جایز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علامه حلّی در کتاب نهاية الإحكام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مصحف حرام است، فقط جلد و کاغذ های آن معامله می شود برای این که علما آن را ممنوع کرده اند و مخالفی برای این نظر سراغ ندارم و برای این که مصحف شامل کلام الهی می باشد و حفاظت کردن از معامله آن که دون شأن قرآن می باشد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حدیثی را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قرآن كريم حکمش ساده تر از فروختن آن می باشد برای این که نجات دادن مصحف است از دست کسی که می خواهد آن را بفروشد و خریدار مال خود را در این راه صرف می کند و می بخشد و گرفتن دستمزد برای نوشتن متن قرآن کریم جایز است برای این که درآمد آن مباح و بلا اشکال می باشد پس جایز است که عوض این کار را دریافت نماید، بله نوشته و نقش های تزیینی برای قرآن کریم با استفاده از طلا حرام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دروس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خط و نوشته قرآن کریم حرام است ولی معامله آن چه خط بر روی آن نوشته شده اشکالی ندارد و معامله کتاب های روایت و احادیث و علوم، مباح و جایز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ثانى قول علامه در قواعد را حاشیه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مصحف به استناد نصوص کتاب و سنت حرام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حدائق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زیادی از علما و فقها تصریح کرده اند که خرید و فروش مصحف جایز نمی باشد و فقط معامله کاغذ ها و جلد و مانند آن ها که کتاب را با آن درست کرده اند اشکالی ندارد و روایات زیادی بر این مطلب دلالت دارد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کاشف الغطاء در کتاب شرح القواعد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و فروش هر چیزی که برای نوشته های قرآن کریم به کار رفته باشد حرام است اعم از این که جوهر و ماده مورد استفاده برای نوشته باشد یا کلمات و ملحقات آن ها مثل حروف و مدّ ها و تشدید ها و غیره و فرقی ندارد که نوشته ها در کنار هم دیگر و جمع باشند یا جدا و متفرّق شده باشند و یا این که در اوراق جداگانه باشند برای این که زیر عنوان و اسم مصحف قرار می گیرد قطع داریم به شمول حکم در مورد کلّ آن چه نوشتن قرآن بر آن صدق می کند و معاوضه بر آن حرام است چه این که ورق های جداگانه و مستقل باشند یا به وسیله جلد و کاغذ مانند آن به هم دیگر ضمیمه و متصل شده باشند و نام های خدای متعال و صفات خاصه خداوند نیز قویاً به نظر می رسد که همین حکم را دارند و نیز آیات قرآن کریم که در کتاب های دیگر نوشته شده یا در سایر کتاب های آسمانی باشد این حکم شامل آن ها نیز می شود ولی کتاب های حدیث و روایت و غیر </w:t>
      </w:r>
      <w:bookmarkStart w:id="24" w:name="pg8741_73317"/>
    </w:p>
    <w:p>
      <w:pPr>
        <w:pStyle w:val="BookText"/>
        <w:rPr/>
      </w:pPr>
      <w:bookmarkEnd w:id="24"/>
      <w:r>
        <w:rPr>
          <w:rFonts w:ascii="IRNazanin" w:hAnsi="IRNazanin" w:eastAsia="IRNazanin"/>
          <w:color w:val="111111"/>
          <w:sz w:val="28"/>
          <w:sz w:val="28"/>
          <w:szCs w:val="28"/>
          <w:rtl w:val="true"/>
          <w:lang w:bidi="fa-IR"/>
        </w:rPr>
        <w:t>آن ها چنین حکمی در مورد آن ها جاری نمی باشد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25" w:name="__RefHeading___Toc3218724_653776707"/>
      <w:bookmarkStart w:id="26" w:name="_Toc8"/>
      <w:bookmarkEnd w:id="25"/>
      <w:r>
        <w:rPr>
          <w:rtl w:val="true"/>
        </w:rPr>
        <w:t>قول به کراهت</w:t>
      </w:r>
      <w:bookmarkEnd w:id="26"/>
    </w:p>
    <w:p>
      <w:pPr>
        <w:pStyle w:val="BookText"/>
        <w:rPr/>
      </w:pPr>
      <w:r>
        <w:rPr>
          <w:rFonts w:ascii="IRNazanin" w:hAnsi="IRNazanin" w:eastAsia="IRNazanin"/>
          <w:color w:val="111111"/>
          <w:sz w:val="28"/>
          <w:sz w:val="28"/>
          <w:szCs w:val="28"/>
          <w:rtl w:val="true"/>
          <w:lang w:bidi="fa-IR"/>
        </w:rPr>
        <w:t>و در مقابل این قول به حرمت، قول به کراهت وجود دارد که محقّق سبزواری در کفایه آن را اختیار کرده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بنابراین آن چه از اخبار و روایات استفاده می شود کراهت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علّامه سیّد مهدی بحر العلوم طباطبایی در کتاب مصابیح </w:t>
      </w:r>
      <w:r>
        <w:rPr>
          <w:rStyle w:val="FootnoteAnchor"/>
          <w:rtl w:val="true"/>
        </w:rPr>
        <w:footnoteReference w:id="18"/>
      </w:r>
      <w:r>
        <w:rPr>
          <w:rFonts w:ascii="IRNazanin" w:hAnsi="IRNazanin" w:eastAsia="IRNazanin"/>
          <w:color w:val="111111"/>
          <w:sz w:val="28"/>
          <w:sz w:val="28"/>
          <w:szCs w:val="28"/>
          <w:rtl w:val="true"/>
          <w:lang w:bidi="fa-IR"/>
        </w:rPr>
        <w:t xml:space="preserve">از سبزواری پیروی نموده است چنان که صاحب جواهر </w:t>
      </w:r>
      <w:r>
        <w:rPr>
          <w:rStyle w:val="FootnoteAnchor"/>
          <w:rtl w:val="true"/>
        </w:rPr>
        <w:footnoteReference w:id="19"/>
      </w:r>
      <w:r>
        <w:rPr>
          <w:rFonts w:ascii="IRNazanin" w:hAnsi="IRNazanin" w:eastAsia="IRNazanin"/>
          <w:color w:val="111111"/>
          <w:sz w:val="28"/>
          <w:sz w:val="28"/>
          <w:szCs w:val="28"/>
          <w:rtl w:val="true"/>
          <w:lang w:bidi="fa-IR"/>
        </w:rPr>
        <w:t xml:space="preserve">از او نقل کرده و قول به کراهت را صاحب جواهر نیز اختیار نموده، و شاگرد صاحب جواهر، فقیه بزرگ سیّد علی آل بحر العلوم </w:t>
      </w:r>
      <w:r>
        <w:rPr>
          <w:rStyle w:val="FootnoteAnchor"/>
          <w:rtl w:val="true"/>
        </w:rPr>
        <w:footnoteReference w:id="20"/>
      </w:r>
      <w:r>
        <w:rPr>
          <w:rFonts w:ascii="IRNazanin" w:hAnsi="IRNazanin" w:eastAsia="IRNazanin"/>
          <w:color w:val="111111"/>
          <w:sz w:val="28"/>
          <w:sz w:val="28"/>
          <w:szCs w:val="28"/>
          <w:rtl w:val="true"/>
          <w:lang w:bidi="fa-IR"/>
        </w:rPr>
        <w:t xml:space="preserve">نیز با جمع دیگری از علما و محقّقین مانند ایروانی </w:t>
      </w:r>
      <w:r>
        <w:rPr>
          <w:rStyle w:val="FootnoteAnchor"/>
          <w:rtl w:val="true"/>
        </w:rPr>
        <w:footnoteReference w:id="21"/>
      </w:r>
      <w:r>
        <w:rPr>
          <w:rFonts w:ascii="IRNazanin" w:hAnsi="IRNazanin" w:eastAsia="IRNazanin"/>
          <w:color w:val="111111"/>
          <w:sz w:val="28"/>
          <w:sz w:val="28"/>
          <w:szCs w:val="28"/>
          <w:rtl w:val="true"/>
          <w:lang w:bidi="fa-IR"/>
        </w:rPr>
        <w:t xml:space="preserve">و خویی </w:t>
      </w:r>
      <w:r>
        <w:rPr>
          <w:rStyle w:val="FootnoteAnchor"/>
          <w:rtl w:val="true"/>
        </w:rPr>
        <w:footnoteReference w:id="22"/>
      </w:r>
      <w:r>
        <w:rPr>
          <w:rFonts w:ascii="IRNazanin" w:hAnsi="IRNazanin" w:eastAsia="IRNazanin"/>
          <w:color w:val="111111"/>
          <w:sz w:val="28"/>
          <w:sz w:val="28"/>
          <w:szCs w:val="28"/>
          <w:rtl w:val="true"/>
          <w:lang w:bidi="fa-IR"/>
        </w:rPr>
        <w:t xml:space="preserve">و اردکانی </w:t>
      </w:r>
      <w:r>
        <w:rPr>
          <w:rStyle w:val="FootnoteAnchor"/>
          <w:rtl w:val="true"/>
        </w:rPr>
        <w:footnoteReference w:id="23"/>
      </w:r>
      <w:r>
        <w:rPr>
          <w:rFonts w:ascii="IRNazanin" w:hAnsi="IRNazanin" w:eastAsia="IRNazanin"/>
          <w:color w:val="111111"/>
          <w:sz w:val="28"/>
          <w:sz w:val="28"/>
          <w:szCs w:val="28"/>
          <w:rtl w:val="true"/>
          <w:lang w:bidi="fa-IR"/>
        </w:rPr>
        <w:t xml:space="preserve">و شیخ استاد </w:t>
      </w:r>
      <w:r>
        <w:rPr>
          <w:rStyle w:val="FootnoteAnchor"/>
          <w:rtl w:val="true"/>
        </w:rPr>
        <w:footnoteReference w:id="24"/>
      </w:r>
      <w:r>
        <w:rPr>
          <w:rFonts w:ascii="IRNazanin" w:hAnsi="IRNazanin" w:eastAsia="IRNazanin"/>
          <w:color w:val="111111"/>
          <w:sz w:val="28"/>
          <w:sz w:val="28"/>
          <w:szCs w:val="28"/>
          <w:rtl w:val="true"/>
          <w:lang w:bidi="fa-IR"/>
        </w:rPr>
        <w:t>ما نیز قول به کراهت را اختیار نموده اند و از سبزواری پیروی کرده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کلمات و اقوال فقها و بزرگان علما تمام شد و آن چه در این رابطه مهم است بررسی دلایل می باشد که روایات و احادیث معصومین علیهم السلام است و این روایات به دو گروه تقسیم شده اند</w:t>
      </w:r>
      <w:r>
        <w:rPr>
          <w:rFonts w:eastAsia="IRNazanin" w:cs="IRNazanin"/>
          <w:color w:val="111111"/>
          <w:sz w:val="28"/>
          <w:szCs w:val="28"/>
          <w:rtl w:val="true"/>
          <w:lang w:bidi="fa-IR"/>
        </w:rPr>
        <w:t xml:space="preserve">: </w:t>
      </w:r>
      <w:bookmarkStart w:id="27" w:name="pg8741_73319"/>
    </w:p>
    <w:p>
      <w:pPr>
        <w:pStyle w:val="Heading2"/>
        <w:numPr>
          <w:ilvl w:val="1"/>
          <w:numId w:val="1"/>
        </w:numPr>
        <w:rPr/>
      </w:pPr>
      <w:bookmarkStart w:id="28" w:name="__RefHeading___Toc3218726_653776707"/>
      <w:bookmarkStart w:id="29" w:name="_Toc9"/>
      <w:bookmarkEnd w:id="27"/>
      <w:bookmarkEnd w:id="28"/>
      <w:r>
        <w:rPr>
          <w:rtl w:val="true"/>
        </w:rPr>
        <w:t>روایات</w:t>
      </w:r>
      <w:bookmarkEnd w:id="29"/>
    </w:p>
    <w:p>
      <w:pPr>
        <w:pStyle w:val="Heading3"/>
        <w:numPr>
          <w:ilvl w:val="2"/>
          <w:numId w:val="1"/>
        </w:numPr>
        <w:rPr/>
      </w:pPr>
      <w:bookmarkStart w:id="30" w:name="__RefHeading___Toc3218728_653776707"/>
      <w:bookmarkStart w:id="31" w:name="_Toc10"/>
      <w:bookmarkEnd w:id="30"/>
      <w:r>
        <w:rPr>
          <w:rtl w:val="true"/>
        </w:rPr>
        <w:t>گروه اوّل</w:t>
      </w:r>
      <w:r>
        <w:rPr>
          <w:rtl w:val="true"/>
        </w:rPr>
        <w:t xml:space="preserve">: </w:t>
      </w:r>
      <w:r>
        <w:rPr>
          <w:rtl w:val="true"/>
        </w:rPr>
        <w:t>روایاتی که بر حرمت بیع مصحف دلالت دارد</w:t>
      </w:r>
      <w:r>
        <w:rPr>
          <w:rtl w:val="true"/>
        </w:rPr>
        <w:t>:</w:t>
      </w:r>
      <w:bookmarkEnd w:id="31"/>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سَأَلْتُهُ عَنْ بَیْعِ اَلْمَصَاحِفِ وَ شِرَائِهَا فَقَالَ لاَ تَشْتَرِ کِتابِ اَللَّه، وَ لَکِنِ اِشْتَرِ اَلْحَدِیدَ وَ الوَرَق وَ الدَفَتين وَ قُلْ أَشْتَرِی مِنْکَ هذا بِکَذَا وَ کَذَا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موثقه سماعه از امام صادق علیه السلام است که می گوید از ایشان در مورد خرید و فروش مصحف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خریداری نکن ولی ورق و کاغذ ها و جلد آن ها را خریداری کن و به فروشنده بگو این وسایل را به فلان قیمت از تو خریدم</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مُعتَبَرَة عَبْدِ اَلرَّحْمَنِ بْنِ سَیَابَهَ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تُشْتَرَی فَإِذَا اِشْتَرَیْتَ فَقُلْ إِنَّمَا أَشْتَرِی مِنْکَ اَلْوَرَقَ وَ مَا فِیهِ مِنَ اَلْأَدِیمِ وَ حِلْیَتَهُ وَ مَا فِیهِ مِنْ عَمَلِ یَدِکَ بِکَذَا وَ کَذَا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به کار رفته به معنی پوست دباغی شده است و 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معنی باطن پوست و ظاهر آن معنی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معتبره عبدالرحمن بن سیابه از امام صادق علیه السلام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خریداری نمی شود، پس وقتی خرید می کنی به فروشنده بگو که به راستی من از تو ورق ها و چیز های دیگر کتاب مثل جلد و تزیین ها و مزد کاری که کرده ای را به </w:t>
      </w:r>
    </w:p>
    <w:p>
      <w:pPr>
        <w:pStyle w:val="BookText"/>
        <w:rPr/>
      </w:pPr>
      <w:r>
        <w:rPr>
          <w:rFonts w:ascii="IRNazanin" w:hAnsi="IRNazanin" w:eastAsia="IRNazanin"/>
          <w:color w:val="111111"/>
          <w:sz w:val="28"/>
          <w:sz w:val="28"/>
          <w:szCs w:val="28"/>
          <w:rtl w:val="true"/>
          <w:lang w:bidi="fa-IR"/>
        </w:rPr>
        <w:t>فلان قیمت خریدم</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27"/>
      </w:r>
      <w:r>
        <w:rPr>
          <w:rFonts w:ascii="IRNazanin" w:hAnsi="IRNazanin" w:eastAsia="IRNazanin"/>
          <w:color w:val="111111"/>
          <w:sz w:val="28"/>
          <w:sz w:val="28"/>
          <w:szCs w:val="28"/>
          <w:rtl w:val="true"/>
          <w:lang w:bidi="fa-IR"/>
        </w:rPr>
        <w:t>عبدالرحمن بن سلیمان به جای عبدالرحمن بن سیابه آمده که ابن سلیمان مجهول است و سند روایت به واسطه او ضعیف می شود</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بل صحيحه عثمان بن عيسى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الْحَدِيدَ وَ الْجلودَ وَ الدَّفتَر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هَذَا منکَ بِكَذَا وَ كَذَا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موثقه بلکه صحیحه عثمان بن عیسی که گفته است از او در مورد خرید و فروش مصحف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خریداری نکن ولی جلد ها و اوراق و دفتر و کاغذ های آن را خریداری کن و به فروشنده بگو این را از تو به فلان قیمت خریدم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مضمره است زیرا تصریح به نام امام علیه السلام در آن نشده است ولی مضمر بودن آن یعنی به کار بردن ضمیر به جای اسم امام معصوم ایرادی برای روایت ندارد زیرا عثمان بن عیسی از فقها و اصحاب اجماع است که از غیر امام معصوم قطعاً حدیث و روایت نقل نمی کنند علاوه بر این که شیخ کلینی سند این روایت را در کافی </w:t>
      </w:r>
      <w:r>
        <w:rPr>
          <w:rStyle w:val="FootnoteAnchor"/>
          <w:rtl w:val="true"/>
        </w:rPr>
        <w:footnoteReference w:id="29"/>
      </w:r>
      <w:r>
        <w:rPr>
          <w:rFonts w:ascii="IRNazanin" w:hAnsi="IRNazanin" w:eastAsia="IRNazanin"/>
          <w:color w:val="111111"/>
          <w:sz w:val="28"/>
          <w:sz w:val="28"/>
          <w:szCs w:val="28"/>
          <w:rtl w:val="true"/>
          <w:lang w:bidi="fa-IR"/>
        </w:rPr>
        <w:t>شریف، بدون اضمار این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از احمد بن محمّد از عثمان بن عیسی از سماعه از امام صادق علیه السلام این روایت را نقل کرده است؛ پس سند به نقل کلینی موثق است و اضماری در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عبدالله بن سليمان و مضمرته قال سَأَلْتُهُ عَنْ شِرَاءِ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تَشْتَرِیَ فَقُلْ أَشْتَرِی مِنْکَ وَرَقَهُ وَ أَدِیمَهُ وَ عَمَلَ یَدِکَ بِکَذَا وَ کَذَا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خبر عبدالله بن سلیمان که مضمره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خریدن مصحف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خریداری به فروشنده بگو ورقه ها و جلد ها و دست مزد کاری که انجام داده ای را به فلان قیمت خریدم</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حسنة جَرَّاحٍ اَلْمَدَائِنِیِّ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 اَلْمَصَاحِفِ قَالَ لاَ تَبِعِ اَلْکِتَابَ وَ لاَ تَشْتَرِهِ وَ بِعِ اَلْوَرَقَ وَ اَلْأَدِیمَ وَ اَلْحَدِیدَ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حسنه جراح مدائنی از امام صادق علیه السلام در مورد خرید و فروش مصحف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کریم را خرید و فروش نکن و اوراق و پوست و جلد آن را معامله کن</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سَمَاعَهَ بْنِ مِهْرَانَ قَالَ سَمِعْتُ أَبَا عَبْدِ اللَّهِ علیه السلام یَقُولُ لَا تَبِیعُوا الْمَصَاحِفَ فَإِنَّ بَیْعَهَا حَرَامٌ قُلْتُ فَمَا تَقُولُ فِی شِرَائِهَا قَالَ اشْتَرِ مِنْهُ الدَّفَّتَیْنِ وَ الْحَدِیدَ وَ الْغِلَافَ وَ إِیَّاکَ أَنْ تَشْتَرِیَ مِنْهُ الْوَرَقَ وَ فِیهِ الْقُرْآنُ مَکْتُوبٌ فَیَکُونَ عَلَیْکَ حَرَاماً وَ عَلَی مَنْ بَاعَهُ حَرَاماً</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سماعة بن مهران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p>
    <w:p>
      <w:pPr>
        <w:pStyle w:val="BookText"/>
        <w:rPr/>
      </w:pPr>
      <w:r>
        <w:rPr>
          <w:rFonts w:ascii="IRNazanin" w:hAnsi="IRNazanin" w:eastAsia="IRNazanin"/>
          <w:color w:val="111111"/>
          <w:sz w:val="28"/>
          <w:sz w:val="28"/>
          <w:szCs w:val="28"/>
          <w:rtl w:val="true"/>
          <w:lang w:bidi="fa-IR"/>
        </w:rPr>
        <w:t>می فرمود مصحف را معامله نکنید که بیع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خریدن آن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ها و ورق ها و غلاف آن را خریداری کن و بر حذر باش از این که ورقی که قرآن در آن مکتوب است را خریداری کنی که برای تو که خریده ای حرام است و برای فروشنده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با بودن ابی عبد الله رازی که او محمّد بن احمد جامورانی است ضعیف می باشد چون قمی ها آن را تضعیف کرده اند و از رجال کتاب نوادر الحكمة استثنا نموده اند و هم چنین در سند روایت حسن بن علی ابن ابی حمزه وجود دارد و او واقفی پسر واقفی است و ضعیف است و اگر در سند روایت پدر او یعنی علی بن ابی حمزه به جای پسر باشد همان گونه که در کتاب تهذیب </w:t>
      </w:r>
      <w:r>
        <w:rPr>
          <w:rStyle w:val="FootnoteAnchor"/>
          <w:rtl w:val="true"/>
        </w:rPr>
        <w:footnoteReference w:id="33"/>
      </w:r>
      <w:r>
        <w:rPr>
          <w:rFonts w:ascii="IRNazanin" w:hAnsi="IRNazanin" w:eastAsia="IRNazanin"/>
          <w:color w:val="111111"/>
          <w:sz w:val="28"/>
          <w:sz w:val="28"/>
          <w:szCs w:val="28"/>
          <w:rtl w:val="true"/>
          <w:lang w:bidi="fa-IR"/>
        </w:rPr>
        <w:t>شیخ طوسی آمده است ضعف سند روایت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به موثقه برای این روایت که شیخ اعظم انصاری </w:t>
      </w:r>
      <w:r>
        <w:rPr>
          <w:rStyle w:val="FootnoteAnchor"/>
          <w:rtl w:val="true"/>
        </w:rPr>
        <w:footnoteReference w:id="34"/>
      </w:r>
      <w:r>
        <w:rPr>
          <w:rFonts w:ascii="IRNazanin" w:hAnsi="IRNazanin" w:eastAsia="IRNazanin"/>
          <w:color w:val="111111"/>
          <w:sz w:val="28"/>
          <w:sz w:val="28"/>
          <w:szCs w:val="28"/>
          <w:rtl w:val="true"/>
          <w:lang w:bidi="fa-IR"/>
        </w:rPr>
        <w:t xml:space="preserve">و محقّق ایروانی </w:t>
      </w:r>
      <w:r>
        <w:rPr>
          <w:rStyle w:val="FootnoteAnchor"/>
          <w:rtl w:val="true"/>
        </w:rPr>
        <w:footnoteReference w:id="35"/>
      </w:r>
      <w:r>
        <w:rPr>
          <w:rFonts w:ascii="IRNazanin" w:hAnsi="IRNazanin" w:eastAsia="IRNazanin"/>
          <w:color w:val="111111"/>
          <w:sz w:val="28"/>
          <w:sz w:val="28"/>
          <w:szCs w:val="28"/>
          <w:rtl w:val="true"/>
          <w:lang w:bidi="fa-IR"/>
        </w:rPr>
        <w:t xml:space="preserve">دارند نا تمام است چنان که بعضی از محقّقین و اعلام مانند آیة الله خویی </w:t>
      </w:r>
      <w:r>
        <w:rPr>
          <w:rStyle w:val="FootnoteAnchor"/>
          <w:rtl w:val="true"/>
        </w:rPr>
        <w:footnoteReference w:id="36"/>
      </w:r>
      <w:r>
        <w:rPr>
          <w:rFonts w:ascii="IRNazanin" w:hAnsi="IRNazanin" w:eastAsia="IRNazanin"/>
          <w:color w:val="111111"/>
          <w:sz w:val="28"/>
          <w:sz w:val="28"/>
          <w:szCs w:val="28"/>
          <w:rtl w:val="true"/>
          <w:lang w:bidi="fa-IR"/>
        </w:rPr>
        <w:t xml:space="preserve">و آیة الله سیّد صادق روحانی </w:t>
      </w:r>
      <w:r>
        <w:rPr>
          <w:rStyle w:val="FootnoteAnchor"/>
          <w:rtl w:val="true"/>
        </w:rPr>
        <w:footnoteReference w:id="37"/>
      </w:r>
      <w:r>
        <w:rPr>
          <w:rFonts w:ascii="IRNazanin" w:hAnsi="IRNazanin" w:eastAsia="IRNazanin"/>
          <w:color w:val="111111"/>
          <w:sz w:val="28"/>
          <w:sz w:val="28"/>
          <w:szCs w:val="28"/>
          <w:rtl w:val="true"/>
          <w:lang w:bidi="fa-IR"/>
        </w:rPr>
        <w:t xml:space="preserve">دام ظله و شیخ استاد ما آية الله میرزا جواد تبریزی </w:t>
      </w:r>
      <w:r>
        <w:rPr>
          <w:rStyle w:val="FootnoteAnchor"/>
          <w:rtl w:val="true"/>
        </w:rPr>
        <w:footnoteReference w:id="38"/>
      </w:r>
      <w:r>
        <w:rPr>
          <w:rFonts w:ascii="IRNazanin" w:hAnsi="IRNazanin" w:eastAsia="IRNazanin"/>
          <w:color w:val="111111"/>
          <w:sz w:val="28"/>
          <w:sz w:val="28"/>
          <w:szCs w:val="28"/>
          <w:rtl w:val="true"/>
          <w:lang w:bidi="fa-IR"/>
        </w:rPr>
        <w:t>این مطلب را آگاهی داده اند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مُرْسَلَةً الْقَاضِي نُعْمَانُ الْمِصْرِيِّ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يُكْتَبَ بِأَجْرٍ وَ لَا يَقَعُ الشِّرَاءُ عَلَى كِتَابِ اللَّهِ</w:t>
      </w:r>
      <w:bookmarkStart w:id="32" w:name="pg8741_73327"/>
    </w:p>
    <w:p>
      <w:pPr>
        <w:pStyle w:val="BookText"/>
        <w:rPr/>
      </w:pPr>
      <w:bookmarkEnd w:id="32"/>
      <w:r>
        <w:rPr>
          <w:rFonts w:ascii="Amiri" w:hAnsi="Amiri" w:eastAsia="Amiri" w:cs="Amiri"/>
          <w:color w:val="111111"/>
          <w:sz w:val="28"/>
          <w:sz w:val="28"/>
          <w:szCs w:val="28"/>
          <w:rtl w:val="true"/>
          <w:lang w:bidi="ar-SA"/>
        </w:rPr>
        <w:t>وَ لَکِنْ عَلَی اَلْجُلُودِ وَ اَلدَّفَّتَیْنِ یَقُولُ أَبِیعُکَ هَذَا بِکَذَا</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قاضی نعمان مصری از امام صادق علیه السلام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دستمزد برای نوشتن اشکالی ندارد ولی خرید و فروش بر کتاب خدا واقع نمی شود ولی برای معامله جلد ها و اوراق بین جلد ها صحیح است و می گویی این ها را به فلان قیمت به تو می فروشم</w:t>
      </w:r>
    </w:p>
    <w:p>
      <w:pPr>
        <w:pStyle w:val="Heading3"/>
        <w:numPr>
          <w:ilvl w:val="2"/>
          <w:numId w:val="1"/>
        </w:numPr>
        <w:rPr/>
      </w:pPr>
      <w:bookmarkStart w:id="33" w:name="__RefHeading___Toc3218730_653776707"/>
      <w:bookmarkStart w:id="34" w:name="_Toc11"/>
      <w:bookmarkEnd w:id="33"/>
      <w:r>
        <w:rPr>
          <w:rtl w:val="true"/>
        </w:rPr>
        <w:t>گروه دوم</w:t>
      </w:r>
      <w:r>
        <w:rPr>
          <w:rtl w:val="true"/>
        </w:rPr>
        <w:t xml:space="preserve">: </w:t>
      </w:r>
      <w:r>
        <w:rPr>
          <w:rtl w:val="true"/>
        </w:rPr>
        <w:t>روایاتی که بر جایز بودن بیع مصحف دلالت دارند</w:t>
      </w:r>
      <w:bookmarkEnd w:id="34"/>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رَوْحِ بْنِ عَبْدِ الرَّحِيمِ عَنْ أَبِي عَبْدِ اللَّهِ علیه السلام قَالَ سَأَلْتُهُ عَنْ شِرَاءِ الْمَصَاحِفِ وَ بَيْعِهَا فَقَالَ إِنَّمَا كَانَ يُوضَعُ الْوَرَقُ عِنْدَ الْمِنْبَرِ وَ كَانَ مَا بَيْنَ الْمِنْبَرِ وَ الْحَائِطِ قَدْرَ مَا تَمُرُّ الشَّاةُ أَوْ رَجُلٌ مُنْحَرِفٌ قَالَ فَكَانَ الرَّجُلُ يَأْتِي فَيَكْتُبُ مِنْ ذَلِكَ ثُمَّ إِنَّهُمُ اشْتَرَوْا بَعْدُ قُلْتُ فَمَا تَرَى فِي ذَلِكَ فَقَالَ لِي أَشْتَرِي أَحَبُّ إِلَيَّ مِنْ أَنْ أَبِيعَهُ قُلْتُ فَمَا تَرَى أَنْ أُعْطِيَ عَلَى كِتَابَتِهِ أَجْراً؟ قَالَ لَا بَأْسَ وَ لَكِنْ هَكَذَا كَانُوا يَصْنَعُونَ</w:t>
      </w:r>
      <w:r>
        <w:rPr>
          <w:rStyle w:val="FootnoteAnchor"/>
          <w:rtl w:val="true"/>
        </w:rPr>
        <w:footnoteReference w:id="4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روح بن عبدالرحیم از امام صادق علیه السلام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خرید و فروش مصحف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ورق های قرآن را نزدیک منبر قرار می دادند و بین منبر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به اندازه عبور گوسفند یا انسان خمیده بود و گفت پس افراد می آمدند و از روی آن می نوشتند یعنی استنساخ می کردند که بعداً خریداری می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این </w:t>
      </w:r>
    </w:p>
    <w:p>
      <w:pPr>
        <w:pStyle w:val="BookText"/>
        <w:rPr/>
      </w:pPr>
      <w:r>
        <w:rPr>
          <w:rFonts w:ascii="IRNazanin" w:hAnsi="IRNazanin" w:eastAsia="IRNazanin"/>
          <w:color w:val="111111"/>
          <w:sz w:val="28"/>
          <w:sz w:val="28"/>
          <w:szCs w:val="28"/>
          <w:rtl w:val="true"/>
          <w:lang w:bidi="fa-IR"/>
        </w:rPr>
        <w:t>کار چیست؟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و مصحف را بدست آوردن برایم دوست داشتنی تر است تا مصحف را دادن و پول گرفتن،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نویسنده دست مزد کتابت و نوشتن خود را بگیرد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آن ها به این صورت که گفته شد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بر جواز بیع مصحف واضح است ولی سند آن به واسطه غالب بن عثمان ضعیف می باشد و تعبیر کردن از این روایت به موثقه چنان که در کتاب ارشاد </w:t>
      </w:r>
      <w:r>
        <w:rPr>
          <w:rStyle w:val="FootnoteAnchor"/>
          <w:rtl w:val="true"/>
        </w:rPr>
        <w:footnoteReference w:id="41"/>
      </w:r>
      <w:r>
        <w:rPr>
          <w:rFonts w:ascii="IRNazanin" w:hAnsi="IRNazanin" w:eastAsia="IRNazanin"/>
          <w:color w:val="111111"/>
          <w:sz w:val="28"/>
          <w:sz w:val="28"/>
          <w:szCs w:val="28"/>
          <w:rtl w:val="true"/>
          <w:lang w:bidi="fa-IR"/>
        </w:rPr>
        <w:t>آمده غریب است</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عَنْبَسَهَ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أَنَا رَجُلٌ أَبِیعُ اَلْمَصَاحِفَ فَإِنْ نَهَیْتَنِی لَمْ أَبِعْهَا فَقَالَ أَلَسْتَ تَشْتَرِی وَرَقاً وَ تَکْتُبُ فِیهِ قُلْتُ بَلَی وَ أُعَالِجُهَا قَالَ لاَ بَأْسَ بِهَا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خبر عنبسه صحاف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من شخصی هستم که مصحف را خرید و فروش می کنم و اگر از این کار مرا نهی کنی آن را انجام نمی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ورقی را نخریده ای که مطلبی در آن نوشته شده باشد، گفتم آری و آن را درست هم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p>
    <w:p>
      <w:pPr>
        <w:pStyle w:val="BookText"/>
        <w:rPr/>
      </w:pPr>
      <w:r>
        <w:rPr>
          <w:rFonts w:ascii="IRNazanin" w:hAnsi="IRNazanin" w:eastAsia="IRNazanin"/>
          <w:color w:val="111111"/>
          <w:sz w:val="28"/>
          <w:sz w:val="28"/>
          <w:szCs w:val="28"/>
          <w:rtl w:val="true"/>
          <w:lang w:bidi="fa-IR"/>
        </w:rPr>
        <w:t>دلالت این روایت بر جواز بیع مصحف واضح است ولی سند آن به واسطه سابق سندی ضعیف است چون او مهمل می باشد و هم چنین عنبسه وراق که مجهول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صَحیحَهُ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بَیْعِ اَلْمَصَاحِفِ وَ شِرَائِهَا فَقَالَ إِنَّمَا کَانَ یُوضَعُ عِنْدَ اَلْقَامَة</w:t>
      </w:r>
    </w:p>
    <w:p>
      <w:pPr>
        <w:pStyle w:val="BookText"/>
        <w:rPr/>
      </w:pPr>
      <w:r>
        <w:rPr>
          <w:rFonts w:ascii="Amiri" w:hAnsi="Amiri" w:eastAsia="Amiri" w:cs="Amiri"/>
          <w:color w:val="111111"/>
          <w:sz w:val="28"/>
          <w:sz w:val="28"/>
          <w:szCs w:val="28"/>
          <w:rtl w:val="true"/>
          <w:lang w:bidi="ar-SA"/>
        </w:rPr>
        <w:t>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اَلْحَائِطِ وَ اَلْمِنْبَرِ قَیْدُ مَمَرِّ شَاة وَ رَجُلٍ وَ هُوَ مُنْحَرِفٌ فَکَانَ اَلرَّجُلُ یَأْتِی فَیَکْتُبُ اَلْبَقَرَة وَ یَجِیءُ آخَرُ فَیَکْتُبُ اَلسُّورَة کَذَلِکَ کَانُوا ثُمَّ إِنَّهُمُ اِشْتَرَوْا بَعْدَ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أَشْتَرِیهِ أَحَبُّ إِلَیَّ مِنْ أَنْ أَبِیعَهُ</w:t>
      </w:r>
      <w:r>
        <w:rPr>
          <w:rStyle w:val="FootnoteAnchor"/>
          <w:rtl w:val="true"/>
        </w:rPr>
        <w:footnoteReference w:id="43"/>
      </w:r>
      <w:r>
        <w:rPr>
          <w:rFonts w:ascii="IRNazanin" w:hAnsi="IRNazanin" w:eastAsia="IRNazanin"/>
          <w:color w:val="111111"/>
          <w:sz w:val="28"/>
          <w:sz w:val="28"/>
          <w:szCs w:val="28"/>
          <w:rtl w:val="true"/>
          <w:lang w:bidi="fa-IR"/>
        </w:rPr>
        <w:t xml:space="preserve"> صحیحه أبی 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خرید و فروش مصحف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دیوار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بود که به اندازه گوسفند یا انسان خمیده بود پس افرادی می آمدند و سوره بقره یا سوره های دیگر را می نوشتند و بعد از آن، آن ها خرید و فروش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آن در نزد من بهتر از فروش آن می باشد</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مُرْسَلَهُ الْقَاضِي نُعْمَانُ الْمِصْرِيُّ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بِبَیْعِ اَلْمَصَاحِفِ وَ شِرَائِهَا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مرسله قاضی نعمان مصری از امیرالمؤمنین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مصحف اشکالی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قواعد اجتهاد و فقاهت این است که بین دو دسته روایات جمع کنیم و روایات منع خرید و فروش مصحف را حمل بر کراهت نماییم چنان که در دسته دیگر روایات رخصت داده شده است و بنابر این فتوا به کراهت بیع مصحف می دهیم چنان که گذشت که بعضی از فقها این گونه فتوا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که در روایات منع، قرینه داخلی وجود دارد که آن را حمل بر کراهت نماییم و آن امر وارد شده در آن ها به خریدن بعد از نهی از آن می باشد و نفس این تعبیر قرینه قطعی است که روایات منع بر کراهت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معلوم می شود که اشکال شیخ اعظم به دلالت دو روایت ابی بصیر و روح بن عبد الرحیم در مورد جواز بیع مصحف اشکال ناتمام است 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انصاف آن است که دلالتی در آن در مورد جواز خریدن خط و نوشته مصحف وجود ندارد و به درستی که دلالت آن بر به دست آوردن مصحف است به آن روشی که در صدر اسلام به واسطه نوشتن از روی مصحف انجام می شده است بعداً همّت مردم کم شده است و دیگر خودشان متن را نسخه نویسی نمی کرده اند و مصحف را از طریق پرداخت مال و قیمت به صورت خرید و یا اجاره به دست می آوردند و دلالتی بر کیفیّت خرید ندارد، و خریداری یا معاوضه حتماً نباید انجام شود مگر این که برای چیزی غیر از نوشته مانند کاغذ های مصحف و غیره باشد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اخیر اشکالی هست بله در روایت آمده است که به دست آوردن مصحف در دوره اولیه اسلام به وسیله کتابت و نوشتن از روی آن بوده است نه مباشرت در خرید و فروش چنان که شیخ اعظم فرموده است ولی در آن ها آمده است که مسلمین مصحف را بعد از آن خریداری می کرده اند و امام علیه السلام فرموده است که خریدن مصحف در نزد من محبوب تر از فروختن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بیان اخیر از امام علیه السلام به صراحت در جواز بیع مصحف دارد و این که ایشان در مقام بیان آن بوده اند و کیفیت خاصی از خرید و فروش را نفرموده اند که مورد نظر ایشان باشد و بنابر این روایات مانعه را حمل بر کراهت می کنیم</w:t>
      </w:r>
    </w:p>
    <w:p>
      <w:pPr>
        <w:pStyle w:val="BookText"/>
        <w:rPr/>
      </w:pPr>
      <w:r>
        <w:rPr>
          <w:rFonts w:ascii="IRNazanin" w:hAnsi="IRNazanin" w:eastAsia="IRNazanin"/>
          <w:color w:val="111111"/>
          <w:sz w:val="28"/>
          <w:sz w:val="28"/>
          <w:szCs w:val="28"/>
          <w:rtl w:val="true"/>
          <w:lang w:bidi="fa-IR"/>
        </w:rPr>
        <w:t>و از آن چه اخیراً در کلام شیخ اعظم پیرامون روایات جواز گفتیم مناقشه دیگری در کلام او ایجاد می شود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روایات اگر چه ظهور در جواز دارد ولی ظهور آن در این هست که سکوت از چگونگی خرید و فروش دارد در جایی که حاجت به بیان بوده است بنابر این تعارضی با اخبار متقدّم که دارای بیان کیفیت بیع می باشد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مراد شیخ انصاری قدس سره تست آن است که اخبار جواز بیع از بیان کیفیت خرید و فروش ساکت هستند ولی در اخبار مانعه اشاره شده است به کیفیت خاصی از بیع که در مورد جلد و اوراق می باشد جدای از کتابت و خط و نوشته ها و بنابر این تعارضی ما بین این دو دسته روایات نمی باشد پس لازم است در بیع مصحف کیفیت خاصی که در روایات به آن ها امر شده است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مناقشه در کلام شیخ اعظم قدس سره روایات جواز در مقام بیان هستند و در آن ها کیفیت خاصی در مورد خریداری مصحف ذکر نشده است و از اطلاق این روایات معلوم می شود که کیفیت خاصی در آن مورد نظر نبوده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در این اخبار جواز و در اخبار دیگر که مانعه است یکی است و آن خرید و فروش مصحف است که وجود و قوام عنوان که برای آن هست به واسطه خطی است که در </w:t>
      </w:r>
      <w:bookmarkStart w:id="35" w:name="pg8741_73338"/>
    </w:p>
    <w:p>
      <w:pPr>
        <w:pStyle w:val="BookText"/>
        <w:rPr/>
      </w:pPr>
      <w:bookmarkEnd w:id="35"/>
      <w:r>
        <w:rPr>
          <w:rFonts w:ascii="IRNazanin" w:hAnsi="IRNazanin" w:eastAsia="IRNazanin"/>
          <w:color w:val="111111"/>
          <w:sz w:val="28"/>
          <w:sz w:val="28"/>
          <w:szCs w:val="28"/>
          <w:rtl w:val="true"/>
          <w:lang w:bidi="fa-IR"/>
        </w:rPr>
        <w:t>آن نوشته شده است و این چیزی است که توهم این که منعی وجود داشته باشد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توهمی در مورد جواز بیع ورق وجود ندارد که در مورد آن در مورد آن پرسشی انجام شود، با این که امام قدس سره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خریدن مصحف نزد من محبوب تر از فروختن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دارد به این که مراد از آن ورقی است که خط بر آن نوشته شده است و گر نه خود ورق کراهتی برای خرید و فروش آن وجود ندارد و این مطلبی است که محقّق ایروانی قدس سره </w:t>
      </w:r>
      <w:r>
        <w:rPr>
          <w:rStyle w:val="FootnoteAnchor"/>
          <w:rtl w:val="true"/>
        </w:rPr>
        <w:footnoteReference w:id="47"/>
      </w:r>
      <w:r>
        <w:rPr>
          <w:rFonts w:ascii="IRNazanin" w:hAnsi="IRNazanin" w:eastAsia="IRNazanin"/>
          <w:color w:val="111111"/>
          <w:sz w:val="28"/>
          <w:sz w:val="28"/>
          <w:szCs w:val="28"/>
          <w:rtl w:val="true"/>
          <w:lang w:bidi="fa-IR"/>
        </w:rPr>
        <w:t xml:space="preserve">گفته اند و حرف ایشان کامل و تمام است و محقّق خویی قدس سره </w:t>
      </w:r>
      <w:r>
        <w:rPr>
          <w:rStyle w:val="FootnoteAnchor"/>
          <w:rtl w:val="true"/>
        </w:rPr>
        <w:footnoteReference w:id="48"/>
      </w:r>
      <w:r>
        <w:rPr>
          <w:rFonts w:ascii="IRNazanin" w:hAnsi="IRNazanin" w:eastAsia="IRNazanin"/>
          <w:color w:val="111111"/>
          <w:sz w:val="28"/>
          <w:sz w:val="28"/>
          <w:szCs w:val="28"/>
          <w:rtl w:val="true"/>
          <w:lang w:bidi="fa-IR"/>
        </w:rPr>
        <w:t>نیز از ایشان پیروی کرده اند</w:t>
      </w:r>
      <w:r>
        <w:rPr>
          <w:rFonts w:eastAsia="IRNazanin" w:cs="IRNazanin"/>
          <w:color w:val="111111"/>
          <w:sz w:val="28"/>
          <w:szCs w:val="28"/>
          <w:rtl w:val="true"/>
          <w:lang w:bidi="fa-IR"/>
        </w:rPr>
        <w:t>.</w:t>
      </w:r>
    </w:p>
    <w:p>
      <w:pPr>
        <w:pStyle w:val="Heading2"/>
        <w:numPr>
          <w:ilvl w:val="1"/>
          <w:numId w:val="1"/>
        </w:numPr>
        <w:rPr/>
      </w:pPr>
      <w:bookmarkStart w:id="36" w:name="__RefHeading___Toc3218732_653776707"/>
      <w:bookmarkStart w:id="37" w:name="_Toc12"/>
      <w:bookmarkEnd w:id="36"/>
      <w:r>
        <w:rPr>
          <w:rtl w:val="true"/>
        </w:rPr>
        <w:t>نقدی به استاد قدس سره</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غریب مطلبی است که در کتاب ارشاد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ظاهر پرسش در مثل صحیحه ابی بصیر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آن را چگونه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راجع به جواز خریدن مصحف به صورت معمول و متعارف در سایر کتاب ها است پس بنابر این پاسخ امام علیه السلام بازگشت به آن صورت خرید و فروش است و این بیان مستفاد ظهور وضعی است نه اطلاقی که متوقف به تمام بودن مقدمات آن باشد چون دلالت لفظی که موضوع کتاب است به موجب وضع است و اضافه شدن کلمه بیع به آن ظاهر است به واسطه اضافه ای که وضع شده است برای این که به عنوان آن کتاب تعلّق بگیرد و این مطلب روشن است</w:t>
      </w:r>
      <w:r>
        <w:rPr>
          <w:rFonts w:eastAsia="IRNazanin" w:cs="IRNazanin"/>
          <w:color w:val="111111"/>
          <w:sz w:val="28"/>
          <w:szCs w:val="28"/>
          <w:rtl w:val="true"/>
          <w:lang w:bidi="fa-IR"/>
        </w:rPr>
        <w:t xml:space="preserve">» </w:t>
      </w:r>
      <w:r>
        <w:rPr>
          <w:rStyle w:val="FootnoteAnchor"/>
          <w:rtl w:val="true"/>
        </w:rPr>
        <w:footnoteReference w:id="49"/>
      </w:r>
      <w:bookmarkStart w:id="38" w:name="pg8741_73340"/>
    </w:p>
    <w:p>
      <w:pPr>
        <w:pStyle w:val="BookText"/>
        <w:rPr/>
      </w:pPr>
      <w:bookmarkEnd w:id="38"/>
      <w:r>
        <w:rPr>
          <w:rFonts w:ascii="IRNazanin" w:hAnsi="IRNazanin" w:eastAsia="IRNazanin"/>
          <w:color w:val="111111"/>
          <w:sz w:val="28"/>
          <w:sz w:val="28"/>
          <w:szCs w:val="28"/>
          <w:rtl w:val="true"/>
          <w:lang w:bidi="fa-IR"/>
        </w:rPr>
        <w:t>دلیل غریب بودن مطلب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و غیر آن از اخبار جواز لفظ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قدس سره ادعا کرده اند وجود ندارد که دلالت بر خط و نوشته و سطر ها به واسطه وضع داشته باشد و اگر مراد ایشان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وضعی دارد که خرید و فروش آن مطلق است و دال بر کیفیت خاصی از بیع نیست این مطلب از اولی هم غریب تر است و اگر مراد ایشان قدس سره تست این است که خرید و فروش به مصحف تعلق می گیرد چنان که به کتاب های دیگر نیز تعلق می گیرد بدون این که کیفیت خاصی در مصحف مورد نظر باشد این مطلب صحیح و تمام است ولی تمام بودن آن با تمسک به اطلاق روایت می باشد نه به واسطه وضع چنان که قبلاً توضیح داده شد</w:t>
      </w:r>
      <w:r>
        <w:rPr>
          <w:rFonts w:eastAsia="IRNazanin" w:cs="IRNazanin"/>
          <w:color w:val="111111"/>
          <w:sz w:val="28"/>
          <w:szCs w:val="28"/>
          <w:rtl w:val="true"/>
          <w:lang w:bidi="fa-IR"/>
        </w:rPr>
        <w:t>.</w:t>
      </w:r>
    </w:p>
    <w:p>
      <w:pPr>
        <w:pStyle w:val="Heading2"/>
        <w:numPr>
          <w:ilvl w:val="1"/>
          <w:numId w:val="1"/>
        </w:numPr>
        <w:rPr/>
      </w:pPr>
      <w:bookmarkStart w:id="39" w:name="__RefHeading___Toc3218734_653776707"/>
      <w:bookmarkStart w:id="40" w:name="_Toc13"/>
      <w:bookmarkEnd w:id="39"/>
      <w:r>
        <w:rPr>
          <w:rtl w:val="true"/>
        </w:rPr>
        <w:t>مؤیداتی و نقد آن</w:t>
      </w:r>
      <w:bookmarkEnd w:id="40"/>
    </w:p>
    <w:p>
      <w:pPr>
        <w:pStyle w:val="BookText"/>
        <w:rPr/>
      </w:pPr>
      <w:r>
        <w:rPr>
          <w:rFonts w:ascii="IRNazanin" w:hAnsi="IRNazanin" w:eastAsia="IRNazanin"/>
          <w:color w:val="111111"/>
          <w:sz w:val="28"/>
          <w:sz w:val="28"/>
          <w:szCs w:val="28"/>
          <w:rtl w:val="true"/>
          <w:lang w:bidi="fa-IR"/>
        </w:rPr>
        <w:t>بعد از نقل روایات در مورد جواز بیع مصحف مطالب دیگری که در این رابطه فقهای بزرگ اعلی الله کلمتهم آورده اند را به عنوان مؤید ها و نقد آن بیان می کنیم مشهور علما گفته اند که فروختن مصحف به کافر جایز نمی باشد و اگر فروختن مصحف به مسلمان نیز جایز نبود چنین فرعی در مورد کافر اصلاً مطرح نمی 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الکلام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تحقیق و بررسی موضوع جواز بیع مصحف از اطلاق ادله و اطلاق بسیاری از فتاوی فقها در مقام بیان شرایط خرید و فروش و غیره و حتّی در مسأله بيع مصحف از کافر چنین معلوم می شود که حتماً کلام آنان در این موضوع به واسطه اطلاقی که دارد شامل جواز بیع </w:t>
      </w:r>
    </w:p>
    <w:p>
      <w:pPr>
        <w:pStyle w:val="BookText"/>
        <w:rPr/>
      </w:pPr>
      <w:r>
        <w:rPr>
          <w:rFonts w:ascii="IRNazanin" w:hAnsi="IRNazanin" w:eastAsia="IRNazanin"/>
          <w:color w:val="111111"/>
          <w:sz w:val="28"/>
          <w:sz w:val="28"/>
          <w:szCs w:val="28"/>
          <w:rtl w:val="true"/>
          <w:lang w:bidi="fa-IR"/>
        </w:rPr>
        <w:t>مصحف به مسلمان می شود بدون آن که به وسایل و آلات تهیّه مصحف و کتاب مقیّد شده باشد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ولی استاد صاحب جواهر شیخ جعفر کاشف الغطاء در کتاب شرح قواعد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آنان از فروختن مصحف به کافر و اذن داده شده برای فروش مصحف به مسلمان به طور مطلق بیان گر آن چه هست که ذکر کرده ایم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یعنی بر کیفیت خاصی از بیع دارد و تأیید می کند آن چه که در مورد جواز بیع مصحف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دلالت بر آن دارد جاری بودن سیره قطعی متصل به زمان معصومین علیهم السلام که مصحف را مانند اموال دیگر خرید و فروش می کرده اند چنان که این سیره مستمرّ از سؤالاتی که در روایات گذشته آمده بود ظاهر و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 به این مطلب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سیره قاطع و روش انجام شده قوی ترین شاهد بر جواز بیع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تأیید می کند آن چه را که گفتیم احادیث وارد شده در مورد حبوه یعنی وسایل شخصی میّت که پس از وفات به پسر بزرگ او می رسد، مانند صحیحۀ ربعی بن عبد الله </w:t>
      </w:r>
      <w:r>
        <w:rPr>
          <w:rStyle w:val="FootnoteAnchor"/>
          <w:rtl w:val="true"/>
        </w:rPr>
        <w:footnoteReference w:id="53"/>
      </w:r>
      <w:r>
        <w:rPr>
          <w:rFonts w:ascii="IRNazanin" w:hAnsi="IRNazanin" w:eastAsia="IRNazanin"/>
          <w:color w:val="111111"/>
          <w:sz w:val="28"/>
          <w:sz w:val="28"/>
          <w:szCs w:val="28"/>
          <w:rtl w:val="true"/>
          <w:lang w:bidi="fa-IR"/>
        </w:rPr>
        <w:t xml:space="preserve">و صحیحۀ دیگری که از او </w:t>
      </w:r>
      <w:r>
        <w:rPr>
          <w:rStyle w:val="FootnoteAnchor"/>
          <w:rtl w:val="true"/>
        </w:rPr>
        <w:footnoteReference w:id="54"/>
      </w:r>
      <w:r>
        <w:rPr>
          <w:rFonts w:ascii="IRNazanin" w:hAnsi="IRNazanin" w:eastAsia="IRNazanin"/>
          <w:color w:val="111111"/>
          <w:sz w:val="28"/>
          <w:sz w:val="28"/>
          <w:szCs w:val="28"/>
          <w:rtl w:val="true"/>
          <w:lang w:bidi="fa-IR"/>
        </w:rPr>
        <w:t xml:space="preserve">نقل شده است و صحیحه حریز </w:t>
      </w:r>
      <w:r>
        <w:rPr>
          <w:rStyle w:val="FootnoteAnchor"/>
          <w:rtl w:val="true"/>
        </w:rPr>
        <w:footnoteReference w:id="55"/>
      </w:r>
      <w:r>
        <w:rPr>
          <w:rFonts w:ascii="IRNazanin" w:hAnsi="IRNazanin" w:eastAsia="IRNazanin"/>
          <w:color w:val="111111"/>
          <w:sz w:val="28"/>
          <w:sz w:val="28"/>
          <w:szCs w:val="28"/>
          <w:rtl w:val="true"/>
          <w:lang w:bidi="fa-IR"/>
        </w:rPr>
        <w:t xml:space="preserve">و از مواردی که در آن محسوب شده مصحف است که جزو حبوه می باشد و اگر </w:t>
      </w:r>
    </w:p>
    <w:p>
      <w:pPr>
        <w:pStyle w:val="BookText"/>
        <w:rPr/>
      </w:pPr>
      <w:r>
        <w:rPr>
          <w:rFonts w:ascii="IRNazanin" w:hAnsi="IRNazanin" w:eastAsia="IRNazanin"/>
          <w:color w:val="111111"/>
          <w:sz w:val="28"/>
          <w:sz w:val="28"/>
          <w:szCs w:val="28"/>
          <w:rtl w:val="true"/>
          <w:lang w:bidi="fa-IR"/>
        </w:rPr>
        <w:t>مصحف مال یا ملک نبود و یا این که قابلیت انتقال نداشت پس چگونه پسر بزرگ تر آن را از پدرش ارث می برد؟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می کند هم چنین این مطلب را که اگر مصحف مالیّت نداشته باشد پس چگونه حکم به ضمان به نفع صاحب مصحف می دهیم در صورتی که شخصی مصحف را تلف کند یا عیب و نقصی در آن ایجاد کند</w:t>
      </w:r>
    </w:p>
    <w:p>
      <w:pPr>
        <w:pStyle w:val="BookText"/>
        <w:rPr/>
      </w:pPr>
      <w:r>
        <w:rPr>
          <w:rFonts w:ascii="IRNazanin" w:hAnsi="IRNazanin" w:eastAsia="IRNazanin"/>
          <w:color w:val="111111"/>
          <w:sz w:val="28"/>
          <w:sz w:val="28"/>
          <w:szCs w:val="28"/>
          <w:rtl w:val="true"/>
          <w:lang w:bidi="fa-IR"/>
        </w:rPr>
        <w:t>ولی ممکن است در این مؤیدات چهار گانه ای که گفتیم مناقشه شود به آن چه که جدّ ما فقیه بزرگ شیخ جعفر قدس سره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مانعی برای تعلّق ملک و تملیک به صورت رایگان و مجانی وجود ندارد بلکه تملیک به صورت تبعی پس در این صورت هم ضمان برای مشتری بر آن چه تلف شده وجود دارد و حتی اگر گفته شود با تملیک اصلی، و آن چه نهی شده تحقیقاً صورت هایی است که با احترام و پاس داشت ادب نسبت به مصحف منافی باشد و این مورد بعید نمی باشد غیر از این که عمل کردن به ظواهر ادلّه قوی تر به نظر می رسد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وقتی ملکی باشد برای مالک آن بنابر این علی القاعده به واسطه از دنیا رفتن او به پسر اکبر منتقل می شود و تلف شدن آن موجب ضمان هم می شود بلکه خرید و فروش آن به کیفیت خاصی که در روایات آمده نیز جایز است و ممکن است سیره قطعی که وجود دارد برای همین کیفیت خاص باشد و برای همین از این چهار مورد که گذشت به عنوان مؤیّدات تعبیر کردیم</w:t>
      </w:r>
      <w:r>
        <w:rPr>
          <w:rFonts w:eastAsia="IRNazanin" w:cs="IRNazanin"/>
          <w:color w:val="111111"/>
          <w:sz w:val="28"/>
          <w:szCs w:val="28"/>
          <w:rtl w:val="true"/>
          <w:lang w:bidi="fa-IR"/>
        </w:rPr>
        <w:t xml:space="preserve">. </w:t>
      </w:r>
      <w:bookmarkStart w:id="41" w:name="pg8741_73346"/>
    </w:p>
    <w:p>
      <w:pPr>
        <w:pStyle w:val="Heading2"/>
        <w:numPr>
          <w:ilvl w:val="1"/>
          <w:numId w:val="1"/>
        </w:numPr>
        <w:rPr/>
      </w:pPr>
      <w:bookmarkStart w:id="42" w:name="__RefHeading___Toc3218736_653776707"/>
      <w:bookmarkStart w:id="43" w:name="_Toc14"/>
      <w:bookmarkEnd w:id="41"/>
      <w:bookmarkEnd w:id="42"/>
      <w:r>
        <w:rPr>
          <w:rtl w:val="true"/>
        </w:rPr>
        <w:t>مقصود از حرمت بیع مصحف چیست؟</w:t>
      </w:r>
      <w:bookmarkEnd w:id="43"/>
    </w:p>
    <w:p>
      <w:pPr>
        <w:pStyle w:val="Heading3"/>
        <w:numPr>
          <w:ilvl w:val="2"/>
          <w:numId w:val="1"/>
        </w:numPr>
        <w:rPr/>
      </w:pPr>
      <w:bookmarkStart w:id="44" w:name="__RefHeading___Toc3218738_653776707"/>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نهی وارد شده در روایات به نفس و ذات خرید و فروش مصحف تعلّق گرفته است چنان که در روایت حسنه یا معتبره عبدالرحمن بن سیابه از امام صادق علیه السلام آمده که شنیدم که ایشان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اَلْمَصَاحِفَ لَنْ تُشْتَرَى الحدیث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قرآن خرید و فروش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موثقه سماعه از امام صادق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تَشْتَرِ کتاب اللَّهُ ، 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کتاب خدا را خریداری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صحیحه عثمان بن عیسی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تَشْتَرِ کَلام اللَّهُ ، الْحَدِيثَ</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کتاب خدا را خریداری نکن</w:t>
      </w:r>
    </w:p>
    <w:p>
      <w:pPr>
        <w:pStyle w:val="BookText"/>
        <w:rPr/>
      </w:pPr>
      <w:r>
        <w:rPr>
          <w:rFonts w:ascii="IRNazanin" w:hAnsi="IRNazanin" w:eastAsia="IRNazanin"/>
          <w:color w:val="111111"/>
          <w:sz w:val="28"/>
          <w:sz w:val="28"/>
          <w:szCs w:val="28"/>
          <w:rtl w:val="true"/>
          <w:lang w:bidi="fa-IR"/>
        </w:rPr>
        <w:t>و در حسنه جراح مدائنی از امام صادق علیه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تَبِعِ الْكِتَابِ ، الْحَدِيثَ</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کتاب خدا را معامله نکن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این نهی به خرید و فروش تعلق گرفته پس ظهور آن در حرمت وضعی واضح است یعنی معامله باطل است و حرمت </w:t>
      </w:r>
    </w:p>
    <w:p>
      <w:pPr>
        <w:pStyle w:val="BookText"/>
        <w:rPr/>
      </w:pPr>
      <w:r>
        <w:rPr>
          <w:rFonts w:ascii="IRNazanin" w:hAnsi="IRNazanin" w:eastAsia="IRNazanin"/>
          <w:color w:val="111111"/>
          <w:sz w:val="28"/>
          <w:sz w:val="28"/>
          <w:szCs w:val="28"/>
          <w:rtl w:val="true"/>
          <w:lang w:bidi="fa-IR"/>
        </w:rPr>
        <w:t xml:space="preserve">تکلیفی ندارد چنان که محقق اردکانی </w:t>
      </w:r>
      <w:r>
        <w:rPr>
          <w:rStyle w:val="FootnoteAnchor"/>
          <w:rtl w:val="true"/>
        </w:rPr>
        <w:footnoteReference w:id="6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می شود از آن چه گفتیم فساد قول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حرمت فساد است و نه فقط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مراد به حرمت اعم از حرمت وضعی و تکلیفی است چنان که از محقّق ایروانی قدس سره </w:t>
      </w:r>
      <w:r>
        <w:rPr>
          <w:rStyle w:val="FootnoteAnchor"/>
          <w:rtl w:val="true"/>
        </w:rPr>
        <w:footnoteReference w:id="62"/>
      </w:r>
      <w:r>
        <w:rPr>
          <w:rFonts w:ascii="IRNazanin" w:hAnsi="IRNazanin" w:eastAsia="IRNazanin"/>
          <w:color w:val="111111"/>
          <w:sz w:val="28"/>
          <w:sz w:val="28"/>
          <w:szCs w:val="28"/>
          <w:rtl w:val="true"/>
          <w:lang w:bidi="fa-IR"/>
        </w:rPr>
        <w:t xml:space="preserve">نت نقل شده است و فساد قول به این که مراد از آن فقط حرمت نفسی یا تکلیفی باشد چنان که از کلام فقیه یزدی قدس سره </w:t>
      </w:r>
      <w:r>
        <w:rPr>
          <w:rStyle w:val="FootnoteAnchor"/>
          <w:rtl w:val="true"/>
        </w:rPr>
        <w:footnoteReference w:id="63"/>
      </w:r>
      <w:r>
        <w:rPr>
          <w:rFonts w:ascii="IRNazanin" w:hAnsi="IRNazanin" w:eastAsia="IRNazanin"/>
          <w:color w:val="111111"/>
          <w:sz w:val="28"/>
          <w:sz w:val="28"/>
          <w:szCs w:val="28"/>
          <w:rtl w:val="true"/>
          <w:lang w:bidi="fa-IR"/>
        </w:rPr>
        <w:t>ظاهر می شود</w:t>
      </w:r>
    </w:p>
    <w:p>
      <w:pPr>
        <w:pStyle w:val="BookText"/>
        <w:rPr/>
      </w:pPr>
      <w:r>
        <w:rPr>
          <w:rFonts w:ascii="IRNazanin" w:hAnsi="IRNazanin" w:eastAsia="IRNazanin"/>
          <w:color w:val="111111"/>
          <w:sz w:val="28"/>
          <w:sz w:val="28"/>
          <w:szCs w:val="28"/>
          <w:rtl w:val="true"/>
          <w:lang w:bidi="fa-IR"/>
        </w:rPr>
        <w:t>و حاصل این که، اگر ما باشیم و فقط روایات منع خرید و فروش مصحف، باید گفت که بیع مصحف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نفس روایات کیفیت خاصی برای خرید و فروش مصحف آمده است و آن معامله مصحف است به اعتبار ورق ها و جلد و فلز و غلاف و پوست و تزئینات و شیرازه بندی و دست مزد کار هایی که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وجود به واسطه این که خط قرآن کریم و نقش های کتابت از اموری است که نام گذاری مصحف در عرف مردم بر مبنای آن هست و بنابر این در نظر آنان مصحف چیزی است و صحیفه مبارکه سجادیه بر انشاء کننده آن هزاران درود و سلام به عنوان مثال چیز دیگری است چگونه می شود خرید و فروش انجام شود ولی آن خطوط و سطر ها و نوشته ها در قصد معامله نباشد؟</w:t>
      </w:r>
    </w:p>
    <w:p>
      <w:pPr>
        <w:pStyle w:val="BookText"/>
        <w:rPr/>
      </w:pPr>
      <w:r>
        <w:rPr>
          <w:rFonts w:ascii="IRNazanin" w:hAnsi="IRNazanin" w:eastAsia="IRNazanin"/>
          <w:color w:val="111111"/>
          <w:sz w:val="28"/>
          <w:sz w:val="28"/>
          <w:szCs w:val="28"/>
          <w:rtl w:val="true"/>
          <w:lang w:bidi="fa-IR"/>
        </w:rPr>
        <w:t>امکان پاسخ گویی از این اشکال به دو صورت وجود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و نوشته ها در تمام کتاب ها از مقدماتی است که نام کتاب بر مبنای آن است ولی بعد از نهی شارع از خرید و فروش </w:t>
      </w:r>
    </w:p>
    <w:p>
      <w:pPr>
        <w:pStyle w:val="BookText"/>
        <w:rPr/>
      </w:pPr>
      <w:r>
        <w:rPr>
          <w:rFonts w:ascii="IRNazanin" w:hAnsi="IRNazanin" w:eastAsia="IRNazanin"/>
          <w:color w:val="111111"/>
          <w:sz w:val="28"/>
          <w:sz w:val="28"/>
          <w:szCs w:val="28"/>
          <w:rtl w:val="true"/>
          <w:lang w:bidi="fa-IR"/>
        </w:rPr>
        <w:t>مصحف مشتری و فروشنده عقد بیع را بر اوراق و جلد و مانند آن ها جاری می کنند که خطوط و نقش ها هم در آن است و لذا این دو موارد هم به تبع آن در ملک مشتری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نهی بیع مصحف نبود نقوش هم جزو مورد معامله قرار می گرفت بلکه مقصود اصلی از معامله آن بود و غیر از آن ها تابع بودند ولی با ملاحظه نهی وارد شده مطلب بر عکس می شود و با رعایت تبعیت مطلب امکان پذیر است که طرفین معامله قصد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محقّق نائینی </w:t>
      </w:r>
      <w:r>
        <w:rPr>
          <w:rStyle w:val="FootnoteAnchor"/>
          <w:rtl w:val="true"/>
        </w:rPr>
        <w:footnoteReference w:id="64"/>
      </w:r>
      <w:r>
        <w:rPr>
          <w:rFonts w:ascii="IRNazanin" w:hAnsi="IRNazanin" w:eastAsia="IRNazanin"/>
          <w:color w:val="111111"/>
          <w:sz w:val="28"/>
          <w:sz w:val="28"/>
          <w:szCs w:val="28"/>
          <w:rtl w:val="true"/>
          <w:lang w:bidi="fa-IR"/>
        </w:rPr>
        <w:t xml:space="preserve">فرموده اند و شاگرد ایشان سیّد خویی </w:t>
      </w:r>
      <w:r>
        <w:rPr>
          <w:rStyle w:val="FootnoteAnchor"/>
          <w:rtl w:val="true"/>
        </w:rPr>
        <w:footnoteReference w:id="65"/>
      </w:r>
      <w:r>
        <w:rPr>
          <w:rFonts w:ascii="IRNazanin" w:hAnsi="IRNazanin" w:eastAsia="IRNazanin"/>
          <w:color w:val="111111"/>
          <w:sz w:val="28"/>
          <w:sz w:val="28"/>
          <w:szCs w:val="28"/>
          <w:rtl w:val="true"/>
          <w:lang w:bidi="fa-IR"/>
        </w:rPr>
        <w:t xml:space="preserve">پیروی کرده اند قدس سرهما، و به این استدلال شیخ جعفر </w:t>
      </w:r>
      <w:r>
        <w:rPr>
          <w:rStyle w:val="FootnoteAnchor"/>
          <w:rtl w:val="true"/>
        </w:rPr>
        <w:footnoteReference w:id="66"/>
      </w:r>
      <w:r>
        <w:rPr>
          <w:rFonts w:ascii="IRNazanin" w:hAnsi="IRNazanin" w:eastAsia="IRNazanin"/>
          <w:color w:val="111111"/>
          <w:sz w:val="28"/>
          <w:sz w:val="28"/>
          <w:szCs w:val="28"/>
          <w:rtl w:val="true"/>
          <w:lang w:bidi="fa-IR"/>
        </w:rPr>
        <w:t xml:space="preserve">و شاگرد او صاحب جواهر </w:t>
      </w:r>
      <w:r>
        <w:rPr>
          <w:rStyle w:val="FootnoteAnchor"/>
          <w:rtl w:val="true"/>
        </w:rPr>
        <w:footnoteReference w:id="67"/>
      </w:r>
      <w:r>
        <w:rPr>
          <w:rFonts w:ascii="IRNazanin" w:hAnsi="IRNazanin" w:eastAsia="IRNazanin"/>
          <w:color w:val="111111"/>
          <w:sz w:val="28"/>
          <w:sz w:val="28"/>
          <w:szCs w:val="28"/>
          <w:rtl w:val="true"/>
          <w:lang w:bidi="fa-IR"/>
        </w:rPr>
        <w:t>اعلی الله مقامهما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توان در این استدلال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نقش ها و نوشته ها از مقومات هستند و مقصود اصلی از خرید و فروش کتاب ها عموماً و مخصوصاً برای مصحف می باشند و اصلی یا تبعی بودن از امور قصدیّه نیستند که خریدار و فروشنده آن ها را قصد کرده باشند بلکه آن ها از اموری هستند که در خارج تحقّق پیدا می کنند و نزد عرف اهل آن معین می باشند پس قصد خریدار و فروشنده فایده ای در این مقام ندارد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مورد معامله کاغذ ها و جلد و غیر آن ها باشد ولی مشتری بر فروشنده شرط کند به صورت شرط ضمن عقد که خطوط </w:t>
      </w:r>
    </w:p>
    <w:p>
      <w:pPr>
        <w:pStyle w:val="BookText"/>
        <w:rPr/>
      </w:pPr>
      <w:r>
        <w:rPr>
          <w:rFonts w:ascii="IRNazanin" w:hAnsi="IRNazanin" w:eastAsia="IRNazanin"/>
          <w:color w:val="111111"/>
          <w:sz w:val="28"/>
          <w:sz w:val="28"/>
          <w:szCs w:val="28"/>
          <w:rtl w:val="true"/>
          <w:lang w:bidi="fa-IR"/>
        </w:rPr>
        <w:t>و نقش ها و نوشته ها به صورت رایگان و مجانی در ملکیت مشتری باشد و الزامی به تصریح این شرط وجود ندارد زیرا بعد از این که بنا را بر حرام بودن بیع مصحف قرار دادیم پس قرینه قطعیّه برای اقامه این شرط در عقد وجود دارد و یا این که مانند شروط ارتکازی در عقد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استدلال شیخ جعفر </w:t>
      </w:r>
      <w:r>
        <w:rPr>
          <w:rStyle w:val="FootnoteAnchor"/>
          <w:rtl w:val="true"/>
        </w:rPr>
        <w:footnoteReference w:id="68"/>
      </w:r>
      <w:r>
        <w:rPr>
          <w:rFonts w:ascii="IRNazanin" w:hAnsi="IRNazanin" w:eastAsia="IRNazanin"/>
          <w:color w:val="111111"/>
          <w:sz w:val="28"/>
          <w:sz w:val="28"/>
          <w:szCs w:val="28"/>
          <w:rtl w:val="true"/>
          <w:lang w:bidi="fa-IR"/>
        </w:rPr>
        <w:t xml:space="preserve">اشاره فرموده اند و فقیه یزدی </w:t>
      </w:r>
      <w:r>
        <w:rPr>
          <w:rStyle w:val="FootnoteAnchor"/>
          <w:rtl w:val="true"/>
        </w:rPr>
        <w:footnoteReference w:id="69"/>
      </w:r>
      <w:r>
        <w:rPr>
          <w:rFonts w:ascii="Amiri" w:hAnsi="Amiri" w:eastAsia="Amiri" w:cs="Amiri"/>
          <w:color w:val="111111"/>
          <w:sz w:val="28"/>
          <w:sz w:val="28"/>
          <w:szCs w:val="28"/>
          <w:rtl w:val="true"/>
          <w:lang w:bidi="ar-SA"/>
        </w:rPr>
        <w:t xml:space="preserve">و محقّق خویی </w:t>
      </w:r>
      <w:r>
        <w:rPr>
          <w:rStyle w:val="FootnoteAnchor"/>
          <w:rtl w:val="true"/>
        </w:rPr>
        <w:footnoteReference w:id="70"/>
      </w:r>
      <w:r>
        <w:rPr>
          <w:rFonts w:ascii="IRNazanin" w:hAnsi="IRNazanin" w:eastAsia="IRNazanin"/>
          <w:color w:val="111111"/>
          <w:sz w:val="28"/>
          <w:sz w:val="28"/>
          <w:szCs w:val="28"/>
          <w:rtl w:val="true"/>
          <w:lang w:bidi="fa-IR"/>
        </w:rPr>
        <w:t>قدس الله اسرارهم نیز از ایشان پیروی کرده اند</w:t>
      </w:r>
      <w:r>
        <w:rPr>
          <w:rFonts w:eastAsia="IRNazanin" w:cs="IRNazanin"/>
          <w:color w:val="111111"/>
          <w:sz w:val="28"/>
          <w:szCs w:val="28"/>
          <w:rtl w:val="true"/>
          <w:lang w:bidi="fa-IR"/>
        </w:rPr>
        <w:t xml:space="preserve">. </w:t>
      </w:r>
      <w:bookmarkStart w:id="46" w:name="pg8741_73353"/>
    </w:p>
    <w:p>
      <w:pPr>
        <w:pStyle w:val="BookText"/>
        <w:rPr/>
      </w:pPr>
      <w:bookmarkEnd w:id="46"/>
      <w:r>
        <w:rPr>
          <w:rFonts w:ascii="IRNazanin" w:hAnsi="IRNazanin" w:eastAsia="IRNazanin"/>
          <w:color w:val="111111"/>
          <w:sz w:val="28"/>
          <w:sz w:val="28"/>
          <w:szCs w:val="28"/>
          <w:rtl w:val="true"/>
          <w:lang w:bidi="fa-IR"/>
        </w:rPr>
        <w:t>پس از آن در بحث خرید و فروش مصحف مسائل فراوانی وجود دارد که باید به برخی از آن ها بپردازیم</w:t>
      </w:r>
      <w:r>
        <w:rPr>
          <w:rFonts w:eastAsia="IRNazanin" w:cs="IRNazanin"/>
          <w:color w:val="111111"/>
          <w:sz w:val="28"/>
          <w:szCs w:val="28"/>
          <w:rtl w:val="true"/>
          <w:lang w:bidi="fa-IR"/>
        </w:rPr>
        <w:t>:</w:t>
      </w:r>
    </w:p>
    <w:p>
      <w:pPr>
        <w:pStyle w:val="Heading3"/>
        <w:numPr>
          <w:ilvl w:val="2"/>
          <w:numId w:val="1"/>
        </w:numPr>
        <w:rPr/>
      </w:pPr>
      <w:bookmarkStart w:id="47" w:name="__RefHeading___Toc3218740_653776707"/>
      <w:bookmarkStart w:id="48" w:name="_Toc16"/>
      <w:bookmarkEnd w:id="47"/>
      <w:r>
        <w:rPr>
          <w:rtl w:val="true"/>
        </w:rPr>
        <w:t>مسأله اوّل</w:t>
      </w:r>
      <w:r>
        <w:rPr>
          <w:rtl w:val="true"/>
        </w:rPr>
        <w:t xml:space="preserve">: </w:t>
      </w:r>
      <w:r>
        <w:rPr>
          <w:rtl w:val="true"/>
        </w:rPr>
        <w:t>جایز بودن گرفتن دست مزد برای نوشتن خط قرآن کریم</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فقهاء به جواز گرفتن دست مزد برای نوشتن قرآن تصریح کرده اند مانند سلّار بن عبد العزیز دیلمی در کتاب مراسم </w:t>
      </w:r>
      <w:r>
        <w:rPr>
          <w:rStyle w:val="FootnoteAnchor"/>
          <w:rtl w:val="true"/>
        </w:rPr>
        <w:footnoteReference w:id="71"/>
      </w:r>
      <w:r>
        <w:rPr>
          <w:rFonts w:ascii="IRNazanin" w:hAnsi="IRNazanin" w:eastAsia="IRNazanin"/>
          <w:color w:val="111111"/>
          <w:sz w:val="28"/>
          <w:sz w:val="28"/>
          <w:szCs w:val="28"/>
          <w:rtl w:val="true"/>
          <w:lang w:bidi="fa-IR"/>
        </w:rPr>
        <w:t xml:space="preserve">و علامه در تحریر </w:t>
      </w:r>
      <w:r>
        <w:rPr>
          <w:rStyle w:val="FootnoteAnchor"/>
          <w:rtl w:val="true"/>
        </w:rPr>
        <w:footnoteReference w:id="72"/>
      </w:r>
      <w:r>
        <w:rPr>
          <w:rFonts w:ascii="IRNazanin" w:hAnsi="IRNazanin" w:eastAsia="IRNazanin"/>
          <w:color w:val="111111"/>
          <w:sz w:val="28"/>
          <w:sz w:val="28"/>
          <w:szCs w:val="28"/>
          <w:rtl w:val="true"/>
          <w:lang w:bidi="fa-IR"/>
        </w:rPr>
        <w:t xml:space="preserve">و نهایه </w:t>
      </w:r>
      <w:r>
        <w:rPr>
          <w:rStyle w:val="FootnoteAnchor"/>
          <w:rtl w:val="true"/>
        </w:rPr>
        <w:footnoteReference w:id="73"/>
      </w:r>
      <w:r>
        <w:rPr>
          <w:rFonts w:ascii="IRNazanin" w:hAnsi="IRNazanin" w:eastAsia="IRNazanin"/>
          <w:color w:val="111111"/>
          <w:sz w:val="28"/>
          <w:sz w:val="28"/>
          <w:szCs w:val="28"/>
          <w:rtl w:val="true"/>
          <w:lang w:bidi="fa-IR"/>
        </w:rPr>
        <w:t xml:space="preserve">و کتاب تجارت قواعد </w:t>
      </w:r>
      <w:r>
        <w:rPr>
          <w:rStyle w:val="FootnoteAnchor"/>
          <w:rtl w:val="true"/>
        </w:rPr>
        <w:footnoteReference w:id="74"/>
      </w:r>
      <w:r>
        <w:rPr>
          <w:rFonts w:ascii="IRNazanin" w:hAnsi="IRNazanin" w:eastAsia="IRNazanin"/>
          <w:color w:val="111111"/>
          <w:sz w:val="28"/>
          <w:sz w:val="28"/>
          <w:szCs w:val="28"/>
          <w:rtl w:val="true"/>
          <w:lang w:bidi="fa-IR"/>
        </w:rPr>
        <w:t xml:space="preserve">و تذکره </w:t>
      </w:r>
      <w:r>
        <w:rPr>
          <w:rStyle w:val="FootnoteAnchor"/>
          <w:rtl w:val="true"/>
        </w:rPr>
        <w:footnoteReference w:id="75"/>
      </w:r>
      <w:r>
        <w:rPr>
          <w:rFonts w:ascii="IRNazanin" w:hAnsi="IRNazanin" w:eastAsia="IRNazanin"/>
          <w:color w:val="111111"/>
          <w:sz w:val="28"/>
          <w:sz w:val="28"/>
          <w:szCs w:val="28"/>
          <w:rtl w:val="true"/>
          <w:lang w:bidi="fa-IR"/>
        </w:rPr>
        <w:t xml:space="preserve">و کتاب اجاره این دو </w:t>
      </w:r>
      <w:r>
        <w:rPr>
          <w:rStyle w:val="FootnoteAnchor"/>
          <w:rtl w:val="true"/>
        </w:rPr>
        <w:footnoteReference w:id="76"/>
      </w:r>
      <w:r>
        <w:rPr>
          <w:rFonts w:ascii="IRNazanin" w:hAnsi="IRNazanin" w:eastAsia="IRNazanin"/>
          <w:color w:val="111111"/>
          <w:sz w:val="28"/>
          <w:sz w:val="28"/>
          <w:szCs w:val="28"/>
          <w:rtl w:val="true"/>
          <w:lang w:bidi="fa-IR"/>
        </w:rPr>
        <w:t xml:space="preserve">و کتاب اجاره جامع المقاصد </w:t>
      </w:r>
      <w:r>
        <w:rPr>
          <w:rStyle w:val="FootnoteAnchor"/>
          <w:rtl w:val="true"/>
        </w:rPr>
        <w:footnoteReference w:id="77"/>
      </w:r>
      <w:r>
        <w:rPr>
          <w:rFonts w:ascii="IRNazanin" w:hAnsi="IRNazanin" w:eastAsia="IRNazanin"/>
          <w:color w:val="111111"/>
          <w:sz w:val="28"/>
          <w:sz w:val="28"/>
          <w:szCs w:val="28"/>
          <w:rtl w:val="true"/>
          <w:lang w:bidi="fa-IR"/>
        </w:rPr>
        <w:t xml:space="preserve">و در کتاب های اجاره تذکره و جامع المقاصد به اکثر علما نسبت داده شده است و در كتاب حدائق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 است که خلافی در آن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ولی در کتاب نهایه </w:t>
      </w:r>
      <w:r>
        <w:rPr>
          <w:rStyle w:val="FootnoteAnchor"/>
          <w:rtl w:val="true"/>
        </w:rPr>
        <w:footnoteReference w:id="79"/>
      </w:r>
      <w:r>
        <w:rPr>
          <w:rFonts w:ascii="IRNazanin" w:hAnsi="IRNazanin" w:eastAsia="IRNazanin"/>
          <w:color w:val="111111"/>
          <w:sz w:val="28"/>
          <w:sz w:val="28"/>
          <w:szCs w:val="28"/>
          <w:rtl w:val="true"/>
          <w:lang w:bidi="fa-IR"/>
        </w:rPr>
        <w:t xml:space="preserve">و در کتاب نافع </w:t>
      </w:r>
      <w:r>
        <w:rPr>
          <w:rStyle w:val="FootnoteAnchor"/>
          <w:rtl w:val="true"/>
        </w:rPr>
        <w:footnoteReference w:id="80"/>
      </w:r>
      <w:r>
        <w:rPr>
          <w:rFonts w:ascii="IRNazanin" w:hAnsi="IRNazanin" w:eastAsia="IRNazanin"/>
          <w:color w:val="111111"/>
          <w:sz w:val="28"/>
          <w:sz w:val="28"/>
          <w:szCs w:val="28"/>
          <w:rtl w:val="true"/>
          <w:lang w:bidi="fa-IR"/>
        </w:rPr>
        <w:t>گفته اند که با شرط،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ابن ادریس آن را از درآمد های مکروه بر می شمارد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نوشتن مصحف با شرط اجرت جایز نیست و بدون شرط حلال و آزاد است و این فتوای تمام اصحاب ما هست و اجماع آنان بر آن منعقد شده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تعدادی از روایات بر جواز گرفتن دست مزد برای نوشتن قرآن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عَبْدِ اَللَّهِ بْنِ اَلْحَارِثِ أَرَادَتْ أَنْ تَکْتُبَ مُصْحَفاً وَ اِشْتَرَتْ وَرَقاً مِنْ عِنْدِهَا وَ دَعَتْ رَجُلاً فَکَتَبَ لَهَا عَلَی غَیْرِ شَرْطٍ فَأَعْطَتْهُ حِینَ فَرَغَ خَمْسِینَ دِینَاراً وَ إِنَّهُ لَمْ تُبَعِ اَلْمَصَاحِفُ إِلاَّ حَدِیثاً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خبر عبدالرحمن بن ابی عبدالله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حارث می خواست مصحفی برایش نوشته شود ورقی را خودش خریداری کرد و به مردی داد که برای او بنویسد بدون هیچ شرطی، وقتی آن مرد از نوشتن فارغ شد به او پنجاه دینار پرداخت کرد و مصحف را معامله نمی شود مگر این که نو و جدید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سند همگی ثقات هستند مگر قاسم بن محمّد جوهری </w:t>
      </w:r>
    </w:p>
    <w:p>
      <w:pPr>
        <w:pStyle w:val="BookText"/>
        <w:rPr/>
      </w:pPr>
      <w:r>
        <w:rPr>
          <w:rFonts w:ascii="IRNazanin" w:hAnsi="IRNazanin" w:eastAsia="IRNazanin"/>
          <w:color w:val="111111"/>
          <w:sz w:val="28"/>
          <w:sz w:val="28"/>
          <w:szCs w:val="28"/>
          <w:rtl w:val="true"/>
          <w:lang w:bidi="fa-IR"/>
        </w:rPr>
        <w:t xml:space="preserve">که توثیق خاص او به ما نرسیده است و به تحقیق علامه حلی </w:t>
      </w:r>
      <w:r>
        <w:rPr>
          <w:rStyle w:val="FootnoteAnchor"/>
          <w:rtl w:val="true"/>
        </w:rPr>
        <w:footnoteReference w:id="83"/>
      </w:r>
      <w:r>
        <w:rPr>
          <w:rFonts w:ascii="IRNazanin" w:hAnsi="IRNazanin" w:eastAsia="IRNazanin"/>
          <w:color w:val="111111"/>
          <w:sz w:val="28"/>
          <w:sz w:val="28"/>
          <w:szCs w:val="28"/>
          <w:rtl w:val="true"/>
          <w:lang w:bidi="fa-IR"/>
        </w:rPr>
        <w:t xml:space="preserve">و مجلسی </w:t>
      </w:r>
      <w:r>
        <w:rPr>
          <w:rStyle w:val="FootnoteAnchor"/>
          <w:rtl w:val="true"/>
        </w:rPr>
        <w:footnoteReference w:id="84"/>
      </w:r>
      <w:r>
        <w:rPr>
          <w:rFonts w:ascii="IRNazanin" w:hAnsi="IRNazanin" w:eastAsia="IRNazanin"/>
          <w:color w:val="111111"/>
          <w:sz w:val="28"/>
          <w:sz w:val="28"/>
          <w:szCs w:val="28"/>
          <w:rtl w:val="true"/>
          <w:lang w:bidi="fa-IR"/>
        </w:rPr>
        <w:t xml:space="preserve">و مامقانی </w:t>
      </w:r>
      <w:r>
        <w:rPr>
          <w:rStyle w:val="FootnoteAnchor"/>
          <w:rtl w:val="true"/>
        </w:rPr>
        <w:footnoteReference w:id="85"/>
      </w:r>
      <w:r>
        <w:rPr>
          <w:rFonts w:ascii="IRNazanin" w:hAnsi="IRNazanin" w:eastAsia="IRNazanin"/>
          <w:color w:val="111111"/>
          <w:sz w:val="28"/>
          <w:sz w:val="28"/>
          <w:szCs w:val="28"/>
          <w:rtl w:val="true"/>
          <w:lang w:bidi="fa-IR"/>
        </w:rPr>
        <w:t>او را تضعیف کرده اند ولی تضعیف او از قدما اصحاب به ما نرسیده است و مشایخ طائفه از او روایت کرده اند مانند محمّد بن ابی عمیر و صفوان بن یحیی و حسین بن سعید و ابی عبد الله برقی نجاشی از او یاد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کوفه است که در بغداد ساکن شد بغداد ساکن شد و از امام موسی بن جعفر علیه السلام روایت می کند و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نجاشی </w:t>
      </w:r>
      <w:r>
        <w:rPr>
          <w:rStyle w:val="FootnoteAnchor"/>
          <w:rtl w:val="true"/>
        </w:rPr>
        <w:footnoteReference w:id="86"/>
      </w:r>
      <w:r>
        <w:rPr>
          <w:rFonts w:ascii="IRNazanin" w:hAnsi="IRNazanin" w:eastAsia="IRNazanin"/>
          <w:color w:val="111111"/>
          <w:sz w:val="28"/>
          <w:sz w:val="28"/>
          <w:szCs w:val="28"/>
          <w:rtl w:val="true"/>
          <w:lang w:bidi="fa-IR"/>
        </w:rPr>
        <w:t xml:space="preserve">سند معتبر بلکه صحیح خود را تا کتاب قاسم بن محمّد بن جوهری ذکر می کند شیخ </w:t>
      </w:r>
      <w:r>
        <w:rPr>
          <w:rStyle w:val="FootnoteAnchor"/>
          <w:rtl w:val="true"/>
        </w:rPr>
        <w:footnoteReference w:id="87"/>
      </w: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که صاحب کتاب است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سند صحیح خود را تا کتابش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بن محمّد جوهری بیش از هفتاد روایت در کتب اربعه دارد و بنابر این حسن وی و اعتبارش در نزد ما بعید نیست؛ از این روی سند روایت به جهت دخول وی در سند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دلالت بر جواز گرفتن دست مزد برای نوشتن قرآن کریم بدون هیچ شرطی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رَوْحِ بْنِ عبدالرحيم عَنْ أَبِي عَبْدِ اللَّهِ علیه السَّلَامُ فِي حَدِيثِ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أَنْ أُعْطِیَ عَلَی کِتَابَتِهِ أَجْراً قَالَ لاَ بَأْسَ الحَديث</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خبر روح بن عبدالرحیم از امام صادق علیه السلام است در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مورد دریافت دست مزد برای نوشتن 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یَکْتُبُ اَلْمُصْحَفَ بِالْأَجْرِ قَالَ لاَ بَأْسَ</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خبر على بن جعفر از برادرش امام موسی بن جعفر علیه السلام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در مورد مردی که مصحف را با دریافت دست مزد می نویسد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آخر لعَلِیِّ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یَکْتُبَ الْمُصْحَفَ بِالْأَجْرِ قَالَ 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خبر دیگری از علی بن جعفر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از او در مورد مرد آیا جایز است که مصحفی را با دریافت دست مزد بنویسد؟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مُرْسَلَةً دَعَائِمُ الْإِسْلَامِ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یُکْتَبَ بِأَجْرٍ 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مرسله دعائم الإسلام از امام صادق علیه السلام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قرآن کریم با دریافت دستمزد نوشته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مشاهده می شود روایات همگی ضعیف هستند ولی ضعف اسناد آن ها به واسطه شهرت جبران می شود و اشتراط جز در خبر عبدالرحمن بن ابی عبد الله در روایت دیگری نیامده است و </w:t>
      </w:r>
      <w:bookmarkStart w:id="49" w:name="pg8741_73361"/>
    </w:p>
    <w:p>
      <w:pPr>
        <w:pStyle w:val="BookText"/>
        <w:rPr/>
      </w:pPr>
      <w:bookmarkEnd w:id="49"/>
      <w:r>
        <w:rPr>
          <w:rFonts w:ascii="IRNazanin" w:hAnsi="IRNazanin" w:eastAsia="IRNazanin"/>
          <w:color w:val="111111"/>
          <w:sz w:val="28"/>
          <w:sz w:val="28"/>
          <w:szCs w:val="28"/>
          <w:rtl w:val="true"/>
          <w:lang w:bidi="fa-IR"/>
        </w:rPr>
        <w:t>مقید کردن مطلقات به واسطه آن امکان ندارد پس اقوی جواز گرفتن دست مزد برای نوشتن قرآن کریم به طور مطلق است ولی احتیاط در شرط نگذاشتن در مقدار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دانسته شود در مورد قول به کراهت که گرفتن دست مزد با شرط است جاری می شود همان مطلبی که در مورد بیع مصحف گفتیم بنابر این گرفتن دست مزد اشکال ندارد در نوشتن آیات تعوّذ و حرز و حفظ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کراهت گرفتن دست مزد جاری نمی شود نسبت به اصلاح خط و تصحیح آن و جمع کردن اوراق و جلد کردن</w:t>
      </w:r>
    </w:p>
    <w:p>
      <w:pPr>
        <w:pStyle w:val="BookText"/>
        <w:rPr/>
      </w:pPr>
      <w:r>
        <w:rPr>
          <w:rFonts w:ascii="IRNazanin" w:hAnsi="IRNazanin" w:eastAsia="IRNazanin"/>
          <w:color w:val="111111"/>
          <w:sz w:val="28"/>
          <w:sz w:val="28"/>
          <w:szCs w:val="28"/>
          <w:rtl w:val="true"/>
          <w:lang w:bidi="fa-IR"/>
        </w:rPr>
        <w:t>و هم چنین جریان نمی یابد نسبت به نوشتن سایر کتاب های آسمانی و کتاب های حدیث و فقه و تفسیر و مانند آن</w:t>
      </w:r>
    </w:p>
    <w:p>
      <w:pPr>
        <w:pStyle w:val="Heading3"/>
        <w:numPr>
          <w:ilvl w:val="2"/>
          <w:numId w:val="1"/>
        </w:numPr>
        <w:rPr/>
      </w:pPr>
      <w:bookmarkStart w:id="50" w:name="__RefHeading___Toc3218742_653776707"/>
      <w:bookmarkStart w:id="51" w:name="_Toc17"/>
      <w:bookmarkEnd w:id="50"/>
      <w:r>
        <w:rPr>
          <w:rtl w:val="true"/>
        </w:rPr>
        <w:t>مسأله دوم</w:t>
      </w:r>
      <w:r>
        <w:rPr>
          <w:rtl w:val="true"/>
        </w:rPr>
        <w:t xml:space="preserve">: </w:t>
      </w:r>
      <w:r>
        <w:rPr>
          <w:rtl w:val="true"/>
        </w:rPr>
        <w:t>حکم تعشیر مصحف</w:t>
      </w:r>
      <w:bookmarkEnd w:id="51"/>
    </w:p>
    <w:p>
      <w:pPr>
        <w:pStyle w:val="BookText"/>
        <w:rPr/>
      </w:pPr>
      <w:r>
        <w:rPr>
          <w:rFonts w:ascii="IRNazanin" w:hAnsi="IRNazanin" w:eastAsia="IRNazanin"/>
          <w:color w:val="111111"/>
          <w:sz w:val="28"/>
          <w:sz w:val="28"/>
          <w:szCs w:val="28"/>
          <w:rtl w:val="true"/>
          <w:lang w:bidi="fa-IR"/>
        </w:rPr>
        <w:t>مراد از تعشیر جدا کردن ده آیه از قرآن کریم از ده آیۀ بعدی است که به وسیله ترسیم دایره ای طلایی دهگان آیات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روزگار ما در پایان هر آیه دایره ای را ترسیم می کنند</w:t>
      </w:r>
    </w:p>
    <w:p>
      <w:pPr>
        <w:pStyle w:val="BookText"/>
        <w:rPr/>
      </w:pPr>
      <w:r>
        <w:rPr>
          <w:rFonts w:ascii="IRNazanin" w:hAnsi="IRNazanin" w:eastAsia="IRNazanin"/>
          <w:color w:val="111111"/>
          <w:sz w:val="28"/>
          <w:sz w:val="28"/>
          <w:szCs w:val="28"/>
          <w:rtl w:val="true"/>
          <w:lang w:bidi="fa-IR"/>
        </w:rPr>
        <w:t>علامه در تحریر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تعشیر مصحف با طلا مکروه است پس اجرت گرفتن برای آن هم کراهت دارد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علامه در کتاب قواعد </w:t>
      </w:r>
      <w:r>
        <w:rPr>
          <w:rStyle w:val="FootnoteAnchor"/>
          <w:rtl w:val="true"/>
        </w:rPr>
        <w:footnoteReference w:id="93"/>
      </w:r>
      <w:r>
        <w:rPr>
          <w:rFonts w:ascii="IRNazanin" w:hAnsi="IRNazanin" w:eastAsia="IRNazanin"/>
          <w:color w:val="111111"/>
          <w:sz w:val="28"/>
          <w:sz w:val="28"/>
          <w:szCs w:val="28"/>
          <w:rtl w:val="true"/>
          <w:lang w:bidi="fa-IR"/>
        </w:rPr>
        <w:t xml:space="preserve">فتوا به کراهت داده است کلام وی در تذکره خواهد آمد و محقّق ثانی </w:t>
      </w:r>
      <w:r>
        <w:rPr>
          <w:rStyle w:val="FootnoteAnchor"/>
          <w:rtl w:val="true"/>
        </w:rPr>
        <w:footnoteReference w:id="94"/>
      </w:r>
      <w:r>
        <w:rPr>
          <w:rFonts w:ascii="IRNazanin" w:hAnsi="IRNazanin" w:eastAsia="IRNazanin"/>
          <w:color w:val="111111"/>
          <w:sz w:val="28"/>
          <w:sz w:val="28"/>
          <w:szCs w:val="28"/>
          <w:rtl w:val="true"/>
          <w:lang w:bidi="fa-IR"/>
        </w:rPr>
        <w:t xml:space="preserve">و فیض کاشانی </w:t>
      </w:r>
      <w:r>
        <w:rPr>
          <w:rStyle w:val="FootnoteAnchor"/>
          <w:rtl w:val="true"/>
        </w:rPr>
        <w:footnoteReference w:id="9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صاحبان کتاب های کفایه </w:t>
      </w:r>
      <w:r>
        <w:rPr>
          <w:rStyle w:val="FootnoteAnchor"/>
          <w:rtl w:val="true"/>
        </w:rPr>
        <w:footnoteReference w:id="96"/>
      </w:r>
      <w:r>
        <w:rPr>
          <w:rFonts w:ascii="IRNazanin" w:hAnsi="IRNazanin" w:eastAsia="IRNazanin"/>
          <w:color w:val="111111"/>
          <w:sz w:val="28"/>
          <w:sz w:val="28"/>
          <w:szCs w:val="28"/>
          <w:rtl w:val="true"/>
          <w:lang w:bidi="fa-IR"/>
        </w:rPr>
        <w:t xml:space="preserve">و حدائق </w:t>
      </w:r>
      <w:r>
        <w:rPr>
          <w:rStyle w:val="FootnoteAnchor"/>
          <w:rtl w:val="true"/>
        </w:rPr>
        <w:footnoteReference w:id="97"/>
      </w:r>
      <w:r>
        <w:rPr>
          <w:rFonts w:ascii="IRNazanin" w:hAnsi="IRNazanin" w:eastAsia="IRNazanin"/>
          <w:color w:val="111111"/>
          <w:sz w:val="28"/>
          <w:sz w:val="28"/>
          <w:szCs w:val="28"/>
          <w:rtl w:val="true"/>
          <w:lang w:bidi="fa-IR"/>
        </w:rPr>
        <w:t xml:space="preserve">و ریاض </w:t>
      </w:r>
      <w:r>
        <w:rPr>
          <w:rStyle w:val="FootnoteAnchor"/>
          <w:rtl w:val="true"/>
        </w:rPr>
        <w:footnoteReference w:id="98"/>
      </w:r>
      <w:r>
        <w:rPr>
          <w:rFonts w:ascii="IRNazanin" w:hAnsi="IRNazanin" w:eastAsia="IRNazanin"/>
          <w:color w:val="111111"/>
          <w:sz w:val="28"/>
          <w:sz w:val="28"/>
          <w:szCs w:val="28"/>
          <w:rtl w:val="true"/>
          <w:lang w:bidi="fa-IR"/>
        </w:rPr>
        <w:t xml:space="preserve">و شرح قواعد </w:t>
      </w:r>
      <w:r>
        <w:rPr>
          <w:rStyle w:val="FootnoteAnchor"/>
          <w:rtl w:val="true"/>
        </w:rPr>
        <w:footnoteReference w:id="99"/>
      </w:r>
      <w:r>
        <w:rPr>
          <w:rFonts w:ascii="IRNazanin" w:hAnsi="IRNazanin" w:eastAsia="IRNazanin"/>
          <w:color w:val="111111"/>
          <w:sz w:val="28"/>
          <w:sz w:val="28"/>
          <w:szCs w:val="28"/>
          <w:rtl w:val="true"/>
          <w:lang w:bidi="fa-IR"/>
        </w:rPr>
        <w:t xml:space="preserve">و مفتاح </w:t>
      </w:r>
      <w:r>
        <w:rPr>
          <w:rStyle w:val="FootnoteAnchor"/>
          <w:rtl w:val="true"/>
        </w:rPr>
        <w:footnoteReference w:id="100"/>
      </w:r>
      <w:r>
        <w:rPr>
          <w:rFonts w:ascii="IRNazanin" w:hAnsi="IRNazanin" w:eastAsia="IRNazanin"/>
          <w:color w:val="111111"/>
          <w:sz w:val="28"/>
          <w:sz w:val="28"/>
          <w:szCs w:val="28"/>
          <w:rtl w:val="true"/>
          <w:lang w:bidi="fa-IR"/>
        </w:rPr>
        <w:t>از ایشان تبعیت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از آن در بعضی روایات وارد شده است</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یُعَشِّرُ اَلْمَصَاحِفَ بِالذَّهَبِ فَقَالَ لاَ یَصْلُحُ فَقَالَ إِنَّهُ مَعِیشَتِی فَقَالَ إِنَّکَ إِنْ تَرَکْتَهُ لِلَّهِ جَعَلَ اَللَّهُ لَکَ مَخْرَجاً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موثقه سماعه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 مورد مردی که مصحف را با طلا تعشیر می کند؟ پس فرمود سزاوار نیست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معیشت من است پس فرمود اگر آن را برای خدا ترک کنی خداوند برای تو راه چاره قرار می دهد</w:t>
      </w:r>
    </w:p>
    <w:p>
      <w:pPr>
        <w:pStyle w:val="BookText"/>
        <w:rPr/>
      </w:pPr>
      <w:r>
        <w:rPr>
          <w:rFonts w:ascii="IRNazanin" w:hAnsi="IRNazanin" w:eastAsia="IRNazanin"/>
          <w:color w:val="111111"/>
          <w:sz w:val="28"/>
          <w:sz w:val="28"/>
          <w:szCs w:val="28"/>
          <w:rtl w:val="true"/>
          <w:lang w:bidi="fa-IR"/>
        </w:rPr>
        <w:t xml:space="preserve">از این روایت استفاده کراهت تعشیر مصحف با طلا می شود و قرینه بر آن قول معصوم علیهم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حرام بود چاره ای جز ترکش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عَبدِاللّهِ عليه السلام كِتاباً فيهِ قُرآنٌ مُخَتَّمٌ مُعَشَّرٌ بِالذَّهَبِ، و كُتِبَ في آخرِهِ سورَةٌ بِالذَّهَبِ ، فَأَرَيتُهُ إيّاهُ ، فَلَم يَعِب فيهِ شَيئاً إلّاكِتابَةَ القُرآنِ بِالذَّهَب،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يُكتَبَ القُرآنُ إلّا بِالسَّوادِ كَما</w:t>
      </w:r>
      <w:bookmarkStart w:id="52" w:name="pg8741_73365"/>
    </w:p>
    <w:p>
      <w:pPr>
        <w:pStyle w:val="BookText"/>
        <w:rPr/>
      </w:pPr>
      <w:bookmarkEnd w:id="52"/>
      <w:r>
        <w:rPr>
          <w:rFonts w:ascii="Amiri" w:hAnsi="Amiri" w:eastAsia="Amiri" w:cs="Amiri"/>
          <w:color w:val="111111"/>
          <w:sz w:val="28"/>
          <w:sz w:val="28"/>
          <w:szCs w:val="28"/>
          <w:rtl w:val="true"/>
          <w:lang w:bidi="ar-SA"/>
        </w:rPr>
        <w:t>كُتِبَ أوَّلَ مَرَّةٍ</w:t>
      </w:r>
      <w:r>
        <w:rPr>
          <w:rStyle w:val="FootnoteAnchor"/>
          <w:rtl w:val="true"/>
        </w:rPr>
        <w:footnoteReference w:id="102"/>
      </w:r>
      <w:r>
        <w:rPr>
          <w:rFonts w:ascii="IRNazanin" w:hAnsi="IRNazanin" w:eastAsia="IRNazanin"/>
          <w:color w:val="111111"/>
          <w:sz w:val="28"/>
          <w:sz w:val="28"/>
          <w:szCs w:val="28"/>
          <w:rtl w:val="true"/>
          <w:lang w:bidi="fa-IR"/>
        </w:rPr>
        <w:t xml:space="preserve"> خبر محمّد بن وراق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اعشار و ختم سوره هایش با طلا نشانه گذاری شده بود بر امام صادق علیه السلام عرضه کردم آن حضرت بر آن ایرادی نگرفت و تنها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قرآن با طلا نوشته شود و دوست دارم مانند دوره نخستین قرآن با مرکب سیاه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خبر 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بِتَحْلِیَهِ اَلْمَصَاحِفِ وَ اَلسُّیُوفِ بِالذَّهَبِ وَ اَلْفِضَّهِ بَأْسٌ</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خبر داود بن سرحان از امام صادق علیه السلام است که فرمود زینت مصحف و شمشیر ها با طلا و نقره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روایات با فهم اصحاب و فتاوی علما دلالت بر مکروه بودن تعشیر مصحف با طلا دارد</w:t>
      </w:r>
      <w:r>
        <w:rPr>
          <w:rFonts w:eastAsia="IRNazanin" w:cs="IRNazanin"/>
          <w:color w:val="111111"/>
          <w:sz w:val="28"/>
          <w:szCs w:val="28"/>
          <w:rtl w:val="true"/>
          <w:lang w:bidi="fa-IR"/>
        </w:rPr>
        <w:t>.</w:t>
      </w:r>
    </w:p>
    <w:p>
      <w:pPr>
        <w:pStyle w:val="Heading2"/>
        <w:numPr>
          <w:ilvl w:val="1"/>
          <w:numId w:val="1"/>
        </w:numPr>
        <w:rPr/>
      </w:pPr>
      <w:bookmarkStart w:id="53" w:name="__RefHeading___Toc3218744_653776707"/>
      <w:bookmarkStart w:id="54" w:name="_Toc18"/>
      <w:bookmarkEnd w:id="53"/>
      <w:r>
        <w:rPr>
          <w:rtl w:val="true"/>
        </w:rPr>
        <w:t>ادامه بحث</w:t>
      </w:r>
      <w:bookmarkEnd w:id="54"/>
    </w:p>
    <w:p>
      <w:pPr>
        <w:pStyle w:val="Heading3"/>
        <w:numPr>
          <w:ilvl w:val="2"/>
          <w:numId w:val="1"/>
        </w:numPr>
        <w:rPr/>
      </w:pPr>
      <w:bookmarkStart w:id="55" w:name="__RefHeading___Toc3218746_653776707"/>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شیخ علی معروف به محقّق کرکی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قرآن با طلا کراهت شدید دارد و ظاهر آن، این است که حکم جدا کردن احزاب و حاشیه و طرح با طلا مانند حکم تعشیر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جعفر کاشف الغطاء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 کردن طلا کاری جزء ها و نصف ها و حزب ها و جدول ها و مانند آن ها به تعشیر مصحف بعید به نظر نمی رسد</w:t>
      </w:r>
      <w:r>
        <w:rPr>
          <w:rFonts w:eastAsia="IRNazanin" w:cs="IRNazanin"/>
          <w:color w:val="111111"/>
          <w:sz w:val="28"/>
          <w:szCs w:val="28"/>
          <w:rtl w:val="true"/>
          <w:lang w:bidi="fa-IR"/>
        </w:rPr>
        <w:t>».</w:t>
      </w:r>
      <w:r>
        <w:rPr>
          <w:rStyle w:val="FootnoteAnchor"/>
          <w:rtl w:val="true"/>
        </w:rPr>
        <w:footnoteReference w:id="105"/>
      </w:r>
      <w:bookmarkStart w:id="57" w:name="pg8741_73367"/>
    </w:p>
    <w:p>
      <w:pPr>
        <w:pStyle w:val="BookText"/>
        <w:rPr/>
      </w:pPr>
      <w:bookmarkEnd w:id="57"/>
      <w:r>
        <w:rPr>
          <w:rFonts w:ascii="IRNazanin" w:hAnsi="IRNazanin" w:eastAsia="IRNazanin"/>
          <w:color w:val="111111"/>
          <w:sz w:val="28"/>
          <w:sz w:val="28"/>
          <w:szCs w:val="28"/>
          <w:rtl w:val="true"/>
          <w:lang w:bidi="fa-IR"/>
        </w:rPr>
        <w:t>ولی علامه در نهایه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نقش قرآن با طلا حرام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تذکره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تعشیر مصحف با طلا و هم چنین زینت آن با طلا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موثقه سماعه که قبلاً ذکر شد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در نزد من کراهت است نه حرمت، به واسطه عمل کردن به اصل اباحه و ضعیف بودن روایات حرمت به خاطر آن که روایات حرمت استنادش به امام معصومه علیه السلام جهت ضعف راویان تمام نمی شود و نوشتن قرآن با طلا کراهت دارد و سپس خبر محمد بن وراق را آورده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پیروی شیخ علی کرکی و شیخ جعفر کاشف الغطاء از نظر ادلّه تمام است و ممکن است حکم به کراهت تعشیر مصحف و طلا کاری جزء ها و نصف ها و حزب ها و نوشتن قرآن کریم با طلا بدهیم </w:t>
      </w:r>
      <w:r>
        <w:rPr>
          <w:rStyle w:val="FootnoteAnchor"/>
          <w:rtl w:val="true"/>
        </w:rPr>
        <w:footnoteReference w:id="108"/>
      </w:r>
      <w:r>
        <w:rPr>
          <w:rFonts w:ascii="IRNazanin" w:hAnsi="IRNazanin" w:eastAsia="IRNazanin"/>
          <w:color w:val="111111"/>
          <w:sz w:val="28"/>
          <w:sz w:val="28"/>
          <w:szCs w:val="28"/>
          <w:rtl w:val="true"/>
          <w:lang w:bidi="fa-IR"/>
        </w:rPr>
        <w:t xml:space="preserve">بلکه بعید نیست قول به مکروه بودن نوشتن قرآن با چیزی غیر از مرکّب سیاه چنان که در کتاب حدائق </w:t>
      </w:r>
      <w:r>
        <w:rPr>
          <w:rStyle w:val="FootnoteAnchor"/>
          <w:rtl w:val="true"/>
        </w:rPr>
        <w:footnoteReference w:id="109"/>
      </w:r>
      <w:r>
        <w:rPr>
          <w:rFonts w:ascii="IRNazanin" w:hAnsi="IRNazanin" w:eastAsia="IRNazanin"/>
          <w:color w:val="111111"/>
          <w:sz w:val="28"/>
          <w:sz w:val="28"/>
          <w:szCs w:val="28"/>
          <w:rtl w:val="true"/>
          <w:lang w:bidi="fa-IR"/>
        </w:rPr>
        <w:t xml:space="preserve">و در کتاب مفتاح </w:t>
      </w:r>
      <w:r>
        <w:rPr>
          <w:rStyle w:val="FootnoteAnchor"/>
          <w:rtl w:val="true"/>
        </w:rPr>
        <w:footnoteReference w:id="110"/>
      </w:r>
      <w:r>
        <w:rPr>
          <w:rFonts w:ascii="IRNazanin" w:hAnsi="IRNazanin" w:eastAsia="IRNazanin"/>
          <w:color w:val="111111"/>
          <w:sz w:val="28"/>
          <w:sz w:val="28"/>
          <w:szCs w:val="28"/>
          <w:rtl w:val="true"/>
          <w:lang w:bidi="fa-IR"/>
        </w:rPr>
        <w:t>این قول اختیار شده است و خداوند عالم است</w:t>
      </w:r>
      <w:r>
        <w:rPr>
          <w:rFonts w:eastAsia="IRNazanin" w:cs="IRNazanin"/>
          <w:color w:val="111111"/>
          <w:sz w:val="28"/>
          <w:szCs w:val="28"/>
          <w:rtl w:val="true"/>
          <w:lang w:bidi="fa-IR"/>
        </w:rPr>
        <w:t>.</w:t>
      </w:r>
    </w:p>
    <w:p>
      <w:pPr>
        <w:pStyle w:val="Heading3"/>
        <w:numPr>
          <w:ilvl w:val="2"/>
          <w:numId w:val="1"/>
        </w:numPr>
        <w:rPr/>
      </w:pPr>
      <w:bookmarkStart w:id="58" w:name="__RefHeading___Toc3218748_653776707"/>
      <w:bookmarkStart w:id="59" w:name="_Toc20"/>
      <w:bookmarkEnd w:id="58"/>
      <w:r>
        <w:rPr>
          <w:rtl w:val="true"/>
        </w:rPr>
        <w:t>مسأله سوم</w:t>
      </w:r>
      <w:r>
        <w:rPr>
          <w:rtl w:val="true"/>
        </w:rPr>
        <w:t xml:space="preserve">: </w:t>
      </w:r>
      <w:r>
        <w:rPr>
          <w:rtl w:val="true"/>
        </w:rPr>
        <w:t>آیا کافر مالک مصحف می شود؟</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شیخ طوسی قدس سره در فصل حکم آن چه که در جنگ به </w:t>
      </w:r>
    </w:p>
    <w:p>
      <w:pPr>
        <w:pStyle w:val="BookText"/>
        <w:rPr/>
      </w:pPr>
      <w:r>
        <w:rPr>
          <w:rFonts w:ascii="IRNazanin" w:hAnsi="IRNazanin" w:eastAsia="IRNazanin"/>
          <w:color w:val="111111"/>
          <w:sz w:val="28"/>
          <w:sz w:val="28"/>
          <w:szCs w:val="28"/>
          <w:rtl w:val="true"/>
          <w:lang w:bidi="fa-IR"/>
        </w:rPr>
        <w:t>غنیمت گرفته می شود یا نمی شود در باب جهاد از کتاب مبسوط آورده استفاده می شود که کافر می تواند مصحف را تملّک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غنائم جنگی کتاب هایی باشد اگر مباح باشد دست گذاشتن بر آن جایز است مانند کتاب های طب و شعر و لغت و دیگر نوشته ها پس تمام این ها غنیمت می باشند و هم چنین است مصحف و کتاب های علوم شریعت مانند فقه و حدیث و مانند ،آن ها زیرا این ها اموالی هستند که مانند لباس ها خرید و فروش می شوند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اگر مصحف داخل در ملک کافر نمی شد وجهی برای دخول آن در غنیمت وجود نداشت، بلکه مانند ملک مجهول المالک بود، ولی شیخ به عنوان غنیمت به آن نگاه کرده است و این که مرادش از مصحف غیر از قرآن کریم باشد بعید است چنان که شیخ اعظم </w:t>
      </w:r>
      <w:r>
        <w:rPr>
          <w:rStyle w:val="FootnoteAnchor"/>
          <w:rtl w:val="true"/>
        </w:rPr>
        <w:footnoteReference w:id="112"/>
      </w:r>
      <w:r>
        <w:rPr>
          <w:rFonts w:ascii="IRNazanin" w:hAnsi="IRNazanin" w:eastAsia="IRNazanin"/>
          <w:color w:val="111111"/>
          <w:sz w:val="28"/>
          <w:sz w:val="28"/>
          <w:szCs w:val="28"/>
          <w:rtl w:val="true"/>
          <w:lang w:bidi="fa-IR"/>
        </w:rPr>
        <w:t>قدس سره بر آن آگاهی داده است</w:t>
      </w:r>
    </w:p>
    <w:p>
      <w:pPr>
        <w:pStyle w:val="BookText"/>
        <w:rPr/>
      </w:pPr>
      <w:r>
        <w:rPr>
          <w:rFonts w:ascii="IRNazanin" w:hAnsi="IRNazanin" w:eastAsia="IRNazanin"/>
          <w:color w:val="111111"/>
          <w:sz w:val="28"/>
          <w:sz w:val="28"/>
          <w:szCs w:val="28"/>
          <w:rtl w:val="true"/>
          <w:lang w:bidi="fa-IR"/>
        </w:rPr>
        <w:t xml:space="preserve">اضافه بر این که اصل اوّلی در این مقام جواز است و آن مالکیت هر شخصی بر هر مالی هست مگر این که با دلیل از شمول این اصل خارج شود و مصحف ملک و مال است و تملک آن برای همه جایز است حتّی کافر و ما دلیلی برای حرام بودن مالکیّت کافر بر مصحف پیدا نکردیم چنان که محقّق خوئی قدس سره </w:t>
      </w:r>
      <w:r>
        <w:rPr>
          <w:rStyle w:val="FootnoteAnchor"/>
          <w:rtl w:val="true"/>
        </w:rPr>
        <w:footnoteReference w:id="113"/>
      </w:r>
      <w:r>
        <w:rPr>
          <w:rFonts w:ascii="IRNazanin" w:hAnsi="IRNazanin" w:eastAsia="IRNazanin"/>
          <w:color w:val="111111"/>
          <w:sz w:val="28"/>
          <w:sz w:val="28"/>
          <w:szCs w:val="28"/>
          <w:rtl w:val="true"/>
          <w:lang w:bidi="fa-IR"/>
        </w:rPr>
        <w:t>به آن اعتراف کرده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کلام شیخ جعفر کاشف الغطاء قدس سره تدر ظاهر می شود که کافر بر مصحف مالکیّت پیدا نمی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بعد از مالکیّت بر مصحف، کافر شود ملکیّت باطل می شود و مصحف </w:t>
      </w:r>
      <w:bookmarkStart w:id="60" w:name="pg8741_73371"/>
    </w:p>
    <w:p>
      <w:pPr>
        <w:pStyle w:val="BookText"/>
        <w:rPr/>
      </w:pPr>
      <w:bookmarkEnd w:id="60"/>
      <w:r>
        <w:rPr>
          <w:rFonts w:ascii="IRNazanin" w:hAnsi="IRNazanin" w:eastAsia="IRNazanin"/>
          <w:color w:val="111111"/>
          <w:sz w:val="28"/>
          <w:sz w:val="28"/>
          <w:szCs w:val="28"/>
          <w:rtl w:val="true"/>
          <w:lang w:bidi="fa-IR"/>
        </w:rPr>
        <w:t>بدون مالک می ماند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قول اوّل اظهر است</w:t>
      </w:r>
    </w:p>
    <w:p>
      <w:pPr>
        <w:pStyle w:val="Heading3"/>
        <w:numPr>
          <w:ilvl w:val="2"/>
          <w:numId w:val="1"/>
        </w:numPr>
        <w:rPr/>
      </w:pPr>
      <w:bookmarkStart w:id="61" w:name="__RefHeading___Toc3218750_653776707"/>
      <w:bookmarkStart w:id="62" w:name="_Toc21"/>
      <w:bookmarkEnd w:id="61"/>
      <w:r>
        <w:rPr>
          <w:rtl w:val="true"/>
        </w:rPr>
        <w:t>مسأله چهارم</w:t>
      </w:r>
      <w:r>
        <w:rPr>
          <w:rtl w:val="true"/>
        </w:rPr>
        <w:t xml:space="preserve">: </w:t>
      </w:r>
      <w:r>
        <w:rPr>
          <w:rtl w:val="true"/>
        </w:rPr>
        <w:t>خریدن مصحف توسط کافر</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خریدن مصحف توسط کافر صحیح است یا نه؟ شیخ در کتاب مبسوط </w:t>
      </w:r>
      <w:r>
        <w:rPr>
          <w:rStyle w:val="FootnoteAnchor"/>
          <w:rtl w:val="true"/>
        </w:rPr>
        <w:footnoteReference w:id="115"/>
      </w:r>
      <w:r>
        <w:rPr>
          <w:rFonts w:ascii="IRNazanin" w:hAnsi="IRNazanin" w:eastAsia="IRNazanin"/>
          <w:color w:val="111111"/>
          <w:sz w:val="28"/>
          <w:sz w:val="28"/>
          <w:szCs w:val="28"/>
          <w:rtl w:val="true"/>
          <w:lang w:bidi="fa-IR"/>
        </w:rPr>
        <w:t xml:space="preserve">نظر به بطلان داده است و محقق در کتاب شرایع </w:t>
      </w:r>
      <w:r>
        <w:rPr>
          <w:rStyle w:val="FootnoteAnchor"/>
          <w:rtl w:val="true"/>
        </w:rPr>
        <w:footnoteReference w:id="116"/>
      </w:r>
      <w:r>
        <w:rPr>
          <w:rFonts w:ascii="IRNazanin" w:hAnsi="IRNazanin" w:eastAsia="IRNazanin"/>
          <w:color w:val="111111"/>
          <w:sz w:val="28"/>
          <w:sz w:val="28"/>
          <w:szCs w:val="28"/>
          <w:rtl w:val="true"/>
          <w:lang w:bidi="fa-IR"/>
        </w:rPr>
        <w:t xml:space="preserve">و پسر خواهر او علامه در قواعد </w:t>
      </w:r>
      <w:r>
        <w:rPr>
          <w:rStyle w:val="FootnoteAnchor"/>
          <w:rtl w:val="true"/>
        </w:rPr>
        <w:footnoteReference w:id="117"/>
      </w:r>
      <w:r>
        <w:rPr>
          <w:rFonts w:ascii="IRNazanin" w:hAnsi="IRNazanin" w:eastAsia="IRNazanin"/>
          <w:color w:val="111111"/>
          <w:sz w:val="28"/>
          <w:sz w:val="28"/>
          <w:szCs w:val="28"/>
          <w:rtl w:val="true"/>
          <w:lang w:bidi="fa-IR"/>
        </w:rPr>
        <w:t xml:space="preserve">و در تحریر </w:t>
      </w:r>
      <w:r>
        <w:rPr>
          <w:rStyle w:val="FootnoteAnchor"/>
          <w:rtl w:val="true"/>
        </w:rPr>
        <w:footnoteReference w:id="118"/>
      </w:r>
      <w:r>
        <w:rPr>
          <w:rFonts w:ascii="IRNazanin" w:hAnsi="IRNazanin" w:eastAsia="IRNazanin"/>
          <w:color w:val="111111"/>
          <w:sz w:val="28"/>
          <w:sz w:val="28"/>
          <w:szCs w:val="28"/>
          <w:rtl w:val="true"/>
          <w:lang w:bidi="fa-IR"/>
        </w:rPr>
        <w:t xml:space="preserve">و ارشاد </w:t>
      </w:r>
      <w:r>
        <w:rPr>
          <w:rStyle w:val="FootnoteAnchor"/>
          <w:rtl w:val="true"/>
        </w:rPr>
        <w:footnoteReference w:id="119"/>
      </w:r>
      <w:r>
        <w:rPr>
          <w:rFonts w:ascii="IRNazanin" w:hAnsi="IRNazanin" w:eastAsia="IRNazanin"/>
          <w:color w:val="111111"/>
          <w:sz w:val="28"/>
          <w:sz w:val="28"/>
          <w:szCs w:val="28"/>
          <w:rtl w:val="true"/>
          <w:lang w:bidi="fa-IR"/>
        </w:rPr>
        <w:t xml:space="preserve">و نهایه </w:t>
      </w:r>
      <w:r>
        <w:rPr>
          <w:rStyle w:val="FootnoteAnchor"/>
          <w:rtl w:val="true"/>
        </w:rPr>
        <w:footnoteReference w:id="120"/>
      </w:r>
      <w:r>
        <w:rPr>
          <w:rFonts w:ascii="IRNazanin" w:hAnsi="IRNazanin" w:eastAsia="IRNazanin"/>
          <w:color w:val="111111"/>
          <w:sz w:val="28"/>
          <w:sz w:val="28"/>
          <w:szCs w:val="28"/>
          <w:rtl w:val="true"/>
          <w:lang w:bidi="fa-IR"/>
        </w:rPr>
        <w:t xml:space="preserve">و تذکره </w:t>
      </w:r>
      <w:r>
        <w:rPr>
          <w:rStyle w:val="FootnoteAnchor"/>
          <w:rtl w:val="true"/>
        </w:rPr>
        <w:footnoteReference w:id="121"/>
      </w:r>
      <w:r>
        <w:rPr>
          <w:rFonts w:ascii="IRNazanin" w:hAnsi="IRNazanin" w:eastAsia="IRNazanin"/>
          <w:color w:val="111111"/>
          <w:sz w:val="28"/>
          <w:sz w:val="28"/>
          <w:szCs w:val="28"/>
          <w:rtl w:val="true"/>
          <w:lang w:bidi="fa-IR"/>
        </w:rPr>
        <w:t xml:space="preserve">و پسر او در ایضاح الفوائد </w:t>
      </w:r>
      <w:r>
        <w:rPr>
          <w:rStyle w:val="FootnoteAnchor"/>
          <w:rtl w:val="true"/>
        </w:rPr>
        <w:footnoteReference w:id="122"/>
      </w:r>
      <w:r>
        <w:rPr>
          <w:rFonts w:ascii="IRNazanin" w:hAnsi="IRNazanin" w:eastAsia="IRNazanin"/>
          <w:color w:val="111111"/>
          <w:sz w:val="28"/>
          <w:sz w:val="28"/>
          <w:szCs w:val="28"/>
          <w:rtl w:val="true"/>
          <w:lang w:bidi="fa-IR"/>
        </w:rPr>
        <w:t xml:space="preserve">و پسر خواهر او سیّد عمیدالدین در کنز الفوائد </w:t>
      </w:r>
      <w:r>
        <w:rPr>
          <w:rStyle w:val="FootnoteAnchor"/>
          <w:rtl w:val="true"/>
        </w:rPr>
        <w:footnoteReference w:id="123"/>
      </w:r>
      <w:r>
        <w:rPr>
          <w:rFonts w:ascii="IRNazanin" w:hAnsi="IRNazanin" w:eastAsia="IRNazanin"/>
          <w:color w:val="111111"/>
          <w:sz w:val="28"/>
          <w:sz w:val="28"/>
          <w:szCs w:val="28"/>
          <w:rtl w:val="true"/>
          <w:lang w:bidi="fa-IR"/>
        </w:rPr>
        <w:t xml:space="preserve">رو شهید در کتاب دروس </w:t>
      </w:r>
      <w:r>
        <w:rPr>
          <w:rStyle w:val="FootnoteAnchor"/>
          <w:rtl w:val="true"/>
        </w:rPr>
        <w:footnoteReference w:id="124"/>
      </w:r>
      <w:r>
        <w:rPr>
          <w:rFonts w:ascii="IRNazanin" w:hAnsi="IRNazanin" w:eastAsia="IRNazanin"/>
          <w:color w:val="111111"/>
          <w:sz w:val="28"/>
          <w:sz w:val="28"/>
          <w:szCs w:val="28"/>
          <w:rtl w:val="true"/>
          <w:lang w:bidi="fa-IR"/>
        </w:rPr>
        <w:t xml:space="preserve">و لمعه </w:t>
      </w:r>
      <w:r>
        <w:rPr>
          <w:rStyle w:val="FootnoteAnchor"/>
          <w:rtl w:val="true"/>
        </w:rPr>
        <w:footnoteReference w:id="125"/>
      </w:r>
      <w:r>
        <w:rPr>
          <w:rFonts w:ascii="IRNazanin" w:hAnsi="IRNazanin" w:eastAsia="IRNazanin"/>
          <w:color w:val="111111"/>
          <w:sz w:val="28"/>
          <w:sz w:val="28"/>
          <w:szCs w:val="28"/>
          <w:rtl w:val="true"/>
          <w:lang w:bidi="fa-IR"/>
        </w:rPr>
        <w:t xml:space="preserve">و محقّق ثانی در جامع المقاصد </w:t>
      </w:r>
      <w:r>
        <w:rPr>
          <w:rStyle w:val="FootnoteAnchor"/>
          <w:rtl w:val="true"/>
        </w:rPr>
        <w:footnoteReference w:id="126"/>
      </w:r>
      <w:r>
        <w:rPr>
          <w:rFonts w:ascii="IRNazanin" w:hAnsi="IRNazanin" w:eastAsia="IRNazanin"/>
          <w:color w:val="111111"/>
          <w:sz w:val="28"/>
          <w:sz w:val="28"/>
          <w:szCs w:val="28"/>
          <w:rtl w:val="true"/>
          <w:lang w:bidi="fa-IR"/>
        </w:rPr>
        <w:t xml:space="preserve">و شهید دوم در مسالک </w:t>
      </w:r>
      <w:r>
        <w:rPr>
          <w:rStyle w:val="FootnoteAnchor"/>
          <w:rtl w:val="true"/>
        </w:rPr>
        <w:footnoteReference w:id="127"/>
      </w:r>
      <w:r>
        <w:rPr>
          <w:rFonts w:ascii="IRNazanin" w:hAnsi="IRNazanin" w:eastAsia="IRNazanin"/>
          <w:color w:val="111111"/>
          <w:sz w:val="28"/>
          <w:sz w:val="28"/>
          <w:szCs w:val="28"/>
          <w:rtl w:val="true"/>
          <w:lang w:bidi="fa-IR"/>
        </w:rPr>
        <w:t xml:space="preserve">و روضه </w:t>
      </w:r>
      <w:r>
        <w:rPr>
          <w:rStyle w:val="FootnoteAnchor"/>
          <w:rtl w:val="true"/>
        </w:rPr>
        <w:footnoteReference w:id="128"/>
      </w:r>
      <w:r>
        <w:rPr>
          <w:rFonts w:ascii="IRNazanin" w:hAnsi="IRNazanin" w:eastAsia="IRNazanin"/>
          <w:color w:val="111111"/>
          <w:sz w:val="28"/>
          <w:sz w:val="28"/>
          <w:szCs w:val="28"/>
          <w:rtl w:val="true"/>
          <w:lang w:bidi="fa-IR"/>
        </w:rPr>
        <w:t xml:space="preserve">و مقدس اردبیلی در مجمع الفائده </w:t>
      </w:r>
      <w:r>
        <w:rPr>
          <w:rStyle w:val="FootnoteAnchor"/>
          <w:rtl w:val="true"/>
        </w:rPr>
        <w:footnoteReference w:id="129"/>
      </w:r>
      <w:r>
        <w:rPr>
          <w:rFonts w:ascii="IRNazanin" w:hAnsi="IRNazanin" w:eastAsia="IRNazanin"/>
          <w:color w:val="111111"/>
          <w:sz w:val="28"/>
          <w:sz w:val="28"/>
          <w:szCs w:val="28"/>
          <w:rtl w:val="true"/>
          <w:lang w:bidi="fa-IR"/>
        </w:rPr>
        <w:t xml:space="preserve">و شیخ یوسف در حدائق </w:t>
      </w:r>
      <w:r>
        <w:rPr>
          <w:rStyle w:val="FootnoteAnchor"/>
          <w:rtl w:val="true"/>
        </w:rPr>
        <w:footnoteReference w:id="130"/>
      </w:r>
      <w:r>
        <w:rPr>
          <w:rFonts w:ascii="IRNazanin" w:hAnsi="IRNazanin" w:eastAsia="IRNazanin"/>
          <w:color w:val="111111"/>
          <w:sz w:val="28"/>
          <w:sz w:val="28"/>
          <w:szCs w:val="28"/>
          <w:rtl w:val="true"/>
          <w:lang w:bidi="fa-IR"/>
        </w:rPr>
        <w:t xml:space="preserve">و شیخ جعفر </w:t>
      </w:r>
      <w:bookmarkStart w:id="63" w:name="pg8741_73373"/>
    </w:p>
    <w:p>
      <w:pPr>
        <w:pStyle w:val="BookText"/>
        <w:rPr/>
      </w:pPr>
      <w:bookmarkEnd w:id="63"/>
      <w:r>
        <w:rPr>
          <w:rFonts w:ascii="IRNazanin" w:hAnsi="IRNazanin" w:eastAsia="IRNazanin"/>
          <w:color w:val="111111"/>
          <w:sz w:val="28"/>
          <w:sz w:val="28"/>
          <w:szCs w:val="28"/>
          <w:rtl w:val="true"/>
          <w:lang w:bidi="fa-IR"/>
        </w:rPr>
        <w:t xml:space="preserve">در شرح قواعد </w:t>
      </w:r>
      <w:r>
        <w:rPr>
          <w:rStyle w:val="FootnoteAnchor"/>
          <w:rtl w:val="true"/>
        </w:rPr>
        <w:footnoteReference w:id="131"/>
      </w:r>
      <w:r>
        <w:rPr>
          <w:rFonts w:ascii="IRNazanin" w:hAnsi="IRNazanin" w:eastAsia="IRNazanin"/>
          <w:color w:val="111111"/>
          <w:sz w:val="28"/>
          <w:sz w:val="28"/>
          <w:szCs w:val="28"/>
          <w:rtl w:val="true"/>
          <w:lang w:bidi="fa-IR"/>
        </w:rPr>
        <w:t>نیز باطل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قائل به صحت بیع شویم چنان که محقق در شرایع </w:t>
      </w:r>
      <w:r>
        <w:rPr>
          <w:rStyle w:val="FootnoteAnchor"/>
          <w:rtl w:val="true"/>
        </w:rPr>
        <w:footnoteReference w:id="132"/>
      </w:r>
      <w:r>
        <w:rPr>
          <w:rFonts w:ascii="IRNazanin" w:hAnsi="IRNazanin" w:eastAsia="IRNazanin"/>
          <w:color w:val="111111"/>
          <w:sz w:val="28"/>
          <w:sz w:val="28"/>
          <w:szCs w:val="28"/>
          <w:rtl w:val="true"/>
          <w:lang w:bidi="fa-IR"/>
        </w:rPr>
        <w:t xml:space="preserve">حکایت کرده است و علامه از بعضی اصحاب در تحریر نقل کرده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علما گفته اند که جایز است و او را مجبور به فروش می کنند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نیز در نهایه حمل بر صحت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بر صحت می شود و او را به زور مجبور به فروش می کنند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گفته محقق ثانی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امر به فروش می کنند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و مانند این در کتاب حدائق </w:t>
      </w:r>
      <w:r>
        <w:rPr>
          <w:rStyle w:val="FootnoteAnchor"/>
          <w:rtl w:val="true"/>
        </w:rPr>
        <w:footnoteReference w:id="1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کتاب مفتاح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قائل به صحت بیع و اجبار بر بیع مصحف باشد ندیدم بله این مطلب در مورد عبد مسلم گفته شده است پس تأمّل کنید و شاید تفاوت آن است که احترام قرآن کریم از احترام بندۀ مسلمان بیشتر می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هر صورت برای بطلان بیع مصحف به کافر به دلیل هایی استدلال شده است</w:t>
      </w:r>
      <w:r>
        <w:rPr>
          <w:rFonts w:eastAsia="IRNazanin" w:cs="IRNazanin"/>
          <w:color w:val="111111"/>
          <w:sz w:val="28"/>
          <w:szCs w:val="28"/>
          <w:rtl w:val="true"/>
          <w:lang w:bidi="fa-IR"/>
        </w:rPr>
        <w:t>:</w:t>
      </w:r>
    </w:p>
    <w:p>
      <w:pPr>
        <w:pStyle w:val="Heading3"/>
        <w:numPr>
          <w:ilvl w:val="2"/>
          <w:numId w:val="1"/>
        </w:numPr>
        <w:rPr/>
      </w:pPr>
      <w:bookmarkStart w:id="64" w:name="__RefHeading___Toc3218752_653776707"/>
      <w:bookmarkStart w:id="65" w:name="_Toc22"/>
      <w:bookmarkEnd w:id="64"/>
      <w:r>
        <w:rPr>
          <w:rtl w:val="true"/>
        </w:rPr>
        <w:t>دلیل اوّل</w:t>
      </w:r>
      <w:r>
        <w:rPr>
          <w:rtl w:val="true"/>
        </w:rPr>
        <w:t xml:space="preserve">: </w:t>
      </w:r>
      <w:r>
        <w:rPr>
          <w:rtl w:val="true"/>
        </w:rPr>
        <w:t>فحوای آن چه دلالت می کند بر این که کافر مالک عبد مسلمان نمی شود</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فتوای به این که کافر، مالک مسلمان نمی شود داده اند و </w:t>
      </w:r>
    </w:p>
    <w:p>
      <w:pPr>
        <w:pStyle w:val="BookText"/>
        <w:rPr/>
      </w:pPr>
      <w:r>
        <w:rPr>
          <w:rFonts w:ascii="IRNazanin" w:hAnsi="IRNazanin" w:eastAsia="IRNazanin"/>
          <w:color w:val="111111"/>
          <w:sz w:val="28"/>
          <w:sz w:val="28"/>
          <w:szCs w:val="28"/>
          <w:rtl w:val="true"/>
          <w:lang w:bidi="fa-IR"/>
        </w:rPr>
        <w:t xml:space="preserve">شیخ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کافر جایز نیست که عبد مسلم را خریداری کند و این ملکیت برای او ثابت نمی شود و قول خدای متعال مخالف این کار است که فرموده </w:t>
      </w:r>
      <w:r>
        <w:rPr>
          <w:rFonts w:ascii="Amiri" w:hAnsi="Amiri" w:eastAsia="Amiri" w:cs="Amiri"/>
          <w:color w:val="111111"/>
          <w:sz w:val="28"/>
          <w:sz w:val="28"/>
          <w:szCs w:val="28"/>
          <w:rtl w:val="true"/>
          <w:lang w:bidi="ar-SA"/>
        </w:rPr>
        <w:t>وَ لَن تَجعَلَ اللَّهُ لِلْكَفِرِينَ عَلَى الْمُؤْمِنِينَ سَبِيلاً</w:t>
      </w:r>
      <w:r>
        <w:rPr>
          <w:rStyle w:val="FootnoteAnchor"/>
          <w:rtl w:val="true"/>
        </w:rPr>
        <w:footnoteReference w:id="138"/>
      </w:r>
      <w:r>
        <w:rPr>
          <w:rFonts w:ascii="IRNazanin" w:hAnsi="IRNazanin" w:eastAsia="IRNazanin"/>
          <w:color w:val="111111"/>
          <w:sz w:val="28"/>
          <w:sz w:val="28"/>
          <w:szCs w:val="28"/>
          <w:rtl w:val="true"/>
          <w:lang w:bidi="fa-IR"/>
        </w:rPr>
        <w:t>و خدا هرگز هیچ راه سلطه ای به سود کافران بر ضد مؤمنان قرار نداده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آیه شریفه برای عدم تملّک کافر بر عبد مسلمان کفایت می کند زیرا این تملّک موجب ذلّت و برتری می باشد و آیه شریفه آن را نفی کرده است</w:t>
      </w:r>
    </w:p>
    <w:p>
      <w:pPr>
        <w:pStyle w:val="BookText"/>
        <w:rPr/>
      </w:pPr>
      <w:r>
        <w:rPr>
          <w:rFonts w:ascii="IRNazanin" w:hAnsi="IRNazanin" w:eastAsia="IRNazanin"/>
          <w:color w:val="111111"/>
          <w:sz w:val="28"/>
          <w:sz w:val="28"/>
          <w:szCs w:val="28"/>
          <w:rtl w:val="true"/>
          <w:lang w:bidi="fa-IR"/>
        </w:rPr>
        <w:t>و مرفوعه حماد بن عیسی از امام صادق علیه السلام این مطلب را تأیید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أَمِیرَ اَلْمُؤْمِنِینَ أُتِیَ بِعَبْدٍ لِذِمِّیٍّ وَ قَدْ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فَبِیعُوهُ مِنَ اَلْمُسْلِمِینَ وَ اِدْفَعُوا ثَمَنَهُ إِلَی صَاحِبِهِ وَ لاَ تُقِرُّوهُ عِنْدَهُ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عبد یک کافر ذمّی را خدمت امیرالمؤمنین علیه السلام آوردند و آن عبد مسلمان شد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به مسلمانان بفروشید و قیمت او را به صاحبش بپردازید و عبد مسلمان در تملک کافر ذمی قرار ندهید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برای کافر تملّک عبد مسلمان جایز نمی باشد به طریق اولی تملّک مصحف که کلام خدای متعال می باشد نیز برای کافر جایز نیست</w:t>
      </w:r>
      <w:r>
        <w:rPr>
          <w:rFonts w:eastAsia="IRNazanin" w:cs="IRNazanin"/>
          <w:color w:val="111111"/>
          <w:sz w:val="28"/>
          <w:szCs w:val="28"/>
          <w:rtl w:val="true"/>
          <w:lang w:bidi="fa-IR"/>
        </w:rPr>
        <w:t xml:space="preserve">. </w:t>
      </w:r>
      <w:bookmarkStart w:id="66" w:name="pg8741_73377"/>
    </w:p>
    <w:p>
      <w:pPr>
        <w:pStyle w:val="BookText"/>
        <w:rPr/>
      </w:pPr>
      <w:bookmarkEnd w:id="66"/>
      <w:r>
        <w:rPr>
          <w:rFonts w:ascii="IRNazanin" w:hAnsi="IRNazanin" w:eastAsia="IRNazanin"/>
          <w:color w:val="111111"/>
          <w:sz w:val="28"/>
          <w:sz w:val="28"/>
          <w:szCs w:val="28"/>
          <w:rtl w:val="true"/>
          <w:lang w:bidi="fa-IR"/>
        </w:rPr>
        <w:t>شیخ جعفر كاشف الغطاء قدس سره این استدلال را چنین تقریب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تملّک کافر بر اهل ایمان برای لزوم اهانت است به واسطه تسلّطی که کافر پیدا می کند که به طریق اولویّت مالکیّت قرآن کریم را نیز در بر می گیرد زیرا اهانت به قرآن اهانت به اسلام و ایمان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کافر بر مسلمان موجب ذلّت و تحقیر شدن مسلمان است ولی تملّک کافر بر مصحف چنین حالتی را ندارد بلکه بسا ممکن است کافر به قرآن کریم احترام بگذارد و آن را در مکان تمیزی قرار بدهد و به آیات و استدلال ها و قصه ها و حکایت ها و دستوراتش مراجعه کند و شاید همین کار باعث هدایت او به اسلام بشود و لذا شیخ اعظم قدس سره </w:t>
      </w:r>
      <w:r>
        <w:rPr>
          <w:rStyle w:val="FootnoteAnchor"/>
          <w:rtl w:val="true"/>
        </w:rPr>
        <w:footnoteReference w:id="142"/>
      </w:r>
      <w:r>
        <w:rPr>
          <w:rFonts w:ascii="IRNazanin" w:hAnsi="IRNazanin" w:eastAsia="IRNazanin"/>
          <w:color w:val="111111"/>
          <w:sz w:val="28"/>
          <w:sz w:val="28"/>
          <w:szCs w:val="28"/>
          <w:rtl w:val="true"/>
          <w:lang w:bidi="fa-IR"/>
        </w:rPr>
        <w:t>در این دلیل و منع آن از بیع مصحف تأمل نموده است</w:t>
      </w:r>
      <w:r>
        <w:rPr>
          <w:rFonts w:eastAsia="IRNazanin" w:cs="IRNazanin"/>
          <w:color w:val="111111"/>
          <w:sz w:val="28"/>
          <w:szCs w:val="28"/>
          <w:rtl w:val="true"/>
          <w:lang w:bidi="fa-IR"/>
        </w:rPr>
        <w:t>.</w:t>
      </w:r>
    </w:p>
    <w:p>
      <w:pPr>
        <w:pStyle w:val="Heading3"/>
        <w:numPr>
          <w:ilvl w:val="2"/>
          <w:numId w:val="1"/>
        </w:numPr>
        <w:rPr/>
      </w:pPr>
      <w:bookmarkStart w:id="67" w:name="__RefHeading___Toc3218754_653776707"/>
      <w:bookmarkStart w:id="68" w:name="_Toc23"/>
      <w:bookmarkEnd w:id="67"/>
      <w:r>
        <w:rPr>
          <w:rtl w:val="true"/>
        </w:rPr>
        <w:t>دلیل دوم</w:t>
      </w:r>
      <w:r>
        <w:rPr>
          <w:rtl w:val="true"/>
        </w:rPr>
        <w:t xml:space="preserve">: </w:t>
      </w:r>
      <w:r>
        <w:rPr>
          <w:rtl w:val="true"/>
        </w:rPr>
        <w:t>روایت نبوی مشهور الإسلامُ یَعْلُوا وَ لا یُعْلَی عَلَیْهِ</w:t>
      </w:r>
      <w:bookmarkEnd w:id="68"/>
    </w:p>
    <w:p>
      <w:pPr>
        <w:pStyle w:val="BookText"/>
        <w:rPr/>
      </w:pPr>
      <w:r>
        <w:rPr>
          <w:rFonts w:ascii="IRNazanin" w:hAnsi="IRNazanin" w:eastAsia="IRNazanin"/>
          <w:color w:val="111111"/>
          <w:sz w:val="28"/>
          <w:sz w:val="28"/>
          <w:szCs w:val="28"/>
          <w:rtl w:val="true"/>
          <w:lang w:bidi="fa-IR"/>
        </w:rPr>
        <w:t>شیخ صدوق روایت مرسل های را از رسول خدا صلی الله علیه و آله نقل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یَعْلُوا وَ لا یُعْلَی عَلَیْهِ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اسلام بالا ترین است و بالا تر از آن چیزی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کافر بر مصحف موجب استعلای کافر بر اسلام می شود و جایز نمی باشد </w:t>
      </w:r>
      <w:bookmarkStart w:id="69" w:name="pg8741_73379"/>
    </w:p>
    <w:p>
      <w:pPr>
        <w:pStyle w:val="BookText"/>
        <w:rPr/>
      </w:pPr>
      <w:bookmarkEnd w:id="69"/>
      <w:r>
        <w:rPr>
          <w:rFonts w:ascii="IRNazanin" w:hAnsi="IRNazanin" w:eastAsia="IRNazanin"/>
          <w:color w:val="111111"/>
          <w:sz w:val="28"/>
          <w:sz w:val="28"/>
          <w:szCs w:val="28"/>
          <w:rtl w:val="true"/>
          <w:lang w:bidi="fa-IR"/>
        </w:rPr>
        <w:t xml:space="preserve">و شیخ اعظم از شیخ طوسی </w:t>
      </w:r>
      <w:r>
        <w:rPr>
          <w:rStyle w:val="FootnoteAnchor"/>
          <w:rtl w:val="true"/>
        </w:rPr>
        <w:footnoteReference w:id="144"/>
      </w:r>
      <w:r>
        <w:rPr>
          <w:rFonts w:ascii="IRNazanin" w:hAnsi="IRNazanin" w:eastAsia="IRNazanin"/>
          <w:color w:val="111111"/>
          <w:sz w:val="28"/>
          <w:sz w:val="28"/>
          <w:szCs w:val="28"/>
          <w:rtl w:val="true"/>
          <w:lang w:bidi="fa-IR"/>
        </w:rPr>
        <w:t>استدلال به حدیث نبوی مذکور را بر عدم تملّک کافر بر مسلمان نقل کرده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معلوم است اگر ملک کافر بر عبد مسلمان موجب علوّ بر اسلام باشد ملکیت کافر بر مصحف علوّ آن شدید تر است</w:t>
      </w:r>
      <w:r>
        <w:rPr>
          <w:rFonts w:eastAsia="IRNazanin" w:cs="IRNazanin"/>
          <w:color w:val="111111"/>
          <w:sz w:val="28"/>
          <w:szCs w:val="28"/>
          <w:rtl w:val="true"/>
          <w:lang w:bidi="fa-IR"/>
        </w:rPr>
        <w:t xml:space="preserve">» </w:t>
      </w:r>
      <w:r>
        <w:rPr>
          <w:rStyle w:val="FootnoteAnchor"/>
          <w:rtl w:val="true"/>
        </w:rPr>
        <w:footnoteReference w:id="145"/>
      </w:r>
    </w:p>
    <w:p>
      <w:pPr>
        <w:pStyle w:val="Heading2"/>
        <w:numPr>
          <w:ilvl w:val="1"/>
          <w:numId w:val="1"/>
        </w:numPr>
        <w:rPr/>
      </w:pPr>
      <w:bookmarkStart w:id="70" w:name="__RefHeading___Toc3218756_653776707"/>
      <w:bookmarkStart w:id="71" w:name="_Toc24"/>
      <w:bookmarkEnd w:id="70"/>
      <w:r>
        <w:rPr>
          <w:rtl w:val="true"/>
        </w:rPr>
        <w:t>اشکال</w:t>
      </w:r>
      <w:bookmarkEnd w:id="71"/>
    </w:p>
    <w:p>
      <w:pPr>
        <w:pStyle w:val="Heading3"/>
        <w:numPr>
          <w:ilvl w:val="2"/>
          <w:numId w:val="1"/>
        </w:numPr>
        <w:rPr/>
      </w:pPr>
      <w:bookmarkStart w:id="72" w:name="__RefHeading___Toc3218758_653776707"/>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و بر این استدلال چند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است و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این اشکال مناقشه بشود که شهرت این روایت نزد شیعه و سنّی برای سند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مطلوب، تمام نیست، فقیه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خبر احتمال پنج معنی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 ها، بیان این مطلب است که دین اسلام اشرف مذاهب است و آن جدّاً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علوّ اسلام از جهت حجّت و برهان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اسلام به واسطه غلبه بر سایر ادیان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فقها اراده کرده اند از بیان حکم شرعی جعل شده به این که غیر از اسلام علوّ ندارد و هنگامی که احتمال بیاید استدلال باطل می شود پس در این مطلب تدبّر نمایید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تمام بودن سند و دلالت مجرّد تملّک کافر بر </w:t>
      </w:r>
      <w:bookmarkStart w:id="74" w:name="pg8741_73381"/>
    </w:p>
    <w:p>
      <w:pPr>
        <w:pStyle w:val="BookText"/>
        <w:rPr/>
      </w:pPr>
      <w:bookmarkEnd w:id="74"/>
      <w:r>
        <w:rPr>
          <w:rFonts w:ascii="IRNazanin" w:hAnsi="IRNazanin" w:eastAsia="IRNazanin"/>
          <w:color w:val="111111"/>
          <w:sz w:val="28"/>
          <w:sz w:val="28"/>
          <w:szCs w:val="28"/>
          <w:rtl w:val="true"/>
          <w:lang w:bidi="fa-IR"/>
        </w:rPr>
        <w:t xml:space="preserve">مصحف موجب برتری کفر بر اسلام نمی شود همان گونه که مجرّد تملّک مسلمان بر تورات و انجیل موجب برتری اسلام بر کفر نخواهد بود چنان که شیخ استاد ما </w:t>
      </w:r>
      <w:r>
        <w:rPr>
          <w:rStyle w:val="FootnoteAnchor"/>
          <w:rtl w:val="true"/>
        </w:rPr>
        <w:footnoteReference w:id="147"/>
      </w:r>
      <w:r>
        <w:rPr>
          <w:rFonts w:ascii="IRNazanin" w:hAnsi="IRNazanin" w:eastAsia="IRNazanin"/>
          <w:color w:val="111111"/>
          <w:sz w:val="28"/>
          <w:sz w:val="28"/>
          <w:szCs w:val="28"/>
          <w:rtl w:val="true"/>
          <w:lang w:bidi="fa-IR"/>
        </w:rPr>
        <w:t>قدس سره به این مطلب آگاهی داده است</w:t>
      </w:r>
    </w:p>
    <w:p>
      <w:pPr>
        <w:pStyle w:val="Heading3"/>
        <w:numPr>
          <w:ilvl w:val="2"/>
          <w:numId w:val="1"/>
        </w:numPr>
        <w:rPr/>
      </w:pPr>
      <w:bookmarkStart w:id="75" w:name="__RefHeading___Toc3218760_653776707"/>
      <w:bookmarkStart w:id="76" w:name="_Toc26"/>
      <w:bookmarkEnd w:id="75"/>
      <w:r>
        <w:rPr>
          <w:rtl w:val="true"/>
        </w:rPr>
        <w:t>دلیل سوم</w:t>
      </w:r>
      <w:r>
        <w:rPr>
          <w:rtl w:val="true"/>
        </w:rPr>
        <w:t xml:space="preserve">: </w:t>
      </w:r>
      <w:r>
        <w:rPr>
          <w:rtl w:val="true"/>
        </w:rPr>
        <w:t>خرید مصحف توسط کافر موجب هتک و استخفاف آن است</w:t>
      </w:r>
      <w:bookmarkEnd w:id="76"/>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ابایی از هتک حرمت مقدّسات الهی ندارد و بیع مصحف توسط کافر موجب سلطه یافتن او و هتک کتاب خدا می شود و هم چنین یکی از واجبات تعظیم کلام الله می باشد ولی بیع آن توسط کافر موجب استخفاف است برای این که گمان می شود که کافر قرآن را خفیف می کند و به آن اهانت می کند می شود چنان که به این مطلب وحید بهبهانی </w:t>
      </w:r>
      <w:r>
        <w:rPr>
          <w:rStyle w:val="FootnoteAnchor"/>
          <w:rtl w:val="true"/>
        </w:rPr>
        <w:footnoteReference w:id="148"/>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شاگرد ایشان شیخ جعفر كاشف الغطاء پیروی کرده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 این هست که در اصل این حکم لزوم اهانت و منافات با تعظیم وجود دارد که باعث بر تحریم ملکیّت آن می شود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هتک قرآن کریم و استخفاف آن جایز نیست ولی بین این مطلب و بیع آن توسط کافر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کافر آن را خریداری کند و احترامی بیشتر از آن چه نوع مسلمانان دارند را نسبت به آن داشته باشد و در کتاب خانه تمیزی آن را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که هتک آن به واسطه سلطه او بر مصحف به عنوان </w:t>
      </w:r>
      <w:bookmarkStart w:id="77" w:name="pg8741_73383"/>
    </w:p>
    <w:p>
      <w:pPr>
        <w:pStyle w:val="BookText"/>
        <w:rPr/>
      </w:pPr>
      <w:bookmarkEnd w:id="77"/>
      <w:r>
        <w:rPr>
          <w:rFonts w:ascii="IRNazanin" w:hAnsi="IRNazanin" w:eastAsia="IRNazanin"/>
          <w:color w:val="111111"/>
          <w:sz w:val="28"/>
          <w:sz w:val="28"/>
          <w:szCs w:val="28"/>
          <w:rtl w:val="true"/>
          <w:lang w:bidi="fa-IR"/>
        </w:rPr>
        <w:t>امری خارجی تحقّق پیدا می کند نه فقط به مجرّد بيع آن، و لذا صاحب جواهر در این حکم مناقشه کرده و می گوید ملکیّت کافر با احترام به قرآن ممکن است تنافی نداشته باشد، به ویژه اگر آن را به جهت بزرگ داشت و تبرک و احترام تهیه کند چنان که بعضی از نصاری نسبت به تربت مقدس امام حسین علیه السلام در هنگام طوفان چنین می کنند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78" w:name="__RefHeading___Toc3218762_653776707"/>
      <w:bookmarkStart w:id="79" w:name="_Toc27"/>
      <w:bookmarkEnd w:id="78"/>
      <w:r>
        <w:rPr>
          <w:rtl w:val="true"/>
        </w:rPr>
        <w:t>دلیل چهارم</w:t>
      </w:r>
      <w:r>
        <w:rPr>
          <w:rtl w:val="true"/>
        </w:rPr>
        <w:t xml:space="preserve">: </w:t>
      </w:r>
      <w:r>
        <w:rPr>
          <w:rtl w:val="true"/>
        </w:rPr>
        <w:t>بیع مصحف توسط کافر مستلزم نجس شدن آن است</w:t>
      </w:r>
      <w:bookmarkEnd w:id="79"/>
    </w:p>
    <w:p>
      <w:pPr>
        <w:pStyle w:val="BookText"/>
        <w:rPr/>
      </w:pPr>
      <w:r>
        <w:rPr>
          <w:rFonts w:ascii="IRNazanin" w:hAnsi="IRNazanin" w:eastAsia="IRNazanin"/>
          <w:color w:val="111111"/>
          <w:sz w:val="28"/>
          <w:sz w:val="28"/>
          <w:szCs w:val="28"/>
          <w:rtl w:val="true"/>
          <w:lang w:bidi="fa-IR"/>
        </w:rPr>
        <w:t>بيع مصحف توسط کافر مستلزم نجس شدن آن است چون علم عادی به این که کافر آن را با رطوبت لمس می کند و از این جهت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نجس شدن مصحف و بیع آن توسط کافر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تمام بودن این استدلال در صورتی است که قائل به حکم به حرمت برای اعانت گناه بدهیم و از جانب ما بر مناقشه بر این مطلب قبلاً بیان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ادله چهار گانه ای که گفته شد تمام باشد که تمام نبود دلالت بر چیزی غیر از حرمت بیع توسط کافر به عنوان حکم تکلیفی ندارد و بین حرمت تکلیفی و حرمت وضعی تفاوت است برای این که تلازمی با هم ندارند و حاصل این که برای مناقشه در این حکم زمینه گسترده ای وجود دارد چنان که صاحب جواهر آن </w:t>
      </w:r>
      <w:bookmarkStart w:id="80" w:name="pg8741_73385"/>
    </w:p>
    <w:p>
      <w:pPr>
        <w:pStyle w:val="BookText"/>
        <w:rPr/>
      </w:pPr>
      <w:bookmarkEnd w:id="80"/>
      <w:r>
        <w:rPr>
          <w:rFonts w:ascii="IRNazanin" w:hAnsi="IRNazanin" w:eastAsia="IRNazanin"/>
          <w:color w:val="111111"/>
          <w:sz w:val="28"/>
          <w:sz w:val="28"/>
          <w:szCs w:val="28"/>
          <w:rtl w:val="true"/>
          <w:lang w:bidi="fa-IR"/>
        </w:rPr>
        <w:t>را پذیرفته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اصل مسأله خالی از بحث در مورد آن نیست</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81" w:name="__RefHeading___Toc3218764_653776707"/>
      <w:bookmarkStart w:id="82" w:name="_Toc28"/>
      <w:bookmarkEnd w:id="81"/>
      <w:r>
        <w:rPr>
          <w:rtl w:val="true"/>
        </w:rPr>
        <w:t>مسأله پنجم</w:t>
      </w:r>
      <w:r>
        <w:rPr>
          <w:rtl w:val="true"/>
        </w:rPr>
        <w:t xml:space="preserve">: </w:t>
      </w:r>
      <w:r>
        <w:rPr>
          <w:rtl w:val="true"/>
        </w:rPr>
        <w:t>حکم بیع قسمت هایی از مصحف</w:t>
      </w:r>
      <w:bookmarkEnd w:id="82"/>
    </w:p>
    <w:p>
      <w:pPr>
        <w:pStyle w:val="BookText"/>
        <w:rPr/>
      </w:pPr>
      <w:r>
        <w:rPr>
          <w:rFonts w:ascii="IRNazanin" w:hAnsi="IRNazanin" w:eastAsia="IRNazanin"/>
          <w:color w:val="111111"/>
          <w:sz w:val="28"/>
          <w:sz w:val="28"/>
          <w:szCs w:val="28"/>
          <w:rtl w:val="true"/>
          <w:lang w:bidi="fa-IR"/>
        </w:rPr>
        <w:t>اگر حرمت بیع مصحف یا کراهت آن را گفتیم آیا این حکم مختص به مجموعه قرآن کریم است یا شامل قسمت های از آن نیز می شود؟</w:t>
      </w:r>
    </w:p>
    <w:p>
      <w:pPr>
        <w:pStyle w:val="BookText"/>
        <w:rPr/>
      </w:pPr>
      <w:r>
        <w:rPr>
          <w:rFonts w:ascii="IRNazanin" w:hAnsi="IRNazanin" w:eastAsia="IRNazanin"/>
          <w:color w:val="111111"/>
          <w:sz w:val="28"/>
          <w:sz w:val="28"/>
          <w:szCs w:val="28"/>
          <w:rtl w:val="true"/>
          <w:lang w:bidi="fa-IR"/>
        </w:rPr>
        <w:t>شیخ 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ای از قرآن یا قسمت های آن به صورت منفصل یا متصل به این که اسم قرآن بر آن غلبه نداشته باشد بیعش مانعی ندارد و اگر غالب باشد اشکال دارد در مواردی که تلاوت آن منسوخ نشده باشد و اگر منسوخ باشد بحث دارد که حکم منسوخ است یا نه و اگر مشترک بین منسوخ و غیر منسوخ باشد مدار بر مبنای قصد نویسنده است و در صورت شک، عمل بر مبنای اصل اباحه می باشد و محافظت از آن طریق احتیاط می باشد چنان که در مورد خالی از قصد هم اولی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این بیان را صاحب جواهر از استاد خود در کتابش </w:t>
      </w:r>
      <w:r>
        <w:rPr>
          <w:rStyle w:val="FootnoteAnchor"/>
          <w:rtl w:val="true"/>
        </w:rPr>
        <w:footnoteReference w:id="153"/>
      </w:r>
      <w:r>
        <w:rPr>
          <w:rFonts w:ascii="IRNazanin" w:hAnsi="IRNazanin" w:eastAsia="IRNazanin"/>
          <w:color w:val="111111"/>
          <w:sz w:val="28"/>
          <w:sz w:val="28"/>
          <w:szCs w:val="28"/>
          <w:rtl w:val="true"/>
          <w:lang w:bidi="fa-IR"/>
        </w:rPr>
        <w:t>نقل کرده مراجعه نمایید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مفتاح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قسمت های مصحف در نزد فقهاء مانند مصحف است پس فرقی بین مجتمع و متفرّق وجود ندارد و از اطلاق کلام آنان بدست می آید که اطلاق بر بعض و </w:t>
      </w:r>
      <w:bookmarkStart w:id="83" w:name="pg8741_73387"/>
    </w:p>
    <w:p>
      <w:pPr>
        <w:pStyle w:val="BookText"/>
        <w:rPr/>
      </w:pPr>
      <w:bookmarkEnd w:id="83"/>
      <w:r>
        <w:rPr>
          <w:rFonts w:ascii="IRNazanin" w:hAnsi="IRNazanin" w:eastAsia="IRNazanin"/>
          <w:color w:val="111111"/>
          <w:sz w:val="28"/>
          <w:sz w:val="28"/>
          <w:szCs w:val="28"/>
          <w:rtl w:val="true"/>
          <w:lang w:bidi="fa-IR"/>
        </w:rPr>
        <w:t>کلّ هر دو دارد و این موافق کلام اهل لغت نیز می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در لغت و در عرف اطلاق بر بعض و اجزاء قرآن نیز دارد و هم چنین خبر سماعة بن مهران از امام صادق علیه السلام دلالت بر این مطلب دارد که در حدیثی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إِیَّاکَ أَنْ تَشْتَرِیَ مِنْهُ الْوَرَقَ وَ فِیهِ الْقُرْآنُ مَکْتُوبٌ فَيَكُونَ عَلَيْكَ حَرَاماً وَ عَلَى مَنْ بَاعَهُ حَرَاماً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 حذر باش از این که ورقی را خریداری کنی که قرآن کریم در آن نوشته شده است پس برای تو حرام است و برای فروشنده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آن چه برای کلّ مصحف جریان پیدا می کند در مورد اجزای آن نیز جاری است ولی در صورتی که مستقل باشد، و امّا اگر متفرّق باشد بعید نیست که ملحق به این حکم نباشد چنان که شیخ اعظم قدس سره </w:t>
      </w:r>
      <w:r>
        <w:rPr>
          <w:rStyle w:val="FootnoteAnchor"/>
          <w:rtl w:val="true"/>
        </w:rPr>
        <w:footnoteReference w:id="156"/>
      </w:r>
      <w:r>
        <w:rPr>
          <w:rFonts w:ascii="IRNazanin" w:hAnsi="IRNazanin" w:eastAsia="IRNazanin"/>
          <w:color w:val="111111"/>
          <w:sz w:val="28"/>
          <w:sz w:val="28"/>
          <w:szCs w:val="28"/>
          <w:rtl w:val="true"/>
          <w:lang w:bidi="fa-IR"/>
        </w:rPr>
        <w:t>نیز قائل به عدم لحوق است</w:t>
      </w:r>
      <w:r>
        <w:rPr>
          <w:rFonts w:eastAsia="IRNazanin" w:cs="IRNazanin"/>
          <w:color w:val="111111"/>
          <w:sz w:val="28"/>
          <w:szCs w:val="28"/>
          <w:rtl w:val="true"/>
          <w:lang w:bidi="fa-IR"/>
        </w:rPr>
        <w:t>.</w:t>
      </w:r>
    </w:p>
    <w:p>
      <w:pPr>
        <w:pStyle w:val="Heading3"/>
        <w:numPr>
          <w:ilvl w:val="2"/>
          <w:numId w:val="1"/>
        </w:numPr>
        <w:rPr/>
      </w:pPr>
      <w:bookmarkStart w:id="84" w:name="__RefHeading___Toc3218766_653776707"/>
      <w:bookmarkStart w:id="85" w:name="_Toc29"/>
      <w:bookmarkEnd w:id="84"/>
      <w:r>
        <w:rPr>
          <w:rtl w:val="true"/>
        </w:rPr>
        <w:t>مسأله ششم</w:t>
      </w:r>
      <w:r>
        <w:rPr>
          <w:rtl w:val="true"/>
        </w:rPr>
        <w:t xml:space="preserve">: </w:t>
      </w:r>
      <w:r>
        <w:rPr>
          <w:rtl w:val="true"/>
        </w:rPr>
        <w:t>آیا کتب حدیث نیز به مصحف ملحق می شود؟</w:t>
      </w:r>
      <w:bookmarkEnd w:id="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کتاب مبسوط </w:t>
      </w:r>
      <w:r>
        <w:rPr>
          <w:rStyle w:val="FootnoteAnchor"/>
          <w:rtl w:val="true"/>
        </w:rPr>
        <w:footnoteReference w:id="157"/>
      </w:r>
      <w:r>
        <w:rPr>
          <w:rFonts w:ascii="IRNazanin" w:hAnsi="IRNazanin" w:eastAsia="IRNazanin"/>
          <w:color w:val="111111"/>
          <w:sz w:val="28"/>
          <w:sz w:val="28"/>
          <w:szCs w:val="28"/>
          <w:rtl w:val="true"/>
          <w:lang w:bidi="fa-IR"/>
        </w:rPr>
        <w:t xml:space="preserve">احادیث را به مصحف الحاق کرده است ولی صریح محقّق در شرایع </w:t>
      </w:r>
      <w:r>
        <w:rPr>
          <w:rStyle w:val="FootnoteAnchor"/>
          <w:rtl w:val="true"/>
        </w:rPr>
        <w:footnoteReference w:id="158"/>
      </w:r>
      <w:r>
        <w:rPr>
          <w:rFonts w:ascii="IRNazanin" w:hAnsi="IRNazanin" w:eastAsia="IRNazanin"/>
          <w:color w:val="111111"/>
          <w:sz w:val="28"/>
          <w:sz w:val="28"/>
          <w:szCs w:val="28"/>
          <w:rtl w:val="true"/>
          <w:lang w:bidi="fa-IR"/>
        </w:rPr>
        <w:t xml:space="preserve">کراهت است و صیمری </w:t>
      </w:r>
      <w:r>
        <w:rPr>
          <w:rStyle w:val="FootnoteAnchor"/>
          <w:rtl w:val="true"/>
        </w:rPr>
        <w:footnoteReference w:id="159"/>
      </w:r>
      <w:r>
        <w:rPr>
          <w:rFonts w:ascii="IRNazanin" w:hAnsi="IRNazanin" w:eastAsia="IRNazanin"/>
          <w:color w:val="111111"/>
          <w:sz w:val="28"/>
          <w:sz w:val="28"/>
          <w:szCs w:val="28"/>
          <w:rtl w:val="true"/>
          <w:lang w:bidi="fa-IR"/>
        </w:rPr>
        <w:t xml:space="preserve">آن را به </w:t>
      </w:r>
    </w:p>
    <w:p>
      <w:pPr>
        <w:pStyle w:val="BookText"/>
        <w:rPr/>
      </w:pPr>
      <w:r>
        <w:rPr>
          <w:rFonts w:ascii="IRNazanin" w:hAnsi="IRNazanin" w:eastAsia="IRNazanin"/>
          <w:color w:val="111111"/>
          <w:sz w:val="28"/>
          <w:sz w:val="28"/>
          <w:szCs w:val="28"/>
          <w:rtl w:val="true"/>
          <w:lang w:bidi="fa-IR"/>
        </w:rPr>
        <w:t xml:space="preserve">مشهور نسبت داده است و علامه در تذکره </w:t>
      </w:r>
      <w:r>
        <w:rPr>
          <w:rStyle w:val="FootnoteAnchor"/>
          <w:rtl w:val="true"/>
        </w:rPr>
        <w:footnoteReference w:id="160"/>
      </w:r>
      <w:r>
        <w:rPr>
          <w:rFonts w:ascii="IRNazanin" w:hAnsi="IRNazanin" w:eastAsia="IRNazanin"/>
          <w:color w:val="111111"/>
          <w:sz w:val="28"/>
          <w:sz w:val="28"/>
          <w:szCs w:val="28"/>
          <w:rtl w:val="true"/>
          <w:lang w:bidi="fa-IR"/>
        </w:rPr>
        <w:t>تردید کرده است در این که الحاق می شود یا نمی شود ولی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احادیث پیامبر اکرم صلی الله علیه و آله و اهل بیت علیهم السلام در مورد منع بيع به مصحف جاری می شود یا نه؟ محل اشکال است پس اگر آن را منع کنیم شامل کتبی که مشتمل بر اخبار و آثار از جمله کتاب های فقه می باشد نمی 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فرزندش در شرح الارشاد </w:t>
      </w:r>
      <w:r>
        <w:rPr>
          <w:rStyle w:val="FootnoteAnchor"/>
          <w:rtl w:val="true"/>
        </w:rPr>
        <w:footnoteReference w:id="162"/>
      </w:r>
      <w:r>
        <w:rPr>
          <w:rFonts w:ascii="IRNazanin" w:hAnsi="IRNazanin" w:eastAsia="IRNazanin"/>
          <w:color w:val="111111"/>
          <w:sz w:val="28"/>
          <w:sz w:val="28"/>
          <w:szCs w:val="28"/>
          <w:rtl w:val="true"/>
          <w:lang w:bidi="fa-IR"/>
        </w:rPr>
        <w:t>به سوی جواز بیع احادیث نبوی به کافر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ثانی در فوائد الشرائع آن را به مصحف ملحق کرده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و باطل بودن بیع اولی و احوط است و چنین نیست که احادیث از آیات قرآن خالی باشد و بنابر این منع خالی از قوّت نیست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شیخ 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سرایت حکم به کتاب های محترم از کتب حدیث و فقه و دعا و مانند آن ها بعید نمی باشد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قوی الحاق به مصحف است در مورد کتاب های حدیث و تفسیر و فقه و زیارت ها و خطبه ها و موعظه ها و دعا ها و تربت مقدّس حسینی و خاک ضریح های مقدّس و غبار صندوق های شریف و پوشش کعبه که خداوند بر شرافت آن ها بیفزاید</w:t>
      </w:r>
      <w:r>
        <w:rPr>
          <w:rFonts w:eastAsia="IRNazanin" w:cs="IRNazanin"/>
          <w:color w:val="111111"/>
          <w:sz w:val="28"/>
          <w:szCs w:val="28"/>
          <w:rtl w:val="true"/>
          <w:lang w:bidi="fa-IR"/>
        </w:rPr>
        <w:t>».</w:t>
      </w:r>
      <w:r>
        <w:rPr>
          <w:rStyle w:val="FootnoteAnchor"/>
          <w:rtl w:val="true"/>
        </w:rPr>
        <w:footnoteReference w:id="165"/>
      </w:r>
      <w:bookmarkStart w:id="86" w:name="pg8741_73391"/>
    </w:p>
    <w:p>
      <w:pPr>
        <w:pStyle w:val="BookText"/>
        <w:rPr/>
      </w:pPr>
      <w:bookmarkEnd w:id="86"/>
      <w:r>
        <w:rPr>
          <w:rFonts w:ascii="IRNazanin" w:hAnsi="IRNazanin" w:eastAsia="IRNazanin"/>
          <w:color w:val="111111"/>
          <w:sz w:val="28"/>
          <w:sz w:val="28"/>
          <w:szCs w:val="28"/>
          <w:rtl w:val="true"/>
          <w:lang w:bidi="fa-IR"/>
        </w:rPr>
        <w:t xml:space="preserve">و شاگرد ایشان صاحب كتاب مفتاح الكرامة </w:t>
      </w:r>
      <w:r>
        <w:rPr>
          <w:rStyle w:val="FootnoteAnchor"/>
          <w:rtl w:val="true"/>
        </w:rPr>
        <w:footnoteReference w:id="166"/>
      </w:r>
      <w:r>
        <w:rPr>
          <w:rFonts w:ascii="IRNazanin" w:hAnsi="IRNazanin" w:eastAsia="IRNazanin"/>
          <w:color w:val="111111"/>
          <w:sz w:val="28"/>
          <w:sz w:val="28"/>
          <w:szCs w:val="28"/>
          <w:rtl w:val="true"/>
          <w:lang w:bidi="fa-IR"/>
        </w:rPr>
        <w:t>به سوى الحاق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اعظم </w:t>
      </w:r>
      <w:r>
        <w:rPr>
          <w:rStyle w:val="FootnoteAnchor"/>
          <w:rtl w:val="true"/>
        </w:rPr>
        <w:footnoteReference w:id="167"/>
      </w:r>
      <w:r>
        <w:rPr>
          <w:rFonts w:ascii="IRNazanin" w:hAnsi="IRNazanin" w:eastAsia="IRNazanin"/>
          <w:color w:val="111111"/>
          <w:sz w:val="28"/>
          <w:sz w:val="28"/>
          <w:szCs w:val="28"/>
          <w:rtl w:val="true"/>
          <w:lang w:bidi="fa-IR"/>
        </w:rPr>
        <w:t xml:space="preserve">در این مقام و نیز در کتاب بیع </w:t>
      </w:r>
      <w:r>
        <w:rPr>
          <w:rStyle w:val="FootnoteAnchor"/>
          <w:rtl w:val="true"/>
        </w:rPr>
        <w:footnoteReference w:id="168"/>
      </w:r>
      <w:r>
        <w:rPr>
          <w:rFonts w:ascii="IRNazanin" w:hAnsi="IRNazanin" w:eastAsia="IRNazanin"/>
          <w:color w:val="111111"/>
          <w:sz w:val="28"/>
          <w:sz w:val="28"/>
          <w:szCs w:val="28"/>
          <w:rtl w:val="true"/>
          <w:lang w:bidi="fa-IR"/>
        </w:rPr>
        <w:t>خود چیزی را اختیار نکرده است ولی در بیع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که احادیث منسوب به پیامبر صلی الله علیه و آله که از طریق خبر واحد روایت شده حکم آن ها مثل حکم آن چه علم به صدور آن ها از ایشان است باشد اگرچه ظاهر آن چه به مصحف الحاق می شود اقوال پیامبر اکرم صلی الله علیه و آله است که صدورش از ایشان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شیخ اعظم فرموده متین است ولی از آن جا که به سمت جواز بیع مصحف توسط کافر رفتیم پس جواز آن در کتاب های احادیث رسول صلی الله علیه و آله و اهل بیت علیهم السلام به طریق اولی در همان مجرای مصحف جریان می یابد چنان که فخر المحقّقين قدس سره نیز قائل به جواز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ادلّه آن جا تمام بود الحاق نیز قوی بود چنان که از شیخ جعفر حکایت کردیم و بنابر الحاق فرقی بین احادیث نبوی و غیر آن ها وجود ندارد چنان که جدّ ما شیخ جعفر فرموده و حکم را تعمیم داده است</w:t>
      </w:r>
    </w:p>
    <w:p>
      <w:pPr>
        <w:pStyle w:val="Heading3"/>
        <w:numPr>
          <w:ilvl w:val="2"/>
          <w:numId w:val="1"/>
        </w:numPr>
        <w:rPr/>
      </w:pPr>
      <w:bookmarkStart w:id="87" w:name="__RefHeading___Toc3218768_653776707"/>
      <w:bookmarkStart w:id="88" w:name="_Toc30"/>
      <w:bookmarkEnd w:id="87"/>
      <w:r>
        <w:rPr>
          <w:rtl w:val="true"/>
        </w:rPr>
        <w:t>مسأله هفتم</w:t>
      </w:r>
      <w:r>
        <w:rPr>
          <w:rtl w:val="true"/>
        </w:rPr>
        <w:t xml:space="preserve">: </w:t>
      </w:r>
      <w:r>
        <w:rPr>
          <w:rtl w:val="true"/>
        </w:rPr>
        <w:t>آیا نام پیامبر اکرم صلی الله علیه و آله و خاندانش صلی الله علیه و آله به احادیث ملحق می شود؟</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ملحق شدن احادیث به مصحف شریف آیا نام های </w:t>
      </w:r>
    </w:p>
    <w:p>
      <w:pPr>
        <w:pStyle w:val="BookText"/>
        <w:rPr/>
      </w:pPr>
      <w:r>
        <w:rPr>
          <w:rFonts w:ascii="IRNazanin" w:hAnsi="IRNazanin" w:eastAsia="IRNazanin"/>
          <w:color w:val="111111"/>
          <w:sz w:val="28"/>
          <w:sz w:val="28"/>
          <w:szCs w:val="28"/>
          <w:rtl w:val="true"/>
          <w:lang w:bidi="fa-IR"/>
        </w:rPr>
        <w:t>مبارک پیامبر صلی الله علیه و آله و ائمه علیهم السلام و مادر ایشان حضرت فاطمه زهرا علیها السلام به احاديث الحاق می شود یا نه؟</w:t>
      </w:r>
    </w:p>
    <w:p>
      <w:pPr>
        <w:pStyle w:val="BookText"/>
        <w:rPr/>
      </w:pPr>
      <w:r>
        <w:rPr>
          <w:rFonts w:ascii="IRNazanin" w:hAnsi="IRNazanin" w:eastAsia="IRNazanin"/>
          <w:color w:val="111111"/>
          <w:sz w:val="28"/>
          <w:sz w:val="28"/>
          <w:szCs w:val="28"/>
          <w:rtl w:val="true"/>
          <w:lang w:bidi="fa-IR"/>
        </w:rPr>
        <w:t xml:space="preserve">شیخ اعظم </w:t>
      </w:r>
      <w:r>
        <w:rPr>
          <w:rStyle w:val="FootnoteAnchor"/>
          <w:rtl w:val="true"/>
        </w:rPr>
        <w:footnoteReference w:id="169"/>
      </w:r>
      <w:r>
        <w:rPr>
          <w:rFonts w:ascii="IRNazanin" w:hAnsi="IRNazanin" w:eastAsia="IRNazanin"/>
          <w:color w:val="111111"/>
          <w:sz w:val="28"/>
          <w:sz w:val="28"/>
          <w:szCs w:val="28"/>
          <w:rtl w:val="true"/>
          <w:lang w:bidi="fa-IR"/>
        </w:rPr>
        <w:t>استشهاد به الحاق به طریق اولویت نموده است زیرا اسم پیامبر خاتم صلی الله علیه و آله اعظم از کلام ایشان است سپس فرعی را بیان نموده در مورد تملّک کفار بر درهم ها و دینار هایی که نام پیامبر اکرم صلی الله علیه و آله و بر آن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را جواب می دهد به این که قیمت و یا جزئی از آن در ازای اسم حضرت رسول صلی الله علیه و آله که بر آن نوشته شده نیست و این اسم به تبع در بیع انتقال می یابد</w:t>
      </w:r>
    </w:p>
    <w:p>
      <w:pPr>
        <w:pStyle w:val="BookText"/>
        <w:rPr/>
      </w:pPr>
      <w:r>
        <w:rPr>
          <w:rFonts w:ascii="IRNazanin" w:hAnsi="IRNazanin" w:eastAsia="IRNazanin"/>
          <w:color w:val="111111"/>
          <w:sz w:val="28"/>
          <w:sz w:val="28"/>
          <w:szCs w:val="28"/>
          <w:rtl w:val="true"/>
          <w:lang w:bidi="fa-IR"/>
        </w:rPr>
        <w:t>پس از آن در این جواب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سلطه یافتن خارجی است و معاوضه و تملیک نمی باشد اضافه بر این که علم عادی وجود دارد که کافر این سکّه ها را با دست مرطوب لمس می نماید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این نظر که احادیث نبوی و غیر آن ها به مصحف شريف الحاق شود نرفتیم پس در این بحث نیز قائل به عدم الحاق هستیم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منع اعظم بودن اسم پیامبر صلی الله علیه و آله بر کلام ایشان و لااقل این که چنین مطلبی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این که جایز است محدّث کلام پیامبر صلی الله علیه و آله را لمس نماید ولی جایز نیست اسم ایشان را لمس کند شاهد بر اعظم بودن نمی باشد و الّا در این صورت باید نام مبارک پیامبر صلی الله علیه و آله از خود ایشان اعظم باشد در صورتی که لمس پیامبر بدون وضو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محقّق </w:t>
      </w:r>
      <w:bookmarkStart w:id="89" w:name="pg8741_73395"/>
    </w:p>
    <w:p>
      <w:pPr>
        <w:pStyle w:val="BookText"/>
        <w:rPr/>
      </w:pPr>
      <w:bookmarkEnd w:id="89"/>
      <w:r>
        <w:rPr>
          <w:rFonts w:ascii="IRNazanin" w:hAnsi="IRNazanin" w:eastAsia="IRNazanin"/>
          <w:color w:val="111111"/>
          <w:sz w:val="28"/>
          <w:sz w:val="28"/>
          <w:szCs w:val="28"/>
          <w:rtl w:val="true"/>
          <w:lang w:bidi="fa-IR"/>
        </w:rPr>
        <w:t xml:space="preserve">ایروانی قدس سره </w:t>
      </w:r>
      <w:r>
        <w:rPr>
          <w:rStyle w:val="FootnoteAnchor"/>
          <w:rtl w:val="true"/>
        </w:rPr>
        <w:footnoteReference w:id="170"/>
      </w:r>
      <w:r>
        <w:rPr>
          <w:rFonts w:ascii="IRNazanin" w:hAnsi="IRNazanin" w:eastAsia="IRNazanin"/>
          <w:color w:val="111111"/>
          <w:sz w:val="28"/>
          <w:sz w:val="28"/>
          <w:szCs w:val="28"/>
          <w:rtl w:val="true"/>
          <w:lang w:bidi="fa-IR"/>
        </w:rPr>
        <w:t>به آن آگاهی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قسمتی از ثمن در ازای اسماء ایشان علیهم السلام قرار داده شود چنان که از خبر دعبل بن على خزاعی </w:t>
      </w:r>
      <w:r>
        <w:rPr>
          <w:rStyle w:val="FootnoteAnchor"/>
          <w:rtl w:val="true"/>
        </w:rPr>
        <w:footnoteReference w:id="171"/>
      </w:r>
      <w:r>
        <w:rPr>
          <w:rFonts w:ascii="IRNazanin" w:hAnsi="IRNazanin" w:eastAsia="IRNazanin"/>
          <w:color w:val="111111"/>
          <w:sz w:val="28"/>
          <w:sz w:val="28"/>
          <w:szCs w:val="28"/>
          <w:rtl w:val="true"/>
          <w:lang w:bidi="fa-IR"/>
        </w:rPr>
        <w:t xml:space="preserve">ظاهر می شود در مورد دینار های رضوی که هر دیناری به صد درهم معامله شد به واسطه این که نام مبارک امام همام حضرت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ستایش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ضرب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اعظمیّت دلیل تمامی می باشد حکم حرمت به نسبت سلطه یافتن یا نجس شدن به عنوان خارجی جاری می شود نه برای معاوضه یا تملیک و بنابر این اشکالی بر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بین مسلمانان این الحاق را نفی می کند چون معاوضه و خرید و فروش در هم هایی که نام مبارک نبی اکرم صلی الله علیه و آله و اهل بیت علیهم السلام بر آن ها نوشته بوده بین مسلمین و کافرین جریان داشته است</w:t>
      </w:r>
      <w:r>
        <w:rPr>
          <w:rFonts w:eastAsia="IRNazanin" w:cs="IRNazanin"/>
          <w:color w:val="111111"/>
          <w:sz w:val="28"/>
          <w:szCs w:val="28"/>
          <w:rtl w:val="true"/>
          <w:lang w:bidi="fa-IR"/>
        </w:rPr>
        <w:t>.</w:t>
      </w:r>
    </w:p>
    <w:p>
      <w:pPr>
        <w:pStyle w:val="Heading3"/>
        <w:numPr>
          <w:ilvl w:val="2"/>
          <w:numId w:val="1"/>
        </w:numPr>
        <w:rPr/>
      </w:pPr>
      <w:bookmarkStart w:id="90" w:name="__RefHeading___Toc3218770_653776707"/>
      <w:bookmarkStart w:id="91" w:name="_Toc31"/>
      <w:bookmarkEnd w:id="90"/>
      <w:r>
        <w:rPr>
          <w:rtl w:val="true"/>
        </w:rPr>
        <w:t>مسأله هشتم</w:t>
      </w:r>
      <w:r>
        <w:rPr>
          <w:rtl w:val="true"/>
        </w:rPr>
        <w:t xml:space="preserve">: </w:t>
      </w:r>
      <w:r>
        <w:rPr>
          <w:rtl w:val="true"/>
        </w:rPr>
        <w:t>هبه مصحف</w:t>
      </w:r>
      <w:bookmarkEnd w:id="91"/>
    </w:p>
    <w:p>
      <w:pPr>
        <w:pStyle w:val="BookText"/>
        <w:rPr/>
      </w:pPr>
      <w:r>
        <w:rPr>
          <w:rFonts w:ascii="IRNazanin" w:hAnsi="IRNazanin" w:eastAsia="IRNazanin"/>
          <w:color w:val="111111"/>
          <w:sz w:val="28"/>
          <w:sz w:val="28"/>
          <w:szCs w:val="28"/>
          <w:rtl w:val="true"/>
          <w:lang w:bidi="fa-IR"/>
        </w:rPr>
        <w:t>بر مبنای قول به حرمت بیع مصحف آیا هبه یا بخشش آن جایز است یا 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هبه مصحف در صورتی که رایگان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هبه معوّضه نیز ممکن است حکم به جواز داده شود برای این که ادلّه منع فقط اختصاص به بیع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bookmarkStart w:id="92" w:name="pg8741_73397"/>
    </w:p>
    <w:p>
      <w:pPr>
        <w:pStyle w:val="BookText"/>
        <w:rPr/>
      </w:pPr>
      <w:bookmarkEnd w:id="92"/>
      <w:r>
        <w:rPr>
          <w:rFonts w:ascii="IRNazanin" w:hAnsi="IRNazanin" w:eastAsia="IRNazanin"/>
          <w:color w:val="111111"/>
          <w:sz w:val="28"/>
          <w:sz w:val="28"/>
          <w:szCs w:val="28"/>
          <w:rtl w:val="true"/>
          <w:lang w:bidi="fa-IR"/>
        </w:rPr>
        <w:t>ممکن است گفته شودک عوض با هبه مقابله می کند نه با مصحف و ممکن است حکم به منع داده شود برای این که مستفاد از ادلّه، حصول هتک برای مصحف می باشد وقتی که با مالی مقابله گردد چه این که در صورت بیع باشد یا به صورت دیگری باشد و برای این که گرفتن عوض در مقابل هبه نیز در نزد عرف مردم به آن عوض گفته می شود پس هبّه معوضه برای مصحف جایز نمی باشد</w:t>
      </w:r>
    </w:p>
    <w:p>
      <w:pPr>
        <w:pStyle w:val="BookText"/>
        <w:rPr/>
      </w:pPr>
      <w:r>
        <w:rPr>
          <w:rFonts w:ascii="IRNazanin" w:hAnsi="IRNazanin" w:eastAsia="IRNazanin"/>
          <w:color w:val="111111"/>
          <w:sz w:val="28"/>
          <w:sz w:val="28"/>
          <w:szCs w:val="28"/>
          <w:rtl w:val="true"/>
          <w:lang w:bidi="fa-IR"/>
        </w:rPr>
        <w:t>و این بیان در مورد تملیک مصحف به نحو شرط ضمن عقد نیز جریان می یابد زیرا شرط با عوض مقابله نمی کند و از طرف دیگر اخذ عوض صدق عرفی دارد</w:t>
      </w:r>
    </w:p>
    <w:p>
      <w:pPr>
        <w:pStyle w:val="BookText"/>
        <w:rPr/>
      </w:pPr>
      <w:r>
        <w:rPr>
          <w:rFonts w:ascii="IRNazanin" w:hAnsi="IRNazanin" w:eastAsia="IRNazanin"/>
          <w:color w:val="111111"/>
          <w:sz w:val="28"/>
          <w:sz w:val="28"/>
          <w:szCs w:val="28"/>
          <w:rtl w:val="true"/>
          <w:lang w:bidi="fa-IR"/>
        </w:rPr>
        <w:t>و لیکن آن چه برای ما از دلایل تمام گردید جواز هبه معوضه می باشد برای این که ادلّه مانعه اگر تمام بود، فقط به نسبت بیع جریان می یابد و هم چنین تملیک مصحف به نحو شرط ضمن عقد جایز است برای این که شروط با جزئی از ثمن مقابله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چه گفتیم ظاهر شد که قرار دادن مصحف به عنوان عوض برای اجاره و یا جعاله یا قرار دادن آن ها به عنوان مهریه یا جزئی از آن جایز است و فقیه یزدی </w:t>
      </w:r>
      <w:r>
        <w:rPr>
          <w:rStyle w:val="FootnoteAnchor"/>
          <w:rtl w:val="true"/>
        </w:rPr>
        <w:footnoteReference w:id="172"/>
      </w:r>
      <w:r>
        <w:rPr>
          <w:rFonts w:ascii="IRNazanin" w:hAnsi="IRNazanin" w:eastAsia="IRNazanin"/>
          <w:color w:val="111111"/>
          <w:sz w:val="28"/>
          <w:sz w:val="28"/>
          <w:szCs w:val="28"/>
          <w:rtl w:val="true"/>
          <w:lang w:bidi="fa-IR"/>
        </w:rPr>
        <w:t xml:space="preserve">و محقّق اردکانی </w:t>
      </w:r>
      <w:r>
        <w:rPr>
          <w:rStyle w:val="FootnoteAnchor"/>
          <w:rtl w:val="true"/>
        </w:rPr>
        <w:footnoteReference w:id="173"/>
      </w:r>
      <w:r>
        <w:rPr>
          <w:rFonts w:ascii="IRNazanin" w:hAnsi="IRNazanin" w:eastAsia="IRNazanin"/>
          <w:color w:val="111111"/>
          <w:sz w:val="28"/>
          <w:sz w:val="28"/>
          <w:szCs w:val="28"/>
          <w:rtl w:val="true"/>
          <w:lang w:bidi="fa-IR"/>
        </w:rPr>
        <w:t>قدس سرهما به این فرع اشاره کرده اند</w:t>
      </w:r>
      <w:r>
        <w:rPr>
          <w:rFonts w:eastAsia="IRNazanin" w:cs="IRNazanin"/>
          <w:color w:val="111111"/>
          <w:sz w:val="28"/>
          <w:szCs w:val="28"/>
          <w:rtl w:val="true"/>
          <w:lang w:bidi="fa-IR"/>
        </w:rPr>
        <w:t>.</w:t>
      </w:r>
    </w:p>
    <w:p>
      <w:pPr>
        <w:pStyle w:val="Heading3"/>
        <w:numPr>
          <w:ilvl w:val="2"/>
          <w:numId w:val="1"/>
        </w:numPr>
        <w:rPr/>
      </w:pPr>
      <w:bookmarkStart w:id="93" w:name="__RefHeading___Toc3218772_653776707"/>
      <w:bookmarkStart w:id="94" w:name="_Toc32"/>
      <w:bookmarkEnd w:id="93"/>
      <w:r>
        <w:rPr>
          <w:rtl w:val="true"/>
        </w:rPr>
        <w:t>مسأله نهم</w:t>
      </w:r>
      <w:r>
        <w:rPr>
          <w:rtl w:val="true"/>
        </w:rPr>
        <w:t xml:space="preserve">: </w:t>
      </w:r>
      <w:r>
        <w:rPr>
          <w:rtl w:val="true"/>
        </w:rPr>
        <w:t>مراد از هدیه در معامله مصحف چیست؟</w:t>
      </w:r>
      <w:bookmarkEnd w:id="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در نزد متشرعّه این است که در بیع مصحف، قیمت قرآن را هدیه می نامند، و مراد این است که قرآن به صورت مجانی از طرف فروشنده تملیک می شود و پرداخت پول نیز به صورت مجانی </w:t>
      </w:r>
      <w:bookmarkStart w:id="95" w:name="pg8741_73399"/>
    </w:p>
    <w:p>
      <w:pPr>
        <w:pStyle w:val="BookText"/>
        <w:rPr/>
      </w:pPr>
      <w:bookmarkEnd w:id="95"/>
      <w:r>
        <w:rPr>
          <w:rFonts w:ascii="IRNazanin" w:hAnsi="IRNazanin" w:eastAsia="IRNazanin"/>
          <w:color w:val="111111"/>
          <w:sz w:val="28"/>
          <w:sz w:val="28"/>
          <w:szCs w:val="28"/>
          <w:rtl w:val="true"/>
          <w:lang w:bidi="fa-IR"/>
        </w:rPr>
        <w:t>توسط مشتری انجام می شود برای این که آنان در مورد آیات الله تبارک و تعالی رعایت ادب را می کنند و آن را مانند کالا های دیگر مورد معامله قرار نمی دهند و کلام الله را بالاتر از این می بینند که با بهایی مقابله کند و بنابر این از معامله مصحف تعبیر به اسم هدیه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معامله اشکال ندارد و حتی بر مبنای قول به حرمت بیع مصحف نیز جائز است، با این هدیه از انجام کار حرام خلاص می شوند چنان که فقیه یزدی قدس سره </w:t>
      </w:r>
      <w:r>
        <w:rPr>
          <w:rStyle w:val="FootnoteAnchor"/>
          <w:rtl w:val="true"/>
        </w:rPr>
        <w:footnoteReference w:id="174"/>
      </w:r>
      <w:r>
        <w:rPr>
          <w:rFonts w:ascii="IRNazanin" w:hAnsi="IRNazanin" w:eastAsia="IRNazanin"/>
          <w:color w:val="111111"/>
          <w:sz w:val="28"/>
          <w:sz w:val="28"/>
          <w:szCs w:val="28"/>
          <w:rtl w:val="true"/>
          <w:lang w:bidi="fa-IR"/>
        </w:rPr>
        <w:t>به آن آگاهی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جواز هبۀ معوضه نسبت مصحف در فرع سابق بیان شد و ممکن است هدیه را نیز از جمله آن ها محسوب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مبادله مصحف به مصحف جایز است اگرچه چیز دیگری نیز با یکی از آن ها مبادله شود به جهت این که دلیل منع از آن از این صورت انصراف دارد اگر این دلیل تمام باشد چنان که فقیه یزدی قدس سره </w:t>
      </w:r>
      <w:r>
        <w:rPr>
          <w:rStyle w:val="FootnoteAnchor"/>
          <w:rtl w:val="true"/>
        </w:rPr>
        <w:footnoteReference w:id="175"/>
      </w:r>
      <w:r>
        <w:rPr>
          <w:rFonts w:ascii="IRNazanin" w:hAnsi="IRNazanin" w:eastAsia="IRNazanin"/>
          <w:color w:val="111111"/>
          <w:sz w:val="28"/>
          <w:sz w:val="28"/>
          <w:szCs w:val="28"/>
          <w:rtl w:val="true"/>
          <w:lang w:bidi="fa-IR"/>
        </w:rPr>
        <w:t>است نیز به آن اعتراف نموده است</w:t>
      </w:r>
      <w:r>
        <w:rPr>
          <w:rFonts w:eastAsia="IRNazanin" w:cs="IRNazanin"/>
          <w:color w:val="111111"/>
          <w:sz w:val="28"/>
          <w:szCs w:val="28"/>
          <w:rtl w:val="true"/>
          <w:lang w:bidi="fa-IR"/>
        </w:rPr>
        <w:t>.</w:t>
      </w:r>
    </w:p>
    <w:p>
      <w:pPr>
        <w:pStyle w:val="Heading3"/>
        <w:numPr>
          <w:ilvl w:val="2"/>
          <w:numId w:val="1"/>
        </w:numPr>
        <w:rPr/>
      </w:pPr>
      <w:bookmarkStart w:id="96" w:name="__RefHeading___Toc3218774_653776707"/>
      <w:bookmarkStart w:id="97" w:name="_Toc33"/>
      <w:bookmarkEnd w:id="96"/>
      <w:r>
        <w:rPr>
          <w:rtl w:val="true"/>
        </w:rPr>
        <w:t xml:space="preserve">مسأله دهم </w:t>
      </w:r>
      <w:r>
        <w:rPr>
          <w:rtl w:val="true"/>
        </w:rPr>
        <w:t xml:space="preserve">: </w:t>
      </w:r>
      <w:r>
        <w:rPr>
          <w:rtl w:val="true"/>
        </w:rPr>
        <w:t>آیا خیار عیب در خط مصحف ثابت می شود؟</w:t>
      </w:r>
      <w:bookmarkEnd w:id="97"/>
    </w:p>
    <w:p>
      <w:pPr>
        <w:pStyle w:val="BookText"/>
        <w:rPr/>
      </w:pPr>
      <w:r>
        <w:rPr>
          <w:rFonts w:ascii="IRNazanin" w:hAnsi="IRNazanin" w:eastAsia="IRNazanin"/>
          <w:color w:val="111111"/>
          <w:sz w:val="28"/>
          <w:sz w:val="28"/>
          <w:szCs w:val="28"/>
          <w:rtl w:val="true"/>
          <w:lang w:bidi="fa-IR"/>
        </w:rPr>
        <w:t>بر مبنای قول به حرمت بیع مصحف اگر عیبی در نوشته یا خط آن ظاهر شد آیا خیار عیب ثابت می شود یا نه؟</w:t>
      </w:r>
    </w:p>
    <w:p>
      <w:pPr>
        <w:pStyle w:val="BookText"/>
        <w:rPr/>
      </w:pPr>
      <w:r>
        <w:rPr>
          <w:rFonts w:ascii="IRNazanin" w:hAnsi="IRNazanin" w:eastAsia="IRNazanin"/>
          <w:color w:val="111111"/>
          <w:sz w:val="28"/>
          <w:sz w:val="28"/>
          <w:szCs w:val="28"/>
          <w:rtl w:val="true"/>
          <w:lang w:bidi="fa-IR"/>
        </w:rPr>
        <w:t>دو وجه جریان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خط و نوشته و مرکب بر مبنای قول به منع، به صورت تبعی داخل در ملک می شود بنابر این در بیع در نظر گرفته نمی شود و با قسمتی از ثمن مقابله نمی کند پس اگر معیوب بودن آن معلوم شد خیار بیع برای آن ثابت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خیار ، بودن خط و نوشته و مرکب که آن ها داعى بيع هستند کفایت می می کند</w:t>
      </w:r>
    </w:p>
    <w:p>
      <w:pPr>
        <w:pStyle w:val="BookText"/>
        <w:rPr/>
      </w:pP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داعی در بیع موجب خیار نمی شود و این مطلب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جهت که عیب در خط عیب در مصحف نیز می باشد خیار عیب به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آن است که بر مبنای قول به منع خیار عیب اثبات نمی شود چنان که فقیه یزدی </w:t>
      </w:r>
      <w:r>
        <w:rPr>
          <w:rStyle w:val="FootnoteAnchor"/>
          <w:rtl w:val="true"/>
        </w:rPr>
        <w:footnoteReference w:id="176"/>
      </w:r>
      <w:r>
        <w:rPr>
          <w:rFonts w:ascii="IRNazanin" w:hAnsi="IRNazanin" w:eastAsia="IRNazanin"/>
          <w:color w:val="111111"/>
          <w:sz w:val="28"/>
          <w:sz w:val="28"/>
          <w:szCs w:val="28"/>
          <w:rtl w:val="true"/>
          <w:lang w:bidi="fa-IR"/>
        </w:rPr>
        <w:t xml:space="preserve">و محقّق اردکانی </w:t>
      </w:r>
      <w:r>
        <w:rPr>
          <w:rStyle w:val="FootnoteAnchor"/>
          <w:rtl w:val="true"/>
        </w:rPr>
        <w:footnoteReference w:id="177"/>
      </w:r>
      <w:r>
        <w:rPr>
          <w:rFonts w:ascii="IRNazanin" w:hAnsi="IRNazanin" w:eastAsia="IRNazanin"/>
          <w:color w:val="111111"/>
          <w:sz w:val="28"/>
          <w:sz w:val="28"/>
          <w:szCs w:val="28"/>
          <w:rtl w:val="true"/>
          <w:lang w:bidi="fa-IR"/>
        </w:rPr>
        <w:t>قدس سرهما به سوی آن رفته اند و بر مبنای قول به جواز خیار عیب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ما به سوی جواز بیع مصحف رفتیم پس وقتی عیب در خط ظاهر شد خیار عیب به واسطه آن برای مشتری ثابت می شود و الله سبحانه هو العالم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این جا بحث در مورد بیع مصحف به پایان رسید و الحمد لله </w:t>
      </w:r>
      <w:r>
        <w:rPr>
          <w:rStyle w:val="FootnoteAnchor"/>
          <w:rtl w:val="true"/>
        </w:rPr>
        <w:footnoteReference w:id="17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741_73405"/>
      <w:bookmarkStart w:id="99" w:name="pg8741_73405"/>
      <w:bookmarkEnd w:id="99"/>
    </w:p>
    <w:p>
      <w:pPr>
        <w:pStyle w:val="Heading2"/>
        <w:numPr>
          <w:ilvl w:val="1"/>
          <w:numId w:val="1"/>
        </w:numPr>
        <w:rPr/>
      </w:pPr>
      <w:bookmarkStart w:id="100" w:name="pg8741_73405"/>
      <w:bookmarkStart w:id="101" w:name="__RefHeading___Toc3218776_653776707"/>
      <w:bookmarkStart w:id="102" w:name="_Toc34"/>
      <w:bookmarkEnd w:id="100"/>
      <w:bookmarkEnd w:id="101"/>
      <w:r>
        <w:rPr>
          <w:rtl w:val="true"/>
        </w:rPr>
        <w:t>منابع</w:t>
      </w:r>
      <w:bookmarkEnd w:id="10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المكاسب المحرمة ، آية الله شیخ هادی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من يملأ الأرض قسطاً و عدلاً، هادی نجفی،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علامه 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فيما اختلف من الأخبار،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الخرسان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الفوائد في شرح اشکالات القواعد، فخر المحققين حلّى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النافع في شرح النافع في شرح مختصر الشرائع، ابراهیم بن سلیمان قطيفي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علّامه محمّد 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الفقه، سيّد على آل بحر العلوم چاپ سنگی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سیّد مصلح الدین مهدوی،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الهداية،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 الشرعية،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پاکان قم، عبدالحسین جواهر 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خلاصة الأقوال علّامه حلّی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تصحيح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الرائع لمختصر النافع، فاضل مقداد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حسینی، </w:t>
      </w:r>
    </w:p>
    <w:p>
      <w:pPr>
        <w:pStyle w:val="BookText"/>
        <w:rPr/>
      </w:pPr>
      <w:r>
        <w:rPr>
          <w:rFonts w:ascii="IRNazanin" w:hAnsi="IRNazanin" w:eastAsia="IRNazanin"/>
          <w:color w:val="111111"/>
          <w:sz w:val="28"/>
          <w:sz w:val="28"/>
          <w:szCs w:val="28"/>
          <w:rtl w:val="true"/>
          <w:lang w:bidi="fa-IR"/>
        </w:rPr>
        <w:t xml:space="preserve">قم کتاب خانه آیة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في علم الرجال، عبد الله مامقانی،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تحت اشراف آیة الله حاج آقا حسین طباطبائی بروجردی، قم، چاپ جدید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محقّق کرکی،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الجوامع الفقهية، تعدادی از فقهای بزرگ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آیةالله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 شيخ محمّد حسن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مجمع الفائدة و البرهان،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وحید بهبهانی،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محدّث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شهيد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قاضی نعمان مصری،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اصغر الفیضی،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احمد بن علی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شهيد ثانی، تعلیق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سيّد على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ابن ادریس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محقّق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 علی بقال،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القواعد، شيخ جعفر کاشف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رضوی کشمیری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کتاب فروشی حیدریه نجف اشرف</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المراد في شرح نكت الإرشاد شهيد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في شرح شرائع الإسلام، شيخ مفلح صيمری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کوثرانی عاملی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الطالب شيخ مرتضی اردکانی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علمیه،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ابن زهره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الشرائع، محقّق کرکی، تحقیق محمّد الحسّون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العزیز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محقّق طباطبائی،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محمّد بن يعقوب فیروز 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 و كذا نقلت من چاپ سنگی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الأحكام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ثقة الإسلام كلینی،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 ابو الصلاح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امیرالمؤمنين علیه السلام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عاصم بن حمید الحناط، چاپ شده در ضمن كتاب اصول الستة عشر،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الأحكام، محقّق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 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مصری،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شهيد اوّل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شیخ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مرتضوی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و كذا نقلت من چاپ سنگی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محقق حلّى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سالار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حرمین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شهید ثانی،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ملّا احمد نراقی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 فیومی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الكرامة سيّد جواد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خالصی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اوّل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من شرح المختصر،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آستان قدس،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شیخ مفید،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شیخ مرتضی انصاری، چاپ کنگره شیخ انصاری و چاپ تبریز به خط مرحوم طاهر خوشنویس</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علّامه حلّی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سنگی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أحاديث أهل البيت علیهم السلام شیخ هادی نجفی،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الفقاهة، آية الله سیّد محمد صادق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في القرن الرابع عشر، شیخ آقا بزرگ تهرانی، چاپ دوم،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شيخ طوسی، قم قدس</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الإحكام علّامه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علّامه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رحمان ستایش،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شیخ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نيل الفضيلة، ابن حمزة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آیة 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 الأذهان، شيخ محمّد رضا نجفی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المسترشدين في شرح أصول معالم الدين، شیخ محمّد تقی رازی نجفی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اوّل بحث مکاسب محرمه تا پایان بیع به مدّت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حوزه علمیه تدریس و تا کنون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منتشر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حاج شیخ علی قدیری فرزند نصر الله بن قاسم بن مولی علی بن محمّد بن قدیر کفرانی رویدشتی اصفهانی عالم فاضل مجتهد معاصر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روستای کفران از توابع منطقه رودشت بخش بن رود شهرستان اصفهان متولّد گردید و در این شهر نزد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نجف آبادی میر سیّد علی مجتهد نجف آبادی شیخ محمّد رضا نجفی اصفهانی و حاج شیخ مهدی نجفی مسجد شاهی و در نجف خدمت اساتید و آیات عظام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 الحسن اصفهانی تحصیل نموده و با کسب اجازۀ اجتهاد از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موسوی گلپایگانی و شیخ محمّد کاظم شیرازی و سیّد محمود شاهرودی در حدود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ایران مراجعت نموده و در قم در درس آیة الله حاج آقا حسین طباطبائی بروجردی نیز حاضر شده و پس از سالیانی چند اقامت در قم به اصفهان مراجعت کرده و به وظائف و شئون روحانیت از تدریس و ارشاد و موعظه و امامت در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 در خیابان سیّد علی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 و سر انجام پس از یک بیماری نسبتاً طولانی در شب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مطابق با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اصفهان وفات یافته و در حجره مجاور درب جمهوری اسلامی واقع در صحن آستانه حضرت معصومه سلام الله علیها در قم مدفون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بر وقاية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تمام از تألیفات اوست مرحوم آیة الله حاج سیّد علی میر محمّد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مرثیه ای مادّه تاریخ وفاتش را چنین سروده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لغت 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کلمه مصحف آمده که میم آن به سه اعراب فتحه کسره و ضمه خوانده می شود و در مصباح منير،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قرائت به ضم میم مشهورتر است و صغانی از تغلب نقل کرده که با فتحه لغت صحیح و فصیح است و چنین است در کتاب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در این کتاب است که مصحف جمع صحیفه است و صحیفه قطعه ای از پوست یا کاغذ است که در آن نوشته شود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 در بیان فقها به معنای چیزی است که قرآن کریم بر آن نوشته شده است و چون در این معنا مصحف معادل فارسی ندارد در ترجمه نیز از کلمه مصحف استفاده شده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متاجر کتاب مصابیح تا کنون چاپ نشده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التمليك التبعي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مانع من تعلّق الملك و التمليك المجاني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خلاصة الأقوال،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التنقيح،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إلى الأخير المحقق السبزواري في الكفاية،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 البرهان ص </w:t>
      </w:r>
      <w:r>
        <w:rPr>
          <w:rFonts w:eastAsia="IRNazanin" w:cs="IRNazanin"/>
          <w:b w:val="false"/>
          <w:bCs w:val="false"/>
          <w:i w:val="false"/>
          <w:iCs w:val="false"/>
          <w:color w:val="333333"/>
          <w:sz w:val="20"/>
          <w:szCs w:val="20"/>
        </w:rPr>
        <w:t>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الشيخ الأعظم في بيع المكاسب،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صاحب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الشرائع، المطبوع ضمن حياه المحقق الكركي و آثاره،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حديثاً في مَنْ يملأ الأرض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كمال الدين و تمام النعمة،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تنظیم این رساله در پگاه روز چهار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زمان با سال روز شهادت امام حسن عسگری علیه السلام برابر با نیمه آبان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مؤلف به انجام رسید و الحمد لله أوّلاً و آخراً و ظاهراً و باطناً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13740</Words>
  <Characters>48504</Characters>
  <CharactersWithSpaces>61831</CharactersWithSpaces>
  <Paragraphs>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2026-08-20T04:22:34Z</dcterms:created>
  <dc:creator>ghaemiyeh.com</dc:creator>
  <dc:description/>
  <dc:language>en-US</dc:language>
  <cp:lastModifiedBy/>
  <dcterms:modified xsi:type="dcterms:W3CDTF">2026-08-20T07:52:36Z</dcterms:modified>
  <cp:revision>1</cp:revision>
  <dc:subject/>
  <dc:title>بیع مصحف</dc:title>
</cp:coreProperties>
</file>

<file path=docProps/custom.xml><?xml version="1.0" encoding="utf-8"?>
<Properties xmlns="http://schemas.openxmlformats.org/officeDocument/2006/custom-properties" xmlns:vt="http://schemas.openxmlformats.org/officeDocument/2006/docPropsVTypes"/>
</file>