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العدالة فی فقه أهل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92885_653776707">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2192887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192889_653776707">
            <w:r>
              <w:rPr>
                <w:webHidden/>
                <w:rStyle w:val="IndexLink"/>
                <w:rtl w:val="true"/>
              </w:rPr>
              <w:t>تقديم</w:t>
            </w:r>
            <w:r>
              <w:rPr>
                <w:rStyle w:val="IndexLink"/>
                <w:rtl w:val="true"/>
              </w:rPr>
              <w:tab/>
            </w:r>
            <w:r>
              <w:rPr>
                <w:rStyle w:val="IndexLink"/>
              </w:rPr>
              <w:t>14</w:t>
            </w:r>
          </w:hyperlink>
        </w:p>
        <w:p>
          <w:pPr>
            <w:pStyle w:val="Contents2"/>
            <w:tabs>
              <w:tab w:val="clear" w:pos="8743"/>
              <w:tab w:val="right" w:pos="9026" w:leader="dot"/>
            </w:tabs>
            <w:rPr/>
          </w:pPr>
          <w:hyperlink w:anchor="__RefHeading___Toc2192891_653776707">
            <w:r>
              <w:rPr>
                <w:webHidden/>
                <w:rStyle w:val="IndexLink"/>
                <w:rtl w:val="true"/>
              </w:rPr>
              <w:t>کلمة سماحة الشيخ الأستاذ</w:t>
            </w:r>
            <w:r>
              <w:rPr>
                <w:rStyle w:val="IndexLink"/>
                <w:rtl w:val="true"/>
              </w:rPr>
              <w:tab/>
            </w:r>
            <w:r>
              <w:rPr>
                <w:rStyle w:val="IndexLink"/>
              </w:rPr>
              <w:t>16</w:t>
            </w:r>
          </w:hyperlink>
        </w:p>
        <w:p>
          <w:pPr>
            <w:pStyle w:val="Contents2"/>
            <w:tabs>
              <w:tab w:val="clear" w:pos="8743"/>
              <w:tab w:val="right" w:pos="9026" w:leader="dot"/>
            </w:tabs>
            <w:rPr/>
          </w:pPr>
          <w:hyperlink w:anchor="__RefHeading___Toc2192893_653776707">
            <w:r>
              <w:rPr>
                <w:webHidden/>
                <w:rStyle w:val="IndexLink"/>
                <w:rtl w:val="true"/>
              </w:rPr>
              <w:t>مقدمة التحقيق</w:t>
            </w:r>
            <w:r>
              <w:rPr>
                <w:rStyle w:val="IndexLink"/>
                <w:rtl w:val="true"/>
              </w:rPr>
              <w:tab/>
            </w:r>
            <w:r>
              <w:rPr>
                <w:rStyle w:val="IndexLink"/>
              </w:rPr>
              <w:t>18</w:t>
            </w:r>
          </w:hyperlink>
        </w:p>
        <w:p>
          <w:pPr>
            <w:pStyle w:val="Contents2"/>
            <w:tabs>
              <w:tab w:val="clear" w:pos="8743"/>
              <w:tab w:val="right" w:pos="9026" w:leader="dot"/>
            </w:tabs>
            <w:rPr/>
          </w:pPr>
          <w:hyperlink w:anchor="__RefHeading___Toc2192895_653776707">
            <w:r>
              <w:rPr>
                <w:webHidden/>
                <w:rStyle w:val="IndexLink"/>
                <w:rtl w:val="true"/>
              </w:rPr>
              <w:t>العدالة الاجتماعية</w:t>
            </w:r>
            <w:r>
              <w:rPr>
                <w:rStyle w:val="IndexLink"/>
                <w:rtl w:val="true"/>
              </w:rPr>
              <w:t>:</w:t>
              <w:tab/>
            </w:r>
            <w:r>
              <w:rPr>
                <w:rStyle w:val="IndexLink"/>
              </w:rPr>
              <w:t>20</w:t>
            </w:r>
          </w:hyperlink>
        </w:p>
        <w:p>
          <w:pPr>
            <w:pStyle w:val="Contents3"/>
            <w:tabs>
              <w:tab w:val="clear" w:pos="8459"/>
              <w:tab w:val="right" w:pos="9026" w:leader="dot"/>
            </w:tabs>
            <w:rPr/>
          </w:pPr>
          <w:hyperlink w:anchor="__RefHeading___Toc2192897_65377670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2192899_653776707">
            <w:r>
              <w:rPr>
                <w:webHidden/>
                <w:rStyle w:val="IndexLink"/>
                <w:rtl w:val="true"/>
              </w:rPr>
              <w:t>العدل والتوحيد</w:t>
            </w:r>
            <w:r>
              <w:rPr>
                <w:rStyle w:val="IndexLink"/>
                <w:rtl w:val="true"/>
              </w:rPr>
              <w:t>:</w:t>
              <w:tab/>
            </w:r>
            <w:r>
              <w:rPr>
                <w:rStyle w:val="IndexLink"/>
              </w:rPr>
              <w:t>23</w:t>
            </w:r>
          </w:hyperlink>
        </w:p>
        <w:p>
          <w:pPr>
            <w:pStyle w:val="Contents3"/>
            <w:tabs>
              <w:tab w:val="clear" w:pos="8459"/>
              <w:tab w:val="right" w:pos="9026" w:leader="dot"/>
            </w:tabs>
            <w:rPr/>
          </w:pPr>
          <w:hyperlink w:anchor="__RefHeading___Toc2192901_653776707">
            <w:r>
              <w:rPr>
                <w:webHidden/>
                <w:rStyle w:val="IndexLink"/>
                <w:rtl w:val="true"/>
              </w:rPr>
              <w:t>العدل والنبوة</w:t>
            </w:r>
            <w:r>
              <w:rPr>
                <w:rStyle w:val="IndexLink"/>
                <w:rtl w:val="true"/>
              </w:rPr>
              <w:t>:</w:t>
              <w:tab/>
            </w:r>
            <w:r>
              <w:rPr>
                <w:rStyle w:val="IndexLink"/>
              </w:rPr>
              <w:t>24</w:t>
            </w:r>
          </w:hyperlink>
        </w:p>
        <w:p>
          <w:pPr>
            <w:pStyle w:val="Contents3"/>
            <w:tabs>
              <w:tab w:val="clear" w:pos="8459"/>
              <w:tab w:val="right" w:pos="9026" w:leader="dot"/>
            </w:tabs>
            <w:rPr/>
          </w:pPr>
          <w:hyperlink w:anchor="__RefHeading___Toc2192903_653776707">
            <w:r>
              <w:rPr>
                <w:webHidden/>
                <w:rStyle w:val="IndexLink"/>
                <w:rtl w:val="true"/>
              </w:rPr>
              <w:t>العدل والإمامة</w:t>
            </w:r>
            <w:r>
              <w:rPr>
                <w:rStyle w:val="IndexLink"/>
                <w:rtl w:val="true"/>
              </w:rPr>
              <w:t>:</w:t>
              <w:tab/>
            </w:r>
            <w:r>
              <w:rPr>
                <w:rStyle w:val="IndexLink"/>
              </w:rPr>
              <w:t>26</w:t>
            </w:r>
          </w:hyperlink>
        </w:p>
        <w:p>
          <w:pPr>
            <w:pStyle w:val="Contents3"/>
            <w:tabs>
              <w:tab w:val="clear" w:pos="8459"/>
              <w:tab w:val="right" w:pos="9026" w:leader="dot"/>
            </w:tabs>
            <w:rPr/>
          </w:pPr>
          <w:hyperlink w:anchor="__RefHeading___Toc2192905_653776707">
            <w:r>
              <w:rPr>
                <w:webHidden/>
                <w:rStyle w:val="IndexLink"/>
                <w:rtl w:val="true"/>
              </w:rPr>
              <w:t>العدل والمجتمع المدني</w:t>
            </w:r>
            <w:r>
              <w:rPr>
                <w:rStyle w:val="IndexLink"/>
                <w:rtl w:val="true"/>
              </w:rPr>
              <w:t>:</w:t>
              <w:tab/>
            </w:r>
            <w:r>
              <w:rPr>
                <w:rStyle w:val="IndexLink"/>
              </w:rPr>
              <w:t>27</w:t>
            </w:r>
          </w:hyperlink>
        </w:p>
        <w:p>
          <w:pPr>
            <w:pStyle w:val="Contents3"/>
            <w:tabs>
              <w:tab w:val="clear" w:pos="8459"/>
              <w:tab w:val="right" w:pos="9026" w:leader="dot"/>
            </w:tabs>
            <w:rPr/>
          </w:pPr>
          <w:hyperlink w:anchor="__RefHeading___Toc2192907_653776707">
            <w:r>
              <w:rPr>
                <w:webHidden/>
                <w:rStyle w:val="IndexLink"/>
                <w:rtl w:val="true"/>
              </w:rPr>
              <w:t>العدل والانتظار</w:t>
            </w:r>
            <w:r>
              <w:rPr>
                <w:rStyle w:val="IndexLink"/>
                <w:rtl w:val="true"/>
              </w:rPr>
              <w:tab/>
            </w:r>
            <w:r>
              <w:rPr>
                <w:rStyle w:val="IndexLink"/>
              </w:rPr>
              <w:t>32</w:t>
            </w:r>
          </w:hyperlink>
        </w:p>
        <w:p>
          <w:pPr>
            <w:pStyle w:val="Contents2"/>
            <w:tabs>
              <w:tab w:val="clear" w:pos="8743"/>
              <w:tab w:val="right" w:pos="9026" w:leader="dot"/>
            </w:tabs>
            <w:rPr/>
          </w:pPr>
          <w:hyperlink w:anchor="__RefHeading___Toc2192909_653776707">
            <w:r>
              <w:rPr>
                <w:webHidden/>
                <w:rStyle w:val="IndexLink"/>
                <w:rtl w:val="true"/>
              </w:rPr>
              <w:t>التمهيد</w:t>
            </w:r>
            <w:r>
              <w:rPr>
                <w:rStyle w:val="IndexLink"/>
                <w:rtl w:val="true"/>
              </w:rPr>
              <w:t>:</w:t>
              <w:tab/>
            </w:r>
            <w:r>
              <w:rPr>
                <w:rStyle w:val="IndexLink"/>
              </w:rPr>
              <w:t>38</w:t>
            </w:r>
          </w:hyperlink>
        </w:p>
        <w:p>
          <w:pPr>
            <w:pStyle w:val="Contents2"/>
            <w:tabs>
              <w:tab w:val="clear" w:pos="8743"/>
              <w:tab w:val="right" w:pos="9026" w:leader="dot"/>
            </w:tabs>
            <w:rPr/>
          </w:pPr>
          <w:hyperlink w:anchor="__RefHeading___Toc2192911_653776707">
            <w:r>
              <w:rPr>
                <w:webHidden/>
                <w:rStyle w:val="IndexLink"/>
                <w:rtl w:val="true"/>
              </w:rPr>
              <w:t>الأمر الأوّل</w:t>
            </w:r>
            <w:r>
              <w:rPr>
                <w:rStyle w:val="IndexLink"/>
                <w:rtl w:val="true"/>
              </w:rPr>
              <w:t xml:space="preserve">: </w:t>
            </w:r>
            <w:r>
              <w:rPr>
                <w:rStyle w:val="IndexLink"/>
                <w:rtl w:val="true"/>
              </w:rPr>
              <w:t>أنّ العدالة أمر مرغوب ومندوب إليها شرعاً وعقلاً بالأدلة الأربعة</w:t>
            </w:r>
            <w:r>
              <w:rPr>
                <w:rStyle w:val="IndexLink"/>
                <w:rtl w:val="true"/>
              </w:rPr>
              <w:tab/>
            </w:r>
            <w:r>
              <w:rPr>
                <w:rStyle w:val="IndexLink"/>
              </w:rPr>
              <w:t>41</w:t>
            </w:r>
          </w:hyperlink>
        </w:p>
        <w:p>
          <w:pPr>
            <w:pStyle w:val="Contents2"/>
            <w:tabs>
              <w:tab w:val="clear" w:pos="8743"/>
              <w:tab w:val="right" w:pos="9026" w:leader="dot"/>
            </w:tabs>
            <w:rPr/>
          </w:pPr>
          <w:hyperlink w:anchor="__RefHeading___Toc2192913_653776707">
            <w:r>
              <w:rPr>
                <w:webHidden/>
                <w:rStyle w:val="IndexLink"/>
                <w:rtl w:val="true"/>
              </w:rPr>
              <w:t>الأمر الثاني</w:t>
            </w:r>
            <w:r>
              <w:rPr>
                <w:rStyle w:val="IndexLink"/>
                <w:rtl w:val="true"/>
              </w:rPr>
              <w:t xml:space="preserve">: </w:t>
            </w:r>
            <w:r>
              <w:rPr>
                <w:rStyle w:val="IndexLink"/>
                <w:rtl w:val="true"/>
              </w:rPr>
              <w:t>في الموارد المشروطة بالعدالة</w:t>
            </w:r>
            <w:r>
              <w:rPr>
                <w:rStyle w:val="IndexLink"/>
                <w:rtl w:val="true"/>
              </w:rPr>
              <w:tab/>
            </w:r>
            <w:r>
              <w:rPr>
                <w:rStyle w:val="IndexLink"/>
              </w:rPr>
              <w:t>44</w:t>
            </w:r>
          </w:hyperlink>
        </w:p>
        <w:p>
          <w:pPr>
            <w:pStyle w:val="Contents3"/>
            <w:tabs>
              <w:tab w:val="clear" w:pos="8459"/>
              <w:tab w:val="right" w:pos="9026" w:leader="dot"/>
            </w:tabs>
            <w:rPr/>
          </w:pPr>
          <w:hyperlink w:anchor="__RefHeading___Toc2192915_653776707">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2192917_653776707">
            <w:r>
              <w:rPr>
                <w:webHidden/>
                <w:rStyle w:val="IndexLink"/>
                <w:rtl w:val="true"/>
              </w:rPr>
              <w:t>المقام الأوّل</w:t>
            </w:r>
            <w:r>
              <w:rPr>
                <w:rStyle w:val="IndexLink"/>
                <w:rtl w:val="true"/>
              </w:rPr>
              <w:t>:</w:t>
            </w:r>
            <w:r>
              <w:rPr>
                <w:rStyle w:val="IndexLink"/>
                <w:rtl w:val="true"/>
              </w:rPr>
              <w:t>تحديد مفهوم العدالة</w:t>
            </w:r>
            <w:r>
              <w:rPr>
                <w:rStyle w:val="IndexLink"/>
                <w:rtl w:val="true"/>
              </w:rPr>
              <w:tab/>
            </w:r>
            <w:r>
              <w:rPr>
                <w:rStyle w:val="IndexLink"/>
              </w:rPr>
              <w:t>46</w:t>
            </w:r>
          </w:hyperlink>
        </w:p>
        <w:p>
          <w:pPr>
            <w:pStyle w:val="Contents4"/>
            <w:tabs>
              <w:tab w:val="clear" w:pos="8176"/>
              <w:tab w:val="right" w:pos="9026" w:leader="dot"/>
            </w:tabs>
            <w:rPr/>
          </w:pPr>
          <w:hyperlink w:anchor="__RefHeading___Toc2192919_65377670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2192921_653776707">
            <w:r>
              <w:rPr>
                <w:webHidden/>
                <w:rStyle w:val="IndexLink"/>
                <w:rtl w:val="true"/>
              </w:rPr>
              <w:t>مفهوم العدالة لغة، وعرفاً، وشرعاً</w:t>
            </w:r>
            <w:r>
              <w:rPr>
                <w:rStyle w:val="IndexLink"/>
                <w:rtl w:val="true"/>
              </w:rPr>
              <w:tab/>
            </w:r>
            <w:r>
              <w:rPr>
                <w:rStyle w:val="IndexLink"/>
              </w:rPr>
              <w:t>48</w:t>
            </w:r>
          </w:hyperlink>
        </w:p>
        <w:p>
          <w:pPr>
            <w:pStyle w:val="Contents4"/>
            <w:tabs>
              <w:tab w:val="clear" w:pos="8176"/>
              <w:tab w:val="right" w:pos="9026" w:leader="dot"/>
            </w:tabs>
            <w:rPr/>
          </w:pPr>
          <w:hyperlink w:anchor="__RefHeading___Toc2192923_653776707">
            <w:r>
              <w:rPr>
                <w:webHidden/>
                <w:rStyle w:val="IndexLink"/>
                <w:rtl w:val="true"/>
              </w:rPr>
              <w:t>العدالة لغةً</w:t>
            </w:r>
            <w:r>
              <w:rPr>
                <w:rStyle w:val="IndexLink"/>
                <w:rtl w:val="true"/>
              </w:rPr>
              <w:t>:</w:t>
              <w:tab/>
            </w:r>
            <w:r>
              <w:rPr>
                <w:rStyle w:val="IndexLink"/>
              </w:rPr>
              <w:t>48</w:t>
            </w:r>
          </w:hyperlink>
        </w:p>
        <w:p>
          <w:pPr>
            <w:pStyle w:val="Contents4"/>
            <w:tabs>
              <w:tab w:val="clear" w:pos="8176"/>
              <w:tab w:val="right" w:pos="9026" w:leader="dot"/>
            </w:tabs>
            <w:rPr/>
          </w:pPr>
          <w:hyperlink w:anchor="__RefHeading___Toc2192925_653776707">
            <w:r>
              <w:rPr>
                <w:webHidden/>
                <w:rStyle w:val="IndexLink"/>
                <w:rtl w:val="true"/>
              </w:rPr>
              <w:t xml:space="preserve">العدالة عرفاً </w:t>
            </w:r>
            <w:r>
              <w:rPr>
                <w:rStyle w:val="IndexLink"/>
                <w:rtl w:val="true"/>
              </w:rPr>
              <w:t>:</w:t>
              <w:tab/>
            </w:r>
            <w:r>
              <w:rPr>
                <w:rStyle w:val="IndexLink"/>
              </w:rPr>
              <w:t>49</w:t>
            </w:r>
          </w:hyperlink>
        </w:p>
        <w:p>
          <w:pPr>
            <w:pStyle w:val="Contents4"/>
            <w:tabs>
              <w:tab w:val="clear" w:pos="8176"/>
              <w:tab w:val="right" w:pos="9026" w:leader="dot"/>
            </w:tabs>
            <w:rPr/>
          </w:pPr>
          <w:hyperlink w:anchor="__RefHeading___Toc2192927_653776707">
            <w:r>
              <w:rPr>
                <w:webHidden/>
                <w:rStyle w:val="IndexLink"/>
                <w:rtl w:val="true"/>
              </w:rPr>
              <w:t>العدالة شرعاً</w:t>
            </w:r>
            <w:r>
              <w:rPr>
                <w:rStyle w:val="IndexLink"/>
                <w:rtl w:val="true"/>
              </w:rPr>
              <w:t>:</w:t>
              <w:tab/>
            </w:r>
            <w:r>
              <w:rPr>
                <w:rStyle w:val="IndexLink"/>
              </w:rPr>
              <w:t>51</w:t>
            </w:r>
          </w:hyperlink>
        </w:p>
        <w:p>
          <w:pPr>
            <w:pStyle w:val="Contents4"/>
            <w:tabs>
              <w:tab w:val="clear" w:pos="8176"/>
              <w:tab w:val="right" w:pos="9026" w:leader="dot"/>
            </w:tabs>
            <w:rPr/>
          </w:pPr>
          <w:hyperlink w:anchor="__RefHeading___Toc2192929_653776707">
            <w:r>
              <w:rPr>
                <w:webHidden/>
                <w:rStyle w:val="IndexLink"/>
                <w:rtl w:val="true"/>
              </w:rPr>
              <w:t>أدلة الأقوال ومناقشتها</w:t>
            </w:r>
            <w:r>
              <w:rPr>
                <w:rStyle w:val="IndexLink"/>
                <w:rtl w:val="true"/>
              </w:rPr>
              <w:tab/>
            </w:r>
            <w:r>
              <w:rPr>
                <w:rStyle w:val="IndexLink"/>
              </w:rPr>
              <w:t>56</w:t>
            </w:r>
          </w:hyperlink>
        </w:p>
        <w:p>
          <w:pPr>
            <w:pStyle w:val="Contents5"/>
            <w:tabs>
              <w:tab w:val="clear" w:pos="7892"/>
              <w:tab w:val="right" w:pos="9026" w:leader="dot"/>
            </w:tabs>
            <w:rPr/>
          </w:pPr>
          <w:hyperlink w:anchor="__RefHeading___Toc2192931_653776707">
            <w:r>
              <w:rPr>
                <w:webHidden/>
                <w:rStyle w:val="IndexLink"/>
                <w:rtl w:val="true"/>
              </w:rPr>
              <w:t>القول الأوّل</w:t>
            </w:r>
            <w:r>
              <w:rPr>
                <w:rStyle w:val="IndexLink"/>
                <w:rtl w:val="true"/>
              </w:rPr>
              <w:t>:</w:t>
              <w:tab/>
            </w:r>
            <w:r>
              <w:rPr>
                <w:rStyle w:val="IndexLink"/>
              </w:rPr>
              <w:t>56</w:t>
            </w:r>
          </w:hyperlink>
        </w:p>
        <w:p>
          <w:pPr>
            <w:pStyle w:val="Contents6"/>
            <w:tabs>
              <w:tab w:val="clear" w:pos="7609"/>
              <w:tab w:val="right" w:pos="9026" w:leader="dot"/>
            </w:tabs>
            <w:rPr/>
          </w:pPr>
          <w:hyperlink w:anchor="__RefHeading___Toc2192933_653776707">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2192935_653776707">
            <w:r>
              <w:rPr>
                <w:webHidden/>
                <w:rStyle w:val="IndexLink"/>
                <w:rtl w:val="true"/>
              </w:rPr>
              <w:t>مناقشة القول الأوّل</w:t>
            </w:r>
            <w:r>
              <w:rPr>
                <w:rStyle w:val="IndexLink"/>
                <w:rtl w:val="true"/>
              </w:rPr>
              <w:t>:</w:t>
              <w:tab/>
            </w:r>
            <w:r>
              <w:rPr>
                <w:rStyle w:val="IndexLink"/>
              </w:rPr>
              <w:t>58</w:t>
            </w:r>
          </w:hyperlink>
        </w:p>
        <w:p>
          <w:pPr>
            <w:pStyle w:val="Contents6"/>
            <w:tabs>
              <w:tab w:val="clear" w:pos="7609"/>
              <w:tab w:val="right" w:pos="9026" w:leader="dot"/>
            </w:tabs>
            <w:rPr/>
          </w:pPr>
          <w:hyperlink w:anchor="__RefHeading___Toc2192937_653776707">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2192939_653776707">
            <w:r>
              <w:rPr>
                <w:webHidden/>
                <w:rStyle w:val="IndexLink"/>
                <w:rtl w:val="true"/>
              </w:rPr>
              <w:t>الجهة الأولى</w:t>
            </w:r>
            <w:r>
              <w:rPr>
                <w:rStyle w:val="IndexLink"/>
                <w:rtl w:val="true"/>
              </w:rPr>
              <w:t>:</w:t>
              <w:tab/>
            </w:r>
            <w:r>
              <w:rPr>
                <w:rStyle w:val="IndexLink"/>
              </w:rPr>
              <w:t>58</w:t>
            </w:r>
          </w:hyperlink>
        </w:p>
        <w:p>
          <w:pPr>
            <w:pStyle w:val="Contents6"/>
            <w:tabs>
              <w:tab w:val="clear" w:pos="7609"/>
              <w:tab w:val="right" w:pos="9026" w:leader="dot"/>
            </w:tabs>
            <w:rPr/>
          </w:pPr>
          <w:hyperlink w:anchor="__RefHeading___Toc2192941_653776707">
            <w:r>
              <w:rPr>
                <w:webHidden/>
                <w:rStyle w:val="IndexLink"/>
                <w:rtl w:val="true"/>
              </w:rPr>
              <w:t>الجهة الثانية</w:t>
            </w:r>
            <w:r>
              <w:rPr>
                <w:rStyle w:val="IndexLink"/>
                <w:rtl w:val="true"/>
              </w:rPr>
              <w:t>:</w:t>
              <w:tab/>
            </w:r>
            <w:r>
              <w:rPr>
                <w:rStyle w:val="IndexLink"/>
              </w:rPr>
              <w:t>68</w:t>
            </w:r>
          </w:hyperlink>
        </w:p>
        <w:p>
          <w:pPr>
            <w:pStyle w:val="Contents6"/>
            <w:tabs>
              <w:tab w:val="clear" w:pos="7609"/>
              <w:tab w:val="right" w:pos="9026" w:leader="dot"/>
            </w:tabs>
            <w:rPr/>
          </w:pPr>
          <w:hyperlink w:anchor="__RefHeading___Toc2192943_653776707">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2192945_653776707">
            <w:r>
              <w:rPr>
                <w:webHidden/>
                <w:rStyle w:val="IndexLink"/>
                <w:rtl w:val="true"/>
              </w:rPr>
              <w:t>الدليل الأوّل</w:t>
            </w:r>
            <w:r>
              <w:rPr>
                <w:rStyle w:val="IndexLink"/>
                <w:rtl w:val="true"/>
              </w:rPr>
              <w:t>:</w:t>
              <w:tab/>
            </w:r>
            <w:r>
              <w:rPr>
                <w:rStyle w:val="IndexLink"/>
              </w:rPr>
              <w:t>68</w:t>
            </w:r>
          </w:hyperlink>
        </w:p>
        <w:p>
          <w:pPr>
            <w:pStyle w:val="Contents6"/>
            <w:tabs>
              <w:tab w:val="clear" w:pos="7609"/>
              <w:tab w:val="right" w:pos="9026" w:leader="dot"/>
            </w:tabs>
            <w:rPr/>
          </w:pPr>
          <w:hyperlink w:anchor="__RefHeading___Toc2192947_653776707">
            <w:r>
              <w:rPr>
                <w:webHidden/>
                <w:rStyle w:val="IndexLink"/>
                <w:rtl w:val="true"/>
              </w:rPr>
              <w:t>الدليل الثاني</w:t>
            </w:r>
            <w:r>
              <w:rPr>
                <w:rStyle w:val="IndexLink"/>
                <w:rtl w:val="true"/>
              </w:rPr>
              <w:t>:</w:t>
              <w:tab/>
            </w:r>
            <w:r>
              <w:rPr>
                <w:rStyle w:val="IndexLink"/>
              </w:rPr>
              <w:t>70</w:t>
            </w:r>
          </w:hyperlink>
        </w:p>
        <w:p>
          <w:pPr>
            <w:pStyle w:val="Contents6"/>
            <w:tabs>
              <w:tab w:val="clear" w:pos="7609"/>
              <w:tab w:val="right" w:pos="9026" w:leader="dot"/>
            </w:tabs>
            <w:rPr/>
          </w:pPr>
          <w:hyperlink w:anchor="__RefHeading___Toc2192949_653776707">
            <w:r>
              <w:rPr>
                <w:webHidden/>
                <w:rStyle w:val="IndexLink"/>
                <w:rtl w:val="true"/>
              </w:rPr>
              <w:t>الدليل الثالث</w:t>
            </w:r>
            <w:r>
              <w:rPr>
                <w:rStyle w:val="IndexLink"/>
                <w:rtl w:val="true"/>
              </w:rPr>
              <w:t>:</w:t>
              <w:tab/>
            </w:r>
            <w:r>
              <w:rPr>
                <w:rStyle w:val="IndexLink"/>
              </w:rPr>
              <w:t>70</w:t>
            </w:r>
          </w:hyperlink>
        </w:p>
        <w:p>
          <w:pPr>
            <w:pStyle w:val="Contents5"/>
            <w:tabs>
              <w:tab w:val="clear" w:pos="7892"/>
              <w:tab w:val="right" w:pos="9026" w:leader="dot"/>
            </w:tabs>
            <w:rPr/>
          </w:pPr>
          <w:hyperlink w:anchor="__RefHeading___Toc2192951_653776707">
            <w:r>
              <w:rPr>
                <w:webHidden/>
                <w:rStyle w:val="IndexLink"/>
                <w:rtl w:val="true"/>
              </w:rPr>
              <w:t>القول الثاني</w:t>
            </w:r>
            <w:r>
              <w:rPr>
                <w:rStyle w:val="IndexLink"/>
                <w:rtl w:val="true"/>
              </w:rPr>
              <w:t>:</w:t>
              <w:tab/>
            </w:r>
            <w:r>
              <w:rPr>
                <w:rStyle w:val="IndexLink"/>
              </w:rPr>
              <w:t>82</w:t>
            </w:r>
          </w:hyperlink>
        </w:p>
        <w:p>
          <w:pPr>
            <w:pStyle w:val="Contents6"/>
            <w:tabs>
              <w:tab w:val="clear" w:pos="7609"/>
              <w:tab w:val="right" w:pos="9026" w:leader="dot"/>
            </w:tabs>
            <w:rPr/>
          </w:pPr>
          <w:hyperlink w:anchor="__RefHeading___Toc2192953_653776707">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2192955_653776707">
            <w:r>
              <w:rPr>
                <w:webHidden/>
                <w:rStyle w:val="IndexLink"/>
                <w:rtl w:val="true"/>
              </w:rPr>
              <w:t>الجهة الأولى</w:t>
            </w:r>
            <w:r>
              <w:rPr>
                <w:rStyle w:val="IndexLink"/>
                <w:rtl w:val="true"/>
              </w:rPr>
              <w:t xml:space="preserve">: </w:t>
            </w:r>
            <w:r>
              <w:rPr>
                <w:rStyle w:val="IndexLink"/>
                <w:rtl w:val="true"/>
              </w:rPr>
              <w:t>تنقيح القول والقائل به</w:t>
            </w:r>
            <w:r>
              <w:rPr>
                <w:rStyle w:val="IndexLink"/>
                <w:rtl w:val="true"/>
              </w:rPr>
              <w:t>:</w:t>
              <w:tab/>
            </w:r>
            <w:r>
              <w:rPr>
                <w:rStyle w:val="IndexLink"/>
              </w:rPr>
              <w:t>82</w:t>
            </w:r>
          </w:hyperlink>
        </w:p>
        <w:p>
          <w:pPr>
            <w:pStyle w:val="Contents6"/>
            <w:tabs>
              <w:tab w:val="clear" w:pos="7609"/>
              <w:tab w:val="right" w:pos="9026" w:leader="dot"/>
            </w:tabs>
            <w:rPr/>
          </w:pPr>
          <w:hyperlink w:anchor="__RefHeading___Toc2192957_653776707">
            <w:r>
              <w:rPr>
                <w:webHidden/>
                <w:rStyle w:val="IndexLink"/>
                <w:rtl w:val="true"/>
              </w:rPr>
              <w:t>الجهة الثانية</w:t>
            </w:r>
            <w:r>
              <w:rPr>
                <w:rStyle w:val="IndexLink"/>
                <w:rtl w:val="true"/>
              </w:rPr>
              <w:t xml:space="preserve">: </w:t>
            </w:r>
            <w:r>
              <w:rPr>
                <w:rStyle w:val="IndexLink"/>
                <w:rtl w:val="true"/>
              </w:rPr>
              <w:t>الأدلة على هذا القول</w:t>
            </w:r>
            <w:r>
              <w:rPr>
                <w:rStyle w:val="IndexLink"/>
                <w:rtl w:val="true"/>
              </w:rPr>
              <w:t>:</w:t>
              <w:tab/>
            </w:r>
            <w:r>
              <w:rPr>
                <w:rStyle w:val="IndexLink"/>
              </w:rPr>
              <w:t>86</w:t>
            </w:r>
          </w:hyperlink>
        </w:p>
        <w:p>
          <w:pPr>
            <w:pStyle w:val="Contents6"/>
            <w:tabs>
              <w:tab w:val="clear" w:pos="7609"/>
              <w:tab w:val="right" w:pos="9026" w:leader="dot"/>
            </w:tabs>
            <w:rPr/>
          </w:pPr>
          <w:hyperlink w:anchor="__RefHeading___Toc2192959_653776707">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2192961_653776707">
            <w:r>
              <w:rPr>
                <w:webHidden/>
                <w:rStyle w:val="IndexLink"/>
                <w:rtl w:val="true"/>
              </w:rPr>
              <w:t>الطائفة الأولى</w:t>
            </w:r>
            <w:r>
              <w:rPr>
                <w:rStyle w:val="IndexLink"/>
                <w:rtl w:val="true"/>
              </w:rPr>
              <w:t>:</w:t>
              <w:tab/>
            </w:r>
            <w:r>
              <w:rPr>
                <w:rStyle w:val="IndexLink"/>
              </w:rPr>
              <w:t>87</w:t>
            </w:r>
          </w:hyperlink>
        </w:p>
        <w:p>
          <w:pPr>
            <w:pStyle w:val="Contents6"/>
            <w:tabs>
              <w:tab w:val="clear" w:pos="7609"/>
              <w:tab w:val="right" w:pos="9026" w:leader="dot"/>
            </w:tabs>
            <w:rPr/>
          </w:pPr>
          <w:hyperlink w:anchor="__RefHeading___Toc2192963_653776707">
            <w:r>
              <w:rPr>
                <w:webHidden/>
                <w:rStyle w:val="IndexLink"/>
                <w:rtl w:val="true"/>
              </w:rPr>
              <w:t>الطائفة الثانية</w:t>
            </w:r>
            <w:r>
              <w:rPr>
                <w:rStyle w:val="IndexLink"/>
                <w:rtl w:val="true"/>
              </w:rPr>
              <w:t>:</w:t>
              <w:tab/>
            </w:r>
            <w:r>
              <w:rPr>
                <w:rStyle w:val="IndexLink"/>
              </w:rPr>
              <w:t>87</w:t>
            </w:r>
          </w:hyperlink>
        </w:p>
        <w:p>
          <w:pPr>
            <w:pStyle w:val="Contents5"/>
            <w:tabs>
              <w:tab w:val="clear" w:pos="7892"/>
              <w:tab w:val="right" w:pos="9026" w:leader="dot"/>
            </w:tabs>
            <w:rPr/>
          </w:pPr>
          <w:hyperlink w:anchor="__RefHeading___Toc2192965_653776707">
            <w:r>
              <w:rPr>
                <w:webHidden/>
                <w:rStyle w:val="IndexLink"/>
                <w:rtl w:val="true"/>
              </w:rPr>
              <w:t xml:space="preserve">القول الثالث </w:t>
            </w:r>
            <w:r>
              <w:rPr>
                <w:rStyle w:val="IndexLink"/>
                <w:rtl w:val="true"/>
              </w:rPr>
              <w:t>:</w:t>
              <w:tab/>
            </w:r>
            <w:r>
              <w:rPr>
                <w:rStyle w:val="IndexLink"/>
              </w:rPr>
              <w:t>97</w:t>
            </w:r>
          </w:hyperlink>
        </w:p>
        <w:p>
          <w:pPr>
            <w:pStyle w:val="Contents6"/>
            <w:tabs>
              <w:tab w:val="clear" w:pos="7609"/>
              <w:tab w:val="right" w:pos="9026" w:leader="dot"/>
            </w:tabs>
            <w:rPr/>
          </w:pPr>
          <w:hyperlink w:anchor="__RefHeading___Toc2192967_653776707">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2192969_653776707">
            <w:r>
              <w:rPr>
                <w:webHidden/>
                <w:rStyle w:val="IndexLink"/>
                <w:rtl w:val="true"/>
              </w:rPr>
              <w:t>الجهة الأولى</w:t>
            </w:r>
            <w:r>
              <w:rPr>
                <w:rStyle w:val="IndexLink"/>
                <w:rtl w:val="true"/>
              </w:rPr>
              <w:t xml:space="preserve">: </w:t>
            </w:r>
            <w:r>
              <w:rPr>
                <w:rStyle w:val="IndexLink"/>
                <w:rtl w:val="true"/>
              </w:rPr>
              <w:t xml:space="preserve">تنقيح القول </w:t>
            </w:r>
            <w:r>
              <w:rPr>
                <w:rStyle w:val="IndexLink"/>
                <w:rtl w:val="true"/>
              </w:rPr>
              <w:t>:</w:t>
              <w:tab/>
            </w:r>
            <w:r>
              <w:rPr>
                <w:rStyle w:val="IndexLink"/>
              </w:rPr>
              <w:t>97</w:t>
            </w:r>
          </w:hyperlink>
        </w:p>
        <w:p>
          <w:pPr>
            <w:pStyle w:val="Contents6"/>
            <w:tabs>
              <w:tab w:val="clear" w:pos="7609"/>
              <w:tab w:val="right" w:pos="9026" w:leader="dot"/>
            </w:tabs>
            <w:rPr/>
          </w:pPr>
          <w:hyperlink w:anchor="__RefHeading___Toc2192971_653776707">
            <w:r>
              <w:rPr>
                <w:webHidden/>
                <w:rStyle w:val="IndexLink"/>
                <w:rtl w:val="true"/>
              </w:rPr>
              <w:t>الجهة الثانية</w:t>
            </w:r>
            <w:r>
              <w:rPr>
                <w:rStyle w:val="IndexLink"/>
                <w:rtl w:val="true"/>
              </w:rPr>
              <w:t xml:space="preserve">: </w:t>
            </w:r>
            <w:r>
              <w:rPr>
                <w:rStyle w:val="IndexLink"/>
                <w:rtl w:val="true"/>
              </w:rPr>
              <w:t xml:space="preserve">أدلة القول </w:t>
            </w:r>
            <w:r>
              <w:rPr>
                <w:rStyle w:val="IndexLink"/>
                <w:rtl w:val="true"/>
              </w:rPr>
              <w:t>:</w:t>
              <w:tab/>
            </w:r>
            <w:r>
              <w:rPr>
                <w:rStyle w:val="IndexLink"/>
              </w:rPr>
              <w:t>100</w:t>
            </w:r>
          </w:hyperlink>
        </w:p>
        <w:p>
          <w:pPr>
            <w:pStyle w:val="Contents6"/>
            <w:tabs>
              <w:tab w:val="clear" w:pos="7609"/>
              <w:tab w:val="right" w:pos="9026" w:leader="dot"/>
            </w:tabs>
            <w:rPr/>
          </w:pPr>
          <w:hyperlink w:anchor="__RefHeading___Toc2192973_653776707">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2192975_653776707">
            <w:r>
              <w:rPr>
                <w:webHidden/>
                <w:rStyle w:val="IndexLink"/>
                <w:rtl w:val="true"/>
              </w:rPr>
              <w:t xml:space="preserve">الدليل الأوّل </w:t>
            </w:r>
            <w:r>
              <w:rPr>
                <w:rStyle w:val="IndexLink"/>
                <w:rtl w:val="true"/>
              </w:rPr>
              <w:t>:</w:t>
              <w:tab/>
            </w:r>
            <w:r>
              <w:rPr>
                <w:rStyle w:val="IndexLink"/>
              </w:rPr>
              <w:t>100</w:t>
            </w:r>
          </w:hyperlink>
        </w:p>
        <w:p>
          <w:pPr>
            <w:pStyle w:val="Contents6"/>
            <w:tabs>
              <w:tab w:val="clear" w:pos="7609"/>
              <w:tab w:val="right" w:pos="9026" w:leader="dot"/>
            </w:tabs>
            <w:rPr/>
          </w:pPr>
          <w:hyperlink w:anchor="__RefHeading___Toc2192977_653776707">
            <w:r>
              <w:rPr>
                <w:webHidden/>
                <w:rStyle w:val="IndexLink"/>
                <w:rtl w:val="true"/>
              </w:rPr>
              <w:t xml:space="preserve">الدليل الثاني </w:t>
            </w:r>
            <w:r>
              <w:rPr>
                <w:rStyle w:val="IndexLink"/>
                <w:rtl w:val="true"/>
              </w:rPr>
              <w:t>:</w:t>
              <w:tab/>
            </w:r>
            <w:r>
              <w:rPr>
                <w:rStyle w:val="IndexLink"/>
              </w:rPr>
              <w:t>102</w:t>
            </w:r>
          </w:hyperlink>
        </w:p>
        <w:p>
          <w:pPr>
            <w:pStyle w:val="Contents6"/>
            <w:tabs>
              <w:tab w:val="clear" w:pos="7609"/>
              <w:tab w:val="right" w:pos="9026" w:leader="dot"/>
            </w:tabs>
            <w:rPr/>
          </w:pPr>
          <w:hyperlink w:anchor="__RefHeading___Toc2192979_653776707">
            <w:r>
              <w:rPr>
                <w:webHidden/>
                <w:rStyle w:val="IndexLink"/>
                <w:rtl w:val="true"/>
              </w:rPr>
              <w:t xml:space="preserve">الدليل الثالث </w:t>
            </w:r>
            <w:r>
              <w:rPr>
                <w:rStyle w:val="IndexLink"/>
                <w:rtl w:val="true"/>
              </w:rPr>
              <w:t>:</w:t>
              <w:tab/>
            </w:r>
            <w:r>
              <w:rPr>
                <w:rStyle w:val="IndexLink"/>
              </w:rPr>
              <w:t>102</w:t>
            </w:r>
          </w:hyperlink>
        </w:p>
        <w:p>
          <w:pPr>
            <w:pStyle w:val="Contents6"/>
            <w:tabs>
              <w:tab w:val="clear" w:pos="7609"/>
              <w:tab w:val="right" w:pos="9026" w:leader="dot"/>
            </w:tabs>
            <w:rPr/>
          </w:pPr>
          <w:hyperlink w:anchor="__RefHeading___Toc2192981_653776707">
            <w:r>
              <w:rPr>
                <w:webHidden/>
                <w:rStyle w:val="IndexLink"/>
                <w:rtl w:val="true"/>
              </w:rPr>
              <w:t xml:space="preserve">الدليل الرابع </w:t>
            </w:r>
            <w:r>
              <w:rPr>
                <w:rStyle w:val="IndexLink"/>
                <w:rtl w:val="true"/>
              </w:rPr>
              <w:t>:</w:t>
              <w:tab/>
            </w:r>
            <w:r>
              <w:rPr>
                <w:rStyle w:val="IndexLink"/>
              </w:rPr>
              <w:t>103</w:t>
            </w:r>
          </w:hyperlink>
        </w:p>
        <w:p>
          <w:pPr>
            <w:pStyle w:val="Contents6"/>
            <w:tabs>
              <w:tab w:val="clear" w:pos="7609"/>
              <w:tab w:val="right" w:pos="9026" w:leader="dot"/>
            </w:tabs>
            <w:rPr/>
          </w:pPr>
          <w:hyperlink w:anchor="__RefHeading___Toc2192983_653776707">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2192985_653776707">
            <w:r>
              <w:rPr>
                <w:webHidden/>
                <w:rStyle w:val="IndexLink"/>
                <w:rtl w:val="true"/>
              </w:rPr>
              <w:t>الجهة الأولى</w:t>
            </w:r>
            <w:r>
              <w:rPr>
                <w:rStyle w:val="IndexLink"/>
                <w:rtl w:val="true"/>
              </w:rPr>
              <w:t>:</w:t>
              <w:tab/>
            </w:r>
            <w:r>
              <w:rPr>
                <w:rStyle w:val="IndexLink"/>
              </w:rPr>
              <w:t>116</w:t>
            </w:r>
          </w:hyperlink>
        </w:p>
        <w:p>
          <w:pPr>
            <w:pStyle w:val="Contents6"/>
            <w:tabs>
              <w:tab w:val="clear" w:pos="7609"/>
              <w:tab w:val="right" w:pos="9026" w:leader="dot"/>
            </w:tabs>
            <w:rPr/>
          </w:pPr>
          <w:hyperlink w:anchor="__RefHeading___Toc2192987_653776707">
            <w:r>
              <w:rPr>
                <w:webHidden/>
                <w:rStyle w:val="IndexLink"/>
                <w:rtl w:val="true"/>
              </w:rPr>
              <w:t xml:space="preserve">الجهة الثانية </w:t>
            </w:r>
            <w:r>
              <w:rPr>
                <w:rStyle w:val="IndexLink"/>
                <w:rtl w:val="true"/>
              </w:rPr>
              <w:t>:</w:t>
              <w:tab/>
            </w:r>
            <w:r>
              <w:rPr>
                <w:rStyle w:val="IndexLink"/>
              </w:rPr>
              <w:t>120</w:t>
            </w:r>
          </w:hyperlink>
        </w:p>
        <w:p>
          <w:pPr>
            <w:pStyle w:val="Contents3"/>
            <w:tabs>
              <w:tab w:val="clear" w:pos="8459"/>
              <w:tab w:val="right" w:pos="9026" w:leader="dot"/>
            </w:tabs>
            <w:rPr/>
          </w:pPr>
          <w:hyperlink w:anchor="__RefHeading___Toc2192989_653776707">
            <w:r>
              <w:rPr>
                <w:webHidden/>
                <w:rStyle w:val="IndexLink"/>
                <w:rtl w:val="true"/>
              </w:rPr>
              <w:t>المقام الثاني</w:t>
            </w:r>
            <w:r>
              <w:rPr>
                <w:rStyle w:val="IndexLink"/>
                <w:rtl w:val="true"/>
              </w:rPr>
              <w:t>:</w:t>
              <w:tab/>
            </w:r>
            <w:r>
              <w:rPr>
                <w:rStyle w:val="IndexLink"/>
              </w:rPr>
              <w:t>134</w:t>
            </w:r>
          </w:hyperlink>
        </w:p>
        <w:p>
          <w:pPr>
            <w:pStyle w:val="Contents4"/>
            <w:tabs>
              <w:tab w:val="clear" w:pos="8176"/>
              <w:tab w:val="right" w:pos="9026" w:leader="dot"/>
            </w:tabs>
            <w:rPr/>
          </w:pPr>
          <w:hyperlink w:anchor="__RefHeading___Toc2192991_653776707">
            <w:r>
              <w:rPr>
                <w:webHidden/>
                <w:rStyle w:val="IndexLink"/>
                <w:rtl w:val="true"/>
              </w:rPr>
              <w:t>شرائط العدالة</w:t>
            </w:r>
            <w:r>
              <w:rPr>
                <w:rStyle w:val="IndexLink"/>
                <w:rtl w:val="true"/>
              </w:rPr>
              <w:tab/>
            </w:r>
            <w:r>
              <w:rPr>
                <w:rStyle w:val="IndexLink"/>
              </w:rPr>
              <w:t>134</w:t>
            </w:r>
          </w:hyperlink>
        </w:p>
        <w:p>
          <w:pPr>
            <w:pStyle w:val="Contents4"/>
            <w:tabs>
              <w:tab w:val="clear" w:pos="8176"/>
              <w:tab w:val="right" w:pos="9026" w:leader="dot"/>
            </w:tabs>
            <w:rPr/>
          </w:pPr>
          <w:hyperlink w:anchor="__RefHeading___Toc2192993_653776707">
            <w:r>
              <w:rPr>
                <w:webHidden/>
                <w:rStyle w:val="IndexLink"/>
                <w:rtl w:val="true"/>
              </w:rPr>
              <w:t>شرائط العدالة</w:t>
            </w:r>
            <w:r>
              <w:rPr>
                <w:rStyle w:val="IndexLink"/>
                <w:rtl w:val="true"/>
              </w:rPr>
              <w:tab/>
            </w:r>
            <w:r>
              <w:rPr>
                <w:rStyle w:val="IndexLink"/>
              </w:rPr>
              <w:t>136</w:t>
            </w:r>
          </w:hyperlink>
        </w:p>
        <w:p>
          <w:pPr>
            <w:pStyle w:val="Contents4"/>
            <w:tabs>
              <w:tab w:val="clear" w:pos="8176"/>
              <w:tab w:val="right" w:pos="9026" w:leader="dot"/>
            </w:tabs>
            <w:rPr/>
          </w:pPr>
          <w:hyperlink w:anchor="__RefHeading___Toc2192995_653776707">
            <w:r>
              <w:rPr>
                <w:webHidden/>
                <w:rStyle w:val="IndexLink"/>
                <w:rtl w:val="true"/>
              </w:rPr>
              <w:t xml:space="preserve">الأمر الأوّل </w:t>
            </w:r>
            <w:r>
              <w:rPr>
                <w:rStyle w:val="IndexLink"/>
                <w:rtl w:val="true"/>
              </w:rPr>
              <w:t xml:space="preserve">: </w:t>
            </w:r>
            <w:r>
              <w:rPr>
                <w:rStyle w:val="IndexLink"/>
                <w:rtl w:val="true"/>
              </w:rPr>
              <w:t>تقسيم المعاصي</w:t>
            </w:r>
            <w:r>
              <w:rPr>
                <w:rStyle w:val="IndexLink"/>
                <w:rtl w:val="true"/>
              </w:rPr>
              <w:tab/>
            </w:r>
            <w:r>
              <w:rPr>
                <w:rStyle w:val="IndexLink"/>
              </w:rPr>
              <w:t>137</w:t>
            </w:r>
          </w:hyperlink>
        </w:p>
        <w:p>
          <w:pPr>
            <w:pStyle w:val="Contents4"/>
            <w:tabs>
              <w:tab w:val="clear" w:pos="8176"/>
              <w:tab w:val="right" w:pos="9026" w:leader="dot"/>
            </w:tabs>
            <w:rPr/>
          </w:pPr>
          <w:hyperlink w:anchor="__RefHeading___Toc2192997_653776707">
            <w:r>
              <w:rPr>
                <w:webHidden/>
                <w:rStyle w:val="IndexLink"/>
                <w:rtl w:val="true"/>
              </w:rPr>
              <w:t>الأمر الثاني</w:t>
            </w:r>
            <w:r>
              <w:rPr>
                <w:rStyle w:val="IndexLink"/>
                <w:rtl w:val="true"/>
              </w:rPr>
              <w:t xml:space="preserve">: </w:t>
            </w:r>
            <w:r>
              <w:rPr>
                <w:rStyle w:val="IndexLink"/>
                <w:rtl w:val="true"/>
              </w:rPr>
              <w:t>المناط في المعاصي الكبيرة</w:t>
            </w:r>
            <w:r>
              <w:rPr>
                <w:rStyle w:val="IndexLink"/>
                <w:rtl w:val="true"/>
              </w:rPr>
              <w:tab/>
            </w:r>
            <w:r>
              <w:rPr>
                <w:rStyle w:val="IndexLink"/>
              </w:rPr>
              <w:t>145</w:t>
            </w:r>
          </w:hyperlink>
        </w:p>
        <w:p>
          <w:pPr>
            <w:pStyle w:val="Contents5"/>
            <w:tabs>
              <w:tab w:val="clear" w:pos="7892"/>
              <w:tab w:val="right" w:pos="9026" w:leader="dot"/>
            </w:tabs>
            <w:rPr/>
          </w:pPr>
          <w:hyperlink w:anchor="__RefHeading___Toc2192999_653776707">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2193001_653776707">
            <w:r>
              <w:rPr>
                <w:webHidden/>
                <w:rStyle w:val="IndexLink"/>
                <w:rtl w:val="true"/>
              </w:rPr>
              <w:t xml:space="preserve">روايات الطائفة الأولى </w:t>
            </w:r>
            <w:r>
              <w:rPr>
                <w:rStyle w:val="IndexLink"/>
                <w:rtl w:val="true"/>
              </w:rPr>
              <w:t>:</w:t>
              <w:tab/>
            </w:r>
            <w:r>
              <w:rPr>
                <w:rStyle w:val="IndexLink"/>
              </w:rPr>
              <w:t>148</w:t>
            </w:r>
          </w:hyperlink>
        </w:p>
        <w:p>
          <w:pPr>
            <w:pStyle w:val="Contents5"/>
            <w:tabs>
              <w:tab w:val="clear" w:pos="7892"/>
              <w:tab w:val="right" w:pos="9026" w:leader="dot"/>
            </w:tabs>
            <w:rPr/>
          </w:pPr>
          <w:hyperlink w:anchor="__RefHeading___Toc2193003_653776707">
            <w:r>
              <w:rPr>
                <w:webHidden/>
                <w:rStyle w:val="IndexLink"/>
                <w:rtl w:val="true"/>
              </w:rPr>
              <w:t xml:space="preserve">روايات الطائفة الثانية </w:t>
            </w:r>
            <w:r>
              <w:rPr>
                <w:rStyle w:val="IndexLink"/>
                <w:rtl w:val="true"/>
              </w:rPr>
              <w:t>:</w:t>
              <w:tab/>
            </w:r>
            <w:r>
              <w:rPr>
                <w:rStyle w:val="IndexLink"/>
              </w:rPr>
              <w:t>150</w:t>
            </w:r>
          </w:hyperlink>
        </w:p>
        <w:p>
          <w:pPr>
            <w:pStyle w:val="Contents5"/>
            <w:tabs>
              <w:tab w:val="clear" w:pos="7892"/>
              <w:tab w:val="right" w:pos="9026" w:leader="dot"/>
            </w:tabs>
            <w:rPr/>
          </w:pPr>
          <w:hyperlink w:anchor="__RefHeading___Toc2193005_653776707">
            <w:r>
              <w:rPr>
                <w:webHidden/>
                <w:rStyle w:val="IndexLink"/>
                <w:rtl w:val="true"/>
              </w:rPr>
              <w:t xml:space="preserve">تعيين عدد الكبائر </w:t>
            </w:r>
            <w:r>
              <w:rPr>
                <w:rStyle w:val="IndexLink"/>
                <w:rtl w:val="true"/>
              </w:rPr>
              <w:t>:</w:t>
              <w:tab/>
            </w:r>
            <w:r>
              <w:rPr>
                <w:rStyle w:val="IndexLink"/>
              </w:rPr>
              <w:t>153</w:t>
            </w:r>
          </w:hyperlink>
        </w:p>
        <w:p>
          <w:pPr>
            <w:pStyle w:val="Contents6"/>
            <w:tabs>
              <w:tab w:val="clear" w:pos="7609"/>
              <w:tab w:val="right" w:pos="9026" w:leader="dot"/>
            </w:tabs>
            <w:rPr/>
          </w:pPr>
          <w:hyperlink w:anchor="__RefHeading___Toc2193007_653776707">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2193009_653776707">
            <w:r>
              <w:rPr>
                <w:webHidden/>
                <w:rStyle w:val="IndexLink"/>
                <w:rtl w:val="true"/>
              </w:rPr>
              <w:t xml:space="preserve">القسم الأوّل </w:t>
            </w:r>
            <w:r>
              <w:rPr>
                <w:rStyle w:val="IndexLink"/>
                <w:rtl w:val="true"/>
              </w:rPr>
              <w:t>:</w:t>
              <w:tab/>
            </w:r>
            <w:r>
              <w:rPr>
                <w:rStyle w:val="IndexLink"/>
              </w:rPr>
              <w:t>153</w:t>
            </w:r>
          </w:hyperlink>
        </w:p>
        <w:p>
          <w:pPr>
            <w:pStyle w:val="Contents6"/>
            <w:tabs>
              <w:tab w:val="clear" w:pos="7609"/>
              <w:tab w:val="right" w:pos="9026" w:leader="dot"/>
            </w:tabs>
            <w:rPr/>
          </w:pPr>
          <w:hyperlink w:anchor="__RefHeading___Toc2193011_653776707">
            <w:r>
              <w:rPr>
                <w:webHidden/>
                <w:rStyle w:val="IndexLink"/>
                <w:rtl w:val="true"/>
              </w:rPr>
              <w:t xml:space="preserve">القسم الثاني </w:t>
            </w:r>
            <w:r>
              <w:rPr>
                <w:rStyle w:val="IndexLink"/>
                <w:rtl w:val="true"/>
              </w:rPr>
              <w:t>:</w:t>
              <w:tab/>
            </w:r>
            <w:r>
              <w:rPr>
                <w:rStyle w:val="IndexLink"/>
              </w:rPr>
              <w:t>156</w:t>
            </w:r>
          </w:hyperlink>
        </w:p>
        <w:p>
          <w:pPr>
            <w:pStyle w:val="Contents6"/>
            <w:tabs>
              <w:tab w:val="clear" w:pos="7609"/>
              <w:tab w:val="right" w:pos="9026" w:leader="dot"/>
            </w:tabs>
            <w:rPr/>
          </w:pPr>
          <w:hyperlink w:anchor="__RefHeading___Toc2193013_653776707">
            <w:r>
              <w:rPr>
                <w:webHidden/>
                <w:rStyle w:val="IndexLink"/>
                <w:rtl w:val="true"/>
              </w:rPr>
              <w:t xml:space="preserve">القسم الثالث </w:t>
            </w:r>
            <w:r>
              <w:rPr>
                <w:rStyle w:val="IndexLink"/>
                <w:rtl w:val="true"/>
              </w:rPr>
              <w:t>:</w:t>
              <w:tab/>
            </w:r>
            <w:r>
              <w:rPr>
                <w:rStyle w:val="IndexLink"/>
              </w:rPr>
              <w:t>159</w:t>
            </w:r>
          </w:hyperlink>
        </w:p>
        <w:p>
          <w:pPr>
            <w:pStyle w:val="Contents6"/>
            <w:tabs>
              <w:tab w:val="clear" w:pos="7609"/>
              <w:tab w:val="right" w:pos="9026" w:leader="dot"/>
            </w:tabs>
            <w:rPr/>
          </w:pPr>
          <w:hyperlink w:anchor="__RefHeading___Toc2193015_653776707">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2193017_653776707">
            <w:r>
              <w:rPr>
                <w:webHidden/>
                <w:rStyle w:val="IndexLink"/>
                <w:rtl w:val="true"/>
              </w:rPr>
              <w:t xml:space="preserve">القسم الأوّل </w:t>
            </w:r>
            <w:r>
              <w:rPr>
                <w:rStyle w:val="IndexLink"/>
                <w:rtl w:val="true"/>
              </w:rPr>
              <w:t>:</w:t>
              <w:tab/>
            </w:r>
            <w:r>
              <w:rPr>
                <w:rStyle w:val="IndexLink"/>
              </w:rPr>
              <w:t>164</w:t>
            </w:r>
          </w:hyperlink>
        </w:p>
        <w:p>
          <w:pPr>
            <w:pStyle w:val="Contents6"/>
            <w:tabs>
              <w:tab w:val="clear" w:pos="7609"/>
              <w:tab w:val="right" w:pos="9026" w:leader="dot"/>
            </w:tabs>
            <w:rPr/>
          </w:pPr>
          <w:hyperlink w:anchor="__RefHeading___Toc2193019_653776707">
            <w:r>
              <w:rPr>
                <w:webHidden/>
                <w:rStyle w:val="IndexLink"/>
                <w:rtl w:val="true"/>
              </w:rPr>
              <w:t xml:space="preserve">القسم الثاني </w:t>
            </w:r>
            <w:r>
              <w:rPr>
                <w:rStyle w:val="IndexLink"/>
                <w:rtl w:val="true"/>
              </w:rPr>
              <w:t>:</w:t>
              <w:tab/>
            </w:r>
            <w:r>
              <w:rPr>
                <w:rStyle w:val="IndexLink"/>
              </w:rPr>
              <w:t>164</w:t>
            </w:r>
          </w:hyperlink>
        </w:p>
        <w:p>
          <w:pPr>
            <w:pStyle w:val="Contents6"/>
            <w:tabs>
              <w:tab w:val="clear" w:pos="7609"/>
              <w:tab w:val="right" w:pos="9026" w:leader="dot"/>
            </w:tabs>
            <w:rPr/>
          </w:pPr>
          <w:hyperlink w:anchor="__RefHeading___Toc2193021_653776707">
            <w:r>
              <w:rPr>
                <w:webHidden/>
                <w:rStyle w:val="IndexLink"/>
                <w:rtl w:val="true"/>
              </w:rPr>
              <w:t xml:space="preserve">القسم الثالث </w:t>
            </w:r>
            <w:r>
              <w:rPr>
                <w:rStyle w:val="IndexLink"/>
                <w:rtl w:val="true"/>
              </w:rPr>
              <w:t>:</w:t>
              <w:tab/>
            </w:r>
            <w:r>
              <w:rPr>
                <w:rStyle w:val="IndexLink"/>
              </w:rPr>
              <w:t>166</w:t>
            </w:r>
          </w:hyperlink>
        </w:p>
        <w:p>
          <w:pPr>
            <w:pStyle w:val="Contents4"/>
            <w:tabs>
              <w:tab w:val="clear" w:pos="8176"/>
              <w:tab w:val="right" w:pos="9026" w:leader="dot"/>
            </w:tabs>
            <w:rPr/>
          </w:pPr>
          <w:hyperlink w:anchor="__RefHeading___Toc2193023_653776707">
            <w:r>
              <w:rPr>
                <w:webHidden/>
                <w:rStyle w:val="IndexLink"/>
                <w:rtl w:val="true"/>
              </w:rPr>
              <w:t>الأمر الثالث</w:t>
            </w:r>
            <w:r>
              <w:rPr>
                <w:rStyle w:val="IndexLink"/>
                <w:rtl w:val="true"/>
              </w:rPr>
              <w:t xml:space="preserve">: </w:t>
            </w:r>
            <w:r>
              <w:rPr>
                <w:rStyle w:val="IndexLink"/>
                <w:rtl w:val="true"/>
              </w:rPr>
              <w:t>في اعتبار الاجتناب عن الصغائر أو الإصرار عليها في العدالة وعدمه</w:t>
            </w:r>
            <w:r>
              <w:rPr>
                <w:rStyle w:val="IndexLink"/>
                <w:rtl w:val="true"/>
              </w:rPr>
              <w:tab/>
            </w:r>
            <w:r>
              <w:rPr>
                <w:rStyle w:val="IndexLink"/>
              </w:rPr>
              <w:t>170</w:t>
            </w:r>
          </w:hyperlink>
        </w:p>
        <w:p>
          <w:pPr>
            <w:pStyle w:val="Contents5"/>
            <w:tabs>
              <w:tab w:val="clear" w:pos="7892"/>
              <w:tab w:val="right" w:pos="9026" w:leader="dot"/>
            </w:tabs>
            <w:rPr/>
          </w:pPr>
          <w:hyperlink w:anchor="__RefHeading___Toc2193025_653776707">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2193027_653776707">
            <w:r>
              <w:rPr>
                <w:webHidden/>
                <w:rStyle w:val="IndexLink"/>
                <w:rtl w:val="true"/>
              </w:rPr>
              <w:t>الجهة الأولى</w:t>
            </w:r>
            <w:r>
              <w:rPr>
                <w:rStyle w:val="IndexLink"/>
                <w:rtl w:val="true"/>
              </w:rPr>
              <w:t xml:space="preserve">: </w:t>
            </w:r>
            <w:r>
              <w:rPr>
                <w:rStyle w:val="IndexLink"/>
                <w:rtl w:val="true"/>
              </w:rPr>
              <w:t>الحكم</w:t>
            </w:r>
            <w:r>
              <w:rPr>
                <w:rStyle w:val="IndexLink"/>
                <w:rtl w:val="true"/>
              </w:rPr>
              <w:t>:</w:t>
              <w:tab/>
            </w:r>
            <w:r>
              <w:rPr>
                <w:rStyle w:val="IndexLink"/>
              </w:rPr>
              <w:t>171</w:t>
            </w:r>
          </w:hyperlink>
        </w:p>
        <w:p>
          <w:pPr>
            <w:pStyle w:val="Contents5"/>
            <w:tabs>
              <w:tab w:val="clear" w:pos="7892"/>
              <w:tab w:val="right" w:pos="9026" w:leader="dot"/>
            </w:tabs>
            <w:rPr/>
          </w:pPr>
          <w:hyperlink w:anchor="__RefHeading___Toc2193029_653776707">
            <w:r>
              <w:rPr>
                <w:webHidden/>
                <w:rStyle w:val="IndexLink"/>
                <w:rtl w:val="true"/>
              </w:rPr>
              <w:t>الجهة الثانية</w:t>
            </w:r>
            <w:r>
              <w:rPr>
                <w:rStyle w:val="IndexLink"/>
                <w:rtl w:val="true"/>
              </w:rPr>
              <w:t xml:space="preserve">: </w:t>
            </w:r>
            <w:r>
              <w:rPr>
                <w:rStyle w:val="IndexLink"/>
                <w:rtl w:val="true"/>
              </w:rPr>
              <w:t>موضوع الإصرار على الصغائر</w:t>
            </w:r>
            <w:r>
              <w:rPr>
                <w:rStyle w:val="IndexLink"/>
                <w:rtl w:val="true"/>
              </w:rPr>
              <w:t>:</w:t>
              <w:tab/>
            </w:r>
            <w:r>
              <w:rPr>
                <w:rStyle w:val="IndexLink"/>
              </w:rPr>
              <w:t>174</w:t>
            </w:r>
          </w:hyperlink>
        </w:p>
        <w:p>
          <w:pPr>
            <w:pStyle w:val="Contents5"/>
            <w:tabs>
              <w:tab w:val="clear" w:pos="7892"/>
              <w:tab w:val="right" w:pos="9026" w:leader="dot"/>
            </w:tabs>
            <w:rPr/>
          </w:pPr>
          <w:hyperlink w:anchor="__RefHeading___Toc2193031_653776707">
            <w:r>
              <w:rPr>
                <w:webHidden/>
                <w:rStyle w:val="IndexLink"/>
                <w:rtl w:val="true"/>
              </w:rPr>
              <w:t>الجهة الثالثة</w:t>
            </w:r>
            <w:r>
              <w:rPr>
                <w:rStyle w:val="IndexLink"/>
                <w:rtl w:val="true"/>
              </w:rPr>
              <w:t xml:space="preserve">: </w:t>
            </w:r>
            <w:r>
              <w:rPr>
                <w:rStyle w:val="IndexLink"/>
                <w:rtl w:val="true"/>
              </w:rPr>
              <w:t>ارتكاب الصغيرة قادح في العدالة أو لا؟</w:t>
            </w:r>
            <w:r>
              <w:rPr>
                <w:rStyle w:val="IndexLink"/>
                <w:rtl w:val="true"/>
              </w:rPr>
              <w:tab/>
            </w:r>
            <w:r>
              <w:rPr>
                <w:rStyle w:val="IndexLink"/>
              </w:rPr>
              <w:t>182</w:t>
            </w:r>
          </w:hyperlink>
        </w:p>
        <w:p>
          <w:pPr>
            <w:pStyle w:val="Contents6"/>
            <w:tabs>
              <w:tab w:val="clear" w:pos="7609"/>
              <w:tab w:val="right" w:pos="9026" w:leader="dot"/>
            </w:tabs>
            <w:rPr/>
          </w:pPr>
          <w:hyperlink w:anchor="__RefHeading___Toc2193033_653776707">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2193035_653776707">
            <w:r>
              <w:rPr>
                <w:webHidden/>
                <w:rStyle w:val="IndexLink"/>
                <w:rtl w:val="true"/>
              </w:rPr>
              <w:t>الإشكال على الوجه الأوّل</w:t>
            </w:r>
            <w:r>
              <w:rPr>
                <w:rStyle w:val="IndexLink"/>
                <w:rtl w:val="true"/>
              </w:rPr>
              <w:t>:</w:t>
              <w:tab/>
            </w:r>
            <w:r>
              <w:rPr>
                <w:rStyle w:val="IndexLink"/>
              </w:rPr>
              <w:t>185</w:t>
            </w:r>
          </w:hyperlink>
        </w:p>
        <w:p>
          <w:pPr>
            <w:pStyle w:val="Contents6"/>
            <w:tabs>
              <w:tab w:val="clear" w:pos="7609"/>
              <w:tab w:val="right" w:pos="9026" w:leader="dot"/>
            </w:tabs>
            <w:rPr/>
          </w:pPr>
          <w:hyperlink w:anchor="__RefHeading___Toc2193037_653776707">
            <w:r>
              <w:rPr>
                <w:webHidden/>
                <w:rStyle w:val="IndexLink"/>
                <w:rtl w:val="true"/>
              </w:rPr>
              <w:t>الإشكال على الوجه الثاني</w:t>
            </w:r>
            <w:r>
              <w:rPr>
                <w:rStyle w:val="IndexLink"/>
                <w:rtl w:val="true"/>
              </w:rPr>
              <w:t>:</w:t>
              <w:tab/>
            </w:r>
            <w:r>
              <w:rPr>
                <w:rStyle w:val="IndexLink"/>
              </w:rPr>
              <w:t>190</w:t>
            </w:r>
          </w:hyperlink>
        </w:p>
        <w:p>
          <w:pPr>
            <w:pStyle w:val="Contents6"/>
            <w:tabs>
              <w:tab w:val="clear" w:pos="7609"/>
              <w:tab w:val="right" w:pos="9026" w:leader="dot"/>
            </w:tabs>
            <w:rPr/>
          </w:pPr>
          <w:hyperlink w:anchor="__RefHeading___Toc2193039_653776707">
            <w:r>
              <w:rPr>
                <w:webHidden/>
                <w:rStyle w:val="IndexLink"/>
                <w:rtl w:val="true"/>
              </w:rPr>
              <w:t>الإشكال على الوجه الثالث</w:t>
            </w:r>
            <w:r>
              <w:rPr>
                <w:rStyle w:val="IndexLink"/>
                <w:rtl w:val="true"/>
              </w:rPr>
              <w:t>:</w:t>
              <w:tab/>
            </w:r>
            <w:r>
              <w:rPr>
                <w:rStyle w:val="IndexLink"/>
              </w:rPr>
              <w:t>193</w:t>
            </w:r>
          </w:hyperlink>
        </w:p>
        <w:p>
          <w:pPr>
            <w:pStyle w:val="Contents4"/>
            <w:tabs>
              <w:tab w:val="clear" w:pos="8176"/>
              <w:tab w:val="right" w:pos="9026" w:leader="dot"/>
            </w:tabs>
            <w:rPr/>
          </w:pPr>
          <w:hyperlink w:anchor="__RefHeading___Toc2193041_653776707">
            <w:r>
              <w:rPr>
                <w:webHidden/>
                <w:rStyle w:val="IndexLink"/>
                <w:rtl w:val="true"/>
              </w:rPr>
              <w:t>الأمر الرابع</w:t>
            </w:r>
            <w:r>
              <w:rPr>
                <w:rStyle w:val="IndexLink"/>
                <w:rtl w:val="true"/>
              </w:rPr>
              <w:t xml:space="preserve">: </w:t>
            </w:r>
            <w:r>
              <w:rPr>
                <w:rStyle w:val="IndexLink"/>
                <w:rtl w:val="true"/>
              </w:rPr>
              <w:t>اعتبار المروّة في العدالة</w:t>
            </w:r>
            <w:r>
              <w:rPr>
                <w:rStyle w:val="IndexLink"/>
                <w:rtl w:val="true"/>
              </w:rPr>
              <w:tab/>
            </w:r>
            <w:r>
              <w:rPr>
                <w:rStyle w:val="IndexLink"/>
              </w:rPr>
              <w:t>196</w:t>
            </w:r>
          </w:hyperlink>
        </w:p>
        <w:p>
          <w:pPr>
            <w:pStyle w:val="Contents5"/>
            <w:tabs>
              <w:tab w:val="clear" w:pos="7892"/>
              <w:tab w:val="right" w:pos="9026" w:leader="dot"/>
            </w:tabs>
            <w:rPr/>
          </w:pPr>
          <w:hyperlink w:anchor="__RefHeading___Toc2193043_653776707">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2193045_653776707">
            <w:r>
              <w:rPr>
                <w:webHidden/>
                <w:rStyle w:val="IndexLink"/>
                <w:rtl w:val="true"/>
              </w:rPr>
              <w:t>الإشكال على الوجه الأوّل</w:t>
            </w:r>
            <w:r>
              <w:rPr>
                <w:rStyle w:val="IndexLink"/>
                <w:rtl w:val="true"/>
              </w:rPr>
              <w:t>:</w:t>
              <w:tab/>
            </w:r>
            <w:r>
              <w:rPr>
                <w:rStyle w:val="IndexLink"/>
              </w:rPr>
              <w:t>199</w:t>
            </w:r>
          </w:hyperlink>
        </w:p>
        <w:p>
          <w:pPr>
            <w:pStyle w:val="Contents5"/>
            <w:tabs>
              <w:tab w:val="clear" w:pos="7892"/>
              <w:tab w:val="right" w:pos="9026" w:leader="dot"/>
            </w:tabs>
            <w:rPr/>
          </w:pPr>
          <w:hyperlink w:anchor="__RefHeading___Toc2193047_653776707">
            <w:r>
              <w:rPr>
                <w:webHidden/>
                <w:rStyle w:val="IndexLink"/>
                <w:rtl w:val="true"/>
              </w:rPr>
              <w:t>الإشكال على الوجه الثالث</w:t>
            </w:r>
            <w:r>
              <w:rPr>
                <w:rStyle w:val="IndexLink"/>
                <w:rtl w:val="true"/>
              </w:rPr>
              <w:t>:</w:t>
              <w:tab/>
            </w:r>
            <w:r>
              <w:rPr>
                <w:rStyle w:val="IndexLink"/>
              </w:rPr>
              <w:t>201</w:t>
            </w:r>
          </w:hyperlink>
        </w:p>
        <w:p>
          <w:pPr>
            <w:pStyle w:val="Contents5"/>
            <w:tabs>
              <w:tab w:val="clear" w:pos="7892"/>
              <w:tab w:val="right" w:pos="9026" w:leader="dot"/>
            </w:tabs>
            <w:rPr/>
          </w:pPr>
          <w:hyperlink w:anchor="__RefHeading___Toc2193049_653776707">
            <w:r>
              <w:rPr>
                <w:webHidden/>
                <w:rStyle w:val="IndexLink"/>
                <w:rtl w:val="true"/>
              </w:rPr>
              <w:t>الإشكال على الوجه الرابع</w:t>
            </w:r>
            <w:r>
              <w:rPr>
                <w:rStyle w:val="IndexLink"/>
                <w:rtl w:val="true"/>
              </w:rPr>
              <w:t>:</w:t>
              <w:tab/>
            </w:r>
            <w:r>
              <w:rPr>
                <w:rStyle w:val="IndexLink"/>
              </w:rPr>
              <w:t>203</w:t>
            </w:r>
          </w:hyperlink>
        </w:p>
        <w:p>
          <w:pPr>
            <w:pStyle w:val="Contents3"/>
            <w:tabs>
              <w:tab w:val="clear" w:pos="8459"/>
              <w:tab w:val="right" w:pos="9026" w:leader="dot"/>
            </w:tabs>
            <w:rPr/>
          </w:pPr>
          <w:hyperlink w:anchor="__RefHeading___Toc2193051_653776707">
            <w:r>
              <w:rPr>
                <w:webHidden/>
                <w:rStyle w:val="IndexLink"/>
                <w:rtl w:val="true"/>
              </w:rPr>
              <w:t>المقام الثالث</w:t>
            </w:r>
            <w:r>
              <w:rPr>
                <w:rStyle w:val="IndexLink"/>
                <w:rtl w:val="true"/>
              </w:rPr>
              <w:t>:</w:t>
              <w:tab/>
            </w:r>
            <w:r>
              <w:rPr>
                <w:rStyle w:val="IndexLink"/>
              </w:rPr>
              <w:t>204</w:t>
            </w:r>
          </w:hyperlink>
        </w:p>
        <w:p>
          <w:pPr>
            <w:pStyle w:val="Contents4"/>
            <w:tabs>
              <w:tab w:val="clear" w:pos="8176"/>
              <w:tab w:val="right" w:pos="9026" w:leader="dot"/>
            </w:tabs>
            <w:rPr/>
          </w:pPr>
          <w:hyperlink w:anchor="__RefHeading___Toc2193053_653776707">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2193055_653776707">
            <w:r>
              <w:rPr>
                <w:webHidden/>
                <w:rStyle w:val="IndexLink"/>
                <w:rtl w:val="true"/>
              </w:rPr>
              <w:t>التوبة وأحكامها</w:t>
            </w:r>
            <w:r>
              <w:rPr>
                <w:rStyle w:val="IndexLink"/>
                <w:rtl w:val="true"/>
              </w:rPr>
              <w:tab/>
            </w:r>
            <w:r>
              <w:rPr>
                <w:rStyle w:val="IndexLink"/>
              </w:rPr>
              <w:t>206</w:t>
            </w:r>
          </w:hyperlink>
        </w:p>
        <w:p>
          <w:pPr>
            <w:pStyle w:val="Contents4"/>
            <w:tabs>
              <w:tab w:val="clear" w:pos="8176"/>
              <w:tab w:val="right" w:pos="9026" w:leader="dot"/>
            </w:tabs>
            <w:rPr/>
          </w:pPr>
          <w:hyperlink w:anchor="__RefHeading___Toc2193057_653776707">
            <w:r>
              <w:rPr>
                <w:webHidden/>
                <w:rStyle w:val="IndexLink"/>
                <w:rtl w:val="true"/>
              </w:rPr>
              <w:t>الجهة الأولى</w:t>
            </w:r>
            <w:r>
              <w:rPr>
                <w:rStyle w:val="IndexLink"/>
                <w:rtl w:val="true"/>
              </w:rPr>
              <w:t xml:space="preserve">: </w:t>
            </w:r>
            <w:r>
              <w:rPr>
                <w:rStyle w:val="IndexLink"/>
                <w:rtl w:val="true"/>
              </w:rPr>
              <w:t>بيان حقيقة التوبة</w:t>
            </w:r>
            <w:r>
              <w:rPr>
                <w:rStyle w:val="IndexLink"/>
                <w:rtl w:val="true"/>
              </w:rPr>
              <w:tab/>
            </w:r>
            <w:r>
              <w:rPr>
                <w:rStyle w:val="IndexLink"/>
              </w:rPr>
              <w:t>207</w:t>
            </w:r>
          </w:hyperlink>
        </w:p>
        <w:p>
          <w:pPr>
            <w:pStyle w:val="Contents5"/>
            <w:tabs>
              <w:tab w:val="clear" w:pos="7892"/>
              <w:tab w:val="right" w:pos="9026" w:leader="dot"/>
            </w:tabs>
            <w:rPr/>
          </w:pPr>
          <w:hyperlink w:anchor="__RefHeading___Toc2193059_65377670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2193061_653776707">
            <w:r>
              <w:rPr>
                <w:webHidden/>
                <w:rStyle w:val="IndexLink"/>
                <w:rtl w:val="true"/>
              </w:rPr>
              <w:t>مراتب التوبة</w:t>
            </w:r>
            <w:r>
              <w:rPr>
                <w:rStyle w:val="IndexLink"/>
                <w:rtl w:val="true"/>
              </w:rPr>
              <w:t>:</w:t>
              <w:tab/>
            </w:r>
            <w:r>
              <w:rPr>
                <w:rStyle w:val="IndexLink"/>
              </w:rPr>
              <w:t>208</w:t>
            </w:r>
          </w:hyperlink>
        </w:p>
        <w:p>
          <w:pPr>
            <w:pStyle w:val="Contents6"/>
            <w:tabs>
              <w:tab w:val="clear" w:pos="7609"/>
              <w:tab w:val="right" w:pos="9026" w:leader="dot"/>
            </w:tabs>
            <w:rPr/>
          </w:pPr>
          <w:hyperlink w:anchor="__RefHeading___Toc2193063_653776707">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2193065_653776707">
            <w:r>
              <w:rPr>
                <w:webHidden/>
                <w:rStyle w:val="IndexLink"/>
                <w:rtl w:val="true"/>
              </w:rPr>
              <w:t>المرتبة الأولى</w:t>
            </w:r>
            <w:r>
              <w:rPr>
                <w:rStyle w:val="IndexLink"/>
                <w:rtl w:val="true"/>
              </w:rPr>
              <w:t>:</w:t>
              <w:tab/>
            </w:r>
            <w:r>
              <w:rPr>
                <w:rStyle w:val="IndexLink"/>
              </w:rPr>
              <w:t>208</w:t>
            </w:r>
          </w:hyperlink>
        </w:p>
        <w:p>
          <w:pPr>
            <w:pStyle w:val="Contents6"/>
            <w:tabs>
              <w:tab w:val="clear" w:pos="7609"/>
              <w:tab w:val="right" w:pos="9026" w:leader="dot"/>
            </w:tabs>
            <w:rPr/>
          </w:pPr>
          <w:hyperlink w:anchor="__RefHeading___Toc2193067_653776707">
            <w:r>
              <w:rPr>
                <w:webHidden/>
                <w:rStyle w:val="IndexLink"/>
                <w:rtl w:val="true"/>
              </w:rPr>
              <w:t>المرتبة الثانية</w:t>
            </w:r>
            <w:r>
              <w:rPr>
                <w:rStyle w:val="IndexLink"/>
                <w:rtl w:val="true"/>
              </w:rPr>
              <w:t>:</w:t>
              <w:tab/>
            </w:r>
            <w:r>
              <w:rPr>
                <w:rStyle w:val="IndexLink"/>
              </w:rPr>
              <w:t>209</w:t>
            </w:r>
          </w:hyperlink>
        </w:p>
        <w:p>
          <w:pPr>
            <w:pStyle w:val="Contents6"/>
            <w:tabs>
              <w:tab w:val="clear" w:pos="7609"/>
              <w:tab w:val="right" w:pos="9026" w:leader="dot"/>
            </w:tabs>
            <w:rPr/>
          </w:pPr>
          <w:hyperlink w:anchor="__RefHeading___Toc2193069_653776707">
            <w:r>
              <w:rPr>
                <w:webHidden/>
                <w:rStyle w:val="IndexLink"/>
                <w:rtl w:val="true"/>
              </w:rPr>
              <w:t>المرتبة الثالثة</w:t>
            </w:r>
            <w:r>
              <w:rPr>
                <w:rStyle w:val="IndexLink"/>
                <w:rtl w:val="true"/>
              </w:rPr>
              <w:t>:</w:t>
              <w:tab/>
            </w:r>
            <w:r>
              <w:rPr>
                <w:rStyle w:val="IndexLink"/>
              </w:rPr>
              <w:t>209</w:t>
            </w:r>
          </w:hyperlink>
        </w:p>
        <w:p>
          <w:pPr>
            <w:pStyle w:val="Contents6"/>
            <w:tabs>
              <w:tab w:val="clear" w:pos="7609"/>
              <w:tab w:val="right" w:pos="9026" w:leader="dot"/>
            </w:tabs>
            <w:rPr/>
          </w:pPr>
          <w:hyperlink w:anchor="__RefHeading___Toc2193071_653776707">
            <w:r>
              <w:rPr>
                <w:webHidden/>
                <w:rStyle w:val="IndexLink"/>
                <w:rtl w:val="true"/>
              </w:rPr>
              <w:t>المرتبة الرابعة</w:t>
            </w:r>
            <w:r>
              <w:rPr>
                <w:rStyle w:val="IndexLink"/>
                <w:rtl w:val="true"/>
              </w:rPr>
              <w:t>:</w:t>
              <w:tab/>
            </w:r>
            <w:r>
              <w:rPr>
                <w:rStyle w:val="IndexLink"/>
              </w:rPr>
              <w:t>210</w:t>
            </w:r>
          </w:hyperlink>
        </w:p>
        <w:p>
          <w:pPr>
            <w:pStyle w:val="Contents6"/>
            <w:tabs>
              <w:tab w:val="clear" w:pos="7609"/>
              <w:tab w:val="right" w:pos="9026" w:leader="dot"/>
            </w:tabs>
            <w:rPr/>
          </w:pPr>
          <w:hyperlink w:anchor="__RefHeading___Toc2193073_653776707">
            <w:r>
              <w:rPr>
                <w:webHidden/>
                <w:rStyle w:val="IndexLink"/>
                <w:rtl w:val="true"/>
              </w:rPr>
              <w:t>المرتبة الخامسة</w:t>
            </w:r>
            <w:r>
              <w:rPr>
                <w:rStyle w:val="IndexLink"/>
                <w:rtl w:val="true"/>
              </w:rPr>
              <w:t>:</w:t>
              <w:tab/>
            </w:r>
            <w:r>
              <w:rPr>
                <w:rStyle w:val="IndexLink"/>
              </w:rPr>
              <w:t>210</w:t>
            </w:r>
          </w:hyperlink>
        </w:p>
        <w:p>
          <w:pPr>
            <w:pStyle w:val="Contents6"/>
            <w:tabs>
              <w:tab w:val="clear" w:pos="7609"/>
              <w:tab w:val="right" w:pos="9026" w:leader="dot"/>
            </w:tabs>
            <w:rPr/>
          </w:pPr>
          <w:hyperlink w:anchor="__RefHeading___Toc2193075_653776707">
            <w:r>
              <w:rPr>
                <w:webHidden/>
                <w:rStyle w:val="IndexLink"/>
                <w:rtl w:val="true"/>
              </w:rPr>
              <w:t>المرتبة السادسة</w:t>
            </w:r>
            <w:r>
              <w:rPr>
                <w:rStyle w:val="IndexLink"/>
                <w:rtl w:val="true"/>
              </w:rPr>
              <w:t>:</w:t>
              <w:tab/>
            </w:r>
            <w:r>
              <w:rPr>
                <w:rStyle w:val="IndexLink"/>
              </w:rPr>
              <w:t>210</w:t>
            </w:r>
          </w:hyperlink>
        </w:p>
        <w:p>
          <w:pPr>
            <w:pStyle w:val="Contents6"/>
            <w:tabs>
              <w:tab w:val="clear" w:pos="7609"/>
              <w:tab w:val="right" w:pos="9026" w:leader="dot"/>
            </w:tabs>
            <w:rPr/>
          </w:pPr>
          <w:hyperlink w:anchor="__RefHeading___Toc2193077_653776707">
            <w:r>
              <w:rPr>
                <w:webHidden/>
                <w:rStyle w:val="IndexLink"/>
                <w:rtl w:val="true"/>
              </w:rPr>
              <w:t>المرتبة السابعة</w:t>
            </w:r>
            <w:r>
              <w:rPr>
                <w:rStyle w:val="IndexLink"/>
                <w:rtl w:val="true"/>
              </w:rPr>
              <w:t>:</w:t>
              <w:tab/>
            </w:r>
            <w:r>
              <w:rPr>
                <w:rStyle w:val="IndexLink"/>
              </w:rPr>
              <w:t>211</w:t>
            </w:r>
          </w:hyperlink>
        </w:p>
        <w:p>
          <w:pPr>
            <w:pStyle w:val="Contents4"/>
            <w:tabs>
              <w:tab w:val="clear" w:pos="8176"/>
              <w:tab w:val="right" w:pos="9026" w:leader="dot"/>
            </w:tabs>
            <w:rPr/>
          </w:pPr>
          <w:hyperlink w:anchor="__RefHeading___Toc2193079_653776707">
            <w:r>
              <w:rPr>
                <w:webHidden/>
                <w:rStyle w:val="IndexLink"/>
                <w:rtl w:val="true"/>
              </w:rPr>
              <w:t>الجهة الثانية</w:t>
            </w:r>
            <w:r>
              <w:rPr>
                <w:rStyle w:val="IndexLink"/>
                <w:rtl w:val="true"/>
              </w:rPr>
              <w:t xml:space="preserve">: </w:t>
            </w:r>
            <w:r>
              <w:rPr>
                <w:rStyle w:val="IndexLink"/>
                <w:rtl w:val="true"/>
              </w:rPr>
              <w:t>حكم التوبة التكليفي</w:t>
            </w:r>
            <w:r>
              <w:rPr>
                <w:rStyle w:val="IndexLink"/>
                <w:rtl w:val="true"/>
              </w:rPr>
              <w:tab/>
            </w:r>
            <w:r>
              <w:rPr>
                <w:rStyle w:val="IndexLink"/>
              </w:rPr>
              <w:t>213</w:t>
            </w:r>
          </w:hyperlink>
        </w:p>
        <w:p>
          <w:pPr>
            <w:pStyle w:val="Contents5"/>
            <w:tabs>
              <w:tab w:val="clear" w:pos="7892"/>
              <w:tab w:val="right" w:pos="9026" w:leader="dot"/>
            </w:tabs>
            <w:rPr/>
          </w:pPr>
          <w:hyperlink w:anchor="__RefHeading___Toc2193081_653776707">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2193083_653776707">
            <w:r>
              <w:rPr>
                <w:webHidden/>
                <w:rStyle w:val="IndexLink"/>
                <w:rtl w:val="true"/>
              </w:rPr>
              <w:t>أوّلاً</w:t>
            </w:r>
            <w:r>
              <w:rPr>
                <w:rStyle w:val="IndexLink"/>
                <w:rtl w:val="true"/>
              </w:rPr>
              <w:t xml:space="preserve">: </w:t>
            </w:r>
            <w:r>
              <w:rPr>
                <w:rStyle w:val="IndexLink"/>
                <w:rtl w:val="true"/>
              </w:rPr>
              <w:t>الكتاب الكريم</w:t>
            </w:r>
            <w:r>
              <w:rPr>
                <w:rStyle w:val="IndexLink"/>
                <w:rtl w:val="true"/>
              </w:rPr>
              <w:t>:</w:t>
              <w:tab/>
            </w:r>
            <w:r>
              <w:rPr>
                <w:rStyle w:val="IndexLink"/>
              </w:rPr>
              <w:t>213</w:t>
            </w:r>
          </w:hyperlink>
        </w:p>
        <w:p>
          <w:pPr>
            <w:pStyle w:val="Contents5"/>
            <w:tabs>
              <w:tab w:val="clear" w:pos="7892"/>
              <w:tab w:val="right" w:pos="9026" w:leader="dot"/>
            </w:tabs>
            <w:rPr/>
          </w:pPr>
          <w:hyperlink w:anchor="__RefHeading___Toc2193085_653776707">
            <w:r>
              <w:rPr>
                <w:webHidden/>
                <w:rStyle w:val="IndexLink"/>
                <w:rtl w:val="true"/>
              </w:rPr>
              <w:t>ثانياً</w:t>
            </w:r>
            <w:r>
              <w:rPr>
                <w:rStyle w:val="IndexLink"/>
                <w:rtl w:val="true"/>
              </w:rPr>
              <w:t xml:space="preserve">: </w:t>
            </w:r>
            <w:r>
              <w:rPr>
                <w:rStyle w:val="IndexLink"/>
                <w:rtl w:val="true"/>
              </w:rPr>
              <w:t>السنة الشريفة</w:t>
            </w:r>
            <w:r>
              <w:rPr>
                <w:rStyle w:val="IndexLink"/>
                <w:rtl w:val="true"/>
              </w:rPr>
              <w:t>:</w:t>
              <w:tab/>
            </w:r>
            <w:r>
              <w:rPr>
                <w:rStyle w:val="IndexLink"/>
              </w:rPr>
              <w:t>215</w:t>
            </w:r>
          </w:hyperlink>
        </w:p>
        <w:p>
          <w:pPr>
            <w:pStyle w:val="Contents5"/>
            <w:tabs>
              <w:tab w:val="clear" w:pos="7892"/>
              <w:tab w:val="right" w:pos="9026" w:leader="dot"/>
            </w:tabs>
            <w:rPr/>
          </w:pPr>
          <w:hyperlink w:anchor="__RefHeading___Toc2193087_653776707">
            <w:r>
              <w:rPr>
                <w:webHidden/>
                <w:rStyle w:val="IndexLink"/>
                <w:rtl w:val="true"/>
              </w:rPr>
              <w:t>ثالثاً</w:t>
            </w:r>
            <w:r>
              <w:rPr>
                <w:rStyle w:val="IndexLink"/>
                <w:rtl w:val="true"/>
              </w:rPr>
              <w:t xml:space="preserve">: </w:t>
            </w:r>
            <w:r>
              <w:rPr>
                <w:rStyle w:val="IndexLink"/>
                <w:rtl w:val="true"/>
              </w:rPr>
              <w:t>الإجماع</w:t>
            </w:r>
            <w:r>
              <w:rPr>
                <w:rStyle w:val="IndexLink"/>
                <w:rtl w:val="true"/>
              </w:rPr>
              <w:t>:</w:t>
              <w:tab/>
            </w:r>
            <w:r>
              <w:rPr>
                <w:rStyle w:val="IndexLink"/>
              </w:rPr>
              <w:t>218</w:t>
            </w:r>
          </w:hyperlink>
        </w:p>
        <w:p>
          <w:pPr>
            <w:pStyle w:val="Contents5"/>
            <w:tabs>
              <w:tab w:val="clear" w:pos="7892"/>
              <w:tab w:val="right" w:pos="9026" w:leader="dot"/>
            </w:tabs>
            <w:rPr/>
          </w:pPr>
          <w:hyperlink w:anchor="__RefHeading___Toc2193089_653776707">
            <w:r>
              <w:rPr>
                <w:webHidden/>
                <w:rStyle w:val="IndexLink"/>
                <w:rtl w:val="true"/>
              </w:rPr>
              <w:t>رابعاً</w:t>
            </w:r>
            <w:r>
              <w:rPr>
                <w:rStyle w:val="IndexLink"/>
                <w:rtl w:val="true"/>
              </w:rPr>
              <w:t xml:space="preserve">: </w:t>
            </w:r>
            <w:r>
              <w:rPr>
                <w:rStyle w:val="IndexLink"/>
                <w:rtl w:val="true"/>
              </w:rPr>
              <w:t>العقل</w:t>
            </w:r>
            <w:r>
              <w:rPr>
                <w:rStyle w:val="IndexLink"/>
                <w:rtl w:val="true"/>
              </w:rPr>
              <w:t>:</w:t>
              <w:tab/>
            </w:r>
            <w:r>
              <w:rPr>
                <w:rStyle w:val="IndexLink"/>
              </w:rPr>
              <w:t>218</w:t>
            </w:r>
          </w:hyperlink>
        </w:p>
        <w:p>
          <w:pPr>
            <w:pStyle w:val="Contents4"/>
            <w:tabs>
              <w:tab w:val="clear" w:pos="8176"/>
              <w:tab w:val="right" w:pos="9026" w:leader="dot"/>
            </w:tabs>
            <w:rPr/>
          </w:pPr>
          <w:hyperlink w:anchor="__RefHeading___Toc2193091_653776707">
            <w:r>
              <w:rPr>
                <w:webHidden/>
                <w:rStyle w:val="IndexLink"/>
                <w:rtl w:val="true"/>
              </w:rPr>
              <w:t>الجهة الثالثة</w:t>
            </w:r>
            <w:r>
              <w:rPr>
                <w:rStyle w:val="IndexLink"/>
                <w:rtl w:val="true"/>
              </w:rPr>
              <w:t xml:space="preserve">: </w:t>
            </w:r>
            <w:r>
              <w:rPr>
                <w:rStyle w:val="IndexLink"/>
                <w:rtl w:val="true"/>
              </w:rPr>
              <w:t>الحكم الوضعي للتوبة</w:t>
            </w:r>
            <w:r>
              <w:rPr>
                <w:rStyle w:val="IndexLink"/>
                <w:rtl w:val="true"/>
              </w:rPr>
              <w:tab/>
            </w:r>
            <w:r>
              <w:rPr>
                <w:rStyle w:val="IndexLink"/>
              </w:rPr>
              <w:t>221</w:t>
            </w:r>
          </w:hyperlink>
        </w:p>
        <w:p>
          <w:pPr>
            <w:pStyle w:val="Contents5"/>
            <w:tabs>
              <w:tab w:val="clear" w:pos="7892"/>
              <w:tab w:val="right" w:pos="9026" w:leader="dot"/>
            </w:tabs>
            <w:rPr/>
          </w:pPr>
          <w:hyperlink w:anchor="__RefHeading___Toc2193093_65377670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2193095_653776707">
            <w:r>
              <w:rPr>
                <w:webHidden/>
                <w:rStyle w:val="IndexLink"/>
                <w:rtl w:val="true"/>
              </w:rPr>
              <w:t>المسألة الأولى</w:t>
            </w:r>
            <w:r>
              <w:rPr>
                <w:rStyle w:val="IndexLink"/>
                <w:rtl w:val="true"/>
              </w:rPr>
              <w:t>:</w:t>
              <w:tab/>
            </w:r>
            <w:r>
              <w:rPr>
                <w:rStyle w:val="IndexLink"/>
              </w:rPr>
              <w:t>221</w:t>
            </w:r>
          </w:hyperlink>
        </w:p>
        <w:p>
          <w:pPr>
            <w:pStyle w:val="Contents5"/>
            <w:tabs>
              <w:tab w:val="clear" w:pos="7892"/>
              <w:tab w:val="right" w:pos="9026" w:leader="dot"/>
            </w:tabs>
            <w:rPr/>
          </w:pPr>
          <w:hyperlink w:anchor="__RefHeading___Toc2193097_653776707">
            <w:r>
              <w:rPr>
                <w:webHidden/>
                <w:rStyle w:val="IndexLink"/>
                <w:rtl w:val="true"/>
              </w:rPr>
              <w:t>المسألة الثانية</w:t>
            </w:r>
            <w:r>
              <w:rPr>
                <w:rStyle w:val="IndexLink"/>
                <w:rtl w:val="true"/>
              </w:rPr>
              <w:t>:</w:t>
              <w:tab/>
            </w:r>
            <w:r>
              <w:rPr>
                <w:rStyle w:val="IndexLink"/>
              </w:rPr>
              <w:t>223</w:t>
            </w:r>
          </w:hyperlink>
        </w:p>
        <w:p>
          <w:pPr>
            <w:pStyle w:val="Contents3"/>
            <w:tabs>
              <w:tab w:val="clear" w:pos="8459"/>
              <w:tab w:val="right" w:pos="9026" w:leader="dot"/>
            </w:tabs>
            <w:rPr/>
          </w:pPr>
          <w:hyperlink w:anchor="__RefHeading___Toc2193099_653776707">
            <w:r>
              <w:rPr>
                <w:webHidden/>
                <w:rStyle w:val="IndexLink"/>
                <w:rtl w:val="true"/>
              </w:rPr>
              <w:t>المقام الرابع</w:t>
            </w:r>
            <w:r>
              <w:rPr>
                <w:rStyle w:val="IndexLink"/>
                <w:rtl w:val="true"/>
              </w:rPr>
              <w:t>:</w:t>
              <w:tab/>
            </w:r>
            <w:r>
              <w:rPr>
                <w:rStyle w:val="IndexLink"/>
              </w:rPr>
              <w:t>226</w:t>
            </w:r>
          </w:hyperlink>
        </w:p>
        <w:p>
          <w:pPr>
            <w:pStyle w:val="Contents4"/>
            <w:tabs>
              <w:tab w:val="clear" w:pos="8176"/>
              <w:tab w:val="right" w:pos="9026" w:leader="dot"/>
            </w:tabs>
            <w:rPr/>
          </w:pPr>
          <w:hyperlink w:anchor="__RefHeading___Toc2193101_653776707">
            <w:r>
              <w:rPr>
                <w:webHidden/>
                <w:rStyle w:val="IndexLink"/>
                <w:rtl w:val="true"/>
              </w:rPr>
              <w:t>طرق ثبوت العدالة</w:t>
            </w:r>
            <w:r>
              <w:rPr>
                <w:rStyle w:val="IndexLink"/>
                <w:rtl w:val="true"/>
              </w:rPr>
              <w:tab/>
            </w:r>
            <w:r>
              <w:rPr>
                <w:rStyle w:val="IndexLink"/>
              </w:rPr>
              <w:t>226</w:t>
            </w:r>
          </w:hyperlink>
        </w:p>
        <w:p>
          <w:pPr>
            <w:pStyle w:val="Contents4"/>
            <w:tabs>
              <w:tab w:val="clear" w:pos="8176"/>
              <w:tab w:val="right" w:pos="9026" w:leader="dot"/>
            </w:tabs>
            <w:rPr/>
          </w:pPr>
          <w:hyperlink w:anchor="__RefHeading___Toc2193103_653776707">
            <w:r>
              <w:rPr>
                <w:webHidden/>
                <w:rStyle w:val="IndexLink"/>
                <w:rtl w:val="true"/>
              </w:rPr>
              <w:t>طرق ثبوت العدالة</w:t>
            </w:r>
            <w:r>
              <w:rPr>
                <w:rStyle w:val="IndexLink"/>
                <w:rtl w:val="true"/>
              </w:rPr>
              <w:tab/>
            </w:r>
            <w:r>
              <w:rPr>
                <w:rStyle w:val="IndexLink"/>
              </w:rPr>
              <w:t>228</w:t>
            </w:r>
          </w:hyperlink>
        </w:p>
        <w:p>
          <w:pPr>
            <w:pStyle w:val="Contents5"/>
            <w:tabs>
              <w:tab w:val="clear" w:pos="7892"/>
              <w:tab w:val="right" w:pos="9026" w:leader="dot"/>
            </w:tabs>
            <w:rPr/>
          </w:pPr>
          <w:hyperlink w:anchor="__RefHeading___Toc2193105_65377670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2193107_653776707">
            <w:r>
              <w:rPr>
                <w:webHidden/>
                <w:rStyle w:val="IndexLink"/>
                <w:rtl w:val="true"/>
              </w:rPr>
              <w:t>الطريق الأوّل</w:t>
            </w:r>
            <w:r>
              <w:rPr>
                <w:rStyle w:val="IndexLink"/>
                <w:rtl w:val="true"/>
              </w:rPr>
              <w:t xml:space="preserve">: </w:t>
            </w:r>
            <w:r>
              <w:rPr>
                <w:rStyle w:val="IndexLink"/>
                <w:rtl w:val="true"/>
              </w:rPr>
              <w:t>حسن الظاهر</w:t>
            </w:r>
            <w:r>
              <w:rPr>
                <w:rStyle w:val="IndexLink"/>
                <w:rtl w:val="true"/>
              </w:rPr>
              <w:tab/>
            </w:r>
            <w:r>
              <w:rPr>
                <w:rStyle w:val="IndexLink"/>
              </w:rPr>
              <w:t>229</w:t>
            </w:r>
          </w:hyperlink>
        </w:p>
        <w:p>
          <w:pPr>
            <w:pStyle w:val="Contents6"/>
            <w:tabs>
              <w:tab w:val="clear" w:pos="7609"/>
              <w:tab w:val="right" w:pos="9026" w:leader="dot"/>
            </w:tabs>
            <w:rPr/>
          </w:pPr>
          <w:hyperlink w:anchor="__RefHeading___Toc2193109_653776707">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2193111_653776707">
            <w:r>
              <w:rPr>
                <w:webHidden/>
                <w:rStyle w:val="IndexLink"/>
                <w:rtl w:val="true"/>
              </w:rPr>
              <w:t>في اعتبار المعاشرة في حسن الظاهر</w:t>
            </w:r>
            <w:r>
              <w:rPr>
                <w:rStyle w:val="IndexLink"/>
                <w:rtl w:val="true"/>
              </w:rPr>
              <w:t>:</w:t>
              <w:tab/>
            </w:r>
            <w:r>
              <w:rPr>
                <w:rStyle w:val="IndexLink"/>
              </w:rPr>
              <w:t>234</w:t>
            </w:r>
          </w:hyperlink>
        </w:p>
        <w:p>
          <w:pPr>
            <w:pStyle w:val="Contents6"/>
            <w:tabs>
              <w:tab w:val="clear" w:pos="7609"/>
              <w:tab w:val="right" w:pos="9026" w:leader="dot"/>
            </w:tabs>
            <w:rPr/>
          </w:pPr>
          <w:hyperlink w:anchor="__RefHeading___Toc2193113_653776707">
            <w:r>
              <w:rPr>
                <w:webHidden/>
                <w:rStyle w:val="IndexLink"/>
                <w:rtl w:val="true"/>
              </w:rPr>
              <w:t>الإشكال على الوجه الأوّل وجوابه</w:t>
            </w:r>
            <w:r>
              <w:rPr>
                <w:rStyle w:val="IndexLink"/>
                <w:rtl w:val="true"/>
              </w:rPr>
              <w:t>:</w:t>
              <w:tab/>
            </w:r>
            <w:r>
              <w:rPr>
                <w:rStyle w:val="IndexLink"/>
              </w:rPr>
              <w:t>235</w:t>
            </w:r>
          </w:hyperlink>
        </w:p>
        <w:p>
          <w:pPr>
            <w:pStyle w:val="Contents6"/>
            <w:tabs>
              <w:tab w:val="clear" w:pos="7609"/>
              <w:tab w:val="right" w:pos="9026" w:leader="dot"/>
            </w:tabs>
            <w:rPr/>
          </w:pPr>
          <w:hyperlink w:anchor="__RefHeading___Toc2193115_653776707">
            <w:r>
              <w:rPr>
                <w:webHidden/>
                <w:rStyle w:val="IndexLink"/>
                <w:rtl w:val="true"/>
              </w:rPr>
              <w:t>الإشكال على الوجه الثاني</w:t>
            </w:r>
            <w:r>
              <w:rPr>
                <w:rStyle w:val="IndexLink"/>
                <w:rtl w:val="true"/>
              </w:rPr>
              <w:t>:</w:t>
              <w:tab/>
            </w:r>
            <w:r>
              <w:rPr>
                <w:rStyle w:val="IndexLink"/>
              </w:rPr>
              <w:t>236</w:t>
            </w:r>
          </w:hyperlink>
        </w:p>
        <w:p>
          <w:pPr>
            <w:pStyle w:val="Contents6"/>
            <w:tabs>
              <w:tab w:val="clear" w:pos="7609"/>
              <w:tab w:val="right" w:pos="9026" w:leader="dot"/>
            </w:tabs>
            <w:rPr/>
          </w:pPr>
          <w:hyperlink w:anchor="__RefHeading___Toc2193117_653776707">
            <w:r>
              <w:rPr>
                <w:webHidden/>
                <w:rStyle w:val="IndexLink"/>
                <w:rtl w:val="true"/>
              </w:rPr>
              <w:t>كاشفية حسن الظاهر عن العدالة إفادته العلم أو الظن</w:t>
            </w:r>
            <w:r>
              <w:rPr>
                <w:rStyle w:val="IndexLink"/>
                <w:rtl w:val="true"/>
              </w:rPr>
              <w:t>:</w:t>
              <w:tab/>
            </w:r>
            <w:r>
              <w:rPr>
                <w:rStyle w:val="IndexLink"/>
              </w:rPr>
              <w:t>238</w:t>
            </w:r>
          </w:hyperlink>
        </w:p>
        <w:p>
          <w:pPr>
            <w:pStyle w:val="Contents5"/>
            <w:tabs>
              <w:tab w:val="clear" w:pos="7892"/>
              <w:tab w:val="right" w:pos="9026" w:leader="dot"/>
            </w:tabs>
            <w:rPr/>
          </w:pPr>
          <w:hyperlink w:anchor="__RefHeading___Toc2193119_653776707">
            <w:r>
              <w:rPr>
                <w:webHidden/>
                <w:rStyle w:val="IndexLink"/>
                <w:rtl w:val="true"/>
              </w:rPr>
              <w:t>الطريق الثاني</w:t>
            </w:r>
            <w:r>
              <w:rPr>
                <w:rStyle w:val="IndexLink"/>
                <w:rtl w:val="true"/>
              </w:rPr>
              <w:t xml:space="preserve">: </w:t>
            </w:r>
            <w:r>
              <w:rPr>
                <w:rStyle w:val="IndexLink"/>
                <w:rtl w:val="true"/>
              </w:rPr>
              <w:t>البيّنة</w:t>
            </w:r>
            <w:r>
              <w:rPr>
                <w:rStyle w:val="IndexLink"/>
                <w:rtl w:val="true"/>
              </w:rPr>
              <w:tab/>
            </w:r>
            <w:r>
              <w:rPr>
                <w:rStyle w:val="IndexLink"/>
              </w:rPr>
              <w:t>241</w:t>
            </w:r>
          </w:hyperlink>
        </w:p>
        <w:p>
          <w:pPr>
            <w:pStyle w:val="Contents5"/>
            <w:tabs>
              <w:tab w:val="clear" w:pos="7892"/>
              <w:tab w:val="right" w:pos="9026" w:leader="dot"/>
            </w:tabs>
            <w:rPr/>
          </w:pPr>
          <w:hyperlink w:anchor="__RefHeading___Toc2193121_653776707">
            <w:r>
              <w:rPr>
                <w:webHidden/>
                <w:rStyle w:val="IndexLink"/>
                <w:rtl w:val="true"/>
              </w:rPr>
              <w:t>الطريق الثالث</w:t>
            </w:r>
            <w:r>
              <w:rPr>
                <w:rStyle w:val="IndexLink"/>
                <w:rtl w:val="true"/>
              </w:rPr>
              <w:t xml:space="preserve">: </w:t>
            </w:r>
            <w:r>
              <w:rPr>
                <w:rStyle w:val="IndexLink"/>
                <w:rtl w:val="true"/>
              </w:rPr>
              <w:t>اعتبار شهادة عادل واحد قولاً أو فعلاً</w:t>
            </w:r>
            <w:r>
              <w:rPr>
                <w:rStyle w:val="IndexLink"/>
                <w:rtl w:val="true"/>
              </w:rPr>
              <w:tab/>
            </w:r>
            <w:r>
              <w:rPr>
                <w:rStyle w:val="IndexLink"/>
              </w:rPr>
              <w:t>243</w:t>
            </w:r>
          </w:hyperlink>
        </w:p>
        <w:p>
          <w:pPr>
            <w:pStyle w:val="Contents5"/>
            <w:tabs>
              <w:tab w:val="clear" w:pos="7892"/>
              <w:tab w:val="right" w:pos="9026" w:leader="dot"/>
            </w:tabs>
            <w:rPr/>
          </w:pPr>
          <w:hyperlink w:anchor="__RefHeading___Toc2193123_653776707">
            <w:r>
              <w:rPr>
                <w:webHidden/>
                <w:rStyle w:val="IndexLink"/>
                <w:rtl w:val="true"/>
              </w:rPr>
              <w:t>الطريق الرابع</w:t>
            </w:r>
            <w:r>
              <w:rPr>
                <w:rStyle w:val="IndexLink"/>
                <w:rtl w:val="true"/>
              </w:rPr>
              <w:t xml:space="preserve">: </w:t>
            </w:r>
            <w:r>
              <w:rPr>
                <w:rStyle w:val="IndexLink"/>
                <w:rtl w:val="true"/>
              </w:rPr>
              <w:t>الشياع الموجب للظن</w:t>
            </w:r>
            <w:r>
              <w:rPr>
                <w:rStyle w:val="IndexLink"/>
                <w:rtl w:val="true"/>
              </w:rPr>
              <w:tab/>
            </w:r>
            <w:r>
              <w:rPr>
                <w:rStyle w:val="IndexLink"/>
              </w:rPr>
              <w:t>244</w:t>
            </w:r>
          </w:hyperlink>
        </w:p>
        <w:p>
          <w:pPr>
            <w:pStyle w:val="Contents6"/>
            <w:tabs>
              <w:tab w:val="clear" w:pos="7609"/>
              <w:tab w:val="right" w:pos="9026" w:leader="dot"/>
            </w:tabs>
            <w:rPr/>
          </w:pPr>
          <w:hyperlink w:anchor="__RefHeading___Toc2193125_653776707">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2193127_653776707">
            <w:r>
              <w:rPr>
                <w:webHidden/>
                <w:rStyle w:val="IndexLink"/>
                <w:rtl w:val="true"/>
              </w:rPr>
              <w:t>الوجه الأوّل</w:t>
            </w:r>
            <w:r>
              <w:rPr>
                <w:rStyle w:val="IndexLink"/>
                <w:rtl w:val="true"/>
              </w:rPr>
              <w:t>:</w:t>
              <w:tab/>
            </w:r>
            <w:r>
              <w:rPr>
                <w:rStyle w:val="IndexLink"/>
              </w:rPr>
              <w:t>245</w:t>
            </w:r>
          </w:hyperlink>
        </w:p>
        <w:p>
          <w:pPr>
            <w:pStyle w:val="Contents6"/>
            <w:tabs>
              <w:tab w:val="clear" w:pos="7609"/>
              <w:tab w:val="right" w:pos="9026" w:leader="dot"/>
            </w:tabs>
            <w:rPr/>
          </w:pPr>
          <w:hyperlink w:anchor="__RefHeading___Toc2193129_653776707">
            <w:r>
              <w:rPr>
                <w:webHidden/>
                <w:rStyle w:val="IndexLink"/>
                <w:rtl w:val="true"/>
              </w:rPr>
              <w:t>الوجه الثاني</w:t>
            </w:r>
            <w:r>
              <w:rPr>
                <w:rStyle w:val="IndexLink"/>
                <w:rtl w:val="true"/>
              </w:rPr>
              <w:t>:</w:t>
              <w:tab/>
            </w:r>
            <w:r>
              <w:rPr>
                <w:rStyle w:val="IndexLink"/>
              </w:rPr>
              <w:t>246</w:t>
            </w:r>
          </w:hyperlink>
        </w:p>
        <w:p>
          <w:pPr>
            <w:pStyle w:val="Contents6"/>
            <w:tabs>
              <w:tab w:val="clear" w:pos="7609"/>
              <w:tab w:val="right" w:pos="9026" w:leader="dot"/>
            </w:tabs>
            <w:rPr/>
          </w:pPr>
          <w:hyperlink w:anchor="__RefHeading___Toc2193131_653776707">
            <w:r>
              <w:rPr>
                <w:webHidden/>
                <w:rStyle w:val="IndexLink"/>
                <w:rtl w:val="true"/>
              </w:rPr>
              <w:t>الوجه الثالث</w:t>
            </w:r>
            <w:r>
              <w:rPr>
                <w:rStyle w:val="IndexLink"/>
                <w:rtl w:val="true"/>
              </w:rPr>
              <w:t>:</w:t>
              <w:tab/>
            </w:r>
            <w:r>
              <w:rPr>
                <w:rStyle w:val="IndexLink"/>
              </w:rPr>
              <w:t>247</w:t>
            </w:r>
          </w:hyperlink>
        </w:p>
        <w:p>
          <w:pPr>
            <w:pStyle w:val="Contents6"/>
            <w:tabs>
              <w:tab w:val="clear" w:pos="7609"/>
              <w:tab w:val="right" w:pos="9026" w:leader="dot"/>
            </w:tabs>
            <w:rPr/>
          </w:pPr>
          <w:hyperlink w:anchor="__RefHeading___Toc2193133_653776707">
            <w:r>
              <w:rPr>
                <w:webHidden/>
                <w:rStyle w:val="IndexLink"/>
                <w:rtl w:val="true"/>
              </w:rPr>
              <w:t>الوجه الرابع</w:t>
            </w:r>
            <w:r>
              <w:rPr>
                <w:rStyle w:val="IndexLink"/>
                <w:rtl w:val="true"/>
              </w:rPr>
              <w:t>:</w:t>
              <w:tab/>
            </w:r>
            <w:r>
              <w:rPr>
                <w:rStyle w:val="IndexLink"/>
              </w:rPr>
              <w:t>248</w:t>
            </w:r>
          </w:hyperlink>
        </w:p>
        <w:p>
          <w:pPr>
            <w:pStyle w:val="Contents6"/>
            <w:tabs>
              <w:tab w:val="clear" w:pos="7609"/>
              <w:tab w:val="right" w:pos="9026" w:leader="dot"/>
            </w:tabs>
            <w:rPr/>
          </w:pPr>
          <w:hyperlink w:anchor="__RefHeading___Toc2193135_653776707">
            <w:r>
              <w:rPr>
                <w:webHidden/>
                <w:rStyle w:val="IndexLink"/>
                <w:rtl w:val="true"/>
              </w:rPr>
              <w:t>الوجه الخامس</w:t>
            </w:r>
            <w:r>
              <w:rPr>
                <w:rStyle w:val="IndexLink"/>
                <w:rtl w:val="true"/>
              </w:rPr>
              <w:t>:</w:t>
              <w:tab/>
            </w:r>
            <w:r>
              <w:rPr>
                <w:rStyle w:val="IndexLink"/>
              </w:rPr>
              <w:t>249</w:t>
            </w:r>
          </w:hyperlink>
        </w:p>
        <w:p>
          <w:pPr>
            <w:pStyle w:val="Contents6"/>
            <w:tabs>
              <w:tab w:val="clear" w:pos="7609"/>
              <w:tab w:val="right" w:pos="9026" w:leader="dot"/>
            </w:tabs>
            <w:rPr/>
          </w:pPr>
          <w:hyperlink w:anchor="__RefHeading___Toc2193137_653776707">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2193139_653776707">
            <w:r>
              <w:rPr>
                <w:webHidden/>
                <w:rStyle w:val="IndexLink"/>
                <w:rtl w:val="true"/>
              </w:rPr>
              <w:t>حجيّة الشياع في العدالة</w:t>
            </w:r>
            <w:r>
              <w:rPr>
                <w:rStyle w:val="IndexLink"/>
                <w:rtl w:val="true"/>
              </w:rPr>
              <w:t>:</w:t>
              <w:tab/>
            </w:r>
            <w:r>
              <w:rPr>
                <w:rStyle w:val="IndexLink"/>
              </w:rPr>
              <w:t>251</w:t>
            </w:r>
          </w:hyperlink>
        </w:p>
        <w:p>
          <w:pPr>
            <w:pStyle w:val="Contents5"/>
            <w:tabs>
              <w:tab w:val="clear" w:pos="7892"/>
              <w:tab w:val="right" w:pos="9026" w:leader="dot"/>
            </w:tabs>
            <w:rPr/>
          </w:pPr>
          <w:hyperlink w:anchor="__RefHeading___Toc2193141_653776707">
            <w:r>
              <w:rPr>
                <w:webHidden/>
                <w:rStyle w:val="IndexLink"/>
                <w:rtl w:val="true"/>
              </w:rPr>
              <w:t>الطريق الخامس</w:t>
            </w:r>
            <w:r>
              <w:rPr>
                <w:rStyle w:val="IndexLink"/>
                <w:rtl w:val="true"/>
              </w:rPr>
              <w:t xml:space="preserve">: </w:t>
            </w:r>
            <w:r>
              <w:rPr>
                <w:rStyle w:val="IndexLink"/>
                <w:rtl w:val="true"/>
              </w:rPr>
              <w:t>الإسلام مع عدم ظهور الفسق</w:t>
            </w:r>
            <w:r>
              <w:rPr>
                <w:rStyle w:val="IndexLink"/>
                <w:rtl w:val="true"/>
              </w:rPr>
              <w:tab/>
            </w:r>
            <w:r>
              <w:rPr>
                <w:rStyle w:val="IndexLink"/>
              </w:rPr>
              <w:t>255</w:t>
            </w:r>
          </w:hyperlink>
        </w:p>
        <w:p>
          <w:pPr>
            <w:pStyle w:val="Contents5"/>
            <w:tabs>
              <w:tab w:val="clear" w:pos="7892"/>
              <w:tab w:val="right" w:pos="9026" w:leader="dot"/>
            </w:tabs>
            <w:rPr/>
          </w:pPr>
          <w:hyperlink w:anchor="__RefHeading___Toc2193143_653776707">
            <w:r>
              <w:rPr>
                <w:webHidden/>
                <w:rStyle w:val="IndexLink"/>
                <w:rtl w:val="true"/>
              </w:rPr>
              <w:t>الطريق السادس</w:t>
            </w:r>
            <w:r>
              <w:rPr>
                <w:rStyle w:val="IndexLink"/>
                <w:rtl w:val="true"/>
              </w:rPr>
              <w:t xml:space="preserve">: </w:t>
            </w:r>
            <w:r>
              <w:rPr>
                <w:rStyle w:val="IndexLink"/>
                <w:rtl w:val="true"/>
              </w:rPr>
              <w:t>مطلق الظن بالعدالة</w:t>
            </w:r>
            <w:r>
              <w:rPr>
                <w:rStyle w:val="IndexLink"/>
                <w:rtl w:val="true"/>
              </w:rPr>
              <w:tab/>
            </w:r>
            <w:r>
              <w:rPr>
                <w:rStyle w:val="IndexLink"/>
              </w:rPr>
              <w:t>256</w:t>
            </w:r>
          </w:hyperlink>
        </w:p>
        <w:p>
          <w:pPr>
            <w:pStyle w:val="Contents2"/>
            <w:tabs>
              <w:tab w:val="clear" w:pos="8743"/>
              <w:tab w:val="right" w:pos="9026" w:leader="dot"/>
            </w:tabs>
            <w:rPr/>
          </w:pPr>
          <w:hyperlink w:anchor="__RefHeading___Toc2193145_653776707">
            <w:r>
              <w:rPr>
                <w:webHidden/>
                <w:rStyle w:val="IndexLink"/>
                <w:rtl w:val="true"/>
              </w:rPr>
              <w:t>الفهارس الفنية</w:t>
            </w:r>
            <w:r>
              <w:rPr>
                <w:rStyle w:val="IndexLink"/>
                <w:rtl w:val="true"/>
              </w:rPr>
              <w:tab/>
            </w:r>
            <w:r>
              <w:rPr>
                <w:rStyle w:val="IndexLink"/>
              </w:rPr>
              <w:t>260</w:t>
            </w:r>
          </w:hyperlink>
        </w:p>
        <w:p>
          <w:pPr>
            <w:pStyle w:val="Contents2"/>
            <w:tabs>
              <w:tab w:val="clear" w:pos="8743"/>
              <w:tab w:val="right" w:pos="9026" w:leader="dot"/>
            </w:tabs>
            <w:rPr/>
          </w:pPr>
          <w:hyperlink w:anchor="__RefHeading___Toc2193147_653776707">
            <w:r>
              <w:rPr>
                <w:webHidden/>
                <w:rStyle w:val="IndexLink"/>
                <w:rtl w:val="true"/>
              </w:rPr>
              <w:t>فهرس الآيات الكريمة</w:t>
            </w:r>
            <w:r>
              <w:rPr>
                <w:rStyle w:val="IndexLink"/>
                <w:rtl w:val="true"/>
              </w:rPr>
              <w:tab/>
            </w:r>
            <w:r>
              <w:rPr>
                <w:rStyle w:val="IndexLink"/>
              </w:rPr>
              <w:t>262</w:t>
            </w:r>
          </w:hyperlink>
        </w:p>
        <w:p>
          <w:pPr>
            <w:pStyle w:val="Contents2"/>
            <w:tabs>
              <w:tab w:val="clear" w:pos="8743"/>
              <w:tab w:val="right" w:pos="9026" w:leader="dot"/>
            </w:tabs>
            <w:rPr/>
          </w:pPr>
          <w:hyperlink w:anchor="__RefHeading___Toc2193149_653776707">
            <w:r>
              <w:rPr>
                <w:webHidden/>
                <w:rStyle w:val="IndexLink"/>
                <w:rtl w:val="true"/>
              </w:rPr>
              <w:t>فهرس الأحاديث والروايات الشريفة</w:t>
            </w:r>
            <w:r>
              <w:rPr>
                <w:rStyle w:val="IndexLink"/>
                <w:rtl w:val="true"/>
              </w:rPr>
              <w:tab/>
            </w:r>
            <w:r>
              <w:rPr>
                <w:rStyle w:val="IndexLink"/>
              </w:rPr>
              <w:t>268</w:t>
            </w:r>
          </w:hyperlink>
        </w:p>
        <w:p>
          <w:pPr>
            <w:pStyle w:val="Contents2"/>
            <w:tabs>
              <w:tab w:val="clear" w:pos="8743"/>
              <w:tab w:val="right" w:pos="9026" w:leader="dot"/>
            </w:tabs>
            <w:rPr/>
          </w:pPr>
          <w:hyperlink w:anchor="__RefHeading___Toc2193151_653776707">
            <w:r>
              <w:rPr>
                <w:webHidden/>
                <w:rStyle w:val="IndexLink"/>
                <w:rtl w:val="true"/>
              </w:rPr>
              <w:t>فهرس مصادر التحقيق</w:t>
            </w:r>
            <w:r>
              <w:rPr>
                <w:rStyle w:val="IndexLink"/>
                <w:rtl w:val="true"/>
              </w:rPr>
              <w:tab/>
            </w:r>
            <w:r>
              <w:rPr>
                <w:rStyle w:val="IndexLink"/>
              </w:rPr>
              <w:t>274</w:t>
            </w:r>
          </w:hyperlink>
        </w:p>
        <w:p>
          <w:pPr>
            <w:pStyle w:val="Contents2"/>
            <w:tabs>
              <w:tab w:val="clear" w:pos="8743"/>
              <w:tab w:val="right" w:pos="9026" w:leader="dot"/>
            </w:tabs>
            <w:rPr/>
          </w:pPr>
          <w:hyperlink w:anchor="__RefHeading___Toc2193153_653776707">
            <w:r>
              <w:rPr>
                <w:webHidden/>
                <w:rStyle w:val="IndexLink"/>
                <w:rtl w:val="true"/>
              </w:rPr>
              <w:t>فهرس المحتويات</w:t>
            </w:r>
            <w:r>
              <w:rPr>
                <w:rStyle w:val="IndexLink"/>
                <w:rtl w:val="true"/>
              </w:rPr>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31_94851"/>
      <w:bookmarkStart w:id="1" w:name="pg8631_94851"/>
      <w:bookmarkEnd w:id="1"/>
    </w:p>
    <w:p>
      <w:pPr>
        <w:pStyle w:val="Heading2"/>
        <w:numPr>
          <w:ilvl w:val="1"/>
          <w:numId w:val="1"/>
        </w:numPr>
        <w:rPr/>
      </w:pPr>
      <w:bookmarkStart w:id="2" w:name="pg8631_94851"/>
      <w:bookmarkStart w:id="3" w:name="__RefHeading___Toc2192885_653776707"/>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العدالة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 لبحث سماحة آية اللَّه</w:t>
      </w:r>
    </w:p>
    <w:p>
      <w:pPr>
        <w:pStyle w:val="BookText"/>
        <w:rPr/>
      </w:pPr>
      <w:r>
        <w:rPr>
          <w:rFonts w:ascii="Amiri" w:hAnsi="Amiri" w:eastAsia="Amiri" w:cs="Amiri"/>
          <w:color w:val="111111"/>
          <w:sz w:val="28"/>
          <w:sz w:val="28"/>
          <w:szCs w:val="28"/>
          <w:rtl w:val="true"/>
          <w:lang w:bidi="ar-SA"/>
        </w:rPr>
        <w:t xml:space="preserve">الحاج الشيخ مسلم الداوري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حجّة الإسلام والمسلمين الشيخ</w:t>
      </w:r>
    </w:p>
    <w:p>
      <w:pPr>
        <w:pStyle w:val="BookText"/>
        <w:rPr/>
      </w:pPr>
      <w:r>
        <w:rPr>
          <w:rFonts w:ascii="Amiri" w:hAnsi="Amiri" w:eastAsia="Amiri" w:cs="Amiri"/>
          <w:color w:val="111111"/>
          <w:sz w:val="28"/>
          <w:sz w:val="28"/>
          <w:szCs w:val="28"/>
          <w:rtl w:val="true"/>
          <w:lang w:bidi="ar-SA"/>
        </w:rPr>
        <w:t xml:space="preserve">محمّد علي علي صالح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الشيخ حسن العبودي</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92887_65377670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 o:detectmouseclick="t"/>
                <v:stroke color="#3465a4" joinstyle="round" endcap="flat"/>
                <w10:wrap type="none"/>
              </v:shape>
            </w:pict>
          </mc:Fallback>
        </mc:AlternateConten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31_94859"/>
      <w:bookmarkStart w:id="8" w:name="pg8631_94859"/>
      <w:bookmarkEnd w:id="8"/>
    </w:p>
    <w:p>
      <w:pPr>
        <w:pStyle w:val="Heading2"/>
        <w:numPr>
          <w:ilvl w:val="1"/>
          <w:numId w:val="1"/>
        </w:numPr>
        <w:rPr/>
      </w:pPr>
      <w:bookmarkStart w:id="9" w:name="pg8631_94859"/>
      <w:bookmarkStart w:id="10" w:name="__RefHeading___Toc2192889_653776707"/>
      <w:bookmarkStart w:id="11" w:name="_Toc3"/>
      <w:bookmarkEnd w:id="9"/>
      <w:bookmarkEnd w:id="10"/>
      <w:r>
        <w:rPr>
          <w:rtl w:val="true"/>
        </w:rPr>
        <w:t>تقديم</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العَزِيزُ مَسَّنَا وَأهْلَنَا الضُّرُّ وَجِئْنَا بِبِضَاعَةٍ مُزْجَاةٍ فَأوْفِ لَنَا</w:t>
      </w:r>
    </w:p>
    <w:p>
      <w:pPr>
        <w:pStyle w:val="BookText"/>
        <w:rPr/>
      </w:pPr>
      <w:r>
        <w:rPr>
          <w:rFonts w:ascii="Amiri" w:hAnsi="Amiri" w:eastAsia="Amiri" w:cs="Amiri"/>
          <w:color w:val="111111"/>
          <w:sz w:val="28"/>
          <w:sz w:val="28"/>
          <w:szCs w:val="28"/>
          <w:rtl w:val="true"/>
          <w:lang w:bidi="ar-SA"/>
        </w:rPr>
        <w:t>الكَيْلَ وَتَصَدَّقْ عَلَيْنَا إنَّ اللَّهَ يَجْزِي المُتَصَدِّقِينَ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يا من هو مظهر العدل الإلهي في أرضه</w:t>
      </w:r>
    </w:p>
    <w:p>
      <w:pPr>
        <w:pStyle w:val="BookText"/>
        <w:rPr/>
      </w:pPr>
      <w:r>
        <w:rPr>
          <w:rFonts w:ascii="Amiri" w:hAnsi="Amiri" w:eastAsia="Amiri" w:cs="Amiri"/>
          <w:color w:val="111111"/>
          <w:sz w:val="28"/>
          <w:sz w:val="28"/>
          <w:szCs w:val="28"/>
          <w:rtl w:val="true"/>
          <w:lang w:bidi="ar-SA"/>
        </w:rPr>
        <w:t>يا من ادّخره الإله لإظهار دينه</w:t>
      </w:r>
    </w:p>
    <w:p>
      <w:pPr>
        <w:pStyle w:val="BookText"/>
        <w:rPr/>
      </w:pPr>
      <w:r>
        <w:rPr>
          <w:rFonts w:ascii="Amiri" w:hAnsi="Amiri" w:eastAsia="Amiri" w:cs="Amiri"/>
          <w:color w:val="111111"/>
          <w:sz w:val="28"/>
          <w:sz w:val="28"/>
          <w:szCs w:val="28"/>
          <w:rtl w:val="true"/>
          <w:lang w:bidi="ar-SA"/>
        </w:rPr>
        <w:t>يا محقّق حلم الأنبياء والأوصياء</w:t>
      </w:r>
    </w:p>
    <w:p>
      <w:pPr>
        <w:pStyle w:val="BookText"/>
        <w:rPr/>
      </w:pPr>
      <w:r>
        <w:rPr>
          <w:rFonts w:ascii="Amiri" w:hAnsi="Amiri" w:eastAsia="Amiri" w:cs="Amiri"/>
          <w:color w:val="111111"/>
          <w:sz w:val="28"/>
          <w:sz w:val="28"/>
          <w:szCs w:val="28"/>
          <w:rtl w:val="true"/>
          <w:lang w:bidi="ar-SA"/>
        </w:rPr>
        <w:t>يا من نادت به البشرية جمعاء</w:t>
      </w:r>
    </w:p>
    <w:p>
      <w:pPr>
        <w:pStyle w:val="BookText"/>
        <w:rPr/>
      </w:pPr>
      <w:r>
        <w:rPr>
          <w:rFonts w:ascii="Amiri" w:hAnsi="Amiri" w:eastAsia="Amiri" w:cs="Amiri"/>
          <w:color w:val="111111"/>
          <w:sz w:val="28"/>
          <w:sz w:val="28"/>
          <w:szCs w:val="28"/>
          <w:rtl w:val="true"/>
          <w:lang w:bidi="ar-SA"/>
        </w:rPr>
        <w:t>العدل بانتظارك</w:t>
      </w:r>
    </w:p>
    <w:p>
      <w:pPr>
        <w:pStyle w:val="BookText"/>
        <w:rPr/>
      </w:pPr>
      <w:r>
        <w:rPr>
          <w:rFonts w:ascii="Amiri" w:hAnsi="Amiri" w:eastAsia="Amiri" w:cs="Amiri"/>
          <w:color w:val="111111"/>
          <w:sz w:val="28"/>
          <w:sz w:val="28"/>
          <w:szCs w:val="28"/>
          <w:rtl w:val="true"/>
          <w:lang w:bidi="ar-SA"/>
        </w:rPr>
        <w:t>والعالم والمستضعفين ودماء الشهداء بانتظارك</w:t>
      </w:r>
    </w:p>
    <w:p>
      <w:pPr>
        <w:pStyle w:val="BookText"/>
        <w:rPr/>
      </w:pPr>
      <w:r>
        <w:rPr>
          <w:rFonts w:ascii="Amiri" w:hAnsi="Amiri" w:eastAsia="Amiri" w:cs="Amiri"/>
          <w:color w:val="111111"/>
          <w:sz w:val="28"/>
          <w:sz w:val="28"/>
          <w:szCs w:val="28"/>
          <w:rtl w:val="true"/>
          <w:lang w:bidi="ar-SA"/>
        </w:rPr>
        <w:t>مولاي هل ترى نحفُّ بك وأنت تأمُّ الملأ</w:t>
      </w:r>
    </w:p>
    <w:p>
      <w:pPr>
        <w:pStyle w:val="BookText"/>
        <w:rPr/>
      </w:pPr>
      <w:r>
        <w:rPr>
          <w:rFonts w:ascii="Amiri" w:hAnsi="Amiri" w:eastAsia="Amiri" w:cs="Amiri"/>
          <w:color w:val="111111"/>
          <w:sz w:val="28"/>
          <w:sz w:val="28"/>
          <w:szCs w:val="28"/>
          <w:rtl w:val="true"/>
          <w:lang w:bidi="ar-SA"/>
        </w:rPr>
        <w:t>وأذقت أعداءكَ هواناً وعذاباً</w:t>
      </w:r>
    </w:p>
    <w:p>
      <w:pPr>
        <w:pStyle w:val="BookText"/>
        <w:rPr/>
      </w:pPr>
      <w:r>
        <w:rPr>
          <w:rFonts w:ascii="IRNazanin" w:hAnsi="IRNazanin" w:eastAsia="IRNazanin"/>
          <w:color w:val="111111"/>
          <w:sz w:val="28"/>
          <w:sz w:val="28"/>
          <w:szCs w:val="28"/>
          <w:rtl w:val="true"/>
          <w:lang w:bidi="fa-IR"/>
        </w:rPr>
        <w:t>عندها تحقّق الحق</w:t>
      </w:r>
    </w:p>
    <w:p>
      <w:pPr>
        <w:pStyle w:val="BookText"/>
        <w:rPr/>
      </w:pPr>
      <w:r>
        <w:rPr>
          <w:rFonts w:ascii="Amiri" w:hAnsi="Amiri" w:eastAsia="Amiri" w:cs="Amiri"/>
          <w:color w:val="111111"/>
          <w:sz w:val="28"/>
          <w:sz w:val="28"/>
          <w:szCs w:val="28"/>
          <w:rtl w:val="true"/>
          <w:lang w:bidi="ar-SA"/>
        </w:rPr>
        <w:t>وتقطع دابر المتكبّرين والظالمين والمنافقين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نقول الحمد للَّه ربّ العالمين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631_94861"/>
      <w:bookmarkStart w:id="13" w:name="pg8631_94861"/>
      <w:bookmarkEnd w:id="13"/>
    </w:p>
    <w:p>
      <w:pPr>
        <w:pStyle w:val="Heading2"/>
        <w:numPr>
          <w:ilvl w:val="1"/>
          <w:numId w:val="1"/>
        </w:numPr>
        <w:rPr/>
      </w:pPr>
      <w:bookmarkStart w:id="14" w:name="pg8631_94861"/>
      <w:bookmarkStart w:id="15" w:name="__RefHeading___Toc2192891_653776707"/>
      <w:bookmarkStart w:id="16" w:name="_Toc4"/>
      <w:bookmarkEnd w:id="14"/>
      <w:bookmarkEnd w:id="15"/>
      <w:r>
        <w:rPr>
          <w:rtl w:val="true"/>
        </w:rPr>
        <w:t>کلمة سماحة الشيخ الأستاذ</w:t>
      </w:r>
      <w:bookmarkEnd w:id="16"/>
    </w:p>
    <w:p>
      <w:pPr>
        <w:pStyle w:val="BookText"/>
        <w:rPr/>
      </w:pPr>
      <w:r>
        <w:rPr>
          <w:rFonts w:ascii="IRNazanin" w:hAnsi="IRNazanin" w:eastAsia="IRNazanin"/>
          <w:color w:val="111111"/>
          <w:sz w:val="28"/>
          <w:sz w:val="28"/>
          <w:szCs w:val="28"/>
          <w:rtl w:val="true"/>
          <w:lang w:bidi="fa-IR"/>
        </w:rPr>
        <w:t>عکس</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631_94863"/>
      <w:bookmarkStart w:id="18" w:name="pg8631_94863"/>
      <w:bookmarkEnd w:id="1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pg8631_94863"/>
      <w:bookmarkStart w:id="20" w:name="__RefHeading___Toc2192893_653776707"/>
      <w:bookmarkStart w:id="21" w:name="_Toc5"/>
      <w:bookmarkEnd w:id="19"/>
      <w:bookmarkEnd w:id="20"/>
      <w:r>
        <w:rPr>
          <w:rtl w:val="true"/>
        </w:rPr>
        <w:t>مقدمة التحقيق</w:t>
      </w:r>
      <w:bookmarkEnd w:id="2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631_94865"/>
      <w:bookmarkStart w:id="23" w:name="pg8631_94865"/>
      <w:bookmarkEnd w:id="23"/>
    </w:p>
    <w:p>
      <w:pPr>
        <w:pStyle w:val="Heading2"/>
        <w:numPr>
          <w:ilvl w:val="1"/>
          <w:numId w:val="1"/>
        </w:numPr>
        <w:rPr/>
      </w:pPr>
      <w:bookmarkStart w:id="24" w:name="pg8631_94865"/>
      <w:bookmarkStart w:id="25" w:name="__RefHeading___Toc2192895_653776707"/>
      <w:bookmarkStart w:id="26" w:name="_Toc6"/>
      <w:bookmarkEnd w:id="24"/>
      <w:bookmarkEnd w:id="25"/>
      <w:r>
        <w:rPr>
          <w:rtl w:val="true"/>
        </w:rPr>
        <w:t>العدالة الاجتماعية</w:t>
      </w:r>
      <w:r>
        <w:rPr>
          <w:rtl w:val="true"/>
        </w:rPr>
        <w:t>:</w:t>
      </w:r>
      <w:bookmarkEnd w:id="26"/>
    </w:p>
    <w:p>
      <w:pPr>
        <w:pStyle w:val="Heading3"/>
        <w:numPr>
          <w:ilvl w:val="2"/>
          <w:numId w:val="1"/>
        </w:numPr>
        <w:rPr/>
      </w:pPr>
      <w:bookmarkStart w:id="27" w:name="__RefHeading___Toc2192897_653776707"/>
      <w:bookmarkStart w:id="28" w:name="_Toc7"/>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هي طموح الفطرة الإنسانية الّتي يحقّق بها تحصيل كمالها المنشود ؛ لأنّها أدركت أنّ طريق تحصيل ذلك الكمال منحصر بمبدأ العدل، فسعت إليه بكلِّ ما تملك من قوىً روحية وجسدية، ولكن يبقى هذا الطموح شعاراً لم يتحوَّل إلى واقع، وذلك لعدم إدراكها لآلية تحويل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والتوسّط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واقع قادر على تحريك عجلة الحياة نحو الكمال، لذلك كان هذا السؤال مسرحاً لصراع المدارس الفلسفية والتربوية عبر تاريخ الإنسانية الطويل، من دون أن تصل إلى حقيقة تركن إليها النفس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الإسلام ليثبت أنّه النموذج الأكمل الصادر من عالم غيب السموات والأرض، فانطلق من عقيدة التوحيد الّتي تعني تحرّر الإنسان من سيطرة الشيطان والطاغوت، فكانت تلك أوّل بذرة للعدل في طريق الكمال</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اتّخذ من العدالة الّتي تعني الاعتدال والتوسط المبدأ الأساس الّذي منه ينطلق لبناء مسيرته، فاعتبر الوسطية الركن الأساس لتحقيق حالة التوازن في المجتمع الإسلامي، فالإنسان الكامل فرد نادر لا يجود به الزمان إلاّ بعد حين، ويبقى ذلك الفرد يمثل القدوة والأسوة في المجتمعات، وهو الأمل الّذي تطلعت إليه عبر تأريخها الطويل، فكانت تشير إليه بالمنقذ، والمصلح، والمنتظر، وصاحب </w:t>
      </w:r>
    </w:p>
    <w:p>
      <w:pPr>
        <w:pStyle w:val="BookText"/>
        <w:rPr/>
      </w:pPr>
      <w:r>
        <w:rPr>
          <w:rFonts w:ascii="Amiri" w:hAnsi="Amiri" w:eastAsia="Amiri" w:cs="Amiri"/>
          <w:color w:val="111111"/>
          <w:sz w:val="28"/>
          <w:sz w:val="28"/>
          <w:szCs w:val="28"/>
          <w:rtl w:val="true"/>
          <w:lang w:bidi="ar-SA"/>
        </w:rPr>
        <w:t xml:space="preserve">الأمر، والحجة، والإمام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وأرواح العالمين لتراب مقدمه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الكمال الإنساني الّذي ادّخره اللَّه تعالى ليشيد على يديه المباركتين صرح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والفرد الداني عنصر تتنفر منه الفطرة السليمة لما يحمله من صفات الخسّة والرذيلة، فيبقى في زاوية الشذوذ، فلا دور له في مسيرة الحياة التكاملية المنشودة، ولكنّه يبقى شرارة خطر تهدّد المجتمعات والشعوب بالانتكاس والسقوط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الدور للحالة الوسطية في الاجتماع الإنساني، فعلى عاتقها تقع مسؤوليّة إكمال المسيرة الإنسانية الهادفة إلى الكمال عبر ما تحمله من مبادى ء الوسطية والاعتدال الّذي تتميّز به وتحاول أن تقوّم كلّ شي ء على أساسه، وبهذا يتحوّل عنوان العدالة من شعار إلى شعور، حيث إنّه بذلك يشغل كلّ مفاصل الحياة الإنسانية، فيتمثّل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في الاقتصاد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في الاجتماع والفكر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في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المحاور الثلاثة بتفصيلاتها تشغل مجمل الحياة الإنسانية، وبهذا يكون الإسلام قد وضع دستور الحياة المتكامل والقابل للتكيّف مع جميع المجتمعات وعلى مختلف مراحلها التأريخية، وبكلّ مستوياتها الفكرية والعلمية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التربية والضوابط الّتي وضعها ودعا لها الإسلام، لم تكن ضرباً من آراء المدينة الفاضلة، بل هي واقعية تدركها الذات الإنسانية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تأخذ هذه النظرية مكانها من الواقع الإنساني، كان لابدّ لها أن تبدأ من </w:t>
      </w:r>
    </w:p>
    <w:p>
      <w:pPr>
        <w:pStyle w:val="BookText"/>
        <w:rPr/>
      </w:pPr>
      <w:r>
        <w:rPr>
          <w:rFonts w:ascii="Amiri" w:hAnsi="Amiri" w:eastAsia="Amiri" w:cs="Amiri"/>
          <w:color w:val="111111"/>
          <w:sz w:val="28"/>
          <w:sz w:val="28"/>
          <w:szCs w:val="28"/>
          <w:rtl w:val="true"/>
          <w:lang w:bidi="ar-SA"/>
        </w:rPr>
        <w:t>الفرد، فإذا تلبّس بالعدل وانعكس على سلوكه وعمله كان هو الميزان في هذه المسيرة، وبذلك تشيع ظاهرة الاعتدال بين الأفراد،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هو ومن يأمر بالعدل وهو على صراط مستقيم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تنتقل حالة الاعتدال إلى جميع مفاصل الحياة من دون إفراط أو تفريط، فالاعتدال والمساواة في الحقوق العامّة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الجميع في الحقوق الفردية، فالجميع له حقُّ التعلّم، وحقّ العمل، وحقّ الانتخاب، وحقّ التملّك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ويبقى ميدان الحقوق الشرعية، موضوعها الإنسان نفسه مع قطع النظر عن علمه وتدينه فالجميع متساوون أمام مولاهم سبحانه وتعالى وأمام نظامهم الاجتماعي الإلهي فيما يتعلّق بالحقوق والواجبات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تبقى حالة التفاضل العادلة لها دورها في هذه المعادلة حيث إنّها تأخذ بنظر الاعتبار قابليات الأفراد الإبداعية، وإلاّ تقع في مستنقع الظلم وتبتعد عن صرح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تتّضح مقوّمات المجتمع المدني الّذي يسوده العدل والإحسان والّذي دعا إليه القرآن الكريم، وهكذا نكون قد استثمرنا عنصري العدل والانتظار وحقّقنا شرط الظهور الموكول إلى الأمّة تحقيقه، في الوقت الّذي تلوح في الأفق علائم ذلك الظهور المبارك حيث انتشار الظلم والاضطهاد والفساد وما يرافقها من أحداث في عالمنا المعاصر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تعدّدت مظاهر العدل، وتنوع البحث فيه فدخل في الكلام الإسلامي، والفلسفة الإسلامية، وهكذا في الاجتماع، والاقتصاد، والسياسة فبُحث العدل </w:t>
      </w:r>
      <w:bookmarkStart w:id="29" w:name="pg8631_94868"/>
    </w:p>
    <w:p>
      <w:pPr>
        <w:pStyle w:val="BookText"/>
        <w:rPr/>
      </w:pPr>
      <w:bookmarkEnd w:id="29"/>
      <w:r>
        <w:rPr>
          <w:rFonts w:ascii="Amiri" w:hAnsi="Amiri" w:eastAsia="Amiri" w:cs="Amiri"/>
          <w:color w:val="111111"/>
          <w:sz w:val="28"/>
          <w:sz w:val="28"/>
          <w:szCs w:val="28"/>
          <w:rtl w:val="true"/>
          <w:lang w:bidi="ar-SA"/>
        </w:rPr>
        <w:t>الاجتماعي من الناحية العملية ودراسة الحقوق والواجبات، كما كانت هناك دراسات ايديولوجية مقارنة بين العدل في الفكر المادي والعدل في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السؤال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آلية تحقيق هذا العدل في الحياة الإنسانية،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ينمو عنصر العدل في النفس الإنسانية حتى تكون مستعدّة لتحويله إلى واقع عملي في حياتها؟</w:t>
      </w:r>
    </w:p>
    <w:p>
      <w:pPr>
        <w:pStyle w:val="BookText"/>
        <w:rPr/>
      </w:pPr>
      <w:r>
        <w:rPr>
          <w:rFonts w:ascii="Amiri" w:hAnsi="Amiri" w:eastAsia="Amiri" w:cs="Amiri"/>
          <w:color w:val="111111"/>
          <w:sz w:val="28"/>
          <w:sz w:val="28"/>
          <w:szCs w:val="28"/>
          <w:rtl w:val="true"/>
          <w:lang w:bidi="ar-SA"/>
        </w:rPr>
        <w:t>والجواب يتّضح من خلال تتّبع علاقة العدل بمراحل حياة الإنسان الفكرية والّتي نحاول أن نشير إليها بنحو الإجمال</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192899_653776707"/>
      <w:bookmarkStart w:id="31" w:name="_Toc8"/>
      <w:bookmarkEnd w:id="30"/>
      <w:r>
        <w:rPr>
          <w:rtl w:val="true"/>
        </w:rPr>
        <w:t>العدل والتوحيد</w:t>
      </w:r>
      <w:r>
        <w:rPr>
          <w:rtl w:val="true"/>
        </w:rPr>
        <w:t>:</w:t>
      </w:r>
      <w:bookmarkEnd w:id="31"/>
    </w:p>
    <w:p>
      <w:pPr>
        <w:pStyle w:val="BookText"/>
        <w:rPr/>
      </w:pPr>
      <w:r>
        <w:rPr>
          <w:rFonts w:ascii="Amiri" w:hAnsi="Amiri" w:eastAsia="Amiri" w:cs="Amiri"/>
          <w:color w:val="111111"/>
          <w:sz w:val="28"/>
          <w:sz w:val="28"/>
          <w:szCs w:val="28"/>
          <w:rtl w:val="true"/>
          <w:lang w:bidi="ar-SA"/>
        </w:rPr>
        <w:t>تدبر الإنسان بما يحيط به، وربطه بين الموجود والموجد، بين النظام والمنظم،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يهديه إلى إدراك وجود خالق مدبّر لا شريك له وراء ما يحيط به من عالم لا متناهي، ولكن يبقى الاختيار منوط بالإنسان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هكذا يحدد الإنسان رؤيته الكونية، وعلى أساسها يتحدّد 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فبإدراكه لحقيقة الخلق، والتعرف على الحق تبارك وتعالى، والإيمان به، يرتبط الإنسان بالغيب، ويدرك مبدأ العدل الإلهي، وأنّه لم يخلق عبثاً، فتظهر على النفس علائم الاستقرار، والوثوق بالحكمة الإلهية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w:t>
      </w:r>
      <w:bookmarkStart w:id="32" w:name="pg8631_94869"/>
    </w:p>
    <w:p>
      <w:pPr>
        <w:pStyle w:val="BookText"/>
        <w:rPr/>
      </w:pPr>
      <w:bookmarkEnd w:id="32"/>
      <w:r>
        <w:rPr>
          <w:rFonts w:ascii="Amiri" w:hAnsi="Amiri" w:eastAsia="Amiri" w:cs="Amiri"/>
          <w:color w:val="111111"/>
          <w:sz w:val="28"/>
          <w:sz w:val="28"/>
          <w:szCs w:val="28"/>
          <w:rtl w:val="true"/>
          <w:lang w:bidi="ar-SA"/>
        </w:rPr>
        <w:t>بالغيب ويقيمون الصّلاة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ترسم الآيات المباركة الصورة التكاملية للإنسان والمتمثلة بالتقوى، وهي حصيلة الفعل العبادي المستند إلى الإيمان بالغيب والعدل في مرحلة التوحيد، وهما عنصرا بناء الشخصيّة الإسلاميّة المتّصفة بالتوازن والاستقرار، والقادرة على تفعيل ما يناط بها من تكاليف إلى واقع عملي، فتنطلق بثقة لبناء الحياة، وخلق حضارتها، لتتكامل شخصيّتها في نهاية المطاف بما يتلائم وطبيعة 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الإنسان قادراً على التعرف على مبدأ الخير ومبدأ الشرّ من خلال العقل والميزان في ذلك العدل المستند إلى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w:t>
      </w:r>
    </w:p>
    <w:p>
      <w:pPr>
        <w:pStyle w:val="BookText"/>
        <w:rPr/>
      </w:pPr>
      <w:r>
        <w:rPr>
          <w:rFonts w:ascii="Amiri" w:hAnsi="Amiri" w:eastAsia="Amiri" w:cs="Amiri"/>
          <w:color w:val="111111"/>
          <w:sz w:val="28"/>
          <w:sz w:val="28"/>
          <w:szCs w:val="28"/>
          <w:rtl w:val="true"/>
          <w:lang w:bidi="ar-SA"/>
        </w:rPr>
        <w:t>النجدين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فبالعقل يدرك وجود الصانع، وبالعقل يدرك أنّ الظلم قبيح، وبالعقل كتب المولى تبارك وتعالى على نفسه العدل، وهكذا، بالعدل خلق السماوات والأرض، وبالعدل يحكم بين الخلق، وبالعدل سيّر نظام التكوين، وبالعدل أنزل التشريع، وبالعدل كان بعث الأنبياء ضرورة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192901_653776707"/>
      <w:bookmarkStart w:id="34" w:name="_Toc9"/>
      <w:bookmarkEnd w:id="33"/>
      <w:r>
        <w:rPr>
          <w:rtl w:val="true"/>
        </w:rPr>
        <w:t>العدل والنبوة</w:t>
      </w:r>
      <w:r>
        <w:rPr>
          <w:rtl w:val="true"/>
        </w:rPr>
        <w:t>:</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إدراك الإنسان لوجوده بين عالم الغيب وعالم الشهادة هيّأ له الانطلاق من عالم الغيب لتكوين رؤيته الكونية، الّتي تترتّب عليها سلوكيته الحضارية بما ينسجم وتلك الرؤية الكونية، بتقنين النظام والتشريع الّذي يحدد هذه السلوكية من قبل عالم الغيب والشهادة؛ فكانت ضرورة بعثة الأنبياء مطلباً عقلياً، ومن مقتضيات العدل الّذي كتبه تعالى على نفسه لسدّ حاجة الإنسان تلك، وغلق باب </w:t>
      </w:r>
    </w:p>
    <w:p>
      <w:pPr>
        <w:pStyle w:val="BookText"/>
        <w:rPr/>
      </w:pPr>
      <w:r>
        <w:rPr>
          <w:rFonts w:ascii="Amiri" w:hAnsi="Amiri" w:eastAsia="Amiri" w:cs="Amiri"/>
          <w:color w:val="111111"/>
          <w:sz w:val="28"/>
          <w:sz w:val="28"/>
          <w:szCs w:val="28"/>
          <w:rtl w:val="true"/>
          <w:lang w:bidi="ar-SA"/>
        </w:rPr>
        <w:t>الحجّة للناس على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ولخطورة الدور الّذي يطلع به النبي من كونه الواسطة بين الخالق والمخلوق، كان لابدّ من اتصافه بصفات تأهله للاطلاع بهذا الدور الخطير</w:t>
      </w:r>
    </w:p>
    <w:p>
      <w:pPr>
        <w:pStyle w:val="BookText"/>
        <w:rPr/>
      </w:pPr>
      <w:r>
        <w:rPr>
          <w:rFonts w:ascii="Amiri" w:hAnsi="Amiri" w:eastAsia="Amiri" w:cs="Amiri"/>
          <w:color w:val="111111"/>
          <w:sz w:val="28"/>
          <w:sz w:val="28"/>
          <w:szCs w:val="28"/>
          <w:rtl w:val="true"/>
          <w:lang w:bidi="ar-SA"/>
        </w:rPr>
        <w:t xml:space="preserve">الّذي ينطوي وراءه سرّ الخليقة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فكان من أبرز تلك الصفات والمؤهّلات لتحمل الرسالة هو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ضرورة لصيرورته قدوة صالحة ونموذجاً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فقوام الحركة العملية للبناء الحضاري، النبي،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مستوى الفرد أم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محور هذه الحركة، لأنّه الضمانة في انسجام الحركة الحضارية مع العدل الإلهي الّذي بني عالم الوجود على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يكشف عنه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ساعة خير من عبادة سبعين سنة، قيام ليلها، وصيام نهارها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أردنا أن نستنطق النصّ الشريف، لوجدنا أن السبعين سنة فيها إيحاء إلى متوسط عمر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استثمر الإنسان هذه المساحة الزمنية من عمره بالعبادة المتقوّمة بالصّلاة والصوم، فقيام الليل بالصّلاة يبعد الإنسان عن المعصية في ظرفه، وصيام النهار كذلك يبعده عن المعصية في ظرفه، فيكون قد استوعب الليل والنهار طوال حياته بالعبادة، وبعيداً عن المعصية، ولكنه مع ذلك لم يحقق </w:t>
      </w:r>
      <w:bookmarkStart w:id="35" w:name="pg8631_94871"/>
    </w:p>
    <w:p>
      <w:pPr>
        <w:pStyle w:val="BookText"/>
        <w:rPr/>
      </w:pPr>
      <w:bookmarkEnd w:id="35"/>
      <w:r>
        <w:rPr>
          <w:rFonts w:ascii="Amiri" w:hAnsi="Amiri" w:eastAsia="Amiri" w:cs="Amiri"/>
          <w:color w:val="111111"/>
          <w:sz w:val="28"/>
          <w:sz w:val="28"/>
          <w:szCs w:val="28"/>
          <w:rtl w:val="true"/>
          <w:lang w:bidi="ar-SA"/>
        </w:rPr>
        <w:t>الكمال المنشود الّذي يتأتى له عن طريق الفعل الحضاري المتقوّم بالعدل، والّذي يحقق حالة الانسجام بين الفعل الكوني، والفعل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فاعلية الدين لم تتوقف عند مرحلة النبوة، فلابدّ للشريعة الخاتمة</w:t>
      </w:r>
    </w:p>
    <w:p>
      <w:pPr>
        <w:pStyle w:val="BookText"/>
        <w:rPr/>
      </w:pPr>
      <w:r>
        <w:rPr>
          <w:rFonts w:ascii="Amiri" w:hAnsi="Amiri" w:eastAsia="Amiri" w:cs="Amiri"/>
          <w:color w:val="111111"/>
          <w:sz w:val="28"/>
          <w:sz w:val="28"/>
          <w:szCs w:val="28"/>
          <w:rtl w:val="true"/>
          <w:lang w:bidi="ar-SA"/>
        </w:rPr>
        <w:t>من الاستمرارية في تفعيل الواقع الاجتماعي أو الإنساني، فكان وجود الوصي ضرورة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192903_653776707"/>
      <w:bookmarkStart w:id="37" w:name="_Toc10"/>
      <w:bookmarkEnd w:id="36"/>
      <w:r>
        <w:rPr>
          <w:rtl w:val="true"/>
        </w:rPr>
        <w:t>العدل والإمامة</w:t>
      </w:r>
      <w:r>
        <w:rPr>
          <w:rtl w:val="true"/>
        </w:rPr>
        <w:t>:</w:t>
      </w:r>
      <w:bookmarkEnd w:id="37"/>
    </w:p>
    <w:p>
      <w:pPr>
        <w:pStyle w:val="BookText"/>
        <w:rPr/>
      </w:pPr>
      <w:r>
        <w:rPr>
          <w:rFonts w:ascii="Amiri" w:hAnsi="Amiri" w:eastAsia="Amiri" w:cs="Amiri"/>
          <w:color w:val="111111"/>
          <w:sz w:val="28"/>
          <w:sz w:val="28"/>
          <w:szCs w:val="28"/>
          <w:rtl w:val="true"/>
          <w:lang w:bidi="ar-SA"/>
        </w:rPr>
        <w:t>مقولة إغفال السماء، أو النبي صلى الله عليه وآله لما بعد النبوة، تكشف عن عدم وعي قائلها لحقيقة الرّسالة الإسلاميّة، لتنافيها وأصل العدل الإلهي، وعدم انسجامها ودعوى خاتميّة الرّسالة، خصوصاً مع عدم وقوف المسلمين على جميع خصائص ومفردات التشريع المودع بين دفتي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فضرورة وجود قيّم يعلم تأويل القرآن، وظاهره وباطنه، ومحكمه ومتشابهه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ليكون القرآن الناطق في خلقه؛ من مدركات العقل السليم، ولم يجرأ أحد على ادعاء هذه القيّوميّة، ولكنهم اعترفوا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وكلّ ما قال في القرآن فهو حقّ، وكان الحجة عليهم، والامتداد لخطّ الرسالة، وبهذا أُلْزِمَ المسلمون بنصّ النبي صلى الله عليه وآله في حديث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الإمامة من مقتضيات الحكمة الإلهية في إتمام الحجة على الناس وأن لا يتركهم سداً وهذا ما أثبتته آية البلاغ</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مثّلت سيرة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اللَّه في أرضه، فهو القدوة والميزان، به يعرف الحق، وبه يكتمل الإيمان، وبعدله أشاد الحكم، وقوّم الناس، فكانت منهاجاً لبناء الشخصيّة الإسلاميّة المتقوّمة بالعدل</w:t>
      </w:r>
      <w:r>
        <w:rPr>
          <w:rFonts w:eastAsia="IRNazanin" w:cs="IRNazanin"/>
          <w:color w:val="111111"/>
          <w:sz w:val="28"/>
          <w:szCs w:val="28"/>
          <w:rtl w:val="true"/>
          <w:lang w:bidi="fa-IR"/>
        </w:rPr>
        <w:t xml:space="preserve">. </w:t>
      </w:r>
      <w:bookmarkStart w:id="38" w:name="pg8631_94872"/>
    </w:p>
    <w:p>
      <w:pPr>
        <w:pStyle w:val="BookText"/>
        <w:rPr/>
      </w:pPr>
      <w:bookmarkEnd w:id="38"/>
      <w:r>
        <w:rPr>
          <w:rFonts w:ascii="IRNazanin" w:hAnsi="IRNazanin" w:eastAsia="IRNazanin"/>
          <w:color w:val="111111"/>
          <w:sz w:val="28"/>
          <w:sz w:val="28"/>
          <w:szCs w:val="28"/>
          <w:rtl w:val="true"/>
          <w:lang w:bidi="fa-IR"/>
        </w:rPr>
        <w:t xml:space="preserve">وهكذا كانت دولة العدل الّتي أدار رحاها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طموح طلاّب</w:t>
      </w:r>
    </w:p>
    <w:p>
      <w:pPr>
        <w:pStyle w:val="BookText"/>
        <w:rPr/>
      </w:pPr>
      <w:r>
        <w:rPr>
          <w:rFonts w:ascii="Amiri" w:hAnsi="Amiri" w:eastAsia="Amiri" w:cs="Amiri"/>
          <w:color w:val="111111"/>
          <w:sz w:val="28"/>
          <w:sz w:val="28"/>
          <w:szCs w:val="28"/>
          <w:rtl w:val="true"/>
          <w:lang w:bidi="ar-SA"/>
        </w:rPr>
        <w:t>دولة العدل في عصر الغيبة، ولكن غياب الدولة الإسلامية العادلة وعلى امتداد التأريخ الإسلامي لا يعني انزواء الرّسالة عن الحياة، وتركها للاجتماع الإسلامي يعيش حالة الفوضى، أو الانصهار في الدولة المنحرفة، لتنافيه وأصل الرّسالة وخاتميّتها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لمقولة المجتمع المدني، أو المجتمع الديني المتقوّم بالعدل دوره في حفظ الاجتماع ومواصلة البناء الحضاري، وإيصال الأمانة الملقاة على عاتق الاجتماع الإسلامي إلى الأجيال اللاّحقة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2192905_653776707"/>
      <w:bookmarkStart w:id="40" w:name="_Toc11"/>
      <w:bookmarkEnd w:id="39"/>
      <w:r>
        <w:rPr>
          <w:rtl w:val="true"/>
        </w:rPr>
        <w:t>العدل والمجتمع المدني</w:t>
      </w:r>
      <w:r>
        <w:rPr>
          <w:rtl w:val="true"/>
        </w:rPr>
        <w:t>:</w:t>
      </w:r>
      <w:bookmarkEnd w:id="40"/>
    </w:p>
    <w:p>
      <w:pPr>
        <w:pStyle w:val="BookText"/>
        <w:rPr/>
      </w:pPr>
      <w:r>
        <w:rPr>
          <w:rFonts w:ascii="Amiri" w:hAnsi="Amiri" w:eastAsia="Amiri" w:cs="Amiri"/>
          <w:color w:val="111111"/>
          <w:sz w:val="28"/>
          <w:sz w:val="28"/>
          <w:szCs w:val="28"/>
          <w:rtl w:val="true"/>
          <w:lang w:bidi="ar-SA"/>
        </w:rPr>
        <w:t>دخل مفهوم المجتمع المدني في نقاش وتطوّرات ابتدأت من أرسطو، وتبلورت بما بعد الحداثة في أوربا، حتى تحول إلى واقع في الاجتماع الأوربي الليبرالي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نريد أن ندخل في تحديد مفهوم المجتمع المدني ودلالاته،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 يشير المجتمع المدني عادة إلى نوع من الحياة الاجتماعية والاقتصادية بمعزل عن وصايا وهيمنة الدولة المباشرة</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يتناول هذا المفهوم تطور تاريخي غربي أُسقط على ثقافتنا، كغيره من المصطلحات في الفكر الغربي الّتي صدّرت إلى المجتمعات الإسلامية وأريد منها أن تكون بدلاً عن الدين، والمجتمع الإسلامي، بل مناهضةً للدولة الإسلامية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أتاح التطور العلمي والتكنلوجي للإعلام الغربي التسلل بثقافته وفكره </w:t>
      </w:r>
    </w:p>
    <w:p>
      <w:pPr>
        <w:pStyle w:val="BookText"/>
        <w:rPr/>
      </w:pPr>
      <w:r>
        <w:rPr>
          <w:rFonts w:ascii="Amiri" w:hAnsi="Amiri" w:eastAsia="Amiri" w:cs="Amiri"/>
          <w:color w:val="111111"/>
          <w:sz w:val="28"/>
          <w:sz w:val="28"/>
          <w:szCs w:val="28"/>
          <w:rtl w:val="true"/>
          <w:lang w:bidi="ar-SA"/>
        </w:rPr>
        <w:t>إلى داخل البيت الإسلامي، بل سخَّر مصطلحاته تلك من ديمقراطية وعولمة وغيرها لتحقيق نزعة الهيمنة والتسلّط الّتي تمتلك العقل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الفكر الإسلامي والعربي المعاصر مرحلة جديدة من المواجهة الفعلية، فكان لمفهوم المجتمع المدني الحظ الأوفر من هذه المعادلة، فتعدّدت القراءات فيه، فهي ما بين رافض ومؤيّد، وثالث داعٍ إلى أسلمة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ردّ الفعل المباشر بالرفض ومحاولة غلق الأبواب أمام هذا المفهوم لا يمثل واقعية عقلائية وعملية في ظلّ الظرف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سحب الخيار والمبادرة من يد المسلم المعاصر لما عرفت من دخول الفكر الآخر إلى واقعنا بكل قواه وثقله، ولامتلاكه وسائل الإعلام المؤثر في الواقع الاجتماعي الإسلامي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يستند هذا الرفض إلى تأصيل علمي للمفهوم، ودراسة جدّية للواقع الاجتماعي الإسلامي، وتفعيل خطاب معاصر قادر على المواجهة والتأسيس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أسلمة كلّ قادم هو ضربٌ من الإفراط المبالغ فيه، خصوصاً مع ملاحظة حالة التناقض والتنافر الفكري والحضاري بين الحضارة الإسلامية والحضارة الغربية، لا نريد أن نتبنى السلبية المطلقة، فتبادل العلوم وتلاقح الحضارات، وانتقال مظاهر التمدن والرقي، أمر مطلوب شريطة أن لا يكون على حساب ثوابتنا الدينية، وأصولنا الفكرية، وقيمنا الحضارية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مقولة أن الفكر الإسلامي التقليدي ركّز أساساً على مسألة الدولة، على إطلاقه مغالطة واضحة، فالمتتبع للحركة الفكرية الإسلامية يجد لمفهوم المدنيّة والتمدن عمقاً تاريخياً؛ وأريد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الديني الّذي احتلّ مساحة واسعة داخل الدولة الإسلامية الّتي تحرّكت باسم الدين من العصر الأموي وغيره </w:t>
      </w:r>
    </w:p>
    <w:p>
      <w:pPr>
        <w:pStyle w:val="BookText"/>
        <w:rPr/>
      </w:pPr>
      <w:r>
        <w:rPr>
          <w:rFonts w:ascii="Amiri" w:hAnsi="Amiri" w:eastAsia="Amiri" w:cs="Amiri"/>
          <w:color w:val="111111"/>
          <w:sz w:val="28"/>
          <w:sz w:val="28"/>
          <w:szCs w:val="28"/>
          <w:rtl w:val="true"/>
          <w:lang w:bidi="ar-SA"/>
        </w:rPr>
        <w:t>إلى يومنا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خطأ التطبيق من قبل الدولة الإسلامية المتسلّطة باسم الدين لا يعني انزواء الدين عن واقع الحياة بسبب هذا الإقصاء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الإسلامي يمثل منظومة فكرية وتشريعية متكاملة له آلياته المتحركة في الواقع الاجتماعي الإسلامي بما يتلائم وخاتميّته، دفعت بالمسلم على مستوى الفرد والجماعة نحو بناء حضارته المتقوّمة بالعدل في داخل إطار الدولة الإسلامية تلك، كما أنّه يمثل عنصر قوة وضمانة للدولة الإسلامية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تبرز معالم هذا التصور أكثر عندما نتتبع الحركة الاجتماعية في داخل الإطار الإسلامي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يمثّل الامتداد الطبيعي للرسالة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الهيكلية الّتي اعتمدها في بناء الشخصية الإسلامية المتقوّمة بالعدل، وذلك ببيان الحقوق لهم، والّتي يمكن حصرها رغم تشعّبها وكثرتها بأصول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الّتي بينه وبين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الّتي بينه وبين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الّتي بينه وبين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استكمالاً للفائدة المتوخّاة من البحث نشير إلى جذور هذه الأصول والضابطة فيها من النصوص الشريفة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ضابطة 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 ونهى النفس عن الهوى فإنّ الجنّة هي المأوى</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عدله نفي الهوى عن نفسه</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ضابطة الأصل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إلى 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بتقوى اللَّه، وإيثار طاعته، واتِّباع ما أمر به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فرائضه وسننه الّتي لا يسعد أحدٌ إلاّ باتّباعها، ولا يشقى إلاّ مع جحودها وإضاعتها، وأن ينصر اللَّه سبحانه بقلبه ويده ولسانه، فإنّه جلّ اسمه، قد تكفّل بنصر من نصره، وإعزاز من أعزّه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ضابطة الأصل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 أشار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اجعل نفسك ميزاناً فيما بينك وبين غيرك، فأحبب لغيرك ما تحبُّ لنفسك، واكره له ما تكره لها، ولا تظلم كما لا تحبّ أن تُظلم، وأحسن كما تحبُّ أن يُحسن إليك، واستقبح من نفسك ما تستقبحه من غيرك، وارض من الناس بما ترضاه من 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وحفظ ما في يدك أحبّ إليّ من طلب ما في يدي غيرك، ومرارة اليأس خير من الطلب إلى الناس، والحرفة مع العفّة خير من الغنى مع 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قارن أهل الخير تكن منهم، وباين أهل الشرّ تبِن عنهم، بئس الطّعام الحرام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معين مهين، ولا في صديق ضنين،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احمل نفسك من أخيك عند صرمه على الصلة، وعند صدوده على اللطف والمقاربة، وعند جموده على البذل، وعند تباعده على الدّنوِّ، وعند شدّته على اللِّين، وعند جُرمه على العذر، حتّى كأنّك له عبد، وكأنّه ذو نعمة </w:t>
      </w:r>
    </w:p>
    <w:p>
      <w:pPr>
        <w:pStyle w:val="BookText"/>
        <w:rPr/>
      </w:pPr>
      <w:r>
        <w:rPr>
          <w:rFonts w:ascii="Amiri" w:hAnsi="Amiri" w:eastAsia="Amiri" w:cs="Amiri"/>
          <w:color w:val="111111"/>
          <w:sz w:val="28"/>
          <w:sz w:val="28"/>
          <w:szCs w:val="28"/>
          <w:rtl w:val="true"/>
          <w:lang w:bidi="ar-SA"/>
        </w:rPr>
        <w:t>عليك، وإيّاك أن تصنع ذلك في غير موضعه، أو أن تفعله بغير أهله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المجموعة من الحقوق كونت سلسلة المنظومة الاجتماعية المترابطة والمتقوّمة بالعدل، مع مراعاة وجود المقنِّن والمصحح لحركة البناء الحضاري للمجتمع في عصر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للمرجعية هذا الدور لأنّها تمثل الامتداد للمعصوم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بنيابتها العامّة عنه، واشترط فيها صفات عالية أهمّها العدالة لأنّها الضمانة لتحقيق العدل، وتوفير الأرضية لقبول ما يصدر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بالإضافة إلى ظاهرة التولّي والتبرّي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احتلّت مساحة واسعة من المنظومة الفكرية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مساهمة فاعلة في بلورة الاجتماع الديني الرافض لكلّ أنواع الظلم، والمتولّي للعدل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للأمر بالمعروف والنهي عن المنكر، والّذي قوامه العدل أيضاً آلياته في حفض حالة التوازن في ذلك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يكون لدينا مجتمعنا المدني الإسلامي والّذي يعتمد على مباني وأصول عقدية وفلسفية وقيمية، في قبال المجتمع المدني في الفكر الغربي، ولكلّ منهما أهدافه ومشخصاته؛ فالأوّل يعتمد العدل في حركته، والثاني يعتمد الانفلات القيمي والخلقي في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الكلام في مسؤولية صياغة الخطاب المعاصر لفكرنا وطروحاتنا، وآليات تسويقه بما ينسجم وطبيعة المواجهة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يصل المجتمع الإسلامي إلى مرحلة تسليم الأمانة الّتي تحمّلها في مسيرته، والإعداد لمرحلة التكامل، وذلك بالإعداد لرجل العدل الكامل، وناشره </w:t>
      </w:r>
      <w:bookmarkStart w:id="41" w:name="pg8631_94877"/>
    </w:p>
    <w:p>
      <w:pPr>
        <w:pStyle w:val="BookText"/>
        <w:rPr/>
      </w:pPr>
      <w:bookmarkEnd w:id="41"/>
      <w:r>
        <w:rPr>
          <w:rFonts w:ascii="Amiri" w:hAnsi="Amiri" w:eastAsia="Amiri" w:cs="Amiri"/>
          <w:color w:val="111111"/>
          <w:sz w:val="28"/>
          <w:sz w:val="28"/>
          <w:szCs w:val="28"/>
          <w:rtl w:val="true"/>
          <w:lang w:bidi="ar-SA"/>
        </w:rPr>
        <w:t>على أرضه، عبر تفعيل العدل من خلال مبدأ الانتظار</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192907_653776707"/>
      <w:bookmarkStart w:id="43" w:name="_Toc12"/>
      <w:bookmarkEnd w:id="42"/>
      <w:r>
        <w:rPr>
          <w:rtl w:val="true"/>
        </w:rPr>
        <w:t>العدل والانتظار</w:t>
      </w:r>
      <w:bookmarkEnd w:id="43"/>
    </w:p>
    <w:p>
      <w:pPr>
        <w:pStyle w:val="BookText"/>
        <w:rPr/>
      </w:pPr>
      <w:r>
        <w:rPr>
          <w:rFonts w:ascii="IRNazanin" w:hAnsi="IRNazanin" w:eastAsia="IRNazanin"/>
          <w:color w:val="111111"/>
          <w:sz w:val="28"/>
          <w:sz w:val="28"/>
          <w:szCs w:val="28"/>
          <w:rtl w:val="true"/>
          <w:lang w:bidi="fa-IR"/>
        </w:rPr>
        <w:t>العدل والانتظار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إسلامية، والعقيدة به عقيدة نطقت بها الحقيقة المحمدية، فالإيمان به إيمان بصاحب الرسالة لتواترها، فالمهدي المبشّر به على لسان النبي الصادق الأمين صلى الله عليه وآله إنّما يخرج لتطبيق ما جاء به الرسول الخاتم صلى الله عليه وآله، وعلى يديه يتمّ الوعد الإلهي بإظهار الدين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والتطبيق إنّما يتمّ بعد إعداد وتهيئة، ومن مستلزمات الإعداد الاختبار والامتحان والبلاء، ولو كان الإعداد قسرياً لبطل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 الحقيقة المهدوية ليس في ظهور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ينحصر بالعلامات وإن كان لها دور في تحريك الوجدان عند المُنْتَظِر، بقدر ما هو فيمن يظهر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مسؤولية الظهور منوطة بالمكلَّف نفسه في تحقيق شرط الظهور، وصدق عنوان المُمَهِّدِ عليه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إجمال شرط الظهور بوجود القاعدة القادرة على النصرة وتحمّل مهام الدعوة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يكشف عنه النصّ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أمّتي انتظار الفرج</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لما يظهر من آثار تربوية لعقيدة المهدوية يمكن الوقوف عليها </w:t>
      </w:r>
    </w:p>
    <w:p>
      <w:pPr>
        <w:pStyle w:val="BookText"/>
        <w:rPr/>
      </w:pPr>
      <w:r>
        <w:rPr>
          <w:rFonts w:ascii="IRNazanin" w:hAnsi="IRNazanin" w:eastAsia="IRNazanin"/>
          <w:color w:val="111111"/>
          <w:sz w:val="28"/>
          <w:sz w:val="28"/>
          <w:szCs w:val="28"/>
          <w:rtl w:val="true"/>
          <w:lang w:bidi="fa-IR"/>
        </w:rPr>
        <w:t xml:space="preserve">من خلال مفهوم الانتظار؛ فالانتظار يحدد الرؤية الصحيحة والواقعيّة لمسيرة الإنسان والهدف منها، فكان المائز للمعتقد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التهيّؤ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الأمل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ممارسة عبادية، وشعور وجداني، وحركة حضارية، وتهيّؤ نفسي وعقلي للتغيير والتطلّع له، محورها الغيب والعدل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التغيير يتّخذ بُعدين في الحياة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التهيّؤ والاستعداد على مستوى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التهيّؤ والاستعداد على مستوى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وركائز هذا التغيير في ظلّ الانتظار تكمن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استعينوا بالصّبر والصّلاة إنّ اللَّه مع </w:t>
      </w:r>
    </w:p>
    <w:p>
      <w:pPr>
        <w:pStyle w:val="BookText"/>
        <w:rPr/>
      </w:pP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أوثق عُرى الإيمان الحبّ في اللَّه، والبغض في اللَّه، وتوالي أولياء اللَّه، والتبرّي من أعداء اللَّه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يستكمل العدل دوره في بناء الشخصية المُمَهِّدَةِ القادرة على تفعيل العدل في صياغة الواقع الحاضر المستقبل والمشمولة لقول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للصابرين في غيبته، طوبى للمقيمين على محبّته، أولئك الّذين وصفهم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للمتّقين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أردنا الإشارة إليه في المقام، والوقوف على تفاصيل ذلك موكولإلى دراسة مستقلّة إن شاء اللَّه تعالى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إلى محورية العدالة في الفكر الإسلامي بل الإنساني، ودورها في </w:t>
      </w:r>
    </w:p>
    <w:p>
      <w:pPr>
        <w:pStyle w:val="BookText"/>
        <w:rPr/>
      </w:pPr>
      <w:r>
        <w:rPr>
          <w:rFonts w:ascii="Amiri" w:hAnsi="Amiri" w:eastAsia="Amiri" w:cs="Amiri"/>
          <w:color w:val="111111"/>
          <w:sz w:val="28"/>
          <w:sz w:val="28"/>
          <w:szCs w:val="28"/>
          <w:rtl w:val="true"/>
          <w:lang w:bidi="ar-SA"/>
        </w:rPr>
        <w:t xml:space="preserve">مسيرة الإنسان التكاملية، قد احتلّت مسألة العدالة مساحة واسعة في الفقه الإسلامي لكثرة الموارد الّتي تُشترط فيها </w:t>
      </w:r>
      <w:r>
        <w:rPr>
          <w:rStyle w:val="FootnoteAnchor"/>
          <w:rtl w:val="true"/>
        </w:rPr>
        <w:footnoteReference w:id="23"/>
      </w:r>
      <w:r>
        <w:rPr>
          <w:rFonts w:ascii="Amiri" w:hAnsi="Amiri" w:eastAsia="Amiri" w:cs="Amiri"/>
          <w:color w:val="111111"/>
          <w:sz w:val="28"/>
          <w:sz w:val="28"/>
          <w:szCs w:val="28"/>
          <w:rtl w:val="true"/>
          <w:lang w:bidi="ar-SA"/>
        </w:rPr>
        <w:t>فكانت محطة عناية الفقهاء الأعلام، فكثر حولها البحث والتحقيق ومنه البحث الّذي بين أيدينا والّذي تناول مسألة العدالة من جانبها الفقهي، وهو حصيلة دروس عالية في الفقه، لأحد الأعلام البارزين في ميدان البحث والتحقيق في احدى حواضر العلم والفقاهة، الحوزة العلمية في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سماحة آية اللَّه الأستاذ الشيخ مسلم الداوري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 إفاضاته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ذلك في شهر رمضان من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وقد أسماها سماحته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تمهيدية لاستنباط أحكام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دروس استدلالية عالية في الفقه الإمامي امتازت بعمق الفكرة، وشمولية الأدلّة، وسلاسة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شملت هذه الدراسة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مفهوم العدالة، ومناقشة الأقوال الواردة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ما يقدح بالعدالة من الكبائر، والإصرار على الصغائر، وترك ما خالف المروءة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في التوبة، وهل أنّ العدالة تعود بتحقّقها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في الطرق الّتي تثبت بها العدالة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دوّن تلك البحوث العالية أحد المؤلّفين المجدّين في التحصيل والتحقيق من حضّار درس سماحة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العلاّمة حجّة الإسلام والمسلمين الشيخ محمّد علي المعلّم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ولجودة ما كتبه فقيدنا الغالي اتقاناً وأسلوباً ارتأى سماحة شيخنا الأستاذ إظهار ما كتبه من تقريرات تلك الدروس إلى عالم النور، وقد لبّيت أمر شيخنا الأستاذ، وتمثّلت مهمّتنا في التحقيق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استخراج الآيات والروايات الواردة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إرجاع الأقوال والنصوص الفقهية إلى مصادرها ومنابعها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تقويم النص والإخراج وفق الطرق المتّبعة في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الفهارس التفصيلية العامة للكتاب كفهارس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والروايات، والمصادر، ومحتويات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أسأل اللَّه تبارك وتعالى أن يتقبّل عملنا هذا بأحسن القبول وأن يجعله خالصاً لوجهه الكريم، ويديم علينا نعمته لخدمة دينه الحنيف، واتّباع سيرة نبيّه وآله عليه وعليهم أفضل الصلاة وأتمّ التسليم، 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حسن عبد الحسين العبودي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ذكرى ميلاد الحوراء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8631_94883"/>
      <w:bookmarkStart w:id="45" w:name="pg8631_94883"/>
      <w:bookmarkEnd w:id="45"/>
    </w:p>
    <w:p>
      <w:pPr>
        <w:pStyle w:val="Heading2"/>
        <w:numPr>
          <w:ilvl w:val="1"/>
          <w:numId w:val="1"/>
        </w:numPr>
        <w:rPr/>
      </w:pPr>
      <w:bookmarkStart w:id="46" w:name="pg8631_94883"/>
      <w:bookmarkStart w:id="47" w:name="__RefHeading___Toc2192909_653776707"/>
      <w:bookmarkStart w:id="48" w:name="_Toc13"/>
      <w:bookmarkEnd w:id="46"/>
      <w:bookmarkEnd w:id="47"/>
      <w:r>
        <w:rPr>
          <w:rtl w:val="true"/>
        </w:rPr>
        <w:t>التمهيد</w:t>
      </w:r>
      <w:r>
        <w:rPr>
          <w:rtl w:val="true"/>
        </w:rPr>
        <w:t>:</w:t>
      </w:r>
      <w:bookmarkEnd w:id="48"/>
    </w:p>
    <w:p>
      <w:pPr>
        <w:pStyle w:val="BookText"/>
        <w:rPr/>
      </w:pPr>
      <w:r>
        <w:rPr>
          <w:rFonts w:ascii="IRNazanin" w:hAnsi="IRNazanin" w:eastAsia="IRNazanin"/>
          <w:color w:val="111111"/>
          <w:sz w:val="28"/>
          <w:sz w:val="28"/>
          <w:szCs w:val="28"/>
          <w:rtl w:val="true"/>
          <w:lang w:bidi="fa-IR"/>
        </w:rPr>
        <w:t>عکس</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4"/>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لاشكّ أنّ العدالة من المسائل المهمة في الشريعة المقدسة، وقد أولاها عناية خاصة بوضع ضوابطها، وحدودها، وما يترتب عليها من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ويتجلى فيها الجانب الأخلاقي، وإن كان هذا أمراً ملحوظاً في جميع ما شرعه الدين من أحكام وتعاليم، فلا ترى حكماً من الأحكام، أو تكليفاً من التكاليف، إلاّ وإلى جانبه أمراً أخلاقياً، وهل تعاليم الإسلام بأكملها إلاّ التركيز على هذا الأمر والنهوض بالإنسان إلى مستوى الكمال البشري الممكن، وهل الهدف منها إلاّ تزكية النفس الإنسانية وهدايتها إلى جادة الحق والصراط المستقيم، مصداقاً لما قاله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ولما فعله النبي الأعظم صلى الله عليه وآله على ما حكته عنه سيرته المعطاءة، وهكذا الحال بالنسبة إلى ذريته وعترته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الجانب في مسألة العدالة يتجلى بصورة أوضح وأتم، ومرد ذلك إلى أنّ العدالة تعود إلى سلوك الإنسان وسيرته وكيفية تعامله مع مختلف الشؤون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هذا البحث يتناول العدالة من جانبها الشرعي، فسنقتصر فيه على ما يتعلق بها من هذا الجانب، ومقدمة نذكر أمرين تمهيداً للدخول في موضوع البحث، فنقول</w:t>
      </w:r>
      <w:r>
        <w:rPr>
          <w:rFonts w:eastAsia="Amiri" w:cs="Amiri" w:ascii="Amiri" w:hAnsi="Amiri"/>
          <w:color w:val="111111"/>
          <w:sz w:val="28"/>
          <w:szCs w:val="28"/>
          <w:rtl w:val="true"/>
          <w:lang w:bidi="ar-SA"/>
        </w:rPr>
        <w:t xml:space="preserve">: </w:t>
      </w:r>
      <w:bookmarkStart w:id="49" w:name="pg8631_94886"/>
    </w:p>
    <w:p>
      <w:pPr>
        <w:pStyle w:val="Heading2"/>
        <w:numPr>
          <w:ilvl w:val="1"/>
          <w:numId w:val="1"/>
        </w:numPr>
        <w:rPr/>
      </w:pPr>
      <w:bookmarkStart w:id="50" w:name="__RefHeading___Toc2192911_653776707"/>
      <w:bookmarkStart w:id="51" w:name="_Toc14"/>
      <w:bookmarkEnd w:id="49"/>
      <w:bookmarkEnd w:id="50"/>
      <w:r>
        <w:rPr>
          <w:rtl w:val="true"/>
        </w:rPr>
        <w:t>الأمر الأوّل</w:t>
      </w:r>
      <w:r>
        <w:rPr>
          <w:rtl w:val="true"/>
        </w:rPr>
        <w:t xml:space="preserve">: </w:t>
      </w:r>
      <w:r>
        <w:rPr>
          <w:rtl w:val="true"/>
        </w:rPr>
        <w:t>أنّ العدالة أمر مرغوب ومندوب إليها شرعاً وعقلاً بالأدلة الأربعة</w:t>
      </w:r>
      <w:bookmarkEnd w:id="51"/>
    </w:p>
    <w:p>
      <w:pPr>
        <w:pStyle w:val="BookText"/>
        <w:rPr/>
      </w:pPr>
      <w:r>
        <w:rPr>
          <w:rFonts w:ascii="Amiri" w:hAnsi="Amiri" w:eastAsia="Amiri" w:cs="Amiri"/>
          <w:color w:val="111111"/>
          <w:sz w:val="28"/>
          <w:sz w:val="28"/>
          <w:szCs w:val="28"/>
          <w:rtl w:val="true"/>
          <w:lang w:bidi="ar-SA"/>
        </w:rPr>
        <w:t>ونتيمن بذكر بعض الآيات والروايات الّتي يستفاد منها الحث على العدل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 واتّقوا اللَّه إنّ 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الآيات الواردة في 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الروايات فهي كثيرة جداً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أحلى من الماء يصيبه الظمآن، ما أوسع العدل إذا عدل فيه وإن قلّ</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معاوية بن وهب،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أحلى من الشهد وألين من الزبد وأطيب ريحاً من المسك</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من الروايات الكثيرة في الحث على العدل، وقد ذكر صاحب الغرر ثلاثين رواية في الترغيب في العدل والحث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في ذم تارك العدل عدّة روايات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صحيحة ابن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أعظم النّاس حسرة يوم القيامة من وصف عدلاً ثمّ خالفه إلى غيره</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أشدّ الناس عذاباً يوم القيامة من وصف عدلاً وعمل بغيره</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المناسب هنا أن نورد رواية جليلة وإن لم يرد فيها كلمة العدل أو أحد مشتقاتها، إلاّ أنّها مصداق حقيقي للعدالة، وتتضمن معارف راقية ومطالب مهمة، وهي ما رواه الكليني في الأصول بسنده،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طالب العلم إنّ العلم ذو فضائل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فرأسه التواضع، وعينه البراءة من الحسد، وأذنه الفهم، ولسانه </w:t>
      </w:r>
    </w:p>
    <w:p>
      <w:pPr>
        <w:pStyle w:val="BookText"/>
        <w:rPr/>
      </w:pPr>
      <w:r>
        <w:rPr>
          <w:rFonts w:ascii="Amiri" w:hAnsi="Amiri" w:eastAsia="Amiri" w:cs="Amiri"/>
          <w:color w:val="111111"/>
          <w:sz w:val="28"/>
          <w:sz w:val="28"/>
          <w:szCs w:val="28"/>
          <w:rtl w:val="true"/>
          <w:lang w:bidi="ar-SA"/>
        </w:rPr>
        <w:t>الصدق، وحفظه الفحص، وقلبه حسن النية، وعقله معرفة الأشياء والأمور، ويده الرّحمة، ورجله زيارة العلماء، وهمته السّلامة، وحكمته الورع، ومستقرّه النجاة، وقائده العافية، ومركبه الوفاء، وسلاحه لين الكلمة، وسيفه الرّضا، وقوسه المداراة، وجيشه محاورة العلماء، وماله الأدب، وذخيرته اجتناب الذّنوب، وزاده المعروف، وماؤه الموادعة، ودليله الهدى، ورفيقه محبة الأخيار</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تجسدت هذه الأوصاف في شخص خارجي لكان مصداقاً حقيقياً واقعياً للعدالة، والرواية من حيث السند وإن كان فيه كلام، إلاّ أنّها لمّا كانت في مقام بيان جانب من الجوانب الأخلاقية وليست في مقام بيان حكم شرعي فلا بأس بالاستشهاد بها</w:t>
      </w:r>
      <w:r>
        <w:rPr>
          <w:rFonts w:eastAsia="Amiri" w:cs="Amiri" w:ascii="Amiri" w:hAnsi="Amiri"/>
          <w:color w:val="111111"/>
          <w:sz w:val="28"/>
          <w:szCs w:val="28"/>
          <w:rtl w:val="true"/>
          <w:lang w:bidi="ar-SA"/>
        </w:rPr>
        <w:t xml:space="preserve">. </w:t>
      </w:r>
      <w:bookmarkStart w:id="52" w:name="pg8631_94889"/>
    </w:p>
    <w:p>
      <w:pPr>
        <w:pStyle w:val="Heading2"/>
        <w:numPr>
          <w:ilvl w:val="1"/>
          <w:numId w:val="1"/>
        </w:numPr>
        <w:rPr/>
      </w:pPr>
      <w:bookmarkStart w:id="53" w:name="__RefHeading___Toc2192913_653776707"/>
      <w:bookmarkStart w:id="54" w:name="_Toc15"/>
      <w:bookmarkEnd w:id="52"/>
      <w:bookmarkEnd w:id="53"/>
      <w:r>
        <w:rPr>
          <w:rtl w:val="true"/>
        </w:rPr>
        <w:t>الأمر الثاني</w:t>
      </w:r>
      <w:r>
        <w:rPr>
          <w:rtl w:val="true"/>
        </w:rPr>
        <w:t xml:space="preserve">: </w:t>
      </w:r>
      <w:r>
        <w:rPr>
          <w:rtl w:val="true"/>
        </w:rPr>
        <w:t>في الموارد المشروطة بالعدالة</w:t>
      </w:r>
      <w:bookmarkEnd w:id="54"/>
    </w:p>
    <w:p>
      <w:pPr>
        <w:pStyle w:val="Heading3"/>
        <w:numPr>
          <w:ilvl w:val="2"/>
          <w:numId w:val="1"/>
        </w:numPr>
        <w:rPr/>
      </w:pPr>
      <w:bookmarkStart w:id="55" w:name="__RefHeading___Toc2192915_653776707"/>
      <w:bookmarkStart w:id="56" w:name="_Toc16"/>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ذكرنا أنّ العدالة أمر مرغوب شرعاً، وعقلاً، ولكن لابدّ من اعتبارها في عدّة موارد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 الأصل وهو ولي أمر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المفتي ومن يقلّد ويرجع إليه في الفتيا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ومن يحكم بين المسلمين في المرافعات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الجمعة والجماعة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الشاهد في الحقوق الإلهية كالحدود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الشاهد في الموضوعات كالهلال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الشاهد في المرافعات وحقوق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القيّم على القصّر والأمور الحسبية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الجباة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الراوي والمخبر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الكلام في العدالة، والبحث فيها يقع في مقامات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العدالة لغة، وعرفاً، وشرعاً، وتحديد معناها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العدالة من اجتناب الكبائر، وعدم الإصرار على الصغائر، وترك ما خالف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التوبة، وتجدد العدالة بعد ارتفاعها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الطرق الّتي تثبت بها العدالة</w:t>
      </w:r>
      <w:r>
        <w:rPr>
          <w:rFonts w:eastAsia="Amiri" w:cs="Amiri" w:ascii="Amiri" w:hAnsi="Amiri"/>
          <w:color w:val="111111"/>
          <w:sz w:val="28"/>
          <w:szCs w:val="28"/>
          <w:rtl w:val="true"/>
          <w:lang w:bidi="ar-SA"/>
        </w:rPr>
        <w:t xml:space="preserve">. </w:t>
      </w:r>
      <w:bookmarkStart w:id="57" w:name="pg8631_94891"/>
    </w:p>
    <w:p>
      <w:pPr>
        <w:pStyle w:val="Heading3"/>
        <w:numPr>
          <w:ilvl w:val="2"/>
          <w:numId w:val="1"/>
        </w:numPr>
        <w:rPr/>
      </w:pPr>
      <w:bookmarkStart w:id="58" w:name="__RefHeading___Toc2192917_653776707"/>
      <w:bookmarkStart w:id="59" w:name="_Toc17"/>
      <w:bookmarkEnd w:id="57"/>
      <w:bookmarkEnd w:id="58"/>
      <w:r>
        <w:rPr>
          <w:rtl w:val="true"/>
        </w:rPr>
        <w:t>المقام الأوّل</w:t>
      </w:r>
      <w:r>
        <w:rPr>
          <w:rtl w:val="true"/>
        </w:rPr>
        <w:t>:</w:t>
      </w:r>
      <w:r>
        <w:rPr>
          <w:rtl w:val="true"/>
        </w:rPr>
        <w:t>تحديد مفهوم العدالة</w:t>
      </w:r>
      <w:bookmarkEnd w:id="59"/>
    </w:p>
    <w:p>
      <w:pPr>
        <w:pStyle w:val="Heading4"/>
        <w:numPr>
          <w:ilvl w:val="3"/>
          <w:numId w:val="1"/>
        </w:numPr>
        <w:rPr/>
      </w:pPr>
      <w:bookmarkStart w:id="60" w:name="__RefHeading___Toc2192919_653776707"/>
      <w:bookmarkStart w:id="61" w:name="_Toc18"/>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 عرفاً ، شرعاً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الأقوال في تحديد العدالة شرعاً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استبعاد القول بأنّ العدالة هي الإسلام مع عدم</w:t>
      </w:r>
    </w:p>
    <w:p>
      <w:pPr>
        <w:pStyle w:val="BookText"/>
        <w:rPr/>
      </w:pPr>
      <w:r>
        <w:rPr>
          <w:rFonts w:ascii="Amiri" w:hAnsi="Amiri" w:eastAsia="Amiri" w:cs="Amiri"/>
          <w:color w:val="111111"/>
          <w:sz w:val="28"/>
          <w:sz w:val="28"/>
          <w:szCs w:val="28"/>
          <w:rtl w:val="true"/>
          <w:lang w:bidi="ar-SA"/>
        </w:rPr>
        <w:t>ظهور الفسق والقدح في وجود القائل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القول بأنّها حسن الظاهر والمناقشة في أدلّته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القول بأنّها الملكة وتنقيحها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القول بأنّها الاستقامة في جادّة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التعرّض لحديث ابن أبي يعفور وبيان صحّة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سنده ودلالته</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8631_94893"/>
      <w:bookmarkStart w:id="63" w:name="pg8631_94893"/>
      <w:bookmarkEnd w:id="63"/>
    </w:p>
    <w:p>
      <w:pPr>
        <w:pStyle w:val="Heading4"/>
        <w:numPr>
          <w:ilvl w:val="3"/>
          <w:numId w:val="1"/>
        </w:numPr>
        <w:rPr/>
      </w:pPr>
      <w:bookmarkStart w:id="64" w:name="pg8631_94893"/>
      <w:bookmarkStart w:id="65" w:name="__RefHeading___Toc2192921_653776707"/>
      <w:bookmarkStart w:id="66" w:name="_Toc19"/>
      <w:bookmarkEnd w:id="64"/>
      <w:bookmarkEnd w:id="65"/>
      <w:r>
        <w:rPr>
          <w:rtl w:val="true"/>
        </w:rPr>
        <w:t>مفهوم العدالة لغة، وعرفاً، وشرعاً</w:t>
      </w:r>
      <w:bookmarkEnd w:id="66"/>
    </w:p>
    <w:p>
      <w:pPr>
        <w:pStyle w:val="Heading4"/>
        <w:numPr>
          <w:ilvl w:val="3"/>
          <w:numId w:val="1"/>
        </w:numPr>
        <w:rPr/>
      </w:pPr>
      <w:bookmarkStart w:id="67" w:name="__RefHeading___Toc2192923_653776707"/>
      <w:bookmarkStart w:id="68" w:name="_Toc20"/>
      <w:bookmarkEnd w:id="67"/>
      <w:r>
        <w:rPr>
          <w:rtl w:val="true"/>
        </w:rPr>
        <w:t>العدالة لغةً</w:t>
      </w:r>
      <w:r>
        <w:rPr>
          <w:rtl w:val="true"/>
        </w:rPr>
        <w:t>:</w:t>
      </w:r>
      <w:bookmarkEnd w:id="68"/>
    </w:p>
    <w:p>
      <w:pPr>
        <w:pStyle w:val="BookText"/>
        <w:rPr/>
      </w:pP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في الأمور، وهو خلاف الجَوْرِ </w:t>
      </w:r>
      <w:r>
        <w:rPr>
          <w:rStyle w:val="FootnoteAnchor"/>
          <w:rtl w:val="true"/>
        </w:rPr>
        <w:footnoteReference w:id="33"/>
      </w:r>
      <w:r>
        <w:rPr>
          <w:rFonts w:ascii="Amiri" w:hAnsi="Amiri" w:eastAsia="Amiri" w:cs="Amiri"/>
          <w:color w:val="111111"/>
          <w:sz w:val="28"/>
          <w:sz w:val="28"/>
          <w:szCs w:val="28"/>
          <w:rtl w:val="true"/>
          <w:lang w:bidi="ar-SA"/>
        </w:rPr>
        <w:t xml:space="preserve">وهو التَسْوِيَةُ بين الشيئين </w:t>
      </w:r>
      <w:r>
        <w:rPr>
          <w:rStyle w:val="FootnoteAnchor"/>
          <w:rtl w:val="true"/>
        </w:rPr>
        <w:footnoteReference w:id="34"/>
      </w:r>
      <w:r>
        <w:rPr>
          <w:rFonts w:ascii="Amiri" w:hAnsi="Amiri" w:eastAsia="Amiri" w:cs="Amiri"/>
          <w:color w:val="111111"/>
          <w:sz w:val="28"/>
          <w:sz w:val="28"/>
          <w:szCs w:val="28"/>
          <w:rtl w:val="true"/>
          <w:lang w:bidi="ar-SA"/>
        </w:rPr>
        <w:t>والتعادل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وعدلته تعديلاً فاعتدل سوّيته فاستوى، وعدّلت الشاهد نسبته إلى العدالة ووصفته بها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وتأتي بمعنى الاستقامة </w:t>
      </w:r>
      <w:r>
        <w:rPr>
          <w:rStyle w:val="FootnoteAnchor"/>
          <w:rtl w:val="true"/>
        </w:rPr>
        <w:footnoteReference w:id="36"/>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في أمره أي استقام، ويقال هذا عدل، أي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العدل على الواحد وغيره بلفظ واحد وجاز أن يطابق في التثنية والجمع فيجمع على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الأنباري وأنشدنا أبو العباس</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وتعاقدا العقد الوثيق وأشهدا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قوم مسلمين عدولا </w:t>
      </w:r>
      <w:r>
        <w:rPr>
          <w:rStyle w:val="FootnoteAnchor"/>
          <w:rtl w:val="true"/>
        </w:rPr>
        <w:footnoteReference w:id="37"/>
      </w:r>
      <w:bookmarkStart w:id="69" w:name="pg8631_94894"/>
    </w:p>
    <w:p>
      <w:pPr>
        <w:pStyle w:val="BookText"/>
        <w:rPr/>
      </w:pPr>
      <w:bookmarkEnd w:id="69"/>
      <w:r>
        <w:rPr>
          <w:rFonts w:ascii="Amiri" w:hAnsi="Amiri" w:eastAsia="Amiri" w:cs="Amiri"/>
          <w:color w:val="111111"/>
          <w:sz w:val="28"/>
          <w:sz w:val="28"/>
          <w:szCs w:val="28"/>
          <w:rtl w:val="true"/>
          <w:lang w:bidi="ar-SA"/>
        </w:rPr>
        <w:t xml:space="preserve">ومن هذه الشواهد استدل الأعلام على أنّ العدالة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المبسوط </w:t>
      </w:r>
      <w:r>
        <w:rPr>
          <w:rStyle w:val="FootnoteAnchor"/>
          <w:rtl w:val="true"/>
        </w:rPr>
        <w:footnoteReference w:id="38"/>
      </w:r>
      <w:r>
        <w:rPr>
          <w:rFonts w:ascii="IRNazanin" w:hAnsi="IRNazanin" w:eastAsia="IRNazanin"/>
          <w:color w:val="111111"/>
          <w:sz w:val="28"/>
          <w:sz w:val="28"/>
          <w:szCs w:val="28"/>
          <w:rtl w:val="true"/>
          <w:lang w:bidi="fa-IR"/>
        </w:rPr>
        <w:t xml:space="preserve">والسرائر </w:t>
      </w:r>
      <w:r>
        <w:rPr>
          <w:rStyle w:val="FootnoteAnchor"/>
          <w:rtl w:val="true"/>
        </w:rPr>
        <w:footnoteReference w:id="3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المقاصد </w:t>
      </w:r>
      <w:r>
        <w:rPr>
          <w:rStyle w:val="FootnoteAnchor"/>
          <w:rtl w:val="true"/>
        </w:rPr>
        <w:footnoteReference w:id="4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الاستواء والاستقامة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روض الجنان </w:t>
      </w:r>
      <w:r>
        <w:rPr>
          <w:rStyle w:val="FootnoteAnchor"/>
          <w:rtl w:val="true"/>
        </w:rPr>
        <w:footnoteReference w:id="41"/>
      </w:r>
      <w:r>
        <w:rPr>
          <w:rFonts w:ascii="Amiri" w:hAnsi="Amiri" w:eastAsia="Amiri" w:cs="Amiri"/>
          <w:color w:val="111111"/>
          <w:sz w:val="28"/>
          <w:sz w:val="28"/>
          <w:szCs w:val="28"/>
          <w:rtl w:val="true"/>
          <w:lang w:bidi="ar-SA"/>
        </w:rPr>
        <w:t xml:space="preserve">والمدارك </w:t>
      </w:r>
      <w:r>
        <w:rPr>
          <w:rStyle w:val="FootnoteAnchor"/>
          <w:rtl w:val="true"/>
        </w:rPr>
        <w:footnoteReference w:id="42"/>
      </w:r>
      <w:r>
        <w:rPr>
          <w:rFonts w:ascii="Amiri" w:hAnsi="Amiri" w:eastAsia="Amiri" w:cs="Amiri"/>
          <w:color w:val="111111"/>
          <w:sz w:val="28"/>
          <w:sz w:val="28"/>
          <w:szCs w:val="28"/>
          <w:rtl w:val="true"/>
          <w:lang w:bidi="ar-SA"/>
        </w:rPr>
        <w:t xml:space="preserve">وكشف اللثام </w:t>
      </w:r>
      <w:r>
        <w:rPr>
          <w:rStyle w:val="FootnoteAnchor"/>
          <w:rtl w:val="true"/>
        </w:rPr>
        <w:footnoteReference w:id="43"/>
      </w:r>
      <w:r>
        <w:rPr>
          <w:rFonts w:ascii="Amiri" w:hAnsi="Amiri" w:eastAsia="Amiri" w:cs="Amiri"/>
          <w:color w:val="111111"/>
          <w:sz w:val="28"/>
          <w:sz w:val="28"/>
          <w:szCs w:val="28"/>
          <w:rtl w:val="true"/>
          <w:lang w:bidi="ar-SA"/>
        </w:rPr>
        <w:t xml:space="preserve">أو أنّها من العدل وهو القصد في الأمور ضد الجور، كما احتمله صاحب الجواهر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والمتحصل من جميع ذلك أنّ العدالة لغة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في الأمور وهو خلاف الجور، والتسوية بين الشيئين والاستقامة</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2192925_653776707"/>
      <w:bookmarkStart w:id="71" w:name="_Toc21"/>
      <w:bookmarkEnd w:id="70"/>
      <w:r>
        <w:rPr>
          <w:rtl w:val="true"/>
        </w:rPr>
        <w:t xml:space="preserve">العدالة عرفاً </w:t>
      </w:r>
      <w:r>
        <w:rPr>
          <w:rtl w:val="true"/>
        </w:rPr>
        <w:t>:</w:t>
      </w:r>
      <w:bookmarkEnd w:id="71"/>
    </w:p>
    <w:p>
      <w:pPr>
        <w:pStyle w:val="BookText"/>
        <w:rPr/>
      </w:pPr>
      <w:r>
        <w:rPr>
          <w:rFonts w:ascii="Amiri" w:hAnsi="Amiri" w:eastAsia="Amiri" w:cs="Amiri"/>
          <w:color w:val="111111"/>
          <w:sz w:val="28"/>
          <w:sz w:val="28"/>
          <w:szCs w:val="28"/>
          <w:rtl w:val="true"/>
          <w:lang w:bidi="ar-SA"/>
        </w:rPr>
        <w:t>فهي في العرف العام بمعانيها اللغوية ولم تنقل إلى معنى آخر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في العرف الخاص تختلف باختلاف جهة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تنزيه ذات الباري عن فعل القبيح والاخلال بالواجب </w:t>
      </w:r>
      <w:r>
        <w:rPr>
          <w:rStyle w:val="FootnoteAnchor"/>
          <w:rtl w:val="true"/>
        </w:rPr>
        <w:footnoteReference w:id="4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الفلاسفة وعلماء الأخلاق،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الحاصلة للإنسان من تعادل القوى الثلاث العقلية والشهوية والغضبية،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هذه القوى لها ثلاث </w:t>
      </w:r>
    </w:p>
    <w:p>
      <w:pPr>
        <w:pStyle w:val="BookText"/>
        <w:rPr/>
      </w:pPr>
      <w:r>
        <w:rPr>
          <w:rFonts w:ascii="Amiri" w:hAnsi="Amiri" w:eastAsia="Amiri" w:cs="Amiri"/>
          <w:color w:val="111111"/>
          <w:sz w:val="28"/>
          <w:sz w:val="28"/>
          <w:szCs w:val="28"/>
          <w:rtl w:val="true"/>
          <w:lang w:bidi="ar-SA"/>
        </w:rPr>
        <w:t>حالات، إفراط وتفريط وتوسط بينهما، فالقوّة العقلية وهي الّتي تهدي إلى الخير والسعادة وتزجر عن الشر والشقاء وهي الحاكمة في ذلك إن لازمت وسط الاعتدال فاشتغلت بما ينبغي كما ينبغي سميت حكمة وإن خرجت إلى حدّ الإفراط سميت جربزة أو إلى حدّ التفريط سميت غباوة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بالنسبة إلى القوة الشهوية فإنّها إن لازمت الاعتدال بفعل ما يبنغي كما ينبغي سميت عفة وإن انحرفت إلى حد الافراط سميت شرهاً وإن نزلت إلى التفريط سميت خموداً، وكذلك الحال بالنسبة القوة الغضبية فلها اعتدال يسمى شجاعة وطرفا إفراط يسمى تهوراً وتفريط يسمى جبناً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فالهيئة الحاصلة من اجتماع الملكات الثلاث إذا اعتدلت سميت عدالة، وذلك بمعونة العقل العملي الّذي هو الهيئة الحاصلة للنفس بها تعمل النفس أفاعيلها الجزئية كما في تعديل المزاج على ما قرروه في محله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العدالة صفة يقتدر بها العقل العملي بحسب العقل النظري على تعديل هذه القوى الثلاث</w:t>
      </w:r>
      <w:r>
        <w:rPr>
          <w:rFonts w:eastAsia="Amiri" w:cs="Amiri" w:ascii="Amiri" w:hAnsi="Amiri"/>
          <w:color w:val="111111"/>
          <w:sz w:val="28"/>
          <w:szCs w:val="28"/>
          <w:rtl w:val="true"/>
          <w:lang w:bidi="ar-SA"/>
        </w:rPr>
        <w:t xml:space="preserve">. </w:t>
      </w:r>
      <w:bookmarkStart w:id="72" w:name="pg8631_94896"/>
    </w:p>
    <w:p>
      <w:pPr>
        <w:pStyle w:val="Heading4"/>
        <w:numPr>
          <w:ilvl w:val="3"/>
          <w:numId w:val="1"/>
        </w:numPr>
        <w:rPr/>
      </w:pPr>
      <w:bookmarkStart w:id="73" w:name="__RefHeading___Toc2192927_653776707"/>
      <w:bookmarkStart w:id="74" w:name="_Toc22"/>
      <w:bookmarkEnd w:id="72"/>
      <w:bookmarkEnd w:id="73"/>
      <w:r>
        <w:rPr>
          <w:rtl w:val="true"/>
        </w:rPr>
        <w:t>العدالة شرعاً</w:t>
      </w:r>
      <w:r>
        <w:rPr>
          <w:rtl w:val="true"/>
        </w:rPr>
        <w:t>:</w:t>
      </w:r>
      <w:bookmarkEnd w:id="74"/>
    </w:p>
    <w:p>
      <w:pPr>
        <w:pStyle w:val="BookText"/>
        <w:rPr/>
      </w:pPr>
      <w:r>
        <w:rPr>
          <w:rFonts w:ascii="Amiri" w:hAnsi="Amiri" w:eastAsia="Amiri" w:cs="Amiri"/>
          <w:color w:val="111111"/>
          <w:sz w:val="28"/>
          <w:sz w:val="28"/>
          <w:szCs w:val="28"/>
          <w:rtl w:val="true"/>
          <w:lang w:bidi="ar-SA"/>
        </w:rPr>
        <w:t>اختلفت كلمة الفقهاء في بيان المراد منها شرعاً على أقوال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الإسلام وعدم ظهور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w:t>
      </w:r>
    </w:p>
    <w:p>
      <w:pPr>
        <w:pStyle w:val="BookText"/>
        <w:rPr/>
      </w:pPr>
      <w:r>
        <w:rPr>
          <w:rFonts w:ascii="Amiri" w:hAnsi="Amiri" w:eastAsia="Amiri" w:cs="Amiri"/>
          <w:color w:val="111111"/>
          <w:sz w:val="28"/>
          <w:sz w:val="28"/>
          <w:szCs w:val="28"/>
          <w:rtl w:val="true"/>
          <w:lang w:bidi="ar-SA"/>
        </w:rPr>
        <w:t xml:space="preserve">ابن الجنيد </w:t>
      </w:r>
      <w:r>
        <w:rPr>
          <w:rStyle w:val="FootnoteAnchor"/>
          <w:rtl w:val="true"/>
        </w:rPr>
        <w:footnoteReference w:id="47"/>
      </w:r>
      <w:r>
        <w:rPr>
          <w:rFonts w:ascii="Amiri" w:hAnsi="Amiri" w:eastAsia="Amiri" w:cs="Amiri"/>
          <w:color w:val="111111"/>
          <w:sz w:val="28"/>
          <w:sz w:val="28"/>
          <w:szCs w:val="28"/>
          <w:rtl w:val="true"/>
          <w:lang w:bidi="ar-SA"/>
        </w:rPr>
        <w:t xml:space="preserve">، والمفيد في كتاب الاشراف </w:t>
      </w:r>
      <w:r>
        <w:rPr>
          <w:rStyle w:val="FootnoteAnchor"/>
          <w:rtl w:val="true"/>
        </w:rPr>
        <w:footnoteReference w:id="48"/>
      </w:r>
      <w:r>
        <w:rPr>
          <w:rFonts w:ascii="Amiri" w:hAnsi="Amiri" w:eastAsia="Amiri" w:cs="Amiri"/>
          <w:color w:val="111111"/>
          <w:sz w:val="28"/>
          <w:sz w:val="28"/>
          <w:szCs w:val="28"/>
          <w:rtl w:val="true"/>
          <w:lang w:bidi="ar-SA"/>
        </w:rPr>
        <w:t xml:space="preserve">، وظاهر الشيخ في الخلاف مدعياً عليه الإجماع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الشهيد الأوّل إلى بعض الأصحاب </w:t>
      </w:r>
      <w:r>
        <w:rPr>
          <w:rStyle w:val="FootnoteAnchor"/>
          <w:rtl w:val="true"/>
        </w:rPr>
        <w:footnoteReference w:id="50"/>
      </w:r>
      <w:r>
        <w:rPr>
          <w:rFonts w:ascii="Amiri" w:hAnsi="Amiri" w:eastAsia="Amiri" w:cs="Amiri"/>
          <w:color w:val="111111"/>
          <w:sz w:val="28"/>
          <w:sz w:val="28"/>
          <w:szCs w:val="28"/>
          <w:rtl w:val="true"/>
          <w:lang w:bidi="ar-SA"/>
        </w:rPr>
        <w:t xml:space="preserve">، ومال إليه المحقّق الهمداني ونسبه إلى المشهور </w:t>
      </w:r>
      <w:r>
        <w:rPr>
          <w:rStyle w:val="FootnoteAnchor"/>
          <w:rtl w:val="true"/>
        </w:rPr>
        <w:footnoteReference w:id="51"/>
      </w:r>
      <w:r>
        <w:rPr>
          <w:rFonts w:ascii="Amiri" w:hAnsi="Amiri" w:eastAsia="Amiri" w:cs="Amiri"/>
          <w:color w:val="111111"/>
          <w:sz w:val="28"/>
          <w:sz w:val="28"/>
          <w:szCs w:val="28"/>
          <w:rtl w:val="true"/>
          <w:lang w:bidi="ar-SA"/>
        </w:rPr>
        <w:t xml:space="preserve">، وإلى الطبقة الثانية صاحب المستند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أو هيئة راسخة أو كيفية باعثة نحو الإطاعة بالإتيان بالواجبات وترك المعاصي والمحرّمات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نسبها في كنز العرفان إلى الفقهاء </w:t>
      </w:r>
      <w:r>
        <w:rPr>
          <w:rStyle w:val="FootnoteAnchor"/>
          <w:rtl w:val="true"/>
        </w:rPr>
        <w:footnoteReference w:id="53"/>
      </w:r>
      <w:r>
        <w:rPr>
          <w:rFonts w:ascii="Amiri" w:hAnsi="Amiri" w:eastAsia="Amiri" w:cs="Amiri"/>
          <w:color w:val="111111"/>
          <w:sz w:val="28"/>
          <w:sz w:val="28"/>
          <w:szCs w:val="28"/>
          <w:rtl w:val="true"/>
          <w:lang w:bidi="ar-SA"/>
        </w:rPr>
        <w:t xml:space="preserve">، وفي مجمع الفائدة والبرهان إلى مشهور العامّة والخاصّة في الأصول والفروع في موضعين </w:t>
      </w:r>
      <w:r>
        <w:rPr>
          <w:rStyle w:val="FootnoteAnchor"/>
          <w:rtl w:val="true"/>
        </w:rPr>
        <w:footnoteReference w:id="54"/>
      </w:r>
      <w:r>
        <w:rPr>
          <w:rFonts w:ascii="Amiri" w:hAnsi="Amiri" w:eastAsia="Amiri" w:cs="Amiri"/>
          <w:color w:val="111111"/>
          <w:sz w:val="28"/>
          <w:sz w:val="28"/>
          <w:szCs w:val="28"/>
          <w:rtl w:val="true"/>
          <w:lang w:bidi="ar-SA"/>
        </w:rPr>
        <w:t xml:space="preserve">، وفي </w:t>
      </w:r>
    </w:p>
    <w:p>
      <w:pPr>
        <w:pStyle w:val="BookText"/>
        <w:rPr/>
      </w:pPr>
      <w:r>
        <w:rPr>
          <w:rFonts w:ascii="Amiri" w:hAnsi="Amiri" w:eastAsia="Amiri" w:cs="Amiri"/>
          <w:color w:val="111111"/>
          <w:sz w:val="28"/>
          <w:sz w:val="28"/>
          <w:szCs w:val="28"/>
          <w:rtl w:val="true"/>
          <w:lang w:bidi="ar-SA"/>
        </w:rPr>
        <w:t xml:space="preserve">محكي النجيبية إلى العلماء </w:t>
      </w:r>
      <w:r>
        <w:rPr>
          <w:rStyle w:val="FootnoteAnchor"/>
          <w:rtl w:val="true"/>
        </w:rPr>
        <w:footnoteReference w:id="55"/>
      </w:r>
      <w:r>
        <w:rPr>
          <w:rFonts w:ascii="Amiri" w:hAnsi="Amiri" w:eastAsia="Amiri" w:cs="Amiri"/>
          <w:color w:val="111111"/>
          <w:sz w:val="28"/>
          <w:sz w:val="28"/>
          <w:szCs w:val="28"/>
          <w:rtl w:val="true"/>
          <w:lang w:bidi="ar-SA"/>
        </w:rPr>
        <w:t xml:space="preserve">، وفي الرياض إلى المشهور بين الأصحاب </w:t>
      </w:r>
      <w:r>
        <w:rPr>
          <w:rStyle w:val="FootnoteAnchor"/>
          <w:rtl w:val="true"/>
        </w:rPr>
        <w:footnoteReference w:id="56"/>
      </w:r>
      <w:r>
        <w:rPr>
          <w:rFonts w:ascii="Amiri" w:hAnsi="Amiri" w:eastAsia="Amiri" w:cs="Amiri"/>
          <w:color w:val="111111"/>
          <w:sz w:val="28"/>
          <w:sz w:val="28"/>
          <w:szCs w:val="28"/>
          <w:rtl w:val="true"/>
          <w:lang w:bidi="ar-SA"/>
        </w:rPr>
        <w:t>، وكذا عن مصابيح</w:t>
      </w:r>
    </w:p>
    <w:p>
      <w:pPr>
        <w:pStyle w:val="BookText"/>
        <w:rPr/>
      </w:pPr>
      <w:r>
        <w:rPr>
          <w:rFonts w:ascii="IRNazanin" w:hAnsi="IRNazanin" w:eastAsia="IRNazanin"/>
          <w:color w:val="111111"/>
          <w:sz w:val="28"/>
          <w:sz w:val="28"/>
          <w:szCs w:val="28"/>
          <w:rtl w:val="true"/>
          <w:lang w:bidi="fa-IR"/>
        </w:rPr>
        <w:t>الظلام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والهيئة الراسخة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الارشاد </w:t>
      </w:r>
      <w:r>
        <w:rPr>
          <w:rStyle w:val="FootnoteAnchor"/>
          <w:rtl w:val="true"/>
        </w:rPr>
        <w:footnoteReference w:id="58"/>
      </w:r>
      <w:r>
        <w:rPr>
          <w:rFonts w:ascii="Amiri" w:hAnsi="Amiri" w:eastAsia="Amiri" w:cs="Amiri"/>
          <w:color w:val="111111"/>
          <w:sz w:val="28"/>
          <w:sz w:val="28"/>
          <w:szCs w:val="28"/>
          <w:rtl w:val="true"/>
          <w:lang w:bidi="ar-SA"/>
        </w:rPr>
        <w:t xml:space="preserve">، وفي الذكرى ادعى عليه إجماع الأصحاب </w:t>
      </w:r>
      <w:r>
        <w:rPr>
          <w:rStyle w:val="FootnoteAnchor"/>
          <w:rtl w:val="true"/>
        </w:rPr>
        <w:footnoteReference w:id="59"/>
      </w:r>
      <w:r>
        <w:rPr>
          <w:rFonts w:ascii="IRNazanin" w:hAnsi="IRNazanin" w:eastAsia="IRNazanin"/>
          <w:color w:val="111111"/>
          <w:sz w:val="28"/>
          <w:sz w:val="28"/>
          <w:szCs w:val="28"/>
          <w:rtl w:val="true"/>
          <w:lang w:bidi="fa-IR"/>
        </w:rPr>
        <w:t xml:space="preserve">، والدروس </w:t>
      </w:r>
      <w:r>
        <w:rPr>
          <w:rStyle w:val="FootnoteAnchor"/>
          <w:rtl w:val="true"/>
        </w:rPr>
        <w:footnoteReference w:id="60"/>
      </w:r>
      <w:r>
        <w:rPr>
          <w:rFonts w:ascii="Amiri" w:hAnsi="Amiri" w:eastAsia="Amiri" w:cs="Amiri"/>
          <w:color w:val="111111"/>
          <w:sz w:val="28"/>
          <w:sz w:val="28"/>
          <w:szCs w:val="28"/>
          <w:rtl w:val="true"/>
          <w:lang w:bidi="ar-SA"/>
        </w:rPr>
        <w:t xml:space="preserve">، ومجمع الفائدة والبرهان </w:t>
      </w:r>
      <w:r>
        <w:rPr>
          <w:rStyle w:val="FootnoteAnchor"/>
          <w:rtl w:val="true"/>
        </w:rPr>
        <w:footnoteReference w:id="61"/>
      </w:r>
      <w:r>
        <w:rPr>
          <w:rFonts w:ascii="Amiri" w:hAnsi="Amiri" w:eastAsia="Amiri" w:cs="Amiri"/>
          <w:color w:val="111111"/>
          <w:sz w:val="28"/>
          <w:sz w:val="28"/>
          <w:szCs w:val="28"/>
          <w:rtl w:val="true"/>
          <w:lang w:bidi="ar-SA"/>
        </w:rPr>
        <w:t xml:space="preserve">، وفي المدارك نسبه إلى المتأخرين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الحالة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المشهور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المختلف </w:t>
      </w:r>
      <w:r>
        <w:rPr>
          <w:rStyle w:val="FootnoteAnchor"/>
          <w:rtl w:val="true"/>
        </w:rPr>
        <w:footnoteReference w:id="64"/>
      </w:r>
      <w:r>
        <w:rPr>
          <w:rFonts w:ascii="IRNazanin" w:hAnsi="IRNazanin" w:eastAsia="IRNazanin"/>
          <w:color w:val="111111"/>
          <w:sz w:val="28"/>
          <w:sz w:val="28"/>
          <w:szCs w:val="28"/>
          <w:rtl w:val="true"/>
          <w:lang w:bidi="fa-IR"/>
        </w:rPr>
        <w:t xml:space="preserve">، والقواعد </w:t>
      </w:r>
      <w:r>
        <w:rPr>
          <w:rStyle w:val="FootnoteAnchor"/>
          <w:rtl w:val="true"/>
        </w:rPr>
        <w:footnoteReference w:id="65"/>
      </w:r>
      <w:r>
        <w:rPr>
          <w:rFonts w:ascii="Amiri" w:hAnsi="Amiri" w:eastAsia="Amiri" w:cs="Amiri"/>
          <w:color w:val="111111"/>
          <w:sz w:val="28"/>
          <w:sz w:val="28"/>
          <w:szCs w:val="28"/>
          <w:rtl w:val="true"/>
          <w:lang w:bidi="ar-SA"/>
        </w:rPr>
        <w:t xml:space="preserve">، وإيضاح الفوائد </w:t>
      </w:r>
      <w:r>
        <w:rPr>
          <w:rStyle w:val="FootnoteAnchor"/>
          <w:rtl w:val="true"/>
        </w:rPr>
        <w:footnoteReference w:id="66"/>
      </w:r>
      <w:r>
        <w:rPr>
          <w:rFonts w:ascii="IRNazanin" w:hAnsi="IRNazanin" w:eastAsia="IRNazanin"/>
          <w:color w:val="111111"/>
          <w:sz w:val="28"/>
          <w:sz w:val="28"/>
          <w:szCs w:val="28"/>
          <w:rtl w:val="true"/>
          <w:lang w:bidi="fa-IR"/>
        </w:rPr>
        <w:t xml:space="preserve">، وجامع المقاصد </w:t>
      </w:r>
      <w:r>
        <w:rPr>
          <w:rStyle w:val="FootnoteAnchor"/>
          <w:rtl w:val="true"/>
        </w:rPr>
        <w:footnoteReference w:id="67"/>
      </w:r>
      <w:r>
        <w:rPr>
          <w:rFonts w:ascii="Amiri" w:hAnsi="Amiri" w:eastAsia="Amiri" w:cs="Amiri"/>
          <w:color w:val="111111"/>
          <w:sz w:val="28"/>
          <w:sz w:val="28"/>
          <w:szCs w:val="28"/>
          <w:rtl w:val="true"/>
          <w:lang w:bidi="ar-SA"/>
        </w:rPr>
        <w:t xml:space="preserve">، وغاية المرام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الإتيان بالواجبات وترك المحرّمات من دون اعتبار الملكة، أي أن النظر إلى المقتضى لا إلى المقتضي، كما في القول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IRNazanin" w:hAnsi="IRNazanin" w:eastAsia="IRNazanin"/>
          <w:color w:val="111111"/>
          <w:sz w:val="28"/>
          <w:sz w:val="28"/>
          <w:szCs w:val="28"/>
          <w:rtl w:val="true"/>
          <w:lang w:bidi="fa-IR"/>
        </w:rPr>
        <w:t xml:space="preserve">ظاهر السرائر </w:t>
      </w:r>
      <w:r>
        <w:rPr>
          <w:rStyle w:val="FootnoteAnchor"/>
          <w:rtl w:val="true"/>
        </w:rPr>
        <w:footnoteReference w:id="69"/>
      </w:r>
      <w:r>
        <w:rPr>
          <w:rFonts w:ascii="Amiri" w:hAnsi="Amiri" w:eastAsia="Amiri" w:cs="Amiri"/>
          <w:color w:val="111111"/>
          <w:sz w:val="28"/>
          <w:sz w:val="28"/>
          <w:szCs w:val="28"/>
          <w:rtl w:val="true"/>
          <w:lang w:bidi="ar-SA"/>
        </w:rPr>
        <w:t xml:space="preserve">، ومحكي الوسيلة </w:t>
      </w:r>
      <w:r>
        <w:rPr>
          <w:rStyle w:val="FootnoteAnchor"/>
          <w:rtl w:val="true"/>
        </w:rPr>
        <w:footnoteReference w:id="70"/>
      </w:r>
      <w:r>
        <w:rPr>
          <w:rFonts w:ascii="Amiri" w:hAnsi="Amiri" w:eastAsia="Amiri" w:cs="Amiri"/>
          <w:color w:val="111111"/>
          <w:sz w:val="28"/>
          <w:sz w:val="28"/>
          <w:szCs w:val="28"/>
          <w:rtl w:val="true"/>
          <w:lang w:bidi="ar-SA"/>
        </w:rPr>
        <w:t xml:space="preserve">، ومن المحدّث المجلسي </w:t>
      </w:r>
      <w:r>
        <w:rPr>
          <w:rStyle w:val="FootnoteAnchor"/>
          <w:rtl w:val="true"/>
        </w:rPr>
        <w:footnoteReference w:id="71"/>
      </w:r>
      <w:r>
        <w:rPr>
          <w:rFonts w:ascii="Amiri" w:hAnsi="Amiri" w:eastAsia="Amiri" w:cs="Amiri"/>
          <w:color w:val="111111"/>
          <w:sz w:val="28"/>
          <w:sz w:val="28"/>
          <w:szCs w:val="28"/>
          <w:rtl w:val="true"/>
          <w:lang w:bidi="ar-SA"/>
        </w:rPr>
        <w:t xml:space="preserve">، والمحقّق السبزواري أنّه الأشهر </w:t>
      </w:r>
      <w:r>
        <w:rPr>
          <w:rStyle w:val="FootnoteAnchor"/>
          <w:rtl w:val="true"/>
        </w:rPr>
        <w:footnoteReference w:id="72"/>
      </w:r>
      <w:r>
        <w:rPr>
          <w:rFonts w:ascii="Amiri" w:hAnsi="Amiri" w:eastAsia="Amiri" w:cs="Amiri"/>
          <w:color w:val="111111"/>
          <w:sz w:val="28"/>
          <w:sz w:val="28"/>
          <w:szCs w:val="28"/>
          <w:rtl w:val="true"/>
          <w:lang w:bidi="ar-SA"/>
        </w:rPr>
        <w:t xml:space="preserve">، وذهب إليه المحقّق الاصفهاني </w:t>
      </w:r>
      <w:r>
        <w:rPr>
          <w:rStyle w:val="FootnoteAnchor"/>
          <w:rtl w:val="true"/>
        </w:rPr>
        <w:footnoteReference w:id="73"/>
      </w:r>
      <w:r>
        <w:rPr>
          <w:rFonts w:ascii="Amiri" w:hAnsi="Amiri" w:eastAsia="Amiri" w:cs="Amiri"/>
          <w:color w:val="111111"/>
          <w:sz w:val="28"/>
          <w:sz w:val="28"/>
          <w:szCs w:val="28"/>
          <w:rtl w:val="true"/>
          <w:lang w:bidi="ar-SA"/>
        </w:rPr>
        <w:t>، والسيّد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كلا الأمرين المقتضي والمقتضى، بمعنى أنّ العدالة،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بالواجبات وترك المحرّمات عن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جماعة منهم الشيخ الصدوق ووالده </w:t>
      </w:r>
      <w:r>
        <w:rPr>
          <w:rStyle w:val="FootnoteAnchor"/>
          <w:rtl w:val="true"/>
        </w:rPr>
        <w:footnoteReference w:id="75"/>
      </w:r>
      <w:r>
        <w:rPr>
          <w:rFonts w:ascii="Amiri" w:hAnsi="Amiri" w:eastAsia="Amiri" w:cs="Amiri"/>
          <w:color w:val="111111"/>
          <w:sz w:val="28"/>
          <w:sz w:val="28"/>
          <w:szCs w:val="28"/>
          <w:rtl w:val="true"/>
          <w:lang w:bidi="ar-SA"/>
        </w:rPr>
        <w:t xml:space="preserve">، وهو ظاهر من كلام الشيخ المفيد في المقنعة </w:t>
      </w:r>
      <w:r>
        <w:rPr>
          <w:rStyle w:val="FootnoteAnchor"/>
          <w:rtl w:val="true"/>
        </w:rPr>
        <w:footnoteReference w:id="76"/>
      </w:r>
      <w:r>
        <w:rPr>
          <w:rFonts w:ascii="IRNazanin" w:hAnsi="IRNazanin" w:eastAsia="IRNazanin"/>
          <w:color w:val="111111"/>
          <w:sz w:val="28"/>
          <w:sz w:val="28"/>
          <w:szCs w:val="28"/>
          <w:rtl w:val="true"/>
          <w:lang w:bidi="fa-IR"/>
        </w:rPr>
        <w:t xml:space="preserve">، وصاحب الوسائل </w:t>
      </w:r>
      <w:r>
        <w:rPr>
          <w:rStyle w:val="FootnoteAnchor"/>
          <w:rtl w:val="true"/>
        </w:rPr>
        <w:footnoteReference w:id="77"/>
      </w:r>
      <w:r>
        <w:rPr>
          <w:rFonts w:ascii="Amiri" w:hAnsi="Amiri" w:eastAsia="Amiri" w:cs="Amiri"/>
          <w:color w:val="111111"/>
          <w:sz w:val="28"/>
          <w:sz w:val="28"/>
          <w:szCs w:val="28"/>
          <w:rtl w:val="true"/>
          <w:lang w:bidi="ar-SA"/>
        </w:rPr>
        <w:t xml:space="preserve">، والسيّد الطباطبائي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الموارد، فالإمام والمفتي يعتبر فيهما الملكة،</w:t>
      </w:r>
    </w:p>
    <w:p>
      <w:pPr>
        <w:pStyle w:val="BookText"/>
        <w:rPr/>
      </w:pPr>
      <w:r>
        <w:rPr>
          <w:rFonts w:ascii="Amiri" w:hAnsi="Amiri" w:eastAsia="Amiri" w:cs="Amiri"/>
          <w:color w:val="111111"/>
          <w:sz w:val="28"/>
          <w:sz w:val="28"/>
          <w:szCs w:val="28"/>
          <w:rtl w:val="true"/>
          <w:lang w:bidi="ar-SA"/>
        </w:rPr>
        <w:t xml:space="preserve">وما عداهما كإمام الجماعة والشاهد فالمعتبر هو حسن الظاهر، وإليه ذهبصاحب الحدائق </w:t>
      </w:r>
      <w:r>
        <w:rPr>
          <w:rStyle w:val="FootnoteAnchor"/>
          <w:rtl w:val="true"/>
        </w:rPr>
        <w:footnoteReference w:id="79"/>
      </w:r>
      <w:r>
        <w:rPr>
          <w:rFonts w:ascii="Amiri" w:hAnsi="Amiri" w:eastAsia="Amiri" w:cs="Amiri"/>
          <w:color w:val="111111"/>
          <w:sz w:val="28"/>
          <w:sz w:val="28"/>
          <w:szCs w:val="28"/>
          <w:rtl w:val="true"/>
          <w:lang w:bidi="ar-SA"/>
        </w:rPr>
        <w:t>، ونسب إلى غيره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الأقوال الّتي عثرنا عليها في المقام والفرق بين كلّ منها واضح فإنّ كلّ قول أعمّ من لاحقه والقول الأوّل هو أعمّ الأقوال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أوردت عليه عدّة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أهمّها ما أورده شيخنا الأنصاري </w:t>
      </w:r>
      <w:r>
        <w:rPr>
          <w:rStyle w:val="FootnoteAnchor"/>
          <w:rtl w:val="true"/>
        </w:rPr>
        <w:footnoteReference w:id="80"/>
      </w:r>
      <w:r>
        <w:rPr>
          <w:rFonts w:ascii="Amiri" w:hAnsi="Amiri" w:eastAsia="Amiri" w:cs="Amiri"/>
          <w:color w:val="111111"/>
          <w:sz w:val="28"/>
          <w:sz w:val="28"/>
          <w:szCs w:val="28"/>
          <w:rtl w:val="true"/>
          <w:lang w:bidi="ar-SA"/>
        </w:rPr>
        <w:t xml:space="preserve">على القول الثالث، وتبعه السيّد الأستاذ </w:t>
      </w:r>
      <w:r>
        <w:rPr>
          <w:rStyle w:val="FootnoteAnchor"/>
          <w:rtl w:val="true"/>
        </w:rPr>
        <w:footnoteReference w:id="81"/>
      </w:r>
      <w:r>
        <w:rPr>
          <w:rFonts w:ascii="Amiri" w:hAnsi="Amiri" w:eastAsia="Amiri" w:cs="Amiri"/>
          <w:color w:val="111111"/>
          <w:sz w:val="28"/>
          <w:sz w:val="28"/>
          <w:szCs w:val="28"/>
          <w:rtl w:val="true"/>
          <w:lang w:bidi="ar-SA"/>
        </w:rPr>
        <w:t>على ذلك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القول الثالث يرجع إلى القول الخامس وكلاهما يشكّلان قولاً واحداً، وذلك لأنّ المراد من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الباعثة على نحو الفعلية لا على نحو المقتضي فقط وهذا هو عين القول الخامس، وإلاّ فلو قلنا إنّهما قولان يكون مرتكب الكبيرة بناء على القول الثالث عادلاً وعلى القول الخامس فاسقاً، إذ ارتكابه للكبيرة مع تحقق الملكة فيه لا يضرّ بعدالته، والحال أنّه بارتكابه للكبيرة يصبح فاسقاً بلا إشكال فيكون فاسقاً وعادلاً في آن واحد، فلابدّ أن يكون المراد هي الملكة الباعثة على فعل الواجبات وترك المحرّمات على نحو الفعلية فيرجع إلى القول الخامس لا أنّه قول في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الإشكال في غير محلّه وذلك لأنّ هذا اللازم لا يأتي حتى بناء على القول الثالث، لأنّ القائل به يشترط عدم ارتكاب الكبيرة وإذا ارتكبها خرج عن كونه عادلاً بغض النظر عن وجود الملكة وعدمها، مضافاً إلى ما ذكرنا من أنّ القول الثالث أعمّ من الخامس وأعمّيته من وجهين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كون العدالة هي الملكة المقتضية للاتيان بالواجبات وترك المحرّمات فلو كان ترك المحرّمات متحقق لكن لا بداعي الملكة بل بداع آخر فهو متصف بالعدالة لوجود الملكة، بخلاف القول الخامس فإنّ الاتيان بالواجبات وترك المحرّمات لابدّ أن يكون بداعي الملكة، فبناء عليه لو أتى </w:t>
      </w:r>
    </w:p>
    <w:p>
      <w:pPr>
        <w:pStyle w:val="BookText"/>
        <w:rPr/>
      </w:pPr>
      <w:r>
        <w:rPr>
          <w:rFonts w:ascii="Amiri" w:hAnsi="Amiri" w:eastAsia="Amiri" w:cs="Amiri"/>
          <w:color w:val="111111"/>
          <w:sz w:val="28"/>
          <w:sz w:val="28"/>
          <w:szCs w:val="28"/>
          <w:rtl w:val="true"/>
          <w:lang w:bidi="ar-SA"/>
        </w:rPr>
        <w:t>بالواجبات وترك المحرّمات لا عن ملكة فلا يوصف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الملكة متحققة في الشخص ولكن لم يكن هناك اقتضاء للاتيان بالواجبات وترك للمحرّمات، كما إذا كان في أوّل البلوغ مثلاً، أو كان نائماً أو ساهياً، فبناء على القول الثالث هو عادل، وأمّا على القول الخامس فلا يوصف بالعدالة، لأنّ الشرط هو صدور الفعل عن ملكة، أي ملاحظة المقتضي والمقتضى معاً، وعليه فالفرق بين القولين واضح والقول الثالث أعمّ من وجهين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بقية الاشكالات فلا داعي لذكرها بعد ذكرنا لأهمّها</w:t>
      </w:r>
      <w:r>
        <w:rPr>
          <w:rFonts w:eastAsia="Amiri" w:cs="Amiri" w:ascii="Amiri" w:hAnsi="Amiri"/>
          <w:color w:val="111111"/>
          <w:sz w:val="28"/>
          <w:szCs w:val="28"/>
          <w:rtl w:val="true"/>
          <w:lang w:bidi="ar-SA"/>
        </w:rPr>
        <w:t xml:space="preserve">. </w:t>
      </w:r>
      <w:bookmarkStart w:id="75" w:name="pg8631_94901"/>
    </w:p>
    <w:p>
      <w:pPr>
        <w:pStyle w:val="Heading4"/>
        <w:numPr>
          <w:ilvl w:val="3"/>
          <w:numId w:val="1"/>
        </w:numPr>
        <w:rPr/>
      </w:pPr>
      <w:bookmarkStart w:id="76" w:name="__RefHeading___Toc2192929_653776707"/>
      <w:bookmarkStart w:id="77" w:name="_Toc23"/>
      <w:bookmarkEnd w:id="75"/>
      <w:bookmarkEnd w:id="76"/>
      <w:r>
        <w:rPr>
          <w:rtl w:val="true"/>
        </w:rPr>
        <w:t>أدلة الأقوال ومناقشتها</w:t>
      </w:r>
      <w:bookmarkEnd w:id="77"/>
    </w:p>
    <w:p>
      <w:pPr>
        <w:pStyle w:val="Heading5"/>
        <w:numPr>
          <w:ilvl w:val="4"/>
          <w:numId w:val="1"/>
        </w:numPr>
        <w:rPr/>
      </w:pPr>
      <w:bookmarkStart w:id="78" w:name="__RefHeading___Toc2192931_653776707"/>
      <w:bookmarkStart w:id="79" w:name="_Toc24"/>
      <w:bookmarkEnd w:id="78"/>
      <w:r>
        <w:rPr>
          <w:rtl w:val="true"/>
        </w:rPr>
        <w:t>القول الأوّل</w:t>
      </w:r>
      <w:r>
        <w:rPr>
          <w:rtl w:val="true"/>
        </w:rPr>
        <w:t>:</w:t>
      </w:r>
      <w:bookmarkEnd w:id="79"/>
    </w:p>
    <w:p>
      <w:pPr>
        <w:pStyle w:val="Heading6"/>
        <w:numPr>
          <w:ilvl w:val="5"/>
          <w:numId w:val="1"/>
        </w:numPr>
        <w:rPr/>
      </w:pPr>
      <w:bookmarkStart w:id="80" w:name="__RefHeading___Toc2192933_653776707"/>
      <w:bookmarkStart w:id="81" w:name="_Toc25"/>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فقد استدل له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في أفعال المسلمين، ولازمه الحكم بعدم وقوع ما يوجب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حملنا فعل المسلم على الصحة فمعناه عدم ارتكابه ما يوجب الفسق وسقوط العدالة فلابدّ من الحكم بعدالته لعدم الواسطة بينهما وفي كلام الشيخ في الخلاف ما يشعر بأنّ الأصل في الإسلام العدالة والفسق طارى ء عليه ويحتاج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على ذلك كما في الخلاف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وهي عدّة ذكر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عشراً منها، وسيأتي الكلام حولها مفصلاً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أيّد هذا القول بتأييدات أربعة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لم نعتبر العدالة بهذا المعنى فلا يكاد ينتظم لحاكم حكمه ولا </w:t>
      </w:r>
    </w:p>
    <w:p>
      <w:pPr>
        <w:pStyle w:val="BookText"/>
        <w:rPr/>
      </w:pPr>
      <w:r>
        <w:rPr>
          <w:rFonts w:ascii="Amiri" w:hAnsi="Amiri" w:eastAsia="Amiri" w:cs="Amiri"/>
          <w:color w:val="111111"/>
          <w:sz w:val="28"/>
          <w:sz w:val="28"/>
          <w:szCs w:val="28"/>
          <w:rtl w:val="true"/>
          <w:lang w:bidi="ar-SA"/>
        </w:rPr>
        <w:t>سيّما في البلاد الكبيرة والقاضي القادم إليها، بل يوجب ذلك تعطيل كثير من الأحكام في الخصومات والمرافعات وفي ذلك عسر وحرج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من الروايات في الحث على الجماعة والترغيب فيها يشعر بتيسر إمام الجماعة في كلّ زمان ومكان، ولو كان لابدّ من إحراز العدالة فلا يكاد يتيسر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هو الإطلاق،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هو التقييد، وبعد حمل المطلق على المقيد تكون النتيجة هو اشتراط عدالة الشاهد، والقدر المتيقن منها هو الإسلام مع عدم ظهور الفسق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المستبعد، بل من الممتنع عادة أنّ النبي صلى الله عليه وآله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من القضاة والحكام مع كثرة المرافعات والمراجعات كانوا يفحصون عن عدالة الأشخاص والمتيقن من سيرتهم أنّهم كانوا يكتفون بإسلام الشخص وعدم ظهور فسق منه ويرتبون على ذلك آثار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تتبع أحوال الشخص أمر حادث والّذي أحدثه شريك بن عبد اللَّه القاضي وإلاّ فالأصل هو الاكتفاء بالإسلام وعدم ظهور الفسق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 آداب القضاء، المسألة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غاية ما يقال في الاستدلال لهذا القول والتأييد له</w:t>
      </w:r>
      <w:r>
        <w:rPr>
          <w:rFonts w:eastAsia="Amiri" w:cs="Amiri" w:ascii="Amiri" w:hAnsi="Amiri"/>
          <w:color w:val="111111"/>
          <w:sz w:val="28"/>
          <w:szCs w:val="28"/>
          <w:rtl w:val="true"/>
          <w:lang w:bidi="ar-SA"/>
        </w:rPr>
        <w:t xml:space="preserve">. </w:t>
      </w:r>
      <w:bookmarkStart w:id="82" w:name="pg8631_94903"/>
    </w:p>
    <w:p>
      <w:pPr>
        <w:pStyle w:val="Heading6"/>
        <w:numPr>
          <w:ilvl w:val="5"/>
          <w:numId w:val="1"/>
        </w:numPr>
        <w:rPr/>
      </w:pPr>
      <w:bookmarkStart w:id="83" w:name="__RefHeading___Toc2192935_653776707"/>
      <w:bookmarkStart w:id="84" w:name="_Toc26"/>
      <w:bookmarkEnd w:id="82"/>
      <w:bookmarkEnd w:id="83"/>
      <w:r>
        <w:rPr>
          <w:rtl w:val="true"/>
        </w:rPr>
        <w:t>مناقشة القول الأوّل</w:t>
      </w:r>
      <w:r>
        <w:rPr>
          <w:rtl w:val="true"/>
        </w:rPr>
        <w:t>:</w:t>
      </w:r>
      <w:bookmarkEnd w:id="84"/>
    </w:p>
    <w:p>
      <w:pPr>
        <w:pStyle w:val="Heading6"/>
        <w:numPr>
          <w:ilvl w:val="5"/>
          <w:numId w:val="1"/>
        </w:numPr>
        <w:rPr/>
      </w:pPr>
      <w:bookmarkStart w:id="85" w:name="__RefHeading___Toc2192937_653776707"/>
      <w:bookmarkStart w:id="86" w:name="_Toc27"/>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والنظر في هذا القول يقتضي الكلام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هذا القول والقائل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تمامية الأدلة وعدمها</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2192939_653776707"/>
      <w:bookmarkStart w:id="88" w:name="_Toc28"/>
      <w:bookmarkEnd w:id="87"/>
      <w:r>
        <w:rPr>
          <w:rtl w:val="true"/>
        </w:rPr>
        <w:t>الجهة الأولى</w:t>
      </w:r>
      <w:r>
        <w:rPr>
          <w:rtl w:val="true"/>
        </w:rPr>
        <w:t>:</w:t>
      </w:r>
      <w:bookmarkEnd w:id="88"/>
    </w:p>
    <w:p>
      <w:pPr>
        <w:pStyle w:val="BookText"/>
        <w:rPr/>
      </w:pPr>
      <w:r>
        <w:rPr>
          <w:rFonts w:ascii="Amiri" w:hAnsi="Amiri" w:eastAsia="Amiri" w:cs="Amiri"/>
          <w:color w:val="111111"/>
          <w:sz w:val="28"/>
          <w:sz w:val="28"/>
          <w:szCs w:val="28"/>
          <w:rtl w:val="true"/>
          <w:lang w:bidi="ar-SA"/>
        </w:rPr>
        <w:t>فقد يناقش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معقولية هذا القول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قائل به، بل لا يعرف له قائل لا تصريحاً ولا تلويحاً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الالتزام بهذا القول محاذير ثلاثة، ذكر الأولين منهما شيخنا الأنصاري في رسالته وحاصلهما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هذا القول تكون العدالة بوجودها الواقعي ووجودها الذهني شيئاً واحداً والحال أنّ الفسق أمر واقعي وهو ضد العدالة فيلزم أن يكون الشخص إذا كان مستور الظاهر وفي الواقع كان مرتكباً للكبائر عادلاً وفاسقاً واقعاً وهذا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هذا القول أن يكون الشخص الّذي يتبين فسقه صيرورته فاسقاً بانكشاف فسقه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الشخص مستوراً وغير مظهر للفسق إلى مدّة ثمّ </w:t>
      </w:r>
    </w:p>
    <w:p>
      <w:pPr>
        <w:pStyle w:val="BookText"/>
        <w:rPr/>
      </w:pPr>
      <w:r>
        <w:rPr>
          <w:rFonts w:ascii="Amiri" w:hAnsi="Amiri" w:eastAsia="Amiri" w:cs="Amiri"/>
          <w:color w:val="111111"/>
          <w:sz w:val="28"/>
          <w:sz w:val="28"/>
          <w:szCs w:val="28"/>
          <w:rtl w:val="true"/>
          <w:lang w:bidi="ar-SA"/>
        </w:rPr>
        <w:t>انكشف أنّه كان مرتكباً للكبائر فهل يقال إنّه الآن صار فاسقاً، أو يقال إنّه تبيّن فسقه؟</w:t>
      </w:r>
    </w:p>
    <w:p>
      <w:pPr>
        <w:pStyle w:val="BookText"/>
        <w:rPr/>
      </w:pPr>
      <w:r>
        <w:rPr>
          <w:rFonts w:ascii="Amiri" w:hAnsi="Amiri" w:eastAsia="Amiri" w:cs="Amiri"/>
          <w:color w:val="111111"/>
          <w:sz w:val="28"/>
          <w:sz w:val="28"/>
          <w:szCs w:val="28"/>
          <w:rtl w:val="true"/>
          <w:lang w:bidi="ar-SA"/>
        </w:rPr>
        <w:t>لا إشكال في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فسقه مع أنّ لازم هذا القول هو الأوّل وهذا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الاصفهاني رحمه الله </w:t>
      </w:r>
      <w:r>
        <w:rPr>
          <w:rStyle w:val="FootnoteAnchor"/>
          <w:rtl w:val="true"/>
        </w:rPr>
        <w:footnoteReference w:id="87"/>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أن تكون هناك ضابطة للعدالة لأنّها حينئذ تكون أمراً اضافياً تختلف باختلاف الأشخاص بل في شخص واحد، فقد يكون بالنسبة إلى أهل بلده مستور الحال بينما بالنسبة إلى محلته ليس مستوراً، أو في محلته مستوراً بينما في بيته مكشوفاً وهكذا، فشخص واحد يختلف حاله باختلاف ارتباطه بغيره وعلى هذا فلا ضابطة للعدالة يرجع إليها وتكون مقياساً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الإيراد كما يرد على هذا القول يرد على القول الثاني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المحقّق الاصفهاني </w:t>
      </w:r>
      <w:r>
        <w:rPr>
          <w:rStyle w:val="FootnoteAnchor"/>
          <w:rtl w:val="true"/>
        </w:rPr>
        <w:footnoteReference w:id="88"/>
      </w:r>
      <w:r>
        <w:rPr>
          <w:rFonts w:ascii="Amiri" w:hAnsi="Amiri" w:eastAsia="Amiri" w:cs="Amiri"/>
          <w:color w:val="111111"/>
          <w:sz w:val="28"/>
          <w:sz w:val="28"/>
          <w:szCs w:val="28"/>
          <w:rtl w:val="true"/>
          <w:lang w:bidi="ar-SA"/>
        </w:rPr>
        <w:t>عن هذه المحاذير الثلاثة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المحذور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ذلك اجتماع الفسق والعدالة وذلك لأنّا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الفسق عدالة واقعية والفسق أمر واقعي فالإشكال في محلّه، 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مراد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العدالة هي عدم ظهور الفسق، وعدم العدالة هو ظهور الفسق لا واقع الفسق، فعلى كلا الطرفين يكون الظهور وعدم الظهور هو المناط، والظهور وعدمه أمر واقعي ولا مانع من أن يكون الظهور هو موضوع الأحكام الشرعية، وحينئذ فلا يلزم المحذور ولا يرد الإشكال لأنّ عدم الفسق هو العدالة الواقعية، وظهور الفسق هو عدم العدالةوهو أمر واقعي وهو موضوع للأحكام </w:t>
      </w:r>
    </w:p>
    <w:p>
      <w:pPr>
        <w:pStyle w:val="BookText"/>
        <w:rPr/>
      </w:pPr>
      <w:r>
        <w:rPr>
          <w:rFonts w:ascii="Amiri" w:hAnsi="Amiri" w:eastAsia="Amiri" w:cs="Amiri"/>
          <w:color w:val="111111"/>
          <w:sz w:val="28"/>
          <w:sz w:val="28"/>
          <w:szCs w:val="28"/>
          <w:rtl w:val="true"/>
          <w:lang w:bidi="ar-SA"/>
        </w:rPr>
        <w:t>المترتبة من قبول الشهادة وإمامة الجماعة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المحذور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بهذا أيضاً وذلك لأنّ الفسق الّذي يكون موضوع الحكم الشرعي هو من حين التبين لا الّذي كان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المحذور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في جوابه ليكن الأمر كذلك ولتكن الأحكام مختلفة باختلاف الأشخاص والأمر في ذلك يرجع إلى المكلف بحسب تشخيصه، فإن عرف أنّه فاسق رتّب عليه أحكام الفسق، وإن لم يَعرِف أنّه فاسق حكم عليه بالعدالة، وهذا أمر واقع خارجاً فإمام الجماعة قد يكون عند زيد فاسقاً وهو عند عمرو عادلاً ولا ضير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انتفاء ضابطة العدالة فقد تقدّم أنّ المناط هو ظهور الفسق وعدمه وهذا يصلح أن يكون ضابطة للعدالة ولا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فما أورده الشيخ في رسالته على عدم معقولية هذا القول </w:t>
      </w:r>
      <w:r>
        <w:rPr>
          <w:rStyle w:val="FootnoteAnchor"/>
          <w:rtl w:val="true"/>
        </w:rPr>
        <w:footnoteReference w:id="89"/>
      </w:r>
      <w:r>
        <w:rPr>
          <w:rFonts w:ascii="Amiri" w:hAnsi="Amiri" w:eastAsia="Amiri" w:cs="Amiri"/>
          <w:color w:val="111111"/>
          <w:sz w:val="28"/>
          <w:sz w:val="28"/>
          <w:szCs w:val="28"/>
          <w:rtl w:val="true"/>
          <w:lang w:bidi="ar-SA"/>
        </w:rPr>
        <w:t>،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هل لهذا القول قائل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أنكر شيخنا الأنصاري أن يكون لهذا القول قائل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يصرّح أحد من القدماء بهذا القول ولا ظاهر من كلامهم ولا مومى إليه وإن دارت حكايتهم عنه في ألسنة بعض المتأخرين ونقل كلمات القدماء في المقام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لتحقيق الأمر من ذكر كلماتهم لنرى ما إذا كان بالإمكان معرفةالقائل به من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عند الحاكم شاهدان يعرف إسلامهما، ولا يعرف فيهما جرح، حكم بشهادتهما، ولا يقف على البحث إلاّ أن يجرح المحكوم عليه فيهما،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فاسقان، فحينئذ يجب عليه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شهادتهما في الأموال، والنكاح، والطلاق، والنسب كما قلناه، وإن كانت في قصاص، أو حدّ لا يحكم حتى يبحث عن عدالتهما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يوسف، ومحمد،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أن يحكم حتى يبحث عنهما فإذا عرفهما عدلين حكم، وإلاّ توقف في جميع الأشياء، ولم يخصوا به شيئاً دون 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الأصل في الإسلام العدالة، والفسق طار عليه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نحن نعلم أنّه ما كان البحث في أيّام النبي صلى الله عليه وآله، ولا أيّام الصحابة، ولا أيّام التابعين، وإنّما هو شي ء أحدثه شريك بن عبد اللَّه القاضي، فلو كان شرطاً ما أجمع أهل الأعصار على تركه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 آداب القضاء المسألة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الّذي يجوز قبول شهادته للمسلمين وعليهم، هو أن يكون ظاهره ظاهر الإيمان، ثمّ يعرف بالستر والصلاح والعفاف والكفّ عن البطن والفرج واليد واللسان، ويعرف باجتناب الكبائر الّتي أوعد اللَّه تعالى عليها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والزنا، والربا، وعقوق الوالدين، والفرار منالزحف،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الساتر لجميع عيوبه، ويكون متعاهداً للصلوات الخمس، مواظباً عليهنَّ، </w:t>
      </w:r>
    </w:p>
    <w:p>
      <w:pPr>
        <w:pStyle w:val="BookText"/>
        <w:rPr/>
      </w:pPr>
      <w:r>
        <w:rPr>
          <w:rFonts w:ascii="Amiri" w:hAnsi="Amiri" w:eastAsia="Amiri" w:cs="Amiri"/>
          <w:color w:val="111111"/>
          <w:sz w:val="28"/>
          <w:sz w:val="28"/>
          <w:szCs w:val="28"/>
          <w:rtl w:val="true"/>
          <w:lang w:bidi="ar-SA"/>
        </w:rPr>
        <w:t xml:space="preserve">حافظاً لمواقيتهنَّ، متوفِّراً على حضور جماعة المسلمين، غير متخلِّف عنه إلاّ لمرض أو علَّة أو عُذر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اللغة أن يكون الإنسان متعادل الأحوال متساوياً، وأمّا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كان عدلاً في دينه، عدلاً في مروَّته، عدلاً في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فالعدل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مسلماً ولا يُعرف منه شي ء من أسباب الفسوق، وفي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مجتنباً للأُمور الّتي تسقط المروّة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معروفاً بالدين والورع عن محارم اللَّه عزّوجلّ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عبارته في كتاب الاشراف المطبوع قال في باب عدد ما يجب به الاجتماع في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أربعة نفر بما يأتي ذكره من هذه الصفات، ووجود خامس يؤمّهم له صفات يختص بها على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الإيمان والعدالة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السيّد العاملي نقل في مفتاح الكرامة قول الشيخ المفيدرحمه الله أنّه يكفي في قبول الشهادة ظاهر الإسلام مع عدم ظهور ما يقدح فيالعدالة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شرط في قبول الشهادة على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w:t>
      </w:r>
    </w:p>
    <w:p>
      <w:pPr>
        <w:pStyle w:val="BookText"/>
        <w:rPr/>
      </w:pPr>
      <w:r>
        <w:rPr>
          <w:rFonts w:ascii="Amiri" w:hAnsi="Amiri" w:eastAsia="Amiri" w:cs="Amiri"/>
          <w:color w:val="111111"/>
          <w:sz w:val="28"/>
          <w:sz w:val="28"/>
          <w:szCs w:val="28"/>
          <w:rtl w:val="true"/>
          <w:lang w:bidi="ar-SA"/>
        </w:rPr>
        <w:t xml:space="preserve">حكمها بالبلوغ وكمال العقل والإيمان واجتناب القبائح أجمع، وانتفاء الظنّة بالعداوة أو الحسد أو المنافسة أو المملكة أو الشركة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الشاهد حُرّاً بالغاً مؤمناً بصيراً معروف النسب مرضيّاً غير مشهور بكذب في شهادة، ولا بارتكاب كبيرة، ولا مقام على صغيرة، حسن التيقّظ، عالماً بمعالي الأقوال، عارفاً بأحكام الشهادة، غير معروف بحيف على معامل، ولا تهاون بواجب من علم أو عمل، ولا معروف بمعاشرة أهل الباطل، ولا الدخول في جملتهم، ولا بالحرص على الدنيا، ولا بساقط المروءة، بريئاً عن أهواء أهل البِدَع الّتي توجب على المؤمنين البراءة من أهلها، فهو من أهل العدالة المقبول شهادتهم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 صاحب السرائر قريب ممّا في المبسوط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عدلاً في دينه، عدلاً في مروّته، عدلاً في أحكامه، فالعدل في الدين أن لا يخل بواجب، ولا يرتكب قبيحاً،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يُعرف بشي ء من أسباب</w:t>
      </w:r>
    </w:p>
    <w:p>
      <w:pPr>
        <w:pStyle w:val="BookText"/>
        <w:rPr/>
      </w:pPr>
      <w:r>
        <w:rPr>
          <w:rFonts w:ascii="Amiri" w:hAnsi="Amiri" w:eastAsia="Amiri" w:cs="Amiri"/>
          <w:color w:val="111111"/>
          <w:sz w:val="28"/>
          <w:sz w:val="28"/>
          <w:szCs w:val="28"/>
          <w:rtl w:val="true"/>
          <w:lang w:bidi="ar-SA"/>
        </w:rPr>
        <w:t>الفسق، وهذا قريب أيضاً، وفي المروّة أن يكون مجتنباً للأمور الّتي تسقط المروّة، مثل الأكل في الطرقات، ولبس ثياب المصبغات للنساء،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في الأحكام أن يكون بالغاً عاقلاً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كلمات القدماء الّذين ينسب إليهم هذا القول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عبارة الشيخ المفيد لا دلالة فيها على القول بأنّ العدالة هي الإسلام مع عدم ظهور الفسق،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معناه لابدّ أن يكون </w:t>
      </w:r>
    </w:p>
    <w:p>
      <w:pPr>
        <w:pStyle w:val="BookText"/>
        <w:rPr/>
      </w:pPr>
      <w:r>
        <w:rPr>
          <w:rFonts w:ascii="Amiri" w:hAnsi="Amiri" w:eastAsia="Amiri" w:cs="Amiri"/>
          <w:color w:val="111111"/>
          <w:sz w:val="28"/>
          <w:sz w:val="28"/>
          <w:szCs w:val="28"/>
          <w:rtl w:val="true"/>
          <w:lang w:bidi="ar-SA"/>
        </w:rPr>
        <w:t>ذلك محرزاً فعبارته على العكس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بالنسبة إلى أبي الصلاح، وابن الجنيد، وابن إدريس، فإنّ كلماتهم لا دلالة فيها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الكلام في عبارة الشيخ في الخلاف، وأمّا عبارتا المبسوط والنهاية، فهما مطابقتان لما في الروايات، وحينئذ يقع التنافي بين كلام الشيخ في الخلاف وبين كلامه في المبسوط والنهاية، ويمكن أن يوجه كلامه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متعارضان فيتساقطان، ويرجع إلى ما تقدّم من عدم إحراز القائل وهذا هو الظاهر من صاحب الحدائق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تمامية هذا القول تتوقف على عدم معلومية المتقدّم والمتأخر من قولي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بأن يقال إنّ مراده في الخلاف ظهور عدم</w:t>
      </w:r>
    </w:p>
    <w:p>
      <w:pPr>
        <w:pStyle w:val="BookText"/>
        <w:rPr/>
      </w:pPr>
      <w:r>
        <w:rPr>
          <w:rFonts w:ascii="Amiri" w:hAnsi="Amiri" w:eastAsia="Amiri" w:cs="Amiri"/>
          <w:color w:val="111111"/>
          <w:sz w:val="28"/>
          <w:sz w:val="28"/>
          <w:szCs w:val="28"/>
          <w:rtl w:val="true"/>
          <w:lang w:bidi="ar-SA"/>
        </w:rPr>
        <w:t>الفسق لا مجرد عدم الظهور، بمعنى أن يكون حال الشخص معلوماً، وحينئذ لا يحتاج إلى الفحص والتفتيش عن باطنه، وليس أنّه مجهول من 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كونه عادلاً معناها أنّه معروف الحال عند الحاكم وظاهره عدم الفسق ولا حاجة معه إلى التدقيق في حاله والتفتيش عن باطنه وبهذايمكن الجمع بين كلماته ويرتفع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هذا الجمع ما يستظهر من عبارات الشيخ في عدّة موارد من الخلاف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الغرباء في بلد عند الحاكم، فشهد عنده اثنان، </w:t>
      </w:r>
    </w:p>
    <w:p>
      <w:pPr>
        <w:pStyle w:val="BookText"/>
        <w:rPr/>
      </w:pPr>
      <w:r>
        <w:rPr>
          <w:rFonts w:ascii="Amiri" w:hAnsi="Amiri" w:eastAsia="Amiri" w:cs="Amiri"/>
          <w:color w:val="111111"/>
          <w:sz w:val="28"/>
          <w:sz w:val="28"/>
          <w:szCs w:val="28"/>
          <w:rtl w:val="true"/>
          <w:lang w:bidi="ar-SA"/>
        </w:rPr>
        <w:t>فإن عُرفا بعدالة حَكَم، وإن عُرفا بالفسق وَقَف، وإن لم يعرف عدالةً ولا فسقاً بحث عنهما، وسواء كان لهما السيماء الحسنة والمنظر الجميل وظاهر الصدق، وبه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المنظر الحسن توسم فيهما العدالة، حكم بشهادتهما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يكونا رجلين فرجل وامرأتان ممّن ترضون من الشّهداء</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وهذا ما رضي بهما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 كتاب آداب القضاء، المسألة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يستفاد من هذه العبارة أنّه لابدّ من البحث إذا كان غريباً، وأمّا إذا لم يكن كذلك فلا حاجة إلى البحث عن حاله لأنّه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سمّيا شاهد الأصل ولم يعدلا، سمعهما الحاكم وبحث عن عدالة الأصل، فإن وجده عدلاً حكم به، وإلاّ 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يوسف، والثوري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هذه الشهادة، لأنّهما لم يتركا تزكية الأصل إلاّ لريبة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دليلنا أنّهما إنّما يشهدان بما يعلمان، وقد يعلمان شهادة الأصل، فإن لم يعلما كونهما عدلين فلا يجوز لهما أن يشهدا بذلك، وعلى الحاكم أن يبحث عن عدالة الأصل، وليس لا يتركان ذلك إلاّ لريبة بل لما قلناه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 كتاب الشهادات، المسألة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الإسلام مع عدم ظهور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ساقطاً، وإمّا أن يكون محمولاً على ما في النهاية والمبسوط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القائل بهذا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أمران لابدّ من الإشارة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ضعف هذا القول يرد هنا تساؤل وهو كيف بنى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أنّ تصحيح القدماء لرواية أو طريق لا يكون دليلاً على اعتبار الوثاقة لأنّ بناءهم كان على أصالة العدالة وعدم ظهور الفسق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تصحيحات الكليني والصدوق للروايات والطرق مع أنّ المنسوب إلى الصدوق هو القول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وإن كنا قد عالجنا هذه النقطة بما لا مزيد عليه في أبحاثنا</w:t>
      </w:r>
    </w:p>
    <w:p>
      <w:pPr>
        <w:pStyle w:val="BookText"/>
        <w:rPr/>
      </w:pPr>
      <w:r>
        <w:rPr>
          <w:rFonts w:ascii="Amiri" w:hAnsi="Amiri" w:eastAsia="Amiri" w:cs="Amiri"/>
          <w:color w:val="111111"/>
          <w:sz w:val="28"/>
          <w:sz w:val="28"/>
          <w:szCs w:val="28"/>
          <w:rtl w:val="true"/>
          <w:lang w:bidi="ar-SA"/>
        </w:rPr>
        <w:t xml:space="preserve">الرجالية </w:t>
      </w:r>
      <w:r>
        <w:rPr>
          <w:rStyle w:val="FootnoteAnchor"/>
          <w:rtl w:val="true"/>
        </w:rPr>
        <w:footnoteReference w:id="105"/>
      </w:r>
      <w:r>
        <w:rPr>
          <w:rFonts w:ascii="Amiri" w:hAnsi="Amiri" w:eastAsia="Amiri" w:cs="Amiri"/>
          <w:color w:val="111111"/>
          <w:sz w:val="28"/>
          <w:sz w:val="28"/>
          <w:szCs w:val="28"/>
          <w:rtl w:val="true"/>
          <w:lang w:bidi="ar-SA"/>
        </w:rPr>
        <w:t>، إلاّ أنّنا نشير هنا إلى عدم ثبوت هذا القول في نفسه أصلاً فضلاً عن نسبته إلى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بوجود القائل ولا أقل من احتمال أنّ الشيخقائل به فهل يضر ذلك بتوثيقات الشيخ وأضرابه وتصحيحاتهم للروايات والطرق أو لا يضر؟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لا يضر أصلاً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ضعف القول في نفسه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الّذي يظهر من الشيخ في مواضع من كتاب العدّة، أنّ باب الخبر باب مستقل عن الشهادة وأنّه إذا كان يكتفى في الشهادة بالظنّ ففي الخبر لا يكتفى </w:t>
      </w:r>
    </w:p>
    <w:p>
      <w:pPr>
        <w:pStyle w:val="BookText"/>
        <w:rPr/>
      </w:pPr>
      <w:r>
        <w:rPr>
          <w:rFonts w:ascii="Amiri" w:hAnsi="Amiri" w:eastAsia="Amiri" w:cs="Amiri"/>
          <w:color w:val="111111"/>
          <w:sz w:val="28"/>
          <w:sz w:val="28"/>
          <w:szCs w:val="28"/>
          <w:rtl w:val="true"/>
          <w:lang w:bidi="ar-SA"/>
        </w:rPr>
        <w:t xml:space="preserve">به بل لابدّ من إحراز العدالة والوثاقة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حجية الخبر راداً على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أنّه يجب على المستفتي الرجوع إلى المفتي مع تجويزه الغلط عليه، فكذلك يجب الرجوع إلى خبر الواحد وإن جوّز على المخبر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الاستدلال به لأنّ لأصحابنا في هذه المسألة 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للمستفتي القبول من المفتي، بل يلزمه طلب الدليل كما لزم المفتي، فعلى هذا سقط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والمذهب الآخر أنّه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على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قياس، ولا خلاف أنّ هذه المسألة لا تثبت بالقياس لأنّ طريقها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استدلّوا بأشياء تجري مجرى ما ذكرنا، مثل حملهم ذلك على الشهادة وغير ذلك</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والجملة الّتي ذكرناها تنبه على طريقة الكلام على جميع ذلك فلا فائدة في التطويل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غير ذلك وفي ما أوردناه كفاية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يفرّق في المقامين وعلى فرض ثبوت نسبة القول إليه ولا أقل من احتمال عبارته في الخلاف إلاّ أنّ ذلك في الشهادة وأمثالها لا في الخبر وتفصيل الكلام في محلّه</w:t>
      </w:r>
      <w:r>
        <w:rPr>
          <w:rFonts w:eastAsia="Amiri" w:cs="Amiri" w:ascii="Amiri" w:hAnsi="Amiri"/>
          <w:color w:val="111111"/>
          <w:sz w:val="28"/>
          <w:szCs w:val="28"/>
          <w:rtl w:val="true"/>
          <w:lang w:bidi="ar-SA"/>
        </w:rPr>
        <w:t xml:space="preserve">. </w:t>
      </w:r>
      <w:bookmarkStart w:id="89" w:name="pg8631_94913"/>
    </w:p>
    <w:p>
      <w:pPr>
        <w:pStyle w:val="Heading6"/>
        <w:numPr>
          <w:ilvl w:val="5"/>
          <w:numId w:val="1"/>
        </w:numPr>
        <w:rPr/>
      </w:pPr>
      <w:bookmarkStart w:id="90" w:name="__RefHeading___Toc2192941_653776707"/>
      <w:bookmarkStart w:id="91" w:name="_Toc29"/>
      <w:bookmarkEnd w:id="89"/>
      <w:bookmarkEnd w:id="90"/>
      <w:r>
        <w:rPr>
          <w:rtl w:val="true"/>
        </w:rPr>
        <w:t>الجهة الثانية</w:t>
      </w:r>
      <w:r>
        <w:rPr>
          <w:rtl w:val="true"/>
        </w:rPr>
        <w:t>:</w:t>
      </w:r>
      <w:bookmarkEnd w:id="91"/>
    </w:p>
    <w:p>
      <w:pPr>
        <w:pStyle w:val="Heading6"/>
        <w:numPr>
          <w:ilvl w:val="5"/>
          <w:numId w:val="1"/>
        </w:numPr>
        <w:rPr/>
      </w:pPr>
      <w:bookmarkStart w:id="92" w:name="__RefHeading___Toc2192943_653776707"/>
      <w:bookmarkStart w:id="93" w:name="_Toc30"/>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وهي تمامية الأدلة والمؤيدات لهذا القول وعدمها، ومجمل الكلام أنّها قابلة للمناقشة وبيان ذلك</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2192945_653776707"/>
      <w:bookmarkStart w:id="95" w:name="_Toc31"/>
      <w:bookmarkEnd w:id="94"/>
      <w:r>
        <w:rPr>
          <w:rtl w:val="true"/>
        </w:rPr>
        <w:t>الدليل الأوّل</w:t>
      </w:r>
      <w:r>
        <w:rPr>
          <w:rtl w:val="true"/>
        </w:rPr>
        <w:t>:</w:t>
      </w:r>
      <w:bookmarkEnd w:id="95"/>
    </w:p>
    <w:p>
      <w:pPr>
        <w:pStyle w:val="BookText"/>
        <w:rPr/>
      </w:pPr>
      <w:r>
        <w:rPr>
          <w:rFonts w:ascii="Amiri" w:hAnsi="Amiri" w:eastAsia="Amiri" w:cs="Amiri"/>
          <w:color w:val="111111"/>
          <w:sz w:val="28"/>
          <w:sz w:val="28"/>
          <w:szCs w:val="28"/>
          <w:rtl w:val="true"/>
          <w:lang w:bidi="ar-SA"/>
        </w:rPr>
        <w:t>وهو الأصل فيمكن تقريبه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أصالة العدالة أي استصحاب عدم الفسق، بمعنى أنّا إذا شككنا أنّ هذا الشخص مثلاً صدر منه فسق أم لا نستصحب العدم، ولعلّ هذا هو مراد الشيخ من قوله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الإسلام</w:t>
      </w:r>
    </w:p>
    <w:p>
      <w:pPr>
        <w:pStyle w:val="BookText"/>
        <w:rPr/>
      </w:pPr>
      <w:r>
        <w:rPr>
          <w:rFonts w:ascii="Amiri" w:hAnsi="Amiri" w:eastAsia="Amiri" w:cs="Amiri"/>
          <w:color w:val="111111"/>
          <w:sz w:val="28"/>
          <w:sz w:val="28"/>
          <w:szCs w:val="28"/>
          <w:rtl w:val="true"/>
          <w:lang w:bidi="ar-SA"/>
        </w:rPr>
        <w:t xml:space="preserve">العدالة والفسق طار عليه يحتاج إلى دليل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قلنا إنّ العدالة شرط معتبر في هذه الموارد فهي ليست أمراً عدمياً حتى يمكن استصحابها بعدم صدور الفسق، بل هي أمر وجودي، والعدالة مركبة من شيئين أحدهما الإتيان بالواجبات والآخر ترك المحرّمات، لا أنّ العدالة هي ترك المحرّمات فقط لنستصحب العدم عند الشك، فاستصحابعدم ارتكاب الحرام لا يُثبت العدالة لكون الشق الآخر من المركب أمراً وجودياً وهو الاتيان بالواجبات وليس هو أمراً طارياً وله حالة سابقة حتى يمكن الاستصحاب، بل الأصل عدم العدالة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الأصل هو صحة فعل المسلم وحمل فعله على </w:t>
      </w:r>
    </w:p>
    <w:p>
      <w:pPr>
        <w:pStyle w:val="BookText"/>
        <w:rPr/>
      </w:pPr>
      <w:r>
        <w:rPr>
          <w:rFonts w:ascii="Amiri" w:hAnsi="Amiri" w:eastAsia="Amiri" w:cs="Amiri"/>
          <w:color w:val="111111"/>
          <w:sz w:val="28"/>
          <w:sz w:val="28"/>
          <w:szCs w:val="28"/>
          <w:rtl w:val="true"/>
          <w:lang w:bidi="ar-SA"/>
        </w:rPr>
        <w:t xml:space="preserve">الحسن كما ذكره في الجواهر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فعل المسلم على الصحة إن كان المراد به أنّ ما يأتي به المسلم من قول أو فعل محمول على الصحة بمعنى أنّه إذا أتى الشخص بفعل أو صدر منه قول وكان لذلك وجوه ومحتملات فلابدّ من حمل قوله أو فعله على الوجه الصحيح فهذا وإن كان لا إشكال فيه إلاّ أنّه خلاف ظاهر ما نحن فيه ولا تثبت به العدالة وغاية ما يثبت بذلك أنّ ما صدر عنه صحيح، أمّا أنّه يدلّ على أنّه عادل فلا، فحمل فعله وقوله على الصحة شي ء وكونه عادلاً شي ء آخر، مضافاً إلى أنّه أخص من المدعى وذلك لأنّ بعض الموارد لا يمكن فيها الحمل على الصحة كما في من تقدم للإمامة في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كليّ فعله، أي كلّ ما يفعله الشخص لا خصوص</w:t>
      </w:r>
    </w:p>
    <w:p>
      <w:pPr>
        <w:pStyle w:val="BookText"/>
        <w:rPr/>
      </w:pPr>
      <w:r>
        <w:rPr>
          <w:rFonts w:ascii="Amiri" w:hAnsi="Amiri" w:eastAsia="Amiri" w:cs="Amiri"/>
          <w:color w:val="111111"/>
          <w:sz w:val="28"/>
          <w:sz w:val="28"/>
          <w:szCs w:val="28"/>
          <w:rtl w:val="true"/>
          <w:lang w:bidi="ar-SA"/>
        </w:rPr>
        <w:t xml:space="preserve">المورد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لنا دليل على أصالة الصحة بهذه الكيفية في فعل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هو أنّ المسلم لا يخل بواجب ولا يأتي بمحرّم فهذا أيضاً ممّا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الموارد قام الدليل الخاص على ذلك، كما في قاعدة الحيلولة، كما إذا شك بعد خروج الوقت أنّه أتى بالواجب، أو أخلّ به، أمّا أنّهعلى نحو كلّي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يفيد في المقام لا دليل عليه، وما قام الدليل عليه لا يفيد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فالأصل بكلا تقريبيه وبجميع وجوهه مورد للإشكال</w:t>
      </w:r>
      <w:r>
        <w:rPr>
          <w:rFonts w:eastAsia="Amiri" w:cs="Amiri" w:ascii="Amiri" w:hAnsi="Amiri"/>
          <w:color w:val="111111"/>
          <w:sz w:val="28"/>
          <w:szCs w:val="28"/>
          <w:rtl w:val="true"/>
          <w:lang w:bidi="ar-SA"/>
        </w:rPr>
        <w:t xml:space="preserve">. </w:t>
      </w:r>
      <w:bookmarkStart w:id="96" w:name="pg8631_94915"/>
    </w:p>
    <w:p>
      <w:pPr>
        <w:pStyle w:val="BookText"/>
        <w:rPr/>
      </w:pPr>
      <w:bookmarkEnd w:id="96"/>
      <w:r>
        <w:rPr>
          <w:rFonts w:ascii="Amiri" w:hAnsi="Amiri" w:eastAsia="Amiri" w:cs="Amiri"/>
          <w:color w:val="111111"/>
          <w:sz w:val="28"/>
          <w:sz w:val="28"/>
          <w:szCs w:val="28"/>
          <w:rtl w:val="true"/>
          <w:lang w:bidi="ar-SA"/>
        </w:rPr>
        <w:t>هذا مضافاً إلى أنّ الأصل إنّما يتمسك به عند فقدان الدليل اللفظي ومع وجود الروايات فلا يبقى مجال للتمسّك به ولا تصل النوبة إليه</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2192947_653776707"/>
      <w:bookmarkStart w:id="98" w:name="_Toc32"/>
      <w:bookmarkEnd w:id="97"/>
      <w:r>
        <w:rPr>
          <w:rtl w:val="true"/>
        </w:rPr>
        <w:t>الدليل الثاني</w:t>
      </w:r>
      <w:r>
        <w:rPr>
          <w:rtl w:val="true"/>
        </w:rPr>
        <w:t>:</w:t>
      </w:r>
      <w:bookmarkEnd w:id="98"/>
    </w:p>
    <w:p>
      <w:pPr>
        <w:pStyle w:val="BookText"/>
        <w:rPr/>
      </w:pPr>
      <w:r>
        <w:rPr>
          <w:rFonts w:ascii="IRNazanin" w:hAnsi="IRNazanin" w:eastAsia="IRNazanin"/>
          <w:color w:val="111111"/>
          <w:sz w:val="28"/>
          <w:sz w:val="28"/>
          <w:szCs w:val="28"/>
          <w:rtl w:val="true"/>
          <w:lang w:bidi="fa-IR"/>
        </w:rPr>
        <w:t xml:space="preserve">وهو الإجماع، فقد تبيّن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ضعف القول في نفسه، أو عدم ثبوته أصلاً، أو بإرجاعه إلى بقية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دعوى الإجماع غير تامة، لاختلاف الأقوال في المسألة، مضافاً إلى الروايات الواردة في المقام، فلا يكون الإجماع كاشفاً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99" w:name="__RefHeading___Toc2192949_653776707"/>
      <w:bookmarkStart w:id="100" w:name="_Toc33"/>
      <w:bookmarkEnd w:id="99"/>
      <w:r>
        <w:rPr>
          <w:rtl w:val="true"/>
        </w:rPr>
        <w:t>الدليل الثالث</w:t>
      </w:r>
      <w:r>
        <w:rPr>
          <w:rtl w:val="true"/>
        </w:rPr>
        <w:t>:</w:t>
      </w:r>
      <w:bookmarkEnd w:id="100"/>
    </w:p>
    <w:p>
      <w:pPr>
        <w:pStyle w:val="BookText"/>
        <w:rPr/>
      </w:pPr>
      <w:r>
        <w:rPr>
          <w:rFonts w:ascii="Amiri" w:hAnsi="Amiri" w:eastAsia="Amiri" w:cs="Amiri"/>
          <w:color w:val="111111"/>
          <w:sz w:val="28"/>
          <w:sz w:val="28"/>
          <w:szCs w:val="28"/>
          <w:rtl w:val="true"/>
          <w:lang w:bidi="ar-SA"/>
        </w:rPr>
        <w:t>وهو الروايات الواردة في المقام، فقد أشرنا فيما تقدّم إلى أنّ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عشر روايات، وهذه الروايات بإضافة رواية أخرى يمكن تقسيمها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من تقبل شهادته ومن ترد، وهي خمس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إمام الجماعة وهي ثلاث روايات، وما ورد في الشهادة على الإطلاق وهي روايتان، وما ورد في اللعب بالحمام وهي روايةواحدة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هذين القسمين، ونبدأ بروايات القسم الثاني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روايات إمام الجماعة فهي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الرّحمن القصير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 xml:space="preserve">كان الرجل لا تعرفه يؤمّ الناس فيقرأ القرآن فلا تقرأ واعتد بقراءته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المستفاد من ظاهرها عدم الحاجة إلى الفحص عن حال الإمام ويكتفى بظاهره ويعتد بالصلاة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ابن أبي عمير، عن بعض أصحابه،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قوم خرجوا من خراسان أو بعض الجبال وكان يؤمّهم رجل، فلمّا صاروا إلى الكوفة علموا أنّه يهودي،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يعيدون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ودلالة الرواية على المدعى واضحة، فإذا كان إمام الجماعة يهودياً ومع ذلك حكم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الإعادة، فكيف بغيره إذا كان مسلماً ولم يظهر منه 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عمر بن يزيد أنّه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إمام لا بأس به في جميع أموره عارف، غير أنّه يُسمع أبويه الكلام الغليظ الّذي يغيظهما، أقرأ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تقرأ خلفه ما لم يكن عاقاً قاطعاً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الرواية هو صحة الإئتمام بمن هذه 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الروايات يمكن الاستدلال بها على أنّ من كان مسلماً ولم يظهر منه فسق يعامل معاملة العدالة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 شيئاً من هذه الروايات لا يصلح للاستدلال به على المدعى وذلك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وإن كانت من حيث السند معتبرة لأنّ عبد الرحمن القصير واقع في أسناد تفسير القمي فيمكن الاعتماد على روايته، إلاّ أنّها من حيث الدلالة غير تامة، لأنّ لفظ الناس الوارد في الرواية إمّا أن يراد به المؤمنون، أو يراد به المخالفون، فإن أريد به المؤمنون فيمكن أن يحصل الاطمئنان من إئتمام عدّة من المؤمنين بإمام فيكون ذلك كالتعديل له، وإن أريد به المخالفون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 الروايات التعبير عن المخالفين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محمولة على التقية، فلابد من حمل الرواية على أحد الوجهين، وبذلك يحصل الجمع بينها وبين ما ورد من الروايات الدالة على</w:t>
      </w:r>
    </w:p>
    <w:p>
      <w:pPr>
        <w:pStyle w:val="BookText"/>
        <w:rPr/>
      </w:pPr>
      <w:r>
        <w:rPr>
          <w:rFonts w:ascii="Amiri" w:hAnsi="Amiri" w:eastAsia="Amiri" w:cs="Amiri"/>
          <w:color w:val="111111"/>
          <w:sz w:val="28"/>
          <w:sz w:val="28"/>
          <w:szCs w:val="28"/>
          <w:rtl w:val="true"/>
          <w:lang w:bidi="ar-SA"/>
        </w:rPr>
        <w:t>اشتراط إحراز العدالة في إمام الجماعة، فالرواية لا دلالة فيها على كفاية الإسلام مع عدم ظهور الفسق في الحكم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وإن كانت مرسلة، إلاّ أنّ مراسيل ابن أبي عمير معتبرة كما حققناه في محلّه </w:t>
      </w:r>
      <w:r>
        <w:rPr>
          <w:rStyle w:val="FootnoteAnchor"/>
          <w:rtl w:val="true"/>
        </w:rPr>
        <w:footnoteReference w:id="113"/>
      </w:r>
      <w:r>
        <w:rPr>
          <w:rFonts w:ascii="IRNazanin" w:hAnsi="IRNazanin" w:eastAsia="IRNazanin"/>
          <w:color w:val="111111"/>
          <w:sz w:val="28"/>
          <w:sz w:val="28"/>
          <w:szCs w:val="28"/>
          <w:rtl w:val="true"/>
          <w:lang w:bidi="fa-IR"/>
        </w:rPr>
        <w:t>، فلا إشكال فيها من هذه الناحية، وإنّما الإشكال في دلالتها إذ الظاهر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حكم الإعادة وعدمها، وليس في مقام بيان كيفية الإقتداء، سواء كان الإمام عادلاً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يمكن القول أنّ المسألة فرضية لا واقعية، وأنّ الحكم فيها كالحكم في كون الإمام عادلاً، وافتراض كون إمام الجماعة يهودياً إنّما هو لبيان أسوأالاحتمالات في إمام الجماعة، ومع ذلك ففي صورة انكشاف الواقع لا حاجة إلى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يحتمل أنّ المراد من اليهودي ما هو بمنزلته من أهل النحل الباطلة والمذاهب الفاسدة من المخالفين لا أنّ المراد يهودي الديانة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 ربط لها بمسألة العدالة وإنّما هي ناظرة إلى حكم إعادة الصلاة في صورة انكشاف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حيث السند لا بأس بها، إلاّ أنّها من جهة الدلالة غير تامة،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الائتمام بمثل هذا الشخص المؤذي لأبويه وقد نهي عن إيذائهما بنص القرآن، إلاّ أن يحمل ذلك على قوله الحق لهما وإن كان فيه إيذاء، أو على عدم الإصرار، وذلك غير مضر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فالاستدلال بالرواية غير تام، لأنّ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به في جميع أموره، يعني أنّه معروف بالعدالة فهذه الرواية أجنبية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الإشهاد على الطلاق، فهما روايتان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وأشهد شاهدين ناصبيّين،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ولد على الفطرة وعُرف بالصلاح في نفسه جازت شهادته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طلّقامرأته بعدما غشيها بشهادة عدلين،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طلاقاً،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طلاق السنّة؟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يطلّقها إذا طهرت من حيضها قبل أن يغشيها بشاهدين عدلين، كما قال اللَّه عزّوجلّ في كتابه، فإن خالف ذلك ردّ إلى كتاب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 على طهر من غير جماع بشاهد وامرأتين،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في الطلاق، وقد تجوز شهادتهنّ مع غيرهنّ في الدم إذا حضرنه،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أشهد رجلين ناصبيّين على الطلاق، أيكون طلاقاً؟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على الفطرة </w:t>
      </w:r>
    </w:p>
    <w:p>
      <w:pPr>
        <w:pStyle w:val="BookText"/>
        <w:rPr/>
      </w:pPr>
      <w:r>
        <w:rPr>
          <w:rFonts w:ascii="Amiri" w:hAnsi="Amiri" w:eastAsia="Amiri" w:cs="Amiri"/>
          <w:color w:val="111111"/>
          <w:sz w:val="28"/>
          <w:sz w:val="28"/>
          <w:szCs w:val="28"/>
          <w:rtl w:val="true"/>
          <w:lang w:bidi="ar-SA"/>
        </w:rPr>
        <w:t xml:space="preserve">أُجيزت شهادته على الطلاق، بعد أن يُعرف منه خير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وكلتا الروايتين في محل الكلام بمضمون واحد، وقد استدل بهما على أنّ من ولد على الفطرة ولم يُعرف منه فسق فهو عادل وتصح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وإن كانت الروايتان من حيث السند لا إشكال فيهما، إلاّ أنّهما من حيث الدلالة غير تامتين،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الروايتين أنّ السؤال عن شهادة الناصبي وجواز إشهاده، وهذا غير صحيح لما ورد في كثير من الروايات من أنّ الناصبي لا تقبل شهادته لأنّه فاسق، بل كافر نجس العين، فلا يمكن الأخذ بظاهرهما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ذيل الروايتين يدل على كون الشاهد معروفاً بالصلاح، ففي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بالصلاح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يُعرف منه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مساوق للعدالة، لا أنّه لم يظهر منه فسق، فيعلم من ذلك أنّ الروايتين تدلان على خلاف ما ادعي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يجب صراحة عن السؤال بل أجاب بأمر كلّيعام، ولعلّ عدم تصريحه ببطلان شهادة الناصبي للتقيّة، وذلك ممّا يشعر به ذيل كلّ من الروايتين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رواية اللاعب بالحمام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رواية العلاء بن سيّابة،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من يلعب بالحمام؟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كان لا يُعرف بفسق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استدل بهذه الرواية بكفاية عدم ظهور الفسق في الحكم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الرواية وإن كانت من حيث السند لا إشكال فيها، إلاّ أنّ دلالتها محل إشكال، وذلك لأنّ هذه الرواية وإن اشتملت على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لا يُعرف بفسق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حول هذه الجملة، إلاّ أنّ عين هذه الرواية وردت مذيلة بما يرفع الإشكال عن شهادة اللاعب بالحمام من حيث هو لاعب به،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الفقيه بسنده عن العلاء بن سيّابة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من يلعب بالحمام؟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كان لا يُعرف بفسق،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قبلنا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شيطان،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أما علمت أنَّ رسول اللَّه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الملائكة لتنفر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الرهان، وتلعن صاحبه ما خلا الحافر والخفّ والريش والنصل، فإنّها تحضره الملائكة، وقد سابق رسول اللَّه صلى الله عليه وآله أُسامة بن زيد، وأجرى الخيل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فبقرينة الذيل يستفاد أنّ اللاعب بالحمام من حيث هو لا بأس به وشهادته مقبولة ما لم يكن فاسقاً من جهة أخرى غير جهة اللعب، والروايةليست في مقام بيان أمر كلّي، بل في مقام بيان أنّ اللعب بالحمام لايعدّ فسقاً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تصلح دليلاً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روايات القسم الأوّل فقد قلنا إنّها خمس روايات، وهي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حريز،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أربعة شهدوا على رجل محصن بالزنا، فعدل منهم اثنان ولم يعدل الآخران،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كانوا أربعة من المسلمين ليس يعرفون بشهادة الزور أُجيزت شهادتهم جميعاً، </w:t>
      </w:r>
    </w:p>
    <w:p>
      <w:pPr>
        <w:pStyle w:val="BookText"/>
        <w:rPr/>
      </w:pPr>
      <w:r>
        <w:rPr>
          <w:rFonts w:ascii="Amiri" w:hAnsi="Amiri" w:eastAsia="Amiri" w:cs="Amiri"/>
          <w:color w:val="111111"/>
          <w:sz w:val="28"/>
          <w:sz w:val="28"/>
          <w:szCs w:val="28"/>
          <w:rtl w:val="true"/>
          <w:lang w:bidi="ar-SA"/>
        </w:rPr>
        <w:t xml:space="preserve">وأُقيم الحدّ على الّذي شهدوا عليه، إنَّما عليهم أن يشهدوا بما أبصروا وعلموا، وعلى الوالي أن يجيز شهادتهم، إلاّ أن يكونوا معروفين بالفسق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الرواية يدل على أنّ من لم يُعرف بفسق فشهادته مقبولة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صالح بن عقبة، عن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أخبرني عمّن تقبل شهادته ومن لا تقبل؟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علقمة، كلّ من كان على فطرة الإسلام جازت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شهادة مقترف بالذنوب؟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علقمة لو لم تقبل شهادة المقترفين للذنوب لما قبلت إلاّ شهادة الأنبياء والأوصياء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 المعصومون دون سائر الخلق، فمن لم تره بعينك يرتكب ذنباً أو لم يشهد عليه بذلك شاهدان، فهو من أهل العدالة والستر، وشهادته مقبولة وإن كان في نفسه مذنباً، ومن اغتابه بما فيه فهو خارج من ولاية اللَّه، داخل في ولاية الشيطان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ودلالة الرواية على المدعى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يونس بن عبد الرّحمن، عن بعض رجاله،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البيّنة إذا أُقيمت على الحق، أيحلّ للقاضي أن يقضي بقول البيّنة؟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أشياء يجب على الناس الأخذ فيها بظاهر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الولايات، والمناكح، والذبائح، والشهادات، والأنساب، فإذا كان ظاهر الرجل ظاهراً مأموناً، جازت شهادته، ولا يسأل عن باطنه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سأله عمّا </w:t>
      </w:r>
    </w:p>
    <w:p>
      <w:pPr>
        <w:pStyle w:val="BookText"/>
        <w:rPr/>
      </w:pPr>
      <w:r>
        <w:rPr>
          <w:rFonts w:ascii="Amiri" w:hAnsi="Amiri" w:eastAsia="Amiri" w:cs="Amiri"/>
          <w:color w:val="111111"/>
          <w:sz w:val="28"/>
          <w:sz w:val="28"/>
          <w:szCs w:val="28"/>
          <w:rtl w:val="true"/>
          <w:lang w:bidi="ar-SA"/>
        </w:rPr>
        <w:t xml:space="preserve">يردّ من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الظنين، والمتّهم، والخصم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بهذا المضمون روايات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w:t>
      </w:r>
      <w:r>
        <w:rPr>
          <w:rStyle w:val="FootnoteAnchor"/>
          <w:rtl w:val="true"/>
        </w:rPr>
        <w:footnoteReference w:id="122"/>
      </w:r>
      <w:r>
        <w:rPr>
          <w:rFonts w:ascii="Amiri" w:hAnsi="Amiri" w:eastAsia="Amiri" w:cs="Amiri"/>
          <w:color w:val="111111"/>
          <w:sz w:val="28"/>
          <w:sz w:val="28"/>
          <w:szCs w:val="28"/>
          <w:rtl w:val="true"/>
          <w:lang w:bidi="ar-SA"/>
        </w:rPr>
        <w:t xml:space="preserve">، وصحيحة سليمان بن خالد </w:t>
      </w:r>
      <w:r>
        <w:rPr>
          <w:rStyle w:val="FootnoteAnchor"/>
          <w:rtl w:val="true"/>
        </w:rPr>
        <w:footnoteReference w:id="123"/>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صاحب الوسائل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في حديث سلمة بن كهيل،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المسلمين عدول بعضهم على بعض إلاّ مجلوداً في حدّ لم يتب منه، أو معروف بشهادة الزور، أو ظنين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حديث، هو الحديث الأوّل من الباب الأوّل من أبواب آداب القاضي، فقد أورد هناك رواية مفصلة وفيها هذه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الروايات الّتي استدل بها على المدعى، وبغض النظر عن ضعف أسناد بعضها، كالرواية الثانية والثالثة والخامسة، إلاّ أنّها بأجمعها قابلةللمناقشة وذلك بأمرين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لم يُعرف بفسق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في هذه الروايات الّتي ظاهرها الاكتفاء بها في الحكم بالعدالة وترتيب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منصرفة إلى من كان معروفاً بالستر والعفاف الّذي لا يرتكب المحرّمات، أو يتهاون بالواجبات، وهذا المعنى مساوق للعدالة بلا إشكال، وليست منصرفة إلى المجهول من جميع الجهات، وإلاّ فكيف يستشهد ويتخذ شاهداً في مثل هذه القضايا الّتي ذكرت في هذه الروايات، فبمقتضى المناسبة بين الحكم والموضوع </w:t>
      </w:r>
    </w:p>
    <w:p>
      <w:pPr>
        <w:pStyle w:val="BookText"/>
        <w:rPr/>
      </w:pPr>
      <w:r>
        <w:rPr>
          <w:rFonts w:ascii="Amiri" w:hAnsi="Amiri" w:eastAsia="Amiri" w:cs="Amiri"/>
          <w:color w:val="111111"/>
          <w:sz w:val="28"/>
          <w:sz w:val="28"/>
          <w:szCs w:val="28"/>
          <w:rtl w:val="true"/>
          <w:lang w:bidi="ar-SA"/>
        </w:rPr>
        <w:t>انصراف الظهور إلى معلوم الحال وظاهره الصلاح، نعم الفحص عن حاله والتفتيش عن باطنه أمر لا حاجة إليه ولا ملزم له، وإلى ما ذكرنا تشير فقرات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المذكورة تتحدّث عن أشخاص ليسوا بغرباء حتى يتصور الجهل بحالهم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بأنّ عدم المعروفية أعم من كونه مجهول الحال من جميع الجهات أو من بعض الوجوه، فكلاهما يصدق عليهما أنّه لم يُعرف بفسق، فتكون الروايات حينئذ مطلقة، وإذا ثبت الإطلاق فتحمل على ما ورد من الروايات الدالة على اشتراط كونه معروفاً بالستر والعفاف والعدالة فلابد من رفع اليد عن إطلاقها وتقييدها بما دلّ على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التقييد الانحصار في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العشرة أو المخالطة توجب المعروفية وظهور الحال من الالتزام بأحكام الشرع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القسم من الروايات بعضها من جهة السند، وجميعهامن جهة الدلالة لا يمكن التمسك بها في الاستدلال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الأدلة الثلاثة، وأمّا بالنسبة إلى المؤيدات فهي أيضاً غير تامة،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المؤيد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الفحص والاختبار يوجب تعطيل الأحكام وإخلال النظام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إذ أنّ تصديق كلّ من يدلي بشهادته وترتيب الآثار عليها </w:t>
      </w:r>
    </w:p>
    <w:p>
      <w:pPr>
        <w:pStyle w:val="BookText"/>
        <w:rPr/>
      </w:pPr>
      <w:r>
        <w:rPr>
          <w:rFonts w:ascii="Amiri" w:hAnsi="Amiri" w:eastAsia="Amiri" w:cs="Amiri"/>
          <w:color w:val="111111"/>
          <w:sz w:val="28"/>
          <w:sz w:val="28"/>
          <w:szCs w:val="28"/>
          <w:rtl w:val="true"/>
          <w:lang w:bidi="ar-SA"/>
        </w:rPr>
        <w:t>هو الموجب لإخلال النظام وزعزعته وحدوث الهرج والمرج وتضييع الحقوق ومخالفة الواقع، كيف والمعلوم من طريقة الشارع الإنصاف والعدل وإحقاق الحق وما إلى ذلك، فهذا التأييد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المؤيد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ذكر من أمر الجماعة والترغيب فيها</w:t>
      </w:r>
    </w:p>
    <w:p>
      <w:pPr>
        <w:pStyle w:val="BookText"/>
        <w:rPr/>
      </w:pPr>
      <w:r>
        <w:rPr>
          <w:rFonts w:ascii="Amiri" w:hAnsi="Amiri" w:eastAsia="Amiri" w:cs="Amiri"/>
          <w:color w:val="111111"/>
          <w:sz w:val="28"/>
          <w:sz w:val="28"/>
          <w:szCs w:val="28"/>
          <w:rtl w:val="true"/>
          <w:lang w:bidi="ar-SA"/>
        </w:rPr>
        <w:t>والحث عليها، وعند الفحص يلزم عدم التيسر فيقع التنافي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تنافي في المقام إذ الاطمئنان بإمام الجماعة قد يحصل بعلائم، منها اقتداء المؤمنين به، أو رؤية عادلين يقتديان به، وليس ذلك من المعسور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المؤيد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ظاهر الآية الإطلاق، ويكتفى في التقييد بالقدر المتيقن من الإسلام وعدم ظهور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 نفسها فإنّها ليست مطلقة كما يتراءى من أوّل وهلة، والآية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 من رجالكم فإن لم يكونا رجلين فرجلٌ وامرأتان ممّن ترضون من الشُّهداء</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وموضع الشاهد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قيد لما قبله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صاحب الوسائل نقلاً عن تفسير العسكري،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ترضون من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ترضون دينه وأمانته وصلاحه وعفّته وتيقّظه فيما يشهد به وتحصيله وتمييزه، فما كلّ </w:t>
      </w:r>
    </w:p>
    <w:p>
      <w:pPr>
        <w:pStyle w:val="BookText"/>
        <w:rPr/>
      </w:pPr>
      <w:r>
        <w:rPr>
          <w:rFonts w:ascii="Amiri" w:hAnsi="Amiri" w:eastAsia="Amiri" w:cs="Amiri"/>
          <w:color w:val="111111"/>
          <w:sz w:val="28"/>
          <w:sz w:val="28"/>
          <w:szCs w:val="28"/>
          <w:rtl w:val="true"/>
          <w:lang w:bidi="ar-SA"/>
        </w:rPr>
        <w:t xml:space="preserve">صالح مميّزاً، ولا محصّلاً، ولا كلّ محصّل مميّز صالح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وإن لم يسعفنا الدليل على اعتبار التفسير المنسوب</w:t>
      </w:r>
    </w:p>
    <w:p>
      <w:pPr>
        <w:pStyle w:val="BookText"/>
        <w:rPr/>
      </w:pP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إلاّ أنّ ما نورده منه تأييد في مقابل 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التأييد غير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المؤيد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سيرة النبي صلى الله عليه وآله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والأصحاب لم تكن على هذا الأمر وإنّما هو شي ء أحدثه شريح القاضي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الفحص إن كان المراد به التفتيش عن الباطن، فهذا صحيح، وهو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المراد به أصل الفحص عن الشاهد، وأنّ النبي صلى الله عليه وآله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والأصحاب، يحكمون من دون معرفة الشاهد، فهذا لا دليل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يجلّ عنه مقام النبوّة والإمامة لما فيه من الفساد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ويؤيد ذلك، ما ورد في تفسير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بإيرادها بطولها لما تتضمن من آداب القضاء في هذا الجانب وبيان بعض أخلاق النبي صلى الله عليه وآله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الحسن بن علي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 عن آبائه،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وآله إذا تخاصم إليه رجلان قال للمدّعي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حجّة؟ فإن أقام بيّنة يرضاها ويعرفها، أنفذ الحكم على المدّعى عليه، وإن لم يكن له بيّنة حلف المدّعى عليه باللَّه، ما لهذا قبله ذلك الّذي ادّعاه، ولا شي 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جاء بشهود لا يعرفهم بخير ولا شرّ، قال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قبائلكما؟ فيصفان أين سوقكما؟ فيصفان، أين منزلكما؟ فيصفان، ثمّ يقيم الخصوم والشهود بين يديه، ثمّ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فيكتب أسامي المدّعي والمدّعى عليه والشهود ويصف ما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ثمّ يدفع ذلك إلى رجل من أصحابه الخيار، ثمّ مثل ذلك إلى رجل آخر من خيار أصحابه،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كلّ واحد منكما من حيث لا يشعر الآخر إلى قبائلهما وأسواقهما ومحالّهما والربض الّذي ينزلانه، فيسأل عنهما، فيذهبان ويسألان، فإن أتوا خيراً وذكروا فضلاً رجعوا إلى رسول اللَّه صلى الله عليه وآله فأخبراه، أحضر القوم الّذي أثنوا عليهما، وأحضر الشهود، فقال للقوم المثنين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بن فلان، وهذا فلان بن فلان، أتعرفونهما؟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وفلاناً جاءني عنكم فيما بيننا بجميل وذكر صالح أفكما قالا،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قضى حينئذ بشهادتهما على المدّعى عليه، فإن رجعا بخبر سيّى ء وثناء قبيح دعاهم،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فلاناً وفلاناً؟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اقعدوا حتّى يحضرا، فيقعدون فيحضرهما، فيقول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أهما هما؟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فإذا ثبت عنده ذلك لم يهتك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عابهما ولا وبّخهما، ولكن يدعو الخصومإلى الصلح، فلا يزال بهم حتى يصطلحوا لئلّا يفتضح الشهود، ويستر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رؤوفاً رحيماً عطوفاً على أُمّته، فإن كان الشهود من أخلاط الناس، غرباء لا يعرفون، ولا قبيلة لهما، ولا سوق، ولا دار، أقبل على المدّعى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فيهما؟ 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خيراً، غير أنّهما قد غلطا فيما شهدا عليّ، أنفذ شهادتهما، وإن جرحهما وطعن عليهما أصلح بين الخصم وخصمه، وأحلف المدّعى عليه، وقطع الخصومة بينهما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01" w:name="pg8631_94927"/>
    </w:p>
    <w:p>
      <w:pPr>
        <w:pStyle w:val="BookText"/>
        <w:rPr/>
      </w:pPr>
      <w:bookmarkEnd w:id="101"/>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المؤيدات الأربعة غير تامة</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2192951_653776707"/>
      <w:bookmarkStart w:id="103" w:name="_Toc34"/>
      <w:bookmarkEnd w:id="102"/>
      <w:r>
        <w:rPr>
          <w:rtl w:val="true"/>
        </w:rPr>
        <w:t>القول الثاني</w:t>
      </w:r>
      <w:r>
        <w:rPr>
          <w:rtl w:val="true"/>
        </w:rPr>
        <w:t>:</w:t>
      </w:r>
      <w:bookmarkEnd w:id="103"/>
    </w:p>
    <w:p>
      <w:pPr>
        <w:pStyle w:val="Heading6"/>
        <w:numPr>
          <w:ilvl w:val="5"/>
          <w:numId w:val="1"/>
        </w:numPr>
        <w:rPr/>
      </w:pPr>
      <w:bookmarkStart w:id="104" w:name="__RefHeading___Toc2192953_653776707"/>
      <w:bookmarkStart w:id="105" w:name="_Toc35"/>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وهو أنّ العدالة هي 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فيه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 هذا القول والقائل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الّتي أقيمت عليه</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2192955_653776707"/>
      <w:bookmarkStart w:id="107" w:name="_Toc36"/>
      <w:bookmarkEnd w:id="106"/>
      <w:r>
        <w:rPr>
          <w:rtl w:val="true"/>
        </w:rPr>
        <w:t>الجهة الأولى</w:t>
      </w:r>
      <w:r>
        <w:rPr>
          <w:rtl w:val="true"/>
        </w:rPr>
        <w:t xml:space="preserve">: </w:t>
      </w:r>
      <w:r>
        <w:rPr>
          <w:rtl w:val="true"/>
        </w:rPr>
        <w:t>تنقيح القول والقائل به</w:t>
      </w:r>
      <w:r>
        <w:rPr>
          <w:rtl w:val="true"/>
        </w:rPr>
        <w:t>:</w:t>
      </w:r>
      <w:bookmarkEnd w:id="107"/>
    </w:p>
    <w:p>
      <w:pPr>
        <w:pStyle w:val="BookText"/>
        <w:rPr/>
      </w:pPr>
      <w:r>
        <w:rPr>
          <w:rFonts w:ascii="Amiri" w:hAnsi="Amiri" w:eastAsia="Amiri" w:cs="Amiri"/>
          <w:color w:val="111111"/>
          <w:sz w:val="28"/>
          <w:sz w:val="28"/>
          <w:szCs w:val="28"/>
          <w:rtl w:val="true"/>
          <w:lang w:bidi="ar-SA"/>
        </w:rPr>
        <w:t xml:space="preserve">فقد نسب إلى جماعة من القدماء كالمفيد في المقنعة </w:t>
      </w:r>
      <w:r>
        <w:rPr>
          <w:rStyle w:val="FootnoteAnchor"/>
          <w:rtl w:val="true"/>
        </w:rPr>
        <w:footnoteReference w:id="129"/>
      </w:r>
      <w:r>
        <w:rPr>
          <w:rFonts w:ascii="Amiri" w:hAnsi="Amiri" w:eastAsia="Amiri" w:cs="Amiri"/>
          <w:color w:val="111111"/>
          <w:sz w:val="28"/>
          <w:sz w:val="28"/>
          <w:szCs w:val="28"/>
          <w:rtl w:val="true"/>
          <w:lang w:bidi="ar-SA"/>
        </w:rPr>
        <w:t xml:space="preserve">والشيخ في النهاية </w:t>
      </w:r>
      <w:r>
        <w:rPr>
          <w:rStyle w:val="FootnoteAnchor"/>
          <w:rtl w:val="true"/>
        </w:rPr>
        <w:footnoteReference w:id="130"/>
      </w:r>
      <w:r>
        <w:rPr>
          <w:rFonts w:ascii="Amiri" w:hAnsi="Amiri" w:eastAsia="Amiri" w:cs="Amiri"/>
          <w:color w:val="111111"/>
          <w:sz w:val="28"/>
          <w:sz w:val="28"/>
          <w:szCs w:val="28"/>
          <w:rtl w:val="true"/>
          <w:lang w:bidi="ar-SA"/>
        </w:rPr>
        <w:t xml:space="preserve">والقاضي والتقي وابن حمزة وسلار كما في الجواهر </w:t>
      </w:r>
      <w:r>
        <w:rPr>
          <w:rStyle w:val="FootnoteAnchor"/>
          <w:rtl w:val="true"/>
        </w:rPr>
        <w:footnoteReference w:id="131"/>
      </w:r>
      <w:r>
        <w:rPr>
          <w:rFonts w:ascii="Amiri" w:hAnsi="Amiri" w:eastAsia="Amiri" w:cs="Amiri"/>
          <w:color w:val="111111"/>
          <w:sz w:val="28"/>
          <w:sz w:val="28"/>
          <w:szCs w:val="28"/>
          <w:rtl w:val="true"/>
          <w:lang w:bidi="ar-SA"/>
        </w:rPr>
        <w:t xml:space="preserve">، وعن المصابيح نسبته إلى القدماء وهو المشهور بين القدماء، بل نسب إلى أكثر الفقهاء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بينه وبين القول الأوّل واضح فإنّه أخص من الأوّل، لأنّ هذا القول يحتاج إلى المخالطة والمعاشرة حتى يتحقق حسن الظن بالظاهر، وأمّا القول الأوّل فليس بحاجة إلى شي ء من 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الفرق بينه وبين سائر الأقوال الآتية من القول بالملكة، أو الاستقامة على جادة الشرع والإتيان بالواجبات وترك المحرّمات، أو كليهما، فلابدّ من بيان </w:t>
      </w:r>
    </w:p>
    <w:p>
      <w:pPr>
        <w:pStyle w:val="BookText"/>
        <w:rPr/>
      </w:pPr>
      <w:r>
        <w:rPr>
          <w:rFonts w:ascii="IRNazanin" w:hAnsi="IRNazanin" w:eastAsia="IRNazanin"/>
          <w:color w:val="111111"/>
          <w:sz w:val="28"/>
          <w:sz w:val="28"/>
          <w:szCs w:val="28"/>
          <w:rtl w:val="true"/>
          <w:lang w:bidi="fa-IR"/>
        </w:rPr>
        <w:t xml:space="preserve">المراد من هذا القول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شيخنا الأنصاري </w:t>
      </w:r>
      <w:r>
        <w:rPr>
          <w:rStyle w:val="FootnoteAnchor"/>
          <w:rtl w:val="true"/>
        </w:rPr>
        <w:footnoteReference w:id="133"/>
      </w:r>
      <w:r>
        <w:rPr>
          <w:rFonts w:ascii="Amiri" w:hAnsi="Amiri" w:eastAsia="Amiri" w:cs="Amiri"/>
          <w:color w:val="111111"/>
          <w:sz w:val="28"/>
          <w:sz w:val="28"/>
          <w:szCs w:val="28"/>
          <w:rtl w:val="true"/>
          <w:lang w:bidi="ar-SA"/>
        </w:rPr>
        <w:t>أنّ المحتملات في هذا القول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العدالة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الظاهر، وليست هي شيئاً وراءه، وذلك لأنّ بعض الأدلة تضمنت اعتبار العدالة، وبعضها اعتبار حسن الظاهر، ومن المعلوم عدم التعدد فالشرط واحد ومقتضى ذلك اتحادهما، بمعنى أنّ العدالة هي حسن الظاهر وهو نفس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فالملكة أو الاستواء في جميع الأمور على جادة الشرع غير معتبر في تحقق العدالة، بل هي عبارة عن حسن الظاهر سواء كانت هناك ملكة، أو لم تكن، بل حتى وإن أحرز عدم الملكة، ولا معنى حينئذ لكشف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حسن الظاهر طريقاً تعبدياً للعدالة وليس هو نفس العدالة، بل العدالة هي الملكة، أو الاستواء في جميع الأمور على جادة الشارع، والشارع جعل حسن الظاهر طريقاً إلى العدالة، وتكون جميع أحكام العدالة مترتبة على وجود هذا الطريق والأمر يدور مدار هذا الطريق، نظير مستصحب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كان الشخص عادلاً، ثمّ شكّ في عدالته استصحبت العدالة وترتبت جميع آثارها، والمقام من هذا القبيل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فلا يعتبر هنا أيضاً إحراز العدالة، أو الملكة، وإنّما تكون العدالة ثبوتاً ونفياً دائرة مدار هذا الطريق، ولكن إذا أحرز عدم الملكة فترتيب آثار العدالة وأحكامها بناء على الطريقية 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بحسن الظاهر طريقاً وجدانياً، كسائر الطرق الوجدانية الّتي تكون إلى شي ء من الأشياء، فإن أفاد الظن أو الوثوق والاطمئنان فهو معتبر وترتبت عليه آثار العدالة،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الاحتمال يرجع حسن الظاهر في معناه إلى بقية الأقوال الآتية فلا يكون قولاً مستقلاً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أحد الاحتمالين الأولين فهو قول مستقل مقابل بقية الأقوال، فعلى الوجهين الأوّلين تكون العدالة على هذا القول أعم وأمّا على الوجه الآخر فلا فرق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تقدّم في بيان معقولية القول الأوّل في نفسه بغض النظر عن القائل به، يرد في المقام والكلام فيه هو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شيخنا الأنصاري ناقش في معقولية القول الأوّل، وتبعه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أيضاً أنّ المحقّق الاصفهاني أجاب عن تلك المحاذير وما ورد هناك يرد هنا حرفاً بحرف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أضاف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محاذير أخرى وأجاب عنها بنفسه، ولا بأس بالإشارة إليها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هذا القول يلزم أن لا يقدح في عدالة من ارتكب الكبيرة مستتراً وذلك لأنّ موضوع العدالة متحقق وهو حسن الظاهر، وما صدر منه من ارتكاب الكبيرة لا يضر بعدالته ولا يجوز لمن اطلع عليه أن يعلن ذلك ويظهره لأنّه يدخل في الإفشاء وإشاعة الفحشاء والغيبة وذلك منهي عنه بنصّ الكتاب والسنة والإجماع، بل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يرتب آثار العدالة لتحقق موضوعها </w:t>
      </w:r>
    </w:p>
    <w:p>
      <w:pPr>
        <w:pStyle w:val="BookText"/>
        <w:rPr/>
      </w:pPr>
      <w:r>
        <w:rPr>
          <w:rFonts w:ascii="Amiri" w:hAnsi="Amiri" w:eastAsia="Amiri" w:cs="Amiri"/>
          <w:color w:val="111111"/>
          <w:sz w:val="28"/>
          <w:sz w:val="28"/>
          <w:szCs w:val="28"/>
          <w:rtl w:val="true"/>
          <w:lang w:bidi="ar-SA"/>
        </w:rPr>
        <w:t>وهو حسن الظاهر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عندهم في علم الدراية تقديم الجارح على المعدّل </w:t>
      </w:r>
      <w:r>
        <w:rPr>
          <w:rStyle w:val="FootnoteAnchor"/>
          <w:rtl w:val="true"/>
        </w:rPr>
        <w:footnoteReference w:id="135"/>
      </w:r>
      <w:r>
        <w:rPr>
          <w:rFonts w:ascii="Amiri" w:hAnsi="Amiri" w:eastAsia="Amiri" w:cs="Amiri"/>
          <w:color w:val="111111"/>
          <w:sz w:val="28"/>
          <w:sz w:val="28"/>
          <w:szCs w:val="28"/>
          <w:rtl w:val="true"/>
          <w:lang w:bidi="ar-SA"/>
        </w:rPr>
        <w:t>، ولكن بناء على هذا القول يلزم عدم ثبوت جرح أبداً، وإن ثبت الجرح انتفى حسن الظاهر، وحينئذ يكون من باب التعارض بينه وبين المعدّل، فلا معنى لتقديم قوله على قول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قرروا أنّ العدالة تعود بالتوبة والإقلاع عن المعصية، ولكن بناء على هذا القول يلزم عدم عودتها إلاّ بعد مدة طويلة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أجاب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بنفسه عن هذه المحاذير بأنّها غير واردة وذلك لأنّا إذا قلنا إنّ العدالة هي حسن الظاهر، أو أنّ حسن الظاهر طريق تعبدي، فذلك مشروط بعدم ارتكاب الكبيرة ولو سراً، فإذا علم ولو سراً بارتكابه لها سقط شرط العدالة، وحينئذ فقول الجارح مقدّم على المعدّل ولا تترتب عليه آثار العدالة، وعدم جواز الإفشاء مسألة أخرى وفيها تفصيل وهو أنّ مقام الجرح والتزكية خارجة عن حرمة الإفشاء والإشاعة وغيرها من عناوين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رجوع العدالة فهو أمر تعبدي قام الدليل الخاص عليه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في نفسه معقول ولا إشكال عليه من هذه الناحية</w:t>
      </w:r>
      <w:r>
        <w:rPr>
          <w:rFonts w:eastAsia="Amiri" w:cs="Amiri" w:ascii="Amiri" w:hAnsi="Amiri"/>
          <w:color w:val="111111"/>
          <w:sz w:val="28"/>
          <w:szCs w:val="28"/>
          <w:rtl w:val="true"/>
          <w:lang w:bidi="ar-SA"/>
        </w:rPr>
        <w:t xml:space="preserve">. </w:t>
      </w:r>
      <w:bookmarkStart w:id="108" w:name="pg8631_94931"/>
    </w:p>
    <w:p>
      <w:pPr>
        <w:pStyle w:val="Heading6"/>
        <w:numPr>
          <w:ilvl w:val="5"/>
          <w:numId w:val="1"/>
        </w:numPr>
        <w:rPr/>
      </w:pPr>
      <w:bookmarkStart w:id="109" w:name="__RefHeading___Toc2192957_653776707"/>
      <w:bookmarkStart w:id="110" w:name="_Toc37"/>
      <w:bookmarkEnd w:id="108"/>
      <w:bookmarkEnd w:id="109"/>
      <w:r>
        <w:rPr>
          <w:rtl w:val="true"/>
        </w:rPr>
        <w:t>الجهة الثانية</w:t>
      </w:r>
      <w:r>
        <w:rPr>
          <w:rtl w:val="true"/>
        </w:rPr>
        <w:t xml:space="preserve">: </w:t>
      </w:r>
      <w:r>
        <w:rPr>
          <w:rtl w:val="true"/>
        </w:rPr>
        <w:t>الأدلة على هذا القول</w:t>
      </w:r>
      <w:r>
        <w:rPr>
          <w:rtl w:val="true"/>
        </w:rPr>
        <w:t>:</w:t>
      </w:r>
      <w:bookmarkEnd w:id="110"/>
    </w:p>
    <w:p>
      <w:pPr>
        <w:pStyle w:val="Heading6"/>
        <w:numPr>
          <w:ilvl w:val="5"/>
          <w:numId w:val="1"/>
        </w:numPr>
        <w:rPr/>
      </w:pPr>
      <w:bookmarkStart w:id="111" w:name="__RefHeading___Toc2192959_653776707"/>
      <w:bookmarkStart w:id="112" w:name="_Toc38"/>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فقد استدل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كما نقل عن الأستاذ الأكبر في حاشيته على المعالم </w:t>
      </w:r>
      <w:r>
        <w:rPr>
          <w:rStyle w:val="FootnoteAnchor"/>
          <w:rtl w:val="true"/>
        </w:rPr>
        <w:footnoteReference w:id="137"/>
      </w:r>
      <w:r>
        <w:rPr>
          <w:rFonts w:ascii="Amiri" w:hAnsi="Amiri" w:eastAsia="Amiri" w:cs="Amiri"/>
          <w:color w:val="111111"/>
          <w:sz w:val="28"/>
          <w:sz w:val="28"/>
          <w:szCs w:val="28"/>
          <w:rtl w:val="true"/>
          <w:lang w:bidi="ar-SA"/>
        </w:rPr>
        <w:t xml:space="preserve">، وفي شرح المفاتيح </w:t>
      </w:r>
      <w:r>
        <w:rPr>
          <w:rStyle w:val="FootnoteAnchor"/>
          <w:rtl w:val="true"/>
        </w:rPr>
        <w:footnoteReference w:id="138"/>
      </w:r>
      <w:r>
        <w:rPr>
          <w:rFonts w:ascii="Amiri" w:hAnsi="Amiri" w:eastAsia="Amiri" w:cs="Amiri"/>
          <w:color w:val="111111"/>
          <w:sz w:val="28"/>
          <w:sz w:val="28"/>
          <w:szCs w:val="28"/>
          <w:rtl w:val="true"/>
          <w:lang w:bidi="ar-SA"/>
        </w:rPr>
        <w:t xml:space="preserve">لم يستحضر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استفادة ذلك من المعتبر حيث ادعى أنّ ظهور العدالة شرط لا نفس العدالة إذا كان مراده من الظهور هو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أنّه إذا كانت العدالة هي الملكة الباعثة على الاتيان بالواجبات وصعوبة صدور المعصية وارتكاب المحرّمات لزم من ذلك عدم وجود هذه الصفة الحميدة إلاّ في الأوحدي من الناس الّذي لا يسمح الدهر بمثله إلاّ نادراً، لأنّ العدالة على هذا النحو تحتاج إلى مجاهدة شاقة وتأييد ربّاني والحال أنّ الناس بحاجة إليها من كلّ فرقة من سكان البر والبحر وتعم بها البلوى وتكثر الحاجة إليها في العبادات والمعاملات والإيقاعات والأحكام، فاشتراط الملكة يوجب العسر والحرج والإخلال بالنظام مضافاً إلى أنّه لم ينهض دليل ظني على اعتبار الملكة فضلاً عن الدليل القطعي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العمدة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الّتي يستفاد منها أنّ العدالة هي حسن الظاهر وهي طائفتان</w:t>
      </w:r>
      <w:r>
        <w:rPr>
          <w:rFonts w:eastAsia="Amiri" w:cs="Amiri" w:ascii="Amiri" w:hAnsi="Amiri"/>
          <w:color w:val="111111"/>
          <w:sz w:val="28"/>
          <w:szCs w:val="28"/>
          <w:rtl w:val="true"/>
          <w:lang w:bidi="ar-SA"/>
        </w:rPr>
        <w:t xml:space="preserve">: </w:t>
      </w:r>
      <w:bookmarkStart w:id="113" w:name="pg8631_94932"/>
    </w:p>
    <w:p>
      <w:pPr>
        <w:pStyle w:val="Heading6"/>
        <w:numPr>
          <w:ilvl w:val="5"/>
          <w:numId w:val="1"/>
        </w:numPr>
        <w:rPr/>
      </w:pPr>
      <w:bookmarkStart w:id="114" w:name="__RefHeading___Toc2192961_653776707"/>
      <w:bookmarkStart w:id="115" w:name="_Toc39"/>
      <w:bookmarkEnd w:id="113"/>
      <w:bookmarkEnd w:id="114"/>
      <w:r>
        <w:rPr>
          <w:rtl w:val="true"/>
        </w:rPr>
        <w:t>الطائفة الأولى</w:t>
      </w:r>
      <w:r>
        <w:rPr>
          <w:rtl w:val="true"/>
        </w:rPr>
        <w:t>:</w:t>
      </w:r>
      <w:bookmarkEnd w:id="115"/>
    </w:p>
    <w:p>
      <w:pPr>
        <w:pStyle w:val="BookText"/>
        <w:rPr/>
      </w:pPr>
      <w:r>
        <w:rPr>
          <w:rFonts w:ascii="Amiri" w:hAnsi="Amiri" w:eastAsia="Amiri" w:cs="Amiri"/>
          <w:color w:val="111111"/>
          <w:sz w:val="28"/>
          <w:sz w:val="28"/>
          <w:szCs w:val="28"/>
          <w:rtl w:val="true"/>
          <w:lang w:bidi="ar-SA"/>
        </w:rPr>
        <w:t>ما ورد في صلاة الجماعة وأنّه لابدّ أن يكون الإمام عادلاً ثقة ورعاً، وما ورد أنّه إذا تبين فسق الإمام أو كفره فالصلاة صحيحة، ومقتضى الجمع بينها أنّ العدالة هي حسن الظاهر، وإلاّ فلا وجه للحكم بصحة الصلاة إذا تبين فسق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الروايات عند التحقيق حول القول الأوّل</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2192963_653776707"/>
      <w:bookmarkStart w:id="117" w:name="_Toc40"/>
      <w:bookmarkEnd w:id="116"/>
      <w:r>
        <w:rPr>
          <w:rtl w:val="true"/>
        </w:rPr>
        <w:t>الطائفة الثانية</w:t>
      </w:r>
      <w:r>
        <w:rPr>
          <w:rtl w:val="true"/>
        </w:rPr>
        <w:t>:</w:t>
      </w:r>
      <w:bookmarkEnd w:id="117"/>
    </w:p>
    <w:p>
      <w:pPr>
        <w:pStyle w:val="BookText"/>
        <w:rPr/>
      </w:pPr>
      <w:r>
        <w:rPr>
          <w:rFonts w:ascii="IRNazanin" w:hAnsi="IRNazanin" w:eastAsia="IRNazanin"/>
          <w:color w:val="111111"/>
          <w:sz w:val="28"/>
          <w:sz w:val="28"/>
          <w:szCs w:val="28"/>
          <w:rtl w:val="true"/>
          <w:lang w:bidi="fa-IR"/>
        </w:rPr>
        <w:t>ما ورد في الشهادة، وهي على قسمين فبعضها دلّ على أنّ العدالة صفة نفسانية، كصحيحة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بشهادة الضيف إذا كان عفيفاً صائناً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وصحيحة عبد 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تُعرف عدالة الرجل بين المسلمين حتى تقبل شهادته لهم وعليهم؟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تعرفوه بالستر والعفاف، وكفِّ البطن والفرج واليد واللسان، ويُعرف باجتناب الكبائر الّتي أوعد اللَّه عليها النار من شرب الخمر، والزنا، والربا، وعقوق الوالدين، والفرار من الزحف، وغير ذلك، والدلالة على ذلك كلّه أن يكون ساتراً لجميع عيوبه، حتى يحرم على المسلمين ما وراء ذلك من عثراته وعيوبه وتفتيش ما وراء ذلك، ويجب عليهم تزكيته وإظهار عدالته في الناس، ويكون منه التعاهد للصلوات الخمس إذا واظب عليهنّ، وحفظ مواقيتهنّ بحضور </w:t>
      </w:r>
    </w:p>
    <w:p>
      <w:pPr>
        <w:pStyle w:val="BookText"/>
        <w:rPr/>
      </w:pPr>
      <w:r>
        <w:rPr>
          <w:rFonts w:ascii="Amiri" w:hAnsi="Amiri" w:eastAsia="Amiri" w:cs="Amiri"/>
          <w:color w:val="111111"/>
          <w:sz w:val="28"/>
          <w:sz w:val="28"/>
          <w:szCs w:val="28"/>
          <w:rtl w:val="true"/>
          <w:lang w:bidi="ar-SA"/>
        </w:rPr>
        <w:t>جماعة من المسلمين، وأن لا يتخلّف عن جماعتهم في مصلاّهم إلاّ من علّة، فإذا كان كذلك لازماً لمصلاّه عند حضور الصلوات الخمس، فإذا سئل عنه في قبيلته ومحلّته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إلاّ خيراً، مواظباً على الصلوات، متعاهداً لأوقاتها في مصلاّه، فإنّ ذلك يجيز شهادته وعدالته بين المسلمين، وذلك أنَّ الصلاة ستر وكفّارة للذنوب، وليس يمكن الشهادة على الرجل بأنّه يصلّي إذا كان لا يحضر مصلاّه ويتعاهد جماعة المسلمين، وإنّما جعل الجماعة والاجتماع إلى الصلاة لكي يعرف من يصلّي ممّن لا يصلّي، ومن يحفظ مواقيت الصلاة ممّن يضيع، ولولا ذلك لم يمكن أحد أن يشهد على آخر بصلاح، لأنَّ من لا يصلّي لا صلاح له بين المسلمين، فإنّ رسول اللَّه صلى الله عليه وآله همَّ بأن يحرق قوماً في منازلهم لتركهم الحضور لجماعة المسلمين، وقد كان فيهم من يصلّي في بيته فلم يقبل منه ذلك وكيف يقبل شهادة أو عدالة بين المسلمين ممّن جرى الحكم من اللَّه عزّوجلّ ومن رسوله صلى الله عليه وآله فيه الحرق في جوف بيته بالنار، وقد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لا يصلّي في المسجد مع المسلمين إلاّ من علّته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وموضع الشاهد هو صدر الرواية حيث جعل العدالة صفة نفسانية، وما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الأوصاف علائم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 ذلك رواية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القابلة جائزة على أنّه استهلَّ أو برز ميّتاً، إذا سئل عنها فعدلت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يؤيده أيضاً ما تقدّم من الرواية الواردة في تفسير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وبعضها دلّ على أنّ العدالة هي حسن الظاهر، كمعتبرة العلاء بن سيّابة،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سابق الحاجّ، لأنّه قتل راحلته، وأفنى زاده، وأتعب نفسه، واستخفَّ بصلاته،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فالمكاري والجمّال والملاّح؟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بأس بهم تقبل شهادتهم إذا كانوا صلحاء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وكمعتبرة إبراهيم بن زياد الكرخي، 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خمس صلوات في اليوم والليلة في جماعة فظنّوا به خيراً وأجيزوا شهادته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وكصحيحة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الأمر إلينا لأجزنا شهادة الرجل إذا علم منه خير مع يمين الخصم في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الاستدلال أيضاً بذيل صحيحة ابن أبي يعفور </w:t>
      </w:r>
      <w:r>
        <w:rPr>
          <w:rStyle w:val="FootnoteAnchor"/>
          <w:rtl w:val="true"/>
        </w:rPr>
        <w:footnoteReference w:id="146"/>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القسم من الروايات يدل أنّ العدالة هي حسن الظاهر، ومقتضى الجمع بين القسمين، هو أن يكون موضوع الأحكام هو حسن الظاهر إذ ليسفي المقام شرطان، بل هما متحدان ومع الاتحاد فلابدّ من القول بأنّ العدالة هي حسن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غاية ما يمكن الاستدلال به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كلّ من هذه الأدلة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فالمناقشة فيه واضحة لأنّ دعوى الإجماع فيه غير تامة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على المعنيين الأوّل والثاني، فواضح لاختلاف الآراء وورود الروايات في المقام، فلا يمكن أن يتحقق الإجماع الكاشف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على 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حسن الظاهر طريقاً وجدانياً، فدعوى الإجماع وإن كانت ليست بعيدة، للتسالم بين الفقهاء على أنّ كلّ من يقول بأنّ العدالة هي الملكة يقول أنّ حسن الظاهر طريقٌ إليها إلاّ أنّه لا يمكن الجزم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القول بأنّ العدالة هي الملكة ولازم ذلك اختلال النظام مضافاً إلى أنّ ذلك لا يتحقق إلاّ في الأوحدي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 يتطلب ذكر الوجوه الداعية لترك المعصية تبعاً لما ذكره الشيخ في رسالته ولكن بإضافة وجوهٍ أخرى وبيان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المعصية يختلف باختلاف الدواعي عند الإنسان ويترتب على ذلك وصفه بالعدالة وعدمها، والصور المحتملة ثمان صور وإن كان هناك صور أخرى ولكن نكتفي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الترك لعدم المقتضي، كما إذا لم يكن للمكلف قوةشهوية أو غضبية تدفعه لارتكاب الحرام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الصورة وإن كانت نادرة التحقق ولكن إذا اتفق حصولها لشخص وأنّه لم يرتكب المعصية لعدم المقتضي، وحينئذ فهذه الصورة خارجة عن محلّ </w:t>
      </w:r>
    </w:p>
    <w:p>
      <w:pPr>
        <w:pStyle w:val="BookText"/>
        <w:rPr/>
      </w:pPr>
      <w:r>
        <w:rPr>
          <w:rFonts w:ascii="Amiri" w:hAnsi="Amiri" w:eastAsia="Amiri" w:cs="Amiri"/>
          <w:color w:val="111111"/>
          <w:sz w:val="28"/>
          <w:sz w:val="28"/>
          <w:szCs w:val="28"/>
          <w:rtl w:val="true"/>
          <w:lang w:bidi="ar-SA"/>
        </w:rPr>
        <w:t>الكلام إذ لا يوصف بعدالة أو فسق إذ لا مقتضي لارتكاب المعصية كما أنّه ليس خارجاً عن جادة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موجود إلاّ أنّ المعصية ليست مورداً للابتلاء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هذه الصورة حكم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موجود والابتلاء كذلك إلاّ أنّ الترك بداعي الرياء كمن يريد إظهار نفسه للناس بأنّه لا يرتكب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الصورة لا يحكم بها بالعدالة بل صاحبها فاسق، لأنّ الرياء شرك مبغوض فمن ترك القبيح رياءً فهو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السابقة إلاّ أنّ الترك كان بداعي الحياء من الناس والخوف على وجاهته ومكانته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هذه الصورة أنّ صاحبها لا يوصف بعدالة أو فسق لأنّ عدم ارتكابه للمعصية لم يكن لجهة شرعية، كما أنّه ليس بفاسق لعدم خروجه عن جادة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السابقة إلاّ أنّ الداعي لترك الحرام هو محبة اللَّه تعالى، ويكون من قبيل غلبة العقل النظري على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عن بعض الأبدال أنّه لم يرتكب المباح وجاء في أحوال السيّد الشريف الرضي ذلك، وكان إنّما يفعل الواجب والمستحب سواء</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السابقة إلاّ أنّ الداعي لترك المعصية هو الخوف من اللَّه تعالى والخشية منه، إلاّ أنّ الترك للمعصية أمر اتفاقي لا لحالة مستمرة في نفسه ففي كلّ مرّة يواجه فيها المعصية يحتاج إلى الخوف والخشية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الصورة السابقة إلاّ أنّ الداعي لترك المعصية هو الخوف من اللَّه تعالى ورجاء ثوابه، ويكون صاحبها مسيطراً على نفسه قاهراً لها على نحو الدوام والاستمرار لا على نحو الاتفاق كما في الصورة السابقة إلاّ أنّه مع ذلك لا يأمن على نفسه الوقوع في المعصية كما نقل عن المقدس الأردبيلي </w:t>
      </w:r>
      <w:r>
        <w:rPr>
          <w:rStyle w:val="FootnoteAnchor"/>
          <w:rtl w:val="true"/>
        </w:rPr>
        <w:footnoteReference w:id="147"/>
      </w:r>
      <w:r>
        <w:rPr>
          <w:rFonts w:ascii="Amiri" w:hAnsi="Amiri" w:eastAsia="Amiri" w:cs="Amiri"/>
          <w:color w:val="111111"/>
          <w:sz w:val="28"/>
          <w:sz w:val="28"/>
          <w:szCs w:val="28"/>
          <w:rtl w:val="true"/>
          <w:lang w:bidi="ar-SA"/>
        </w:rPr>
        <w:t>من أنّه سئل عن نفسه إذا ابتليت بامرأة مع استجماع جميع ما له دخل في رغبة النفس إلى الزنا فلم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الفعل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لا يبتليني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السابقة مع كون الداعي لترك المعصية هو الخوف من اللَّه تعالى، ولكنّه الخوف العادي، أي بحسب العادة يمتنع من ارتكاب الحرام وإذا فاجأته المعصية يرتدع لأوّل وهلة، ولكن يمكن أن تغلبه نفسه وشهوته ويرتكب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الصور الأربع الأخيرة أنّ صاحبها يوصف بالعدالة وهي من أقسام الملكة، باستثناء الصورة الثانية، وتتفاوت قوة وضعفاً، وأنّ الصورة الأولى هي الأقوى بل هي تالية للعصمة، كما أنّ الصورة الثالثة أقوى من الصورة الرابعة فإنّها لا تتحقق إلاّ في الأوحدي من الناس، وأمّا الصورة الثانية فليست من الملكة في شي ء وإنّما ذكرناها لأنّ صاحبها قد يوصف</w:t>
      </w:r>
    </w:p>
    <w:p>
      <w:pPr>
        <w:pStyle w:val="BookText"/>
        <w:rPr/>
      </w:pPr>
      <w:r>
        <w:rPr>
          <w:rFonts w:ascii="Amiri" w:hAnsi="Amiri" w:eastAsia="Amiri" w:cs="Amiri"/>
          <w:color w:val="111111"/>
          <w:sz w:val="28"/>
          <w:sz w:val="28"/>
          <w:szCs w:val="28"/>
          <w:rtl w:val="true"/>
          <w:lang w:bidi="ar-SA"/>
        </w:rPr>
        <w:t>بالعدالةعلى بعض الأقوال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تبين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العدالة هو القسم الرابع، وهو المراد من الملكة الّتي هي موضوع الأحكام وهي المستفادة من الروايات، وهذه المرتبة ليست نادرة التحقق واشتراطها لا يوجب الاخلال بالأحكام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التعرّف على حصول العدالة في الإنسان بما يراه الإنسان في منامه من ارتكابه للمعصية واصابته بالغم والألم لذلك، ثمّ بعد أن ينتبه يرى أنّ ذلك كان حلماً </w:t>
      </w:r>
    </w:p>
    <w:p>
      <w:pPr>
        <w:pStyle w:val="BookText"/>
        <w:rPr/>
      </w:pPr>
      <w:r>
        <w:rPr>
          <w:rFonts w:ascii="Amiri" w:hAnsi="Amiri" w:eastAsia="Amiri" w:cs="Amiri"/>
          <w:color w:val="111111"/>
          <w:sz w:val="28"/>
          <w:sz w:val="28"/>
          <w:szCs w:val="28"/>
          <w:rtl w:val="true"/>
          <w:lang w:bidi="ar-SA"/>
        </w:rPr>
        <w:t>وخيالاً فيفرح ويحمد اللَّه تعالى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الشخص يوصف بالعدالة، وعلامة ذلك فرحه بعدم ارتكابه للمعصية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هذه المرتبة ليس نادراً عند الناس ولا يوجب اشتراطها تعطيل الأحكام بل كما يقول شيخنا الأنصاري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 أنّ الاقتصار على ما دون هذه المرتبة يوجب تضييع حقوق اللَّه تعالى وحقوق الناس وكيف يحصل الوثوق في الاقدام على ما أناطه الشارع بالعدالة لمن لا يظنّ فيه ملكة ترك الكذب والخيانة، فيمضى قوله في دين الخلق ودنياهم من الأنفس والأموال والأعراض، ويمضى فعله على الأيتام والغيّب والفقراء والسادة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الشريعة المنيعة الّتي منعت من إجراء الحدّ على من أقرّ على نفسه بالزنا مرّةً بل ثلاثاً كيف يحكم بقتل النفوس واهراقهم وقطع أياديهم وحبسهم وأخذ أموالهم وأرواحهم بمجرّد شهادة من يُجهل حاله من دون اختبار</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ما تقرر فما ذكر من جعل العدالة هي الملكة يوجب</w:t>
      </w:r>
    </w:p>
    <w:p>
      <w:pPr>
        <w:pStyle w:val="BookText"/>
        <w:rPr/>
      </w:pPr>
      <w:r>
        <w:rPr>
          <w:rFonts w:ascii="Amiri" w:hAnsi="Amiri" w:eastAsia="Amiri" w:cs="Amiri"/>
          <w:color w:val="111111"/>
          <w:sz w:val="28"/>
          <w:sz w:val="28"/>
          <w:szCs w:val="28"/>
          <w:rtl w:val="true"/>
          <w:lang w:bidi="ar-SA"/>
        </w:rPr>
        <w:t>الإخلال وأنّه لم ينهض دليل ظني على اعتبار الملكة، فضلاً عن الدليلالقطعي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الروايات فقد قلنا إنّها على طائفتين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ورد في صلاة الجماعة وقلنا إنّ بعضها يدل على اعتبار الوثاقة، وبعضها يدل على صحة الصلاة إذا تبين فسق الإمام، ومقتضى الجمع هو حسن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مناقشة هذه الطائفة بأنّ الحكم بصحة الصلاة ليس لازماً مساوياً لحسن الظاهر، بل هو لازم أعم،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بالصحة محل خلاف فذهب بعضهم إلى القول بعدم الصحة كما نسب ذلك إلى السيّد المرتضى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المتقرر عندهم أنّ قاعدة لا تعاد الصلاة إلاّ من خمس، تقتضي عدم لزوم إعادة الصلاة في غير الموارد الخمسة، بناء على عدم اختصاص القاعدة بالناسي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ليس من موارد الإعادة، ومن أجل ذلك حكم بصحة الصلاة، وليس المناط هو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في إمام الجماعة شرط علمي لا شرط واقعي، فإذا علم أنّه عادل كفى في الائتمام به وإن كان في الواقع غير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ذلك من المعتبر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ظهور العدالة شرط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صلاة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العبارة أنّها شرط علمي لا واقعي، وبناء على ذلك فهذه</w:t>
      </w:r>
    </w:p>
    <w:p>
      <w:pPr>
        <w:pStyle w:val="BookText"/>
        <w:rPr/>
      </w:pPr>
      <w:r>
        <w:rPr>
          <w:rFonts w:ascii="Amiri" w:hAnsi="Amiri" w:eastAsia="Amiri" w:cs="Amiri"/>
          <w:color w:val="111111"/>
          <w:sz w:val="28"/>
          <w:sz w:val="28"/>
          <w:szCs w:val="28"/>
          <w:rtl w:val="true"/>
          <w:lang w:bidi="ar-SA"/>
        </w:rPr>
        <w:t>الطائفة لا يمكن الاستدلال بها على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ورد في الشاهد،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المعتبر هو العدالة بما هي صفة 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المعتبر هو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الجمع بينهما هو اعتبار حسن الظاهر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مناقشة هذه الطائفة أيضاً، وذلك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 أنّ روايات القسم الثاني من هذه الطائفة واردة مورد الغالب، لأنّ الغالب في من يتصف بالأوصاف المذكورة في الروايات أن يكون عادلاً وعدالته عن ملكة،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كانوا صلحاء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فظنّوا به خيراً وأجيزوا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 منه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يدل على أنّ من تحققت فيه هذه الأوصاف فهو من أهل العدالة ويوجب الاطمئنان بحصول الملكة له ويشذ أن تكون هذه الأوصاف متحققة في شخص لا عن ملكة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ويشهد لذلك ما ذكرنا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خمس صلوات في اليوم والليلة في جماعة فظنوا به خيراً وأجيزوا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فظنوا به خيراً، يكشف على أنّه في الواقع خيّراً، وأهل لأن يظن به الخير، وأنّ محافظته على صلواته طريق إلى معرفة الخير في نفسه ويوجب الاطمئنان لذلك ولهذا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شهادته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هذا فهذه الروايات لا يمكن الاستدلال بها على استقلالية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الاحتمال والشكّ في أنّه شرط مستقل، أو أنّه وارد مورد الغالب، فمع ذلك لا يمكن الاستدلال به وجعله شرطاً في مقابل</w:t>
      </w:r>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الأوصاف متعددة وجاءت بتعابير مختلفة، فالجامع بينها هو أنّما ذكر في هذه الروايات وارد مورد الغالب، وبمجموعها يطمأن إلى وجود الملكة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هذه الروايات تدل على حسن الظاهر، ولكنّها معارضة بما هو أخص منها، وهي ما تدل على اعتبار الأمانة والوثاقة والعفة والورع في الشاهد،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وهكذا صحيحة أبي </w:t>
      </w:r>
    </w:p>
    <w:p>
      <w:pPr>
        <w:pStyle w:val="BookText"/>
        <w:rPr/>
      </w:pPr>
      <w:r>
        <w:rPr>
          <w:rFonts w:ascii="Amiri" w:hAnsi="Amiri" w:eastAsia="Amiri" w:cs="Amiri"/>
          <w:color w:val="111111"/>
          <w:sz w:val="28"/>
          <w:sz w:val="28"/>
          <w:szCs w:val="28"/>
          <w:rtl w:val="true"/>
          <w:lang w:bidi="ar-SA"/>
        </w:rPr>
        <w:t xml:space="preserve">بصير </w:t>
      </w:r>
      <w:r>
        <w:rPr>
          <w:rStyle w:val="FootnoteAnchor"/>
          <w:rtl w:val="true"/>
        </w:rPr>
        <w:footnoteReference w:id="152"/>
      </w:r>
      <w:r>
        <w:rPr>
          <w:rFonts w:ascii="Amiri" w:hAnsi="Amiri" w:eastAsia="Amiri" w:cs="Amiri"/>
          <w:color w:val="111111"/>
          <w:sz w:val="28"/>
          <w:sz w:val="28"/>
          <w:szCs w:val="28"/>
          <w:rtl w:val="true"/>
          <w:lang w:bidi="ar-SA"/>
        </w:rPr>
        <w:t xml:space="preserve">، وصدر صحيحة ابن أبي يعفور </w:t>
      </w:r>
      <w:r>
        <w:rPr>
          <w:rStyle w:val="FootnoteAnchor"/>
          <w:rtl w:val="true"/>
        </w:rPr>
        <w:footnoteReference w:id="153"/>
      </w:r>
      <w:r>
        <w:rPr>
          <w:rFonts w:ascii="Amiri" w:hAnsi="Amiri" w:eastAsia="Amiri" w:cs="Amiri"/>
          <w:color w:val="111111"/>
          <w:sz w:val="28"/>
          <w:sz w:val="28"/>
          <w:szCs w:val="28"/>
          <w:rtl w:val="true"/>
          <w:lang w:bidi="ar-SA"/>
        </w:rPr>
        <w:t>، وغيرها، ومقتضى الصناعة لابدّ من تقديم الأخص، وبناء عليه فلا يمكن الاستدلال بهذه الطائفة على المدعى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الاحتمال الأوّل، وهو أن يكون حسن الظاهر متحداً مع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حسن الظاهر طريقاً وجدانياً، فلا محذور فيه، فإنّ القائلين بأنّ العدالة هي الملكة يذهبون إلى أنّ الروايات واردة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حسن الظاهر طريقاً تعبدياً، فهو محل الكلام، وقد أشرنا إلى ذلك سابقاً، وان قال به جماعة من المحققين كصاحب الجواهر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حول القول الثاني والنتيجة أنّ هذا القول غير تام</w:t>
      </w:r>
      <w:r>
        <w:rPr>
          <w:rFonts w:eastAsia="Amiri" w:cs="Amiri" w:ascii="Amiri" w:hAnsi="Amiri"/>
          <w:color w:val="111111"/>
          <w:sz w:val="28"/>
          <w:szCs w:val="28"/>
          <w:rtl w:val="true"/>
          <w:lang w:bidi="ar-SA"/>
        </w:rPr>
        <w:t xml:space="preserve">. </w:t>
      </w:r>
      <w:bookmarkStart w:id="118" w:name="pg8631_94942"/>
    </w:p>
    <w:p>
      <w:pPr>
        <w:pStyle w:val="Heading5"/>
        <w:numPr>
          <w:ilvl w:val="4"/>
          <w:numId w:val="1"/>
        </w:numPr>
        <w:rPr/>
      </w:pPr>
      <w:bookmarkStart w:id="119" w:name="__RefHeading___Toc2192965_653776707"/>
      <w:bookmarkStart w:id="120" w:name="_Toc41"/>
      <w:bookmarkEnd w:id="118"/>
      <w:bookmarkEnd w:id="119"/>
      <w:r>
        <w:rPr>
          <w:rtl w:val="true"/>
        </w:rPr>
        <w:t xml:space="preserve">القول الثالث </w:t>
      </w:r>
      <w:r>
        <w:rPr>
          <w:rtl w:val="true"/>
        </w:rPr>
        <w:t>:</w:t>
      </w:r>
      <w:bookmarkEnd w:id="120"/>
    </w:p>
    <w:p>
      <w:pPr>
        <w:pStyle w:val="Heading6"/>
        <w:numPr>
          <w:ilvl w:val="5"/>
          <w:numId w:val="1"/>
        </w:numPr>
        <w:rPr/>
      </w:pPr>
      <w:bookmarkStart w:id="121" w:name="__RefHeading___Toc2192967_653776707"/>
      <w:bookmarkStart w:id="122" w:name="_Toc42"/>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العدالة هي الملكة والصفة الباعثة للإنسان على فعل الواجبات وترك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فيه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عليه</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2192969_653776707"/>
      <w:bookmarkStart w:id="124" w:name="_Toc43"/>
      <w:bookmarkEnd w:id="123"/>
      <w:r>
        <w:rPr>
          <w:rtl w:val="true"/>
        </w:rPr>
        <w:t>الجهة الأولى</w:t>
      </w:r>
      <w:r>
        <w:rPr>
          <w:rtl w:val="true"/>
        </w:rPr>
        <w:t xml:space="preserve">: </w:t>
      </w:r>
      <w:r>
        <w:rPr>
          <w:rtl w:val="true"/>
        </w:rPr>
        <w:t xml:space="preserve">تنقيح القول </w:t>
      </w:r>
      <w:r>
        <w:rPr>
          <w:rtl w:val="true"/>
        </w:rPr>
        <w:t>:</w:t>
      </w:r>
      <w:bookmarkEnd w:id="124"/>
    </w:p>
    <w:p>
      <w:pPr>
        <w:pStyle w:val="BookText"/>
        <w:rPr/>
      </w:pPr>
      <w:r>
        <w:rPr>
          <w:rFonts w:ascii="Amiri" w:hAnsi="Amiri" w:eastAsia="Amiri" w:cs="Amiri"/>
          <w:color w:val="111111"/>
          <w:sz w:val="28"/>
          <w:sz w:val="28"/>
          <w:szCs w:val="28"/>
          <w:rtl w:val="true"/>
          <w:lang w:bidi="ar-SA"/>
        </w:rPr>
        <w:t xml:space="preserve">فقد نسب إلى المشهور بين الأصحاب كما في مصابيح الظلام </w:t>
      </w:r>
      <w:r>
        <w:rPr>
          <w:rStyle w:val="FootnoteAnchor"/>
          <w:rtl w:val="true"/>
        </w:rPr>
        <w:footnoteReference w:id="155"/>
      </w:r>
      <w:r>
        <w:rPr>
          <w:rFonts w:ascii="Amiri" w:hAnsi="Amiri" w:eastAsia="Amiri" w:cs="Amiri"/>
          <w:color w:val="111111"/>
          <w:sz w:val="28"/>
          <w:sz w:val="28"/>
          <w:szCs w:val="28"/>
          <w:rtl w:val="true"/>
          <w:lang w:bidi="ar-SA"/>
        </w:rPr>
        <w:t xml:space="preserve">، وفي مجمع البرهان </w:t>
      </w:r>
      <w:r>
        <w:rPr>
          <w:rStyle w:val="FootnoteAnchor"/>
          <w:rtl w:val="true"/>
        </w:rPr>
        <w:footnoteReference w:id="156"/>
      </w:r>
      <w:r>
        <w:rPr>
          <w:rFonts w:ascii="Amiri" w:hAnsi="Amiri" w:eastAsia="Amiri" w:cs="Amiri"/>
          <w:color w:val="111111"/>
          <w:sz w:val="28"/>
          <w:sz w:val="28"/>
          <w:szCs w:val="28"/>
          <w:rtl w:val="true"/>
          <w:lang w:bidi="ar-SA"/>
        </w:rPr>
        <w:t xml:space="preserve">أنّه مشهور بين العامة والخاصة، وفي رسالة الشيخ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الاتفاق المنقول المعتضد بالشهرة المحقّقة، بل عدم الخلاف، بناءً على ارجاع كلام الحلّي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صحة القول في نفسه فقد نوقش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القولين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أمور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القول السابق من أنا إذا اعتبرنا أنّ الملكة هي عبارة عن صعوبة صدور المعصية، فهو أمر نادر التحقق ويلزم منه الحرج وتعطيل الأحكام والإخلال بالنظام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الجواب عن ذلك وشرحنا كيفية منشأ ترك الحرام،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الملكة لها مراتب متفاوتة من حيث الشدّة والضعف، والمراد منها عند الفقهاء ليست هي الملكة الأخلاقية المتوسطة بين الملكات الثلاث، كما أنّها ليست هي المقصودة بتعسر وجود الحرام، بل المراد منها هي الملكة المتعارفة بين الناس وهي الحالة المستمرة الحاصلة من خشية اللَّه لا الاتفاقية، وهذه الملكة هي المعبر عنها في بعض الروايات بالاستحياء من الخالق، والخلق، الموجبة للاستقامة على جادة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سهل متيسر للغاية وليس نادر التحقق ولا يلزم من اعتباره عسراً أو حرج أو تعطيل للأحكام أو إخلال بالنظام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العدالة بالملكة لا يجتمع مع القول بزوال العدالة بارتكاب الكبيرة ورجوعها بالتوبة، لأنّ الملكة هيئة راسخة في النفس فهي إمّا أن لا تزول أو إذا زالت لا 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زوالها وعودتها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تعبدي لا واقعي، بمعنى أنّ حكمه يزول بالارتكاب، وحكمها يعود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خلاف ظاهر كلام القائل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ليس قولاً لجميع الفقهاء، بل على ما في مفتاح الكرامة </w:t>
      </w:r>
      <w:r>
        <w:rPr>
          <w:rStyle w:val="FootnoteAnchor"/>
          <w:rtl w:val="true"/>
        </w:rPr>
        <w:footnoteReference w:id="158"/>
      </w:r>
      <w:r>
        <w:rPr>
          <w:rFonts w:ascii="Amiri" w:hAnsi="Amiri" w:eastAsia="Amiri" w:cs="Amiri"/>
          <w:color w:val="111111"/>
          <w:sz w:val="28"/>
          <w:sz w:val="28"/>
          <w:szCs w:val="28"/>
          <w:rtl w:val="true"/>
          <w:lang w:bidi="ar-SA"/>
        </w:rPr>
        <w:t>أنّ في التوبة ثلاثة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الملكة تعود بتكرار التوبة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عودتها مشروط بالعمل الصالح ليكون شاهداً على الرجوع ولا </w:t>
      </w:r>
    </w:p>
    <w:p>
      <w:pPr>
        <w:pStyle w:val="BookText"/>
        <w:rPr/>
      </w:pPr>
      <w:r>
        <w:rPr>
          <w:rFonts w:ascii="Amiri" w:hAnsi="Amiri" w:eastAsia="Amiri" w:cs="Amiri"/>
          <w:color w:val="111111"/>
          <w:sz w:val="28"/>
          <w:sz w:val="28"/>
          <w:szCs w:val="28"/>
          <w:rtl w:val="true"/>
          <w:lang w:bidi="ar-SA"/>
        </w:rPr>
        <w:t>يكفي مجرد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يكتفى بمجرد التوبة والعمل الصالح، بل لابدّ من الاختبار مدة يغلب معه الظن بأنّه أصلح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هو الأشهر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الملكة تزول بارتكاب الكبيرة وأمّا عودها فهو أمر تعبدي لا أنّها تعود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الملكة تزول واقعاً وتعود واقعاً، لأنّه بارتكابه للكبيرة هتك ستره، وانحط مقامه، وخرج عن جادة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ندم وتاب عاد إلى حاله الأولى، فإنّ التائب من ذنبه كمن لا ذنب له، وتكون الندامة علامة على الرجوع، فهي دليل إنّي على عودة الملكة، ولا محذور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الاشكال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اشتهر عندهم تقديم الجارح على المعدّل وهذا لا يتناسب مع القول بأنّ العدالة هي الملكة للتنافي بينهما، نعم يتناسب ذلك مع القول بأنّ العدالة هي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مفتاح الكرامة </w:t>
      </w:r>
      <w:r>
        <w:rPr>
          <w:rStyle w:val="FootnoteAnchor"/>
          <w:rtl w:val="true"/>
        </w:rPr>
        <w:footnoteReference w:id="159"/>
      </w:r>
      <w:r>
        <w:rPr>
          <w:rFonts w:ascii="Amiri" w:hAnsi="Amiri" w:eastAsia="Amiri" w:cs="Amiri"/>
          <w:color w:val="111111"/>
          <w:sz w:val="28"/>
          <w:sz w:val="28"/>
          <w:szCs w:val="28"/>
          <w:rtl w:val="true"/>
          <w:lang w:bidi="ar-SA"/>
        </w:rPr>
        <w:t>من إطباق الأصحاب، إلاّ السيّد، والإسكافي، على صحة صلاة من صلى خلف إمام ثمّ تبين فسقه أو كفره، وقد نطقت به الروايات، وهذا لا يجتمع مع القول بأنّ العدالة هي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الجواب عن هذين الإيرادين فيما سبق فلا نعيد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بالنسبة إلى المقام الأوّل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القول معقول في نفسه، بالإضافة إلى عدم تمامية ما </w:t>
      </w:r>
      <w:bookmarkStart w:id="125" w:name="pg8631_94945"/>
    </w:p>
    <w:p>
      <w:pPr>
        <w:pStyle w:val="BookText"/>
        <w:rPr/>
      </w:pPr>
      <w:bookmarkEnd w:id="125"/>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2192971_653776707"/>
      <w:bookmarkStart w:id="127" w:name="_Toc44"/>
      <w:bookmarkEnd w:id="126"/>
      <w:r>
        <w:rPr>
          <w:rtl w:val="true"/>
        </w:rPr>
        <w:t>الجهة الثانية</w:t>
      </w:r>
      <w:r>
        <w:rPr>
          <w:rtl w:val="true"/>
        </w:rPr>
        <w:t xml:space="preserve">: </w:t>
      </w:r>
      <w:r>
        <w:rPr>
          <w:rtl w:val="true"/>
        </w:rPr>
        <w:t xml:space="preserve">أدلة القول </w:t>
      </w:r>
      <w:r>
        <w:rPr>
          <w:rtl w:val="true"/>
        </w:rPr>
        <w:t>:</w:t>
      </w:r>
      <w:bookmarkEnd w:id="127"/>
    </w:p>
    <w:p>
      <w:pPr>
        <w:pStyle w:val="Heading6"/>
        <w:numPr>
          <w:ilvl w:val="5"/>
          <w:numId w:val="1"/>
        </w:numPr>
        <w:rPr/>
      </w:pPr>
      <w:bookmarkStart w:id="128" w:name="__RefHeading___Toc2192973_653776707"/>
      <w:bookmarkStart w:id="129" w:name="_Toc45"/>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الأدلة عليه، وهي أربعة</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2192975_653776707"/>
      <w:bookmarkStart w:id="131" w:name="_Toc46"/>
      <w:bookmarkEnd w:id="130"/>
      <w:r>
        <w:rPr>
          <w:rtl w:val="true"/>
        </w:rPr>
        <w:t xml:space="preserve">الدليل الأوّل </w:t>
      </w:r>
      <w:r>
        <w:rPr>
          <w:rtl w:val="true"/>
        </w:rPr>
        <w:t>:</w:t>
      </w:r>
      <w:bookmarkEnd w:id="131"/>
    </w:p>
    <w:p>
      <w:pPr>
        <w:pStyle w:val="BookText"/>
        <w:rPr/>
      </w:pPr>
      <w:r>
        <w:rPr>
          <w:rFonts w:ascii="IRNazanin" w:hAnsi="IRNazanin" w:eastAsia="IRNazanin"/>
          <w:color w:val="111111"/>
          <w:sz w:val="28"/>
          <w:sz w:val="28"/>
          <w:szCs w:val="28"/>
          <w:rtl w:val="true"/>
          <w:lang w:bidi="fa-IR"/>
        </w:rPr>
        <w:t xml:space="preserve">ما نقله صاحب الجواهر </w:t>
      </w:r>
      <w:r>
        <w:rPr>
          <w:rStyle w:val="FootnoteAnchor"/>
          <w:rtl w:val="true"/>
        </w:rPr>
        <w:footnoteReference w:id="160"/>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العدالة لغة وعرفاً هي الاستواء، والاستقامة، وعدم الانحراف إلى جانب ما، وفي مقابلها الفسق وهو الميل عن الحق والطريق المستقيم، وهذا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ينسب إلى الأمور المحسوسة، كما يقال الطريق عدل أو الجدار عدل، ونحو ذلك، ومعناه أنّه ليس به 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ينسب إلى الأمور المعنوية كما يقال فلان في عقيدته أو في أخلاقه عدل، أي ليس فيها 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ينسب إلى الذات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تارة تكون على نحو الإطلاق، ومعناه أنّه عدل في جميع أموره، وأخرى تكون مقيدة بجهة معينة،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عدل في رعيته، أو في أولاده، أو كما مثلنا بالعقيدة والأخلاق، ومعناه أنّه مستقيم الطريقة بالنسبة إلى المتعلق، فإن لم يكن هناك قرينة على التقييد، أو انصراف إلى جهة معينة فمفاده الاستقامة والاستواء في جميع الأمور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المعنى اللغوي والعرفي، وحيث إنّ الشارع لم يستعمل معنى العدالة في معنى آخر غير المعنى العرفي، وليس للشارع وضع آخر لتثبت </w:t>
      </w:r>
    </w:p>
    <w:p>
      <w:pPr>
        <w:pStyle w:val="BookText"/>
        <w:rPr/>
      </w:pPr>
      <w:r>
        <w:rPr>
          <w:rFonts w:ascii="Amiri" w:hAnsi="Amiri" w:eastAsia="Amiri" w:cs="Amiri"/>
          <w:color w:val="111111"/>
          <w:sz w:val="28"/>
          <w:sz w:val="28"/>
          <w:szCs w:val="28"/>
          <w:rtl w:val="true"/>
          <w:lang w:bidi="ar-SA"/>
        </w:rPr>
        <w:t>بذلك حقيقة شرعية، أو متشرعية لمعناها، فلابدّ من حمل ما ورد في كلام الشارع على هذا المعنى،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أنّ الوصف بالاستقامة، أو العدالة، إنّما يصح في ما فيه مقتض لذلك لا مجرد عدم الانحراف، فإنّ الجدار مثلاً لا يوصف بالاستقامة إلاّ إذا كان بحسب طبعه مستقيماً، لا أنّه يوصف بذلك حتى لو كان بقسر قاسر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عدل أو عادل فلابدّ أن يكون مقتضي الاستقامة والعدالة فيه متحققاً، بالإضافة إلى عدم الانحراف، وهذا هو المعبر عنه بالملكة، لا أنّ وصفه بها لمجرد عدم الانحراف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تكون العدالة هي عبارة عن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المعنى المراد منها، مضافاً إلى أنّ كون الشخص على جادة الحق أمر واقعي كسائر الأمور الواقعية من المعاني والصفات، كالشجاعة والعلم وغير ذلك، فإذا صار ذلك موضوعاً للحكم فلابدّ من إحرازه إمّا بعلم أو بعلمي، ولا يتم إحرازه إلاّ بالاختبار، والمعاشرة، بحيث يحصل من ملاحظة حاله الوثوق والاطمئنان من استقامته، وعدم ميله عن الجادة، وهذا هو معنى الملكة الّتي هي الهيئة الراسخة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يمكن الحكم بعدالة شخص حتى يعلم، أو يطمأن إلى تحقق الملكة فيه، وبها يعسر عليه مخالفة الحق وارتكاب المعاصي والإخلال بالواجبات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مركب من مقدمتين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العرفي هو الدائر مدار الأحكام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إحرازه، إمّا بنفس الملكة، أو إحراز ما يلازم كونه ملكة</w:t>
      </w:r>
      <w:r>
        <w:rPr>
          <w:rFonts w:eastAsia="Amiri" w:cs="Amiri" w:ascii="Amiri" w:hAnsi="Amiri"/>
          <w:color w:val="111111"/>
          <w:sz w:val="28"/>
          <w:szCs w:val="28"/>
          <w:rtl w:val="true"/>
          <w:lang w:bidi="ar-SA"/>
        </w:rPr>
        <w:t xml:space="preserve">. </w:t>
      </w:r>
      <w:bookmarkStart w:id="132" w:name="pg8631_94947"/>
    </w:p>
    <w:p>
      <w:pPr>
        <w:pStyle w:val="Heading6"/>
        <w:numPr>
          <w:ilvl w:val="5"/>
          <w:numId w:val="1"/>
        </w:numPr>
        <w:rPr/>
      </w:pPr>
      <w:bookmarkStart w:id="133" w:name="__RefHeading___Toc2192977_653776707"/>
      <w:bookmarkStart w:id="134" w:name="_Toc47"/>
      <w:bookmarkEnd w:id="132"/>
      <w:bookmarkEnd w:id="133"/>
      <w:r>
        <w:rPr>
          <w:rtl w:val="true"/>
        </w:rPr>
        <w:t xml:space="preserve">الدليل الثاني </w:t>
      </w:r>
      <w:r>
        <w:rPr>
          <w:rtl w:val="true"/>
        </w:rPr>
        <w:t>:</w:t>
      </w:r>
      <w:bookmarkEnd w:id="134"/>
    </w:p>
    <w:p>
      <w:pPr>
        <w:pStyle w:val="BookText"/>
        <w:rPr/>
      </w:pPr>
      <w:r>
        <w:rPr>
          <w:rFonts w:ascii="Amiri" w:hAnsi="Amiri" w:eastAsia="Amiri" w:cs="Amiri"/>
          <w:color w:val="111111"/>
          <w:sz w:val="28"/>
          <w:sz w:val="28"/>
          <w:szCs w:val="28"/>
          <w:rtl w:val="true"/>
          <w:lang w:bidi="ar-SA"/>
        </w:rPr>
        <w:t xml:space="preserve">ويظهر من الشيخ في رسالته </w:t>
      </w:r>
      <w:r>
        <w:rPr>
          <w:rStyle w:val="FootnoteAnchor"/>
          <w:rtl w:val="true"/>
        </w:rPr>
        <w:footnoteReference w:id="161"/>
      </w:r>
      <w:r>
        <w:rPr>
          <w:rFonts w:ascii="Amiri" w:hAnsi="Amiri" w:eastAsia="Amiri" w:cs="Amiri"/>
          <w:color w:val="111111"/>
          <w:sz w:val="28"/>
          <w:sz w:val="28"/>
          <w:szCs w:val="28"/>
          <w:rtl w:val="true"/>
          <w:lang w:bidi="ar-SA"/>
        </w:rPr>
        <w:t>وهكذا بقية الأدلة،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يقتضي أنّ العدالة هي الملكة، وذلك لأنّا إذا شككنا في أنّ موضوع الأحكام هو العدالة بمعناها الموسع، أو بمعناها المضيق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العدالة هي الاستواء، وعدم الانحراف، وهو معنى التوسعة، أو أنّها أخصّ من ذلك، أي بإضافة الملكة، وهو معنى التضييق؟</w:t>
      </w:r>
    </w:p>
    <w:p>
      <w:pPr>
        <w:pStyle w:val="BookText"/>
        <w:rPr/>
      </w:pPr>
      <w:r>
        <w:rPr>
          <w:rFonts w:ascii="Amiri" w:hAnsi="Amiri" w:eastAsia="Amiri" w:cs="Amiri"/>
          <w:color w:val="111111"/>
          <w:sz w:val="28"/>
          <w:sz w:val="28"/>
          <w:szCs w:val="28"/>
          <w:rtl w:val="true"/>
          <w:lang w:bidi="ar-SA"/>
        </w:rPr>
        <w:t>ومع دوران الأمر بينهما فالأصل يقتضي الأخذ بالقدر المتيقن وهو في المقام المعنى الأخص، ومثاله الائتمام في الصلاة خلف زيد، أو عمرو، وكانت عدالة زيد عبارة عن استقامة ظاهرية، وأمّا عدالة عمرو فهي استقامة ظاهرية عن ملكة، فلا إشكال أنّ القدر المتيقن هو الائتمام بعمرو دون زيد</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2192979_653776707"/>
      <w:bookmarkStart w:id="136" w:name="_Toc48"/>
      <w:bookmarkEnd w:id="135"/>
      <w:r>
        <w:rPr>
          <w:rtl w:val="true"/>
        </w:rPr>
        <w:t xml:space="preserve">الدليل الثالث </w:t>
      </w:r>
      <w:r>
        <w:rPr>
          <w:rtl w:val="true"/>
        </w:rPr>
        <w:t>:</w:t>
      </w:r>
      <w:bookmarkEnd w:id="13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يظهر من كلامه من دعوى الاتفاق،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مضافاً إلى الأصل الاتفاق المنقول المعتضد بالشهرة المحقّقة، بل عدم الخلاف، بناءًعلى أنّه لا يبعد إرجاع كلام الحلّي </w:t>
      </w:r>
      <w:r>
        <w:rPr>
          <w:rStyle w:val="FootnoteAnchor"/>
          <w:rtl w:val="true"/>
        </w:rPr>
        <w:footnoteReference w:id="162"/>
      </w:r>
      <w:r>
        <w:rPr>
          <w:rFonts w:ascii="Amiri" w:hAnsi="Amiri" w:eastAsia="Amiri" w:cs="Amiri"/>
          <w:color w:val="111111"/>
          <w:sz w:val="28"/>
          <w:sz w:val="28"/>
          <w:szCs w:val="28"/>
          <w:rtl w:val="true"/>
          <w:lang w:bidi="ar-SA"/>
        </w:rPr>
        <w:t xml:space="preserve">إلى المشهور كما لا يخفى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هذا الدليل</w:t>
      </w:r>
      <w:r>
        <w:rPr>
          <w:rFonts w:eastAsia="Amiri" w:cs="Amiri" w:ascii="Amiri" w:hAnsi="Amiri"/>
          <w:color w:val="111111"/>
          <w:sz w:val="28"/>
          <w:szCs w:val="28"/>
          <w:rtl w:val="true"/>
          <w:lang w:bidi="ar-SA"/>
        </w:rPr>
        <w:t xml:space="preserve">. </w:t>
      </w:r>
      <w:bookmarkStart w:id="137" w:name="pg8631_94948"/>
    </w:p>
    <w:p>
      <w:pPr>
        <w:pStyle w:val="Heading6"/>
        <w:numPr>
          <w:ilvl w:val="5"/>
          <w:numId w:val="1"/>
        </w:numPr>
        <w:rPr/>
      </w:pPr>
      <w:bookmarkStart w:id="138" w:name="__RefHeading___Toc2192981_653776707"/>
      <w:bookmarkStart w:id="139" w:name="_Toc49"/>
      <w:bookmarkEnd w:id="137"/>
      <w:bookmarkEnd w:id="138"/>
      <w:r>
        <w:rPr>
          <w:rtl w:val="true"/>
        </w:rPr>
        <w:t xml:space="preserve">الدليل الرابع </w:t>
      </w:r>
      <w:r>
        <w:rPr>
          <w:rtl w:val="true"/>
        </w:rPr>
        <w:t>:</w:t>
      </w:r>
      <w:bookmarkEnd w:id="139"/>
    </w:p>
    <w:p>
      <w:pPr>
        <w:pStyle w:val="Heading6"/>
        <w:numPr>
          <w:ilvl w:val="5"/>
          <w:numId w:val="1"/>
        </w:numPr>
        <w:rPr/>
      </w:pPr>
      <w:bookmarkStart w:id="140" w:name="__RefHeading___Toc2192983_653776707"/>
      <w:bookmarkStart w:id="141" w:name="_Toc50"/>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الأخبار الواردة في المقام، وهي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صلاة الجماعة، وأنّه يشترط في إمام الجماعة الوثوق بدينه وورعه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الوثوق لا يحصل بمجرد تركه المعاصي، والاستقامة العملية في جميع ما مضى من عمره ما لم يعلم، أو يظن بأنّه لا يرتكب بعد ذلك، وهذا لا يتأتّى إلاّ بثبوت الملكة، فإن أُحرزت حصل العلم، أو الظن، والوثوق به وبدينه وورعه،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تقدّم ذكر الروايات الدالة على ذلك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الشاهد، وقد تقدّم ذكرها أيضاً، ومفادها أنّه يعتبر في الشاهد أوصاف لا تتحقق إلاّ بالملكة، مثل المأمونية والعفة والصيانة والصلاح، وغيرها من الصفات النفسانية ممّا لا تنطبق إلاّ على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في المقام، صحيحة ابن أبي يعفور، وقد أوردناها بطولها فيما تقدّم </w:t>
      </w:r>
      <w:r>
        <w:rPr>
          <w:rStyle w:val="FootnoteAnchor"/>
          <w:rtl w:val="true"/>
        </w:rPr>
        <w:footnoteReference w:id="164"/>
      </w:r>
      <w:r>
        <w:rPr>
          <w:rFonts w:ascii="IRNazanin" w:hAnsi="IRNazanin" w:eastAsia="IRNazanin"/>
          <w:color w:val="111111"/>
          <w:sz w:val="28"/>
          <w:sz w:val="28"/>
          <w:szCs w:val="28"/>
          <w:rtl w:val="true"/>
          <w:lang w:bidi="fa-IR"/>
        </w:rPr>
        <w:t>وحاصل ما استدلّ به الشيخ في رسالته، فيدلالة هذه الصحيحة على اعتبار الملكة في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أبي يعفور، 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تعرف عدالة الرجل بين المسلمين حتّى تقبل شهادته لهم وعليهم؟ وأجابه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تعرفوه بالستر والعفاف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المعرفة هي المعرفة الحقيقية المنطقية، أي حقيقة العدالة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بالمعرفة، هي المعرفة الجعلية الأصولية، أي الكاشفية، كالتعريف باللازم عن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فالسؤال الوارد هل هو عن المعنى الأوّل، أو المعنى الثاني، فإنّ الأمر دائر بين هذين الاحتمالين؟</w:t>
      </w:r>
    </w:p>
    <w:p>
      <w:pPr>
        <w:pStyle w:val="BookText"/>
        <w:rPr/>
      </w:pPr>
      <w:r>
        <w:rPr>
          <w:rFonts w:ascii="Amiri" w:hAnsi="Amiri" w:eastAsia="Amiri" w:cs="Amiri"/>
          <w:color w:val="111111"/>
          <w:sz w:val="28"/>
          <w:sz w:val="28"/>
          <w:szCs w:val="28"/>
          <w:rtl w:val="true"/>
          <w:lang w:bidi="ar-SA"/>
        </w:rPr>
        <w:t>والظاهر أنّ المراد هو الاحتمال الأوّل، أي أنّ المراد هو التعريف الحقيقي المنطقي، وذلك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اشتمل على ذكر الصفات النفسانية، من الستر والعفاف والكف والاجتناب، وحينئذ فالسؤال إنّما هو عن حقيقة العدالة وواقعها، إذ من البعيد أن تكون هذه الأوصاف تجعل طريقاً إلى ترك المعاصي، لأنّا إذا فرضنا أنّ معنى العدالة واضح عند السائل فمراده من السؤال هو الكاشف عن العدالة، وهذه الأوصاف طريق إليها، وهذا بعيد إذ</w:t>
      </w:r>
    </w:p>
    <w:p>
      <w:pPr>
        <w:pStyle w:val="BookText"/>
        <w:rPr/>
      </w:pPr>
      <w:r>
        <w:rPr>
          <w:rFonts w:ascii="Amiri" w:hAnsi="Amiri" w:eastAsia="Amiri" w:cs="Amiri"/>
          <w:color w:val="111111"/>
          <w:sz w:val="28"/>
          <w:sz w:val="28"/>
          <w:szCs w:val="28"/>
          <w:rtl w:val="true"/>
          <w:lang w:bidi="ar-SA"/>
        </w:rPr>
        <w:t>كاشفية الأوصاف عن الواقع واضحة وبديهيّة عند كلّ أحد، فلا جهل حينئذ حتى يسأل، فإنّ من كانت فيه ملكة الشجاعة فهو شجاع وشجاعته ظاهرة ولا يحتاج إلى سؤال عن وجودها فيه، أو عن الطريق إليها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بيان حقيقة العدالة لا الكاشف عنها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ورد في ذيل الصحيحة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والدلالة على ذلك كله أن يكون ساتراً لجميع عيوبه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السؤال عن الكاشف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الاحتمال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والدلالة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كاشف ثانٍ ويصبح للعدالة كاشفان وهذا بعيد، لأنّ الكاشف الثاني أعم من الأوّل ومع وجود الثاني لا حاجة إلى الأوّل، بل يستلزم لغويته واستهجان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أمارة العدالة الإيمان، ثمّ يقال والإسلام أيضاً أمارة، والحال أنّ الإسلام أعم من الإيمان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لو كان الأمر بالعكس لكان ذلك وجيهاً، والمقام من قبيل الأول، أي تقديم الأخص على الأعم، وبناء على لزوم هذا المحذور فالصحيح أنّ السؤال عن حقيقة العدالة لا الكاشفية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جعله الشيخ في رسالته مؤيداً وهو الأهم في المقام،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الضمير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ويعرف باجتناب الكبائر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عوده إلى العدالة، ويحتمل أن يكون عائداً إلى الرجل، كما يحتمل أن يكون عائداً إلى الأمور المذكورة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فعلى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ويعرف باجتناب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 ثانياً للعدالة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متمماً للمعرّف، والمعنى أنّه</w:t>
      </w:r>
    </w:p>
    <w:p>
      <w:pPr>
        <w:pStyle w:val="BookText"/>
        <w:rPr/>
      </w:pPr>
      <w:r>
        <w:rPr>
          <w:rFonts w:ascii="Amiri" w:hAnsi="Amiri" w:eastAsia="Amiri" w:cs="Amiri"/>
          <w:color w:val="111111"/>
          <w:sz w:val="28"/>
          <w:sz w:val="28"/>
          <w:szCs w:val="28"/>
          <w:rtl w:val="true"/>
          <w:lang w:bidi="ar-SA"/>
        </w:rPr>
        <w:t>يُعرف بهذه الأشياء، وباجتناب 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 للمعرّف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وبغض النظر عن كون الاحتمال الثاني هو الأرجح، إلاّ أنّ هذه الاحتمالات الثلاثة تلتئم مع إرادة التعريف الحقيقي المنطقي، لا الجعليالأصولي، فهنا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الاحتمالات الثلاثة تتناسب مع إرادة التعريف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من هذه الاحتمالات الثلاثة هو الثاني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الدعوى الأولى فبيانها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الاحتمال الأوّل وهو أن يكون معرفاً ثانياً، لا يتناسب مع إرادة التعريف الجعلي، إذ أنّ ذكر الكاشفية عن العدالة ثمّ تعقيبه بتعريف العدالة ممّا لا وجه لها، لأنّ المفروض بناء على الكاشفية أنّ العدالة </w:t>
      </w:r>
    </w:p>
    <w:p>
      <w:pPr>
        <w:pStyle w:val="BookText"/>
        <w:rPr/>
      </w:pPr>
      <w:r>
        <w:rPr>
          <w:rFonts w:ascii="Amiri" w:hAnsi="Amiri" w:eastAsia="Amiri" w:cs="Amiri"/>
          <w:color w:val="111111"/>
          <w:sz w:val="28"/>
          <w:sz w:val="28"/>
          <w:szCs w:val="28"/>
          <w:rtl w:val="true"/>
          <w:lang w:bidi="ar-SA"/>
        </w:rPr>
        <w:t>معلومة، فما معنى التعقيب بذكر المعرف للعدالة؟ فالصحيح حمله على تأييد التعريف المنطقي الحقيقي ويكون المعنى تعقيب المعرف بمعرف آخر ولا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متمماً للتعريف، فلا يناسب إرادة الكاشفية، لأنّها حسب الفرض أمارة ولا معنى لتتميم الأمارية، فإنّ الاجتناب إذا كان هو نفس العدالة فكيف يكون متمماً للأمارية؟ فالصحيح حمله على تأييد التعريف الحقيقي المنطقي ويكون المعنى تعقيب المعرّف بمتمم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معرّفاً للمعرّف، فواضح إذ لا معنى لجعله أمارة على أمارته، أي أن يجعل نفس العدالة دليلاً على أمارة</w:t>
      </w:r>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فالأنسب حمله على تأييد التعريف الحقيقي المنطقي، ويكون المعنى تعقيب المعرّف بما يوضح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الدعوى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الأظهر من الاحتمالات الثلاثة هو الثاني، أي كونه متمماً للتعريف لا أنّه معرّف مستقل ولا أنّه معرّف للمعرّف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وذلك لأنّه إن أريد به كونه معرّفاً منطقياً فبعده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الاجتناب هو الاجتناب عن 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حينئذ عدم مغايرته للمعرّف الأوّل بل هو نفسه، ولازم ذلك اللغوية والتكرار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الاجتناب هو الاجتناب لا عن ملكة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 حينئذ التغاير بين المعرّفين والشارحين لمفهوم واحد وهذا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هذا الاحتمال هو المراد غير تام، للزوم اللغوية، أو عدم الصحة، هذا إذا أريد منه التعريف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كونه معرفاً جعلياً، فبعده من وجهين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الاجتناب طريقاً إلى الملكة تسهيلاً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الاجتناب طريقاً ليس بأسهل من نفس الملكة، فإنّ وجدانها في الشخص أسهل من وجدان الاجتناب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ذلك اللغوية، لأنّه إذا كان الاجتناب أمارة على العدالة، فذيل الصحيحة أمارة على العدالة أيضاً، فيلزم اجتماع أمارتين، والثانية أعم من الأولى، فإنّ الاجتناب أخص من الستر، ومع وجود الأعم يكون ذكر الأخص سابقاً عليه لغواً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فكون هذه الجملة معرّفاً منطقياً، أو معرّفاً جعلياً غيرصحيح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معرّفاً للمعرّف فهو أبعد الاحتمالات، وذلك لأنّه لا يخلو إمّا أن يكون معرّفاً منطقياً، أو معرّفاً جعلياً، وعلى كلا التقديرين يكون اجتناب الكبائر مساوياً للمعرّف الأوّل والحال أنّهما غير متساويين عرفاً، ومعه فلا يصلح جعله معرّفاً منطقياً، أو شرعياً، فهذا الاحتمال ساقط</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تبين عدم صلاحية كلّ من الاحتمالين الأوّل والثالث، فيبقى </w:t>
      </w:r>
    </w:p>
    <w:p>
      <w:pPr>
        <w:pStyle w:val="BookText"/>
        <w:rPr/>
      </w:pPr>
      <w:r>
        <w:rPr>
          <w:rFonts w:ascii="Amiri" w:hAnsi="Amiri" w:eastAsia="Amiri" w:cs="Amiri"/>
          <w:color w:val="111111"/>
          <w:sz w:val="28"/>
          <w:sz w:val="28"/>
          <w:szCs w:val="28"/>
          <w:rtl w:val="true"/>
          <w:lang w:bidi="ar-SA"/>
        </w:rPr>
        <w:t>الاحتمال الثاني، وهو كونه متمماً للمعرّف الأوّل، بمعنى أن تكون العدالة هي الستر والعفة والصيانة والكف ويتممه 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بل المتعين من بين الاحتمالات الثلاثة، ويكون من قبيل التخصيص بعد التعميم، والتقييد بعد الإطلاق، وهذا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الأولى اشتملت على ذكر الصفات النفسانية وأنّها تعريف حقيقي للعدالة، وأنّها عبارة عن هيئة راسخة في النفس تقتضي الإتيان بالواجبات واجتناب المحرّمات وذلك هو المعبر عنه بالملكة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ما ذكره الشيخ </w:t>
      </w:r>
      <w:r>
        <w:rPr>
          <w:rStyle w:val="FootnoteAnchor"/>
          <w:rtl w:val="true"/>
        </w:rPr>
        <w:footnoteReference w:id="165"/>
      </w:r>
      <w:r>
        <w:rPr>
          <w:rFonts w:ascii="Amiri" w:hAnsi="Amiri" w:eastAsia="Amiri" w:cs="Amiri"/>
          <w:color w:val="111111"/>
          <w:sz w:val="28"/>
          <w:sz w:val="28"/>
          <w:szCs w:val="28"/>
          <w:rtl w:val="true"/>
          <w:lang w:bidi="ar-SA"/>
        </w:rPr>
        <w:t>في رسالته عن ملكة العدالة تعريفاً واستدلالاً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جميع ما استدل به عليها مورد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نقله في الجواهر </w:t>
      </w:r>
      <w:r>
        <w:rPr>
          <w:rStyle w:val="FootnoteAnchor"/>
          <w:rtl w:val="true"/>
        </w:rPr>
        <w:footnoteReference w:id="166"/>
      </w:r>
      <w:r>
        <w:rPr>
          <w:rFonts w:ascii="Amiri" w:hAnsi="Amiri" w:eastAsia="Amiri" w:cs="Amiri"/>
          <w:color w:val="111111"/>
          <w:sz w:val="28"/>
          <w:sz w:val="28"/>
          <w:szCs w:val="28"/>
          <w:rtl w:val="true"/>
          <w:lang w:bidi="ar-SA"/>
        </w:rPr>
        <w:t>فقد ذكرنا أنّه مركب منمقدمتين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لغةً وعرفاً بمعنى الاستواء وليس للشارع وضع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الاستواء لابدّ له من مقتضٍ والمقتضي هو وجود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فيها، وإنّما الإشكال في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ناقش فيها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المقتضي معلوم التحقق كما تقدّم حيث ذكرنا صوراً محتملة وخلاصة ما مرّ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عدم ارتكاب المعاصي إمّا أن يكون لداعٍ إلهي، أو غير إلهي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الداعي الإلهي تارة يكون هو المحبة للَّه تعالى، وأخرى يكون هو الخوف والخشية منه تعالى مع رجاء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 تارة يكون على نحو الدوام والاستمرار، وأخرى يكون على نحو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الداعي غير الإلهي فتارة يكون بداعي الرياء والسمعة، وأخرى يكون بنحو الوجاهة الدنيوية، وقد بيّنا ذلك مفصلاً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 إنّ المناط في العدالة هو أن يكون الداعي هو الخوف والخشية من اللَّه تعالى على نحو الدوام والاستمرار بحسب المتعارف عند الناس، فإذا كان هذا المقتضي موجوداً في الإنسان فحينئذ يصدق على المتلبّس به عنوان الاستقامة على جادة الشرع ومعه لا حاجة إلى شي ء آخر، بمعنى أنّه يكون مصداقاً للعدالة وإن لم يكن هناك هيئة راسخة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على نحو الاتفاق فلا يكون مصداقاً للاستقامة، ولعلالقائل بالملكة خلط بين الأمرين أي بين الاستمرار والدوام، وبين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والنافع في المقام هو الأوّل فإنّ استمرار الخوف كافٍ في صدق الاستقامة ولا حاجة معه إلى الملكة إذ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الدليل من أنّ الاستقامة والكون على جادة الشرع أمر واقعي كسائر المعاني الواقعية، وهو لا يتحقق إحرازه إلاّ بالاختبار والمعاشرة وهذا يقتضي أن يكون عن ملكة إذ لولاها لما حصل الاطمئنان بهذا 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عنه المحقّق الاصفهاني </w:t>
      </w:r>
      <w:r>
        <w:rPr>
          <w:rStyle w:val="FootnoteAnchor"/>
          <w:rtl w:val="true"/>
        </w:rPr>
        <w:footnoteReference w:id="168"/>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لا يلزم احراز الاستقامة عن ملكة بالاختبار والمعاشرة بل يكفي أن يراه </w:t>
      </w:r>
    </w:p>
    <w:p>
      <w:pPr>
        <w:pStyle w:val="BookText"/>
        <w:rPr/>
      </w:pPr>
      <w:r>
        <w:rPr>
          <w:rFonts w:ascii="Amiri" w:hAnsi="Amiri" w:eastAsia="Amiri" w:cs="Amiri"/>
          <w:color w:val="111111"/>
          <w:sz w:val="28"/>
          <w:sz w:val="28"/>
          <w:szCs w:val="28"/>
          <w:rtl w:val="true"/>
          <w:lang w:bidi="ar-SA"/>
        </w:rPr>
        <w:t xml:space="preserve">لا يرتكب المعصية في مدّة من الزمن أو فيما مضى من عمره، إذ بذلك يحصل الوثوق قهراً باستقامته ومنه يحصل الاطمئنان بأنّه مستقيم حتى فيما يستقبل من عمره لنفس الداعي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الاستقامة ظاهرة في الاستقامة الفعلية، أمّا بالنسبة إلى الزمان المستقبل فليس إحرازه شرطاً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أن تكون الاستقامة المستقبلية شرطاً في العدالة، فيمكن إحرازها بالاستصحاب، بأن يقال إنّ ما مضى من عمره حيث لم يرتكب فيه معصية أمر متيقن فمع الشك في بقائه مستقبلاً يستصحب اليقين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أورد به على هذا الدليل، وما ذكره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الأصفهاني فلنا ملاحظة على بعض ما ذكره،وهي أنّ المفهوم من كلام المحقّق أنّ الزمان المستقبل ليس له دخل في المقام وهذا غير تام، وذلك لأنّا إذا علمنا عن شخص أنّه يرتكب الحرام في المستقبل فلا يمكن ترتيب آثار العدالة عليه، فقوله إنّ الإحراز في المستقبل لا دخل له، لا يتمّ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نعلم أنّه يرتكب الحرام أولا فهذا لا ضير فيه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عن الاستصحاب الاستقبالي فهو وإن كان جواباً مبنائياً إلاّ أنّ جريانه بالنسبة إلى الإتيان بالواجبات باعتبارها أمور وجودية لا معنى له، نعم بالنسبة إلى ترك المحرّمات لا مانع من جريانه باعتبارها أمور عدمية، نعم إذا أريد من ذلك الحالة الّتي هو عليها وهي ليست مركبة من وجود وعدم أمكن إجراء الاستصحاب بلا مانع ما لم يرجع ذلك إلى القول بالملكة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الأوّل مخدوش ولا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عنه السيّد</w:t>
      </w:r>
    </w:p>
    <w:p>
      <w:pPr>
        <w:pStyle w:val="BookText"/>
        <w:rPr/>
      </w:pPr>
      <w:r>
        <w:rPr>
          <w:rFonts w:ascii="IRNazanin" w:hAnsi="IRNazanin" w:eastAsia="IRNazanin"/>
          <w:color w:val="111111"/>
          <w:sz w:val="28"/>
          <w:sz w:val="28"/>
          <w:szCs w:val="28"/>
          <w:rtl w:val="true"/>
          <w:lang w:bidi="fa-IR"/>
        </w:rPr>
        <w:t>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ليست من المفاهيم المجملة المرددة بين السعة والضيق لتصل النوبة إلى الأخذ بالقدر المتيقن، بل العدالة ظاهرة المفهوم بمعنى الاستواء والاستقامة على جادة الشرع وهذا هو المأخوذ في موضوعات الأحكام، ومع الشك في تقييده بالملكة فالأصل يقتضي عدم التقييد والبراءة 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أنّ هذا اللفظ ظاهر في المعنى الموسع والظاهر حجة مالم تقم قرينة على خلافه وحيث لم تحرز القرينة فلابدّ من الأخذ بالظاهر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بأنّ مفهوم العدالة مجمل مردد فأيضاً لا يتم الاستدلال بالأصل في جميع الموارد ولابدّ من التفصيل، ففي الموارد الّتي تكون العدالة معتبرة في الأحكام وكانت بدليل متصل فهنا يلزم ما ذكر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 فإنّ ذوي عدلٍ قرينة متصلة على اشتراط العدالة فالقدر المتيقن من الشهادة هو شهادة المتصف بالملكة وحينئذ تجري أصالة عدم ترتيب الآثار إلاّ مع الملكة، وأمّا إذا كانت القرينة منفصلة كما في باب الفتوى والقضاء حيث إنّ أدلة حجيّة الفتوى والقضاء هي السيرة وغيرها من المطلقات وإنّما قيدت بالعدالة بدليل منفصل، كالضرورة، ورواية الإحتجاج وغيرها، وحسب الفرض أنّ مفهوم العدالة مجمل مردد بين الموسع والمضيق فالأصل يقتضي خلاف ما ذكر، وذلك لأنّ العمل هنا يقتضي رفع اليد عن </w:t>
      </w:r>
    </w:p>
    <w:p>
      <w:pPr>
        <w:pStyle w:val="BookText"/>
        <w:rPr/>
      </w:pPr>
      <w:r>
        <w:rPr>
          <w:rFonts w:ascii="Amiri" w:hAnsi="Amiri" w:eastAsia="Amiri" w:cs="Amiri"/>
          <w:color w:val="111111"/>
          <w:sz w:val="28"/>
          <w:sz w:val="28"/>
          <w:szCs w:val="28"/>
          <w:rtl w:val="true"/>
          <w:lang w:bidi="ar-SA"/>
        </w:rPr>
        <w:t>المطلقات بالمقدار المتيقن من المخصص، أو المقيد وهو أن يكون مجتنباً عن الكبائر، وأمّا أن يكون عن ملكة فلا، فمفاد الأصل في هذه الموارد هو الأخذ بالمطلقات، أي على عكس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غير تام في جميع الموارد، بل هو أخص، بل مفاده في بعض الموارد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أورده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العدالة بمعنى الاستواء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والإيراد في محله، وأمّا ما أورده ثانياً، فهو وارد بناء على مذهب المشهور من أنّ القيد إذا كان منفصلاً وكان مجملاً لا يسري إجماله إلى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القول بِسراية الإجمال فلا يتم الإيراد، ولا يبعد أن يكونالشيخ قد أشار إلى ذلك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الدليل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دعوى الاتفاق فلا يخفى ما فيها إذ بعدما تقدّم من الأقوال في المسألة لا يمكن الاعتماد عليها، مضافاً إلى عدم كاشفيتها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لكونها منقولة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الروايات، فقد قلنا إنّها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إمام الجماعة، فالوارد فيها هو اعتبار الوثاقة والورع في إمام الجماعة وذلك يقتضي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الوثاقة، فقد وردت في ثلاث روايات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علي بن راشد </w:t>
      </w:r>
      <w:r>
        <w:rPr>
          <w:rStyle w:val="FootnoteAnchor"/>
          <w:rtl w:val="true"/>
        </w:rPr>
        <w:footnoteReference w:id="1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مواليك قد اختلفوا فأصلّي خلفهم جميعاً؟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إلاّ خلف من تثق </w:t>
      </w:r>
    </w:p>
    <w:p>
      <w:pPr>
        <w:pStyle w:val="BookText"/>
        <w:rPr/>
      </w:pPr>
      <w:r>
        <w:rPr>
          <w:rFonts w:ascii="Amiri" w:hAnsi="Amiri" w:eastAsia="Amiri" w:cs="Amiri"/>
          <w:color w:val="111111"/>
          <w:sz w:val="28"/>
          <w:sz w:val="28"/>
          <w:szCs w:val="28"/>
          <w:rtl w:val="true"/>
          <w:lang w:bidi="ar-SA"/>
        </w:rPr>
        <w:t>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الكافي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الشيخ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وأمانته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يزيد بن حمّاد،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 خلف من لا أعرف؟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إلاّ خلف من تثق بدينه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إبراهيم بن علي المرافقي، وعمرو بن الربيع البصري، عنجعفر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القراءة خلف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خلف الإمام تولاّه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تتولّاه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وتثق به فإنّه يجزيك قراءته، وإن أحببت أن تقرأ فاقرأ فيما تخافت فيه، فإذا جهر فأنصت،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وأنصتوا لعلّكم ترحمون</w:t>
      </w:r>
      <w:r>
        <w:rPr>
          <w:rFonts w:eastAsia="IRNazanin" w:cs="IRNazanin"/>
          <w:color w:val="111111"/>
          <w:sz w:val="28"/>
          <w:szCs w:val="28"/>
          <w:rtl w:val="true"/>
          <w:lang w:bidi="fa-IR"/>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الأولى وإن كان في سندها سهل بن زياد في كلا الطريقين إلاّ أنّها معتبرة لأنّها تنتهي إلى علي بن مهزيار وللشيخ طريق صحيح إلى جميع كتبه ورواياته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الروايتان الأخيرتان فهما ضعيفتان فتصلحا للتأييد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لفظ الورع فلم نعثر عليها في رواية نعم وردت اللفظة في رسالة والد </w:t>
      </w:r>
    </w:p>
    <w:p>
      <w:pPr>
        <w:pStyle w:val="BookText"/>
        <w:rPr/>
      </w:pPr>
      <w:r>
        <w:rPr>
          <w:rFonts w:ascii="IRNazanin" w:hAnsi="IRNazanin" w:eastAsia="IRNazanin"/>
          <w:color w:val="111111"/>
          <w:sz w:val="28"/>
          <w:sz w:val="28"/>
          <w:szCs w:val="28"/>
          <w:rtl w:val="true"/>
          <w:lang w:bidi="fa-IR"/>
        </w:rPr>
        <w:t xml:space="preserve">الصدوق </w:t>
      </w:r>
      <w:r>
        <w:rPr>
          <w:rStyle w:val="FootnoteAnchor"/>
          <w:rtl w:val="true"/>
        </w:rPr>
        <w:footnoteReference w:id="178"/>
      </w:r>
      <w:r>
        <w:rPr>
          <w:rFonts w:ascii="IRNazanin" w:hAnsi="IRNazanin" w:eastAsia="IRNazanin"/>
          <w:color w:val="111111"/>
          <w:sz w:val="28"/>
          <w:sz w:val="28"/>
          <w:szCs w:val="28"/>
          <w:rtl w:val="true"/>
          <w:lang w:bidi="fa-IR"/>
        </w:rPr>
        <w:t xml:space="preserve">، وفقه الرّضا </w:t>
      </w:r>
      <w:r>
        <w:rPr>
          <w:rStyle w:val="FootnoteAnchor"/>
          <w:rtl w:val="true"/>
        </w:rPr>
        <w:footnoteReference w:id="179"/>
      </w:r>
      <w:r>
        <w:rPr>
          <w:rFonts w:ascii="Amiri" w:hAnsi="Amiri" w:eastAsia="Amiri" w:cs="Amiri"/>
          <w:color w:val="111111"/>
          <w:sz w:val="28"/>
          <w:sz w:val="28"/>
          <w:szCs w:val="28"/>
          <w:rtl w:val="true"/>
          <w:lang w:bidi="ar-SA"/>
        </w:rPr>
        <w:t xml:space="preserve">ولم يثبت لنا اعتبارهما، فلا يمكن الاعتماد عليهما وقد حققنا ذلك في مباحثنا الرجالية فراجع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رسالة والد الصدوق معتبرة من جهة شهادة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الفقيه بأنّها من الكتب المشهورة المعوّل عليها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فمحل الكلام هو ما ورد في رواية علي بن راشد من اعتبار الوثاقة فهلالوثاقة ملازمة للملكة أم لا؟ ولاسيما أنّ الرواية معتبرة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الوثاقة هو الوثاقة في العقيدة لا في العمل وذلك بمناسبة السؤال وهو قوله إنّ مواليك قد اختلفوا فأجابه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تصل إلاّ خلف من تثق بدينه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أنّهم اختلفوا في العقيدة ولهذا ذهب بعضهم إلى القول بالتجسيم، وبعضهم قال بالقدر ونحو ذلك على ما ذكر في كتب الكلام، فلعلّ المراد هو الوثاقة في العقيدة ويؤيده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إلاّ خلف من تثق بدينه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 المقصود مطلق الثقة الشامل للعقيدة والعمل، وحينئذ يرد ما تقدّم من المناقشة في الوجه الأوّل من أنّ الوثاقة لا تستلزم الملكة كما ذكره المحقّق الاصفهاني </w:t>
      </w:r>
      <w:r>
        <w:rPr>
          <w:rStyle w:val="FootnoteAnchor"/>
          <w:rtl w:val="true"/>
        </w:rPr>
        <w:footnoteReference w:id="181"/>
      </w:r>
      <w:r>
        <w:rPr>
          <w:rFonts w:ascii="Amiri" w:hAnsi="Amiri" w:eastAsia="Amiri" w:cs="Amiri"/>
          <w:color w:val="111111"/>
          <w:sz w:val="28"/>
          <w:sz w:val="28"/>
          <w:szCs w:val="28"/>
          <w:rtl w:val="true"/>
          <w:lang w:bidi="ar-SA"/>
        </w:rPr>
        <w:t>إذ قد يطمأن لشخص لم يرتكب المعصية فيما مضى من عمره من دون أن يكون عن ملكة وهذا المقدار كاف، وعليه فإنّ الاستدلال بهذا القسم من الروايات غير 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ورد في الشاهد، وهو أنّ الشاهد لابدّ أن يكون صائناً لنفسه عفيفاً خيراً صالحاً، وفي بعضها مرضياً، وهذا يدل على اشتراط الملكة في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 ذلك أنّه سيأتي عند الكلام حول القسم الثالث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في المقام، وهو صحيحة ابن أبي يعفور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فيها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السند، فقد ناقش فيه سيّدنا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الدلالة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يترتب على هذه الفقرات من الأحكام وهل يستفاد منها أنّ عدم</w:t>
      </w:r>
    </w:p>
    <w:p>
      <w:pPr>
        <w:pStyle w:val="BookText"/>
        <w:rPr/>
      </w:pPr>
      <w:r>
        <w:rPr>
          <w:rFonts w:ascii="Amiri" w:hAnsi="Amiri" w:eastAsia="Amiri" w:cs="Amiri"/>
          <w:color w:val="111111"/>
          <w:sz w:val="28"/>
          <w:sz w:val="28"/>
          <w:szCs w:val="28"/>
          <w:rtl w:val="true"/>
          <w:lang w:bidi="ar-SA"/>
        </w:rPr>
        <w:t>خلاف المروءة شرط في العدالة أم لا؟ وأنّ التخلف عن حضور الجماعة مخل بالعدالة أمْ لا؟</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تضمنت أموراً أربعة وهي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الستر والعفاف</w:t>
      </w:r>
      <w:r>
        <w:rPr>
          <w:rFonts w:eastAsia="IRNazanin" w:cs="IRNazanin"/>
          <w:color w:val="111111"/>
          <w:sz w:val="28"/>
          <w:szCs w:val="28"/>
          <w:rtl w:val="true"/>
          <w:lang w:bidi="fa-IR"/>
        </w:rPr>
        <w:t xml:space="preserve">. </w:t>
      </w:r>
      <w:bookmarkStart w:id="142" w:name="pg8631_94961"/>
    </w:p>
    <w:p>
      <w:pPr>
        <w:pStyle w:val="BookText"/>
        <w:rPr/>
      </w:pPr>
      <w:bookmarkEnd w:id="14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اجتناب الكبائر الّتي أوعد اللَّه عليها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الستر لجميع العيوب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التعاهد بالحضور في الصلوات الخمس في جماعة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الجملة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كاشف مستقل عن العدالة، أو أنّها متممة للجملة الثالثة؟ أمّا الثالثة فالمشهور أنّها كاشفة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 هذا الكلام يرد في الجملتين الأولى والثانية بمعنى أنّه هل كل منهما كاشف مستقل، أو أنّ الأولى هي الكاشفة، والثانية متممة لها؟</w:t>
      </w:r>
    </w:p>
    <w:p>
      <w:pPr>
        <w:pStyle w:val="BookText"/>
        <w:rPr/>
      </w:pPr>
      <w:r>
        <w:rPr>
          <w:rFonts w:ascii="Amiri" w:hAnsi="Amiri" w:eastAsia="Amiri" w:cs="Amiri"/>
          <w:color w:val="111111"/>
          <w:sz w:val="28"/>
          <w:sz w:val="28"/>
          <w:szCs w:val="28"/>
          <w:rtl w:val="true"/>
          <w:lang w:bidi="ar-SA"/>
        </w:rPr>
        <w:t>فالاحتمالات أربعة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كل جملة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يكون الكاشف هو الجملة الأولى والثالثة وأمّا الثانية والرابعة فهما متممتان للكاشفية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تكون الجملة الثانية متممة فقط والأولى والثالثة والرابعة كواشف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تكون الرابعة هي المتممة والباقي كواشف</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2192985_653776707"/>
      <w:bookmarkStart w:id="144" w:name="_Toc51"/>
      <w:bookmarkEnd w:id="143"/>
      <w:r>
        <w:rPr>
          <w:rtl w:val="true"/>
        </w:rPr>
        <w:t>الجهة الأولى</w:t>
      </w:r>
      <w:r>
        <w:rPr>
          <w:rtl w:val="true"/>
        </w:rPr>
        <w:t>:</w:t>
      </w:r>
      <w:bookmarkEnd w:id="14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عبر عن هذه الرواية بالصحيحة، كما في كلام صاحب الجواهر </w:t>
      </w:r>
      <w:r>
        <w:rPr>
          <w:rStyle w:val="FootnoteAnchor"/>
          <w:rtl w:val="true"/>
        </w:rPr>
        <w:footnoteReference w:id="184"/>
      </w:r>
      <w:r>
        <w:rPr>
          <w:rFonts w:ascii="Amiri" w:hAnsi="Amiri" w:eastAsia="Amiri" w:cs="Amiri"/>
          <w:color w:val="111111"/>
          <w:sz w:val="28"/>
          <w:sz w:val="28"/>
          <w:szCs w:val="28"/>
          <w:rtl w:val="true"/>
          <w:lang w:bidi="ar-SA"/>
        </w:rPr>
        <w:t xml:space="preserve">، والشيخ في رسالته </w:t>
      </w:r>
      <w:r>
        <w:rPr>
          <w:rStyle w:val="FootnoteAnchor"/>
          <w:rtl w:val="true"/>
        </w:rPr>
        <w:footnoteReference w:id="185"/>
      </w:r>
      <w:r>
        <w:rPr>
          <w:rFonts w:ascii="Amiri" w:hAnsi="Amiri" w:eastAsia="Amiri" w:cs="Amiri"/>
          <w:color w:val="111111"/>
          <w:sz w:val="28"/>
          <w:sz w:val="28"/>
          <w:szCs w:val="28"/>
          <w:rtl w:val="true"/>
          <w:lang w:bidi="ar-SA"/>
        </w:rPr>
        <w:t>وغيرهما، إلاّ أنّ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وصفها بالضعف كما في التنقيح </w:t>
      </w:r>
      <w:r>
        <w:rPr>
          <w:rStyle w:val="FootnoteAnchor"/>
          <w:rtl w:val="true"/>
        </w:rPr>
        <w:footnoteReference w:id="186"/>
      </w:r>
      <w:r>
        <w:rPr>
          <w:rFonts w:ascii="Amiri" w:hAnsi="Amiri" w:eastAsia="Amiri" w:cs="Amiri"/>
          <w:color w:val="111111"/>
          <w:sz w:val="28"/>
          <w:sz w:val="28"/>
          <w:szCs w:val="28"/>
          <w:rtl w:val="true"/>
          <w:lang w:bidi="ar-SA"/>
        </w:rPr>
        <w:t xml:space="preserve">وذلك لأنّ للرواية طريقين أحدهما طريق الصدوق </w:t>
      </w:r>
      <w:r>
        <w:rPr>
          <w:rStyle w:val="FootnoteAnchor"/>
          <w:rtl w:val="true"/>
        </w:rPr>
        <w:footnoteReference w:id="187"/>
      </w:r>
      <w:r>
        <w:rPr>
          <w:rFonts w:ascii="Amiri" w:hAnsi="Amiri" w:eastAsia="Amiri" w:cs="Amiri"/>
          <w:color w:val="111111"/>
          <w:sz w:val="28"/>
          <w:sz w:val="28"/>
          <w:szCs w:val="28"/>
          <w:rtl w:val="true"/>
          <w:lang w:bidi="ar-SA"/>
        </w:rPr>
        <w:t>باسناده، عن ابن أبي يعفور، وفيه أحمد بن محمّد بن يحيى العطار، وهو لم يرد فيه توثيق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والآخر طريق الشيخ </w:t>
      </w:r>
      <w:r>
        <w:rPr>
          <w:rStyle w:val="FootnoteAnchor"/>
          <w:rtl w:val="true"/>
        </w:rPr>
        <w:footnoteReference w:id="188"/>
      </w:r>
      <w:r>
        <w:rPr>
          <w:rFonts w:ascii="Amiri" w:hAnsi="Amiri" w:eastAsia="Amiri" w:cs="Amiri"/>
          <w:color w:val="111111"/>
          <w:sz w:val="28"/>
          <w:sz w:val="28"/>
          <w:szCs w:val="28"/>
          <w:rtl w:val="true"/>
          <w:lang w:bidi="ar-SA"/>
        </w:rPr>
        <w:t>، عن محمّد بن أحمد بن يحيى، عن محمّد بن موسى، عن الحسن بن علي عن أبيه، إلى أن ينتهي السند إلى ابن أبييعفور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الطريق محمّد بن موسى وهو الهمداني، وقد استثناه ابن الوليد من كتاب نوادر الحكمة </w:t>
      </w:r>
      <w:r>
        <w:rPr>
          <w:rStyle w:val="FootnoteAnchor"/>
          <w:rtl w:val="true"/>
        </w:rPr>
        <w:footnoteReference w:id="189"/>
      </w:r>
      <w:r>
        <w:rPr>
          <w:rFonts w:ascii="Amiri" w:hAnsi="Amiri" w:eastAsia="Amiri" w:cs="Amiri"/>
          <w:color w:val="111111"/>
          <w:sz w:val="28"/>
          <w:sz w:val="28"/>
          <w:szCs w:val="28"/>
          <w:rtl w:val="true"/>
          <w:lang w:bidi="ar-SA"/>
        </w:rPr>
        <w:t xml:space="preserve">، وقد تقرر في محلّه </w:t>
      </w:r>
      <w:r>
        <w:rPr>
          <w:rStyle w:val="FootnoteAnchor"/>
          <w:rtl w:val="true"/>
        </w:rPr>
        <w:footnoteReference w:id="190"/>
      </w:r>
      <w:r>
        <w:rPr>
          <w:rFonts w:ascii="Amiri" w:hAnsi="Amiri" w:eastAsia="Amiri" w:cs="Amiri"/>
          <w:color w:val="111111"/>
          <w:sz w:val="28"/>
          <w:sz w:val="28"/>
          <w:szCs w:val="28"/>
          <w:rtl w:val="true"/>
          <w:lang w:bidi="ar-SA"/>
        </w:rPr>
        <w:t>أنّ كلّ من استثني فهو محكوم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تصريح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محمّد بن موسى كان يضع الحديث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شهادة في حق محمّد بن موسى بأنّه ضعيف وهي شهادة مطلقة، فيكون الطريق إلى الرواية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الاستثناء لجهة ما نسب إليه بأنّه الواضع لأصلي زيد النرسي، والرزاز، لما كان ذلك دليلاً على الضعف، بل هو محض توهم من ابن الوليد، لأنّ الأصلين رواهما ابن أبي عمير </w:t>
      </w:r>
      <w:r>
        <w:rPr>
          <w:rStyle w:val="FootnoteAnchor"/>
          <w:rtl w:val="true"/>
        </w:rPr>
        <w:footnoteReference w:id="192"/>
      </w:r>
      <w:r>
        <w:rPr>
          <w:rFonts w:ascii="Amiri" w:hAnsi="Amiri" w:eastAsia="Amiri" w:cs="Amiri"/>
          <w:color w:val="111111"/>
          <w:sz w:val="28"/>
          <w:sz w:val="28"/>
          <w:szCs w:val="28"/>
          <w:rtl w:val="true"/>
          <w:lang w:bidi="ar-SA"/>
        </w:rPr>
        <w:t>بطريق آخر غير طريق محمّد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وقوع محمّد بن موسى في أسناد كامل الزيارات فبعد عدول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رأيه في أسناد كامل الزيارات واختصاص التوثيق بمشايخ ابن قولويه فلا ينفع في الحكم بوثاقته، وعلى فرض عدم عدوله عن رأيه يكون محمّد بن موسى عنده بحكم المجهول لتضعيف ابن الوليد إياه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وجه آخر يمكن جعله سبباً لضعف محمّد بن موسى، وهو ماذكره </w:t>
      </w:r>
    </w:p>
    <w:p>
      <w:pPr>
        <w:pStyle w:val="BookText"/>
        <w:rPr/>
      </w:pPr>
      <w:r>
        <w:rPr>
          <w:rFonts w:ascii="IRNazanin" w:hAnsi="IRNazanin" w:eastAsia="IRNazanin"/>
          <w:color w:val="111111"/>
          <w:sz w:val="28"/>
          <w:sz w:val="28"/>
          <w:szCs w:val="28"/>
          <w:rtl w:val="true"/>
          <w:lang w:bidi="fa-IR"/>
        </w:rPr>
        <w:t xml:space="preserve">الصدوق </w:t>
      </w:r>
      <w:r>
        <w:rPr>
          <w:rStyle w:val="FootnoteAnchor"/>
          <w:rtl w:val="true"/>
        </w:rPr>
        <w:footnoteReference w:id="193"/>
      </w:r>
      <w:r>
        <w:rPr>
          <w:rFonts w:ascii="Amiri" w:hAnsi="Amiri" w:eastAsia="Amiri" w:cs="Amiri"/>
          <w:color w:val="111111"/>
          <w:sz w:val="28"/>
          <w:sz w:val="28"/>
          <w:szCs w:val="28"/>
          <w:rtl w:val="true"/>
          <w:lang w:bidi="ar-SA"/>
        </w:rPr>
        <w:t>في كتاب المنتخبات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جميعها إلاّ ما كان من طريق محمّد بن موسى الهمداني، لأنّ شيخه ابن الوليد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على غير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ارتضى الصدوق ذلك وحكم بضعفه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تضعيف محمّد بن موسى هو نسبته إلى وضع الأصلين المشار إليهما، وحيث ثبت عدم صحة هذه النسبة فلا يبقى مجال للحكم عليه بالضعف، إلاّ أنّه من جانب آخر لا يمكن الحكم عليه بالوثاقة، لعدم ورود التوثيق في حقه، وبناء عليه فهو محكوم بالجهالة ويكون الطريق إلى الرواية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بالإمكان تصحيح كلا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طريق الصدوق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محمّد بن يحيى هو من مشايخ الصدوق وقد ترضى عنه كثيراً، إلاّ في مورد واحد ترحم عليه ، وقد قررنا في محله أنّ الترضي إحدى علامات التوثيق، ولنا بحث حول أحمد بن محمّد بن يحيى ذكرناه في مباحثنا الرجالية فراجع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الإغماض عن ذلك إلاّ أنّ الّذي يقع في السند بعد أحمد بن محمّد هو سعد بن عبد اللَّه، وللشيخ الصدوق طريق صحيح إلى جميع روايات سعد وكتبه </w:t>
      </w:r>
      <w:r>
        <w:rPr>
          <w:rStyle w:val="FootnoteAnchor"/>
          <w:rtl w:val="true"/>
        </w:rPr>
        <w:footnoteReference w:id="195"/>
      </w:r>
      <w:r>
        <w:rPr>
          <w:rFonts w:ascii="Amiri" w:hAnsi="Amiri" w:eastAsia="Amiri" w:cs="Amiri"/>
          <w:color w:val="111111"/>
          <w:sz w:val="28"/>
          <w:sz w:val="28"/>
          <w:szCs w:val="28"/>
          <w:rtl w:val="true"/>
          <w:lang w:bidi="ar-SA"/>
        </w:rPr>
        <w:t>، وهذه الرواية داخلة في روايات سعد فيصبح الطريق بذلك معتبراً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بالنسبة إلى أحمد بن أبي عبد اللَّه البرقي الواقع في السند بعد سعد </w:t>
      </w:r>
    </w:p>
    <w:p>
      <w:pPr>
        <w:pStyle w:val="BookText"/>
        <w:rPr/>
      </w:pPr>
      <w:r>
        <w:rPr>
          <w:rFonts w:ascii="Amiri" w:hAnsi="Amiri" w:eastAsia="Amiri" w:cs="Amiri"/>
          <w:color w:val="111111"/>
          <w:sz w:val="28"/>
          <w:sz w:val="28"/>
          <w:szCs w:val="28"/>
          <w:rtl w:val="true"/>
          <w:lang w:bidi="ar-SA"/>
        </w:rPr>
        <w:t xml:space="preserve">بن عبد اللَّه، فإنّ للشيخ الصدوق طريقاً معتبراً إلى جميع رواياته وكتبه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الحال بالنسبة إلى محمّد بن أبي عمير الواقع في السند بعد البرقي فإنّ للصدوق طريقاً معتبراً إلى جميع رواياته وكتبه بواسطة ابن الوليد وسعد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تصحيح طريق الصدوق للرواية بجهات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طريق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الواقع بعد محمّد بن موسى هو الحسن بن علي عن أبيه، عن علي بن عقبة، عن موسى بن أكيل النميري، ولا إشكال في وثاقة علي بن عقبة </w:t>
      </w:r>
      <w:r>
        <w:rPr>
          <w:rStyle w:val="FootnoteAnchor"/>
          <w:rtl w:val="true"/>
        </w:rPr>
        <w:footnoteReference w:id="198"/>
      </w:r>
      <w:r>
        <w:rPr>
          <w:rFonts w:ascii="Amiri" w:hAnsi="Amiri" w:eastAsia="Amiri" w:cs="Amiri"/>
          <w:color w:val="111111"/>
          <w:sz w:val="28"/>
          <w:sz w:val="28"/>
          <w:szCs w:val="28"/>
          <w:rtl w:val="true"/>
          <w:lang w:bidi="ar-SA"/>
        </w:rPr>
        <w:t xml:space="preserve">، وموسى بن أُكيل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الحسن بن علي، عن أبيه، فإنّ المذكور في جميع النسخ حتى الوافي والوسائل هو الحسن بن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التحقيق وجدنا أنّ في السند حذفاً وقد أوضحنا ذلك في تصحيحاتنا لمعجم رجال الحديث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هو أحمد بن الحسن بن علي عن أبيه، والمراد به ابن فضال لتكرر السند في الكتب الأربعة بهذه الصورة، وأنّ الراوي لكتاب علي بن عقبةهو الحسن بن علي بن فضال، وللشيخ طريق صحيح إلى جميع روايات الحسن بن علي بن فضال </w:t>
      </w:r>
      <w:r>
        <w:rPr>
          <w:rStyle w:val="FootnoteAnchor"/>
          <w:rtl w:val="true"/>
        </w:rPr>
        <w:footnoteReference w:id="201"/>
      </w:r>
      <w:r>
        <w:rPr>
          <w:rFonts w:ascii="Amiri" w:hAnsi="Amiri" w:eastAsia="Amiri" w:cs="Amiri"/>
          <w:color w:val="111111"/>
          <w:sz w:val="28"/>
          <w:sz w:val="28"/>
          <w:szCs w:val="28"/>
          <w:rtl w:val="true"/>
          <w:lang w:bidi="ar-SA"/>
        </w:rPr>
        <w:t>، ومنها هذه الرواية فالرواية بطريق الشيخ معتبرة كما هي معتبرة بطريق الصدوق</w:t>
      </w:r>
      <w:r>
        <w:rPr>
          <w:rFonts w:eastAsia="Amiri" w:cs="Amiri" w:ascii="Amiri" w:hAnsi="Amiri"/>
          <w:color w:val="111111"/>
          <w:sz w:val="28"/>
          <w:szCs w:val="28"/>
          <w:rtl w:val="true"/>
          <w:lang w:bidi="ar-SA"/>
        </w:rPr>
        <w:t xml:space="preserve">. </w:t>
      </w:r>
      <w:bookmarkStart w:id="145" w:name="pg8631_94965"/>
    </w:p>
    <w:p>
      <w:pPr>
        <w:pStyle w:val="BookText"/>
        <w:rPr/>
      </w:pPr>
      <w:bookmarkEnd w:id="145"/>
      <w:r>
        <w:rPr>
          <w:rFonts w:ascii="Amiri" w:hAnsi="Amiri" w:eastAsia="Amiri" w:cs="Amiri"/>
          <w:color w:val="111111"/>
          <w:sz w:val="28"/>
          <w:sz w:val="28"/>
          <w:szCs w:val="28"/>
          <w:rtl w:val="true"/>
          <w:lang w:bidi="ar-SA"/>
        </w:rPr>
        <w:t xml:space="preserve">مضافاً إلى أنّه بناء على ما حققناه في محلّه من مباحثنا الرجالية </w:t>
      </w:r>
      <w:r>
        <w:rPr>
          <w:rStyle w:val="FootnoteAnchor"/>
          <w:rtl w:val="true"/>
        </w:rPr>
        <w:footnoteReference w:id="202"/>
      </w:r>
      <w:r>
        <w:rPr>
          <w:rFonts w:ascii="Amiri" w:hAnsi="Amiri" w:eastAsia="Amiri" w:cs="Amiri"/>
          <w:color w:val="111111"/>
          <w:sz w:val="28"/>
          <w:sz w:val="28"/>
          <w:szCs w:val="28"/>
          <w:rtl w:val="true"/>
          <w:lang w:bidi="ar-SA"/>
        </w:rPr>
        <w:t>أنّ طرق الصدوق تكون طرقاً للشيخ، وقد تقدّم آنفاً اعتبار طريق الصدوق إلى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روى الصدوق هذه الرواية في العلل بطريق آخر، وهو عن الحسين بن أحمد بن إدريس، عن أبيه، عن محمّد بن علي بن محبوب، عن محمّد بن الحسين، عن ذبيان بن حكيم، عن موسى النميري، عن ابن أبي يعفور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الطريق فيه ذبيان بن حكيم ولم يرد فيه توثيق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بالنسبة إلى الجهة الأولى</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2192987_653776707"/>
      <w:bookmarkStart w:id="147" w:name="_Toc52"/>
      <w:bookmarkEnd w:id="146"/>
      <w:r>
        <w:rPr>
          <w:rtl w:val="true"/>
        </w:rPr>
        <w:t xml:space="preserve">الجهة الثانية </w:t>
      </w:r>
      <w:r>
        <w:rPr>
          <w:rtl w:val="true"/>
        </w:rPr>
        <w:t>:</w:t>
      </w:r>
      <w:bookmarkEnd w:id="147"/>
    </w:p>
    <w:p>
      <w:pPr>
        <w:pStyle w:val="BookText"/>
        <w:rPr/>
      </w:pPr>
      <w:r>
        <w:rPr>
          <w:rFonts w:ascii="Amiri" w:hAnsi="Amiri" w:eastAsia="Amiri" w:cs="Amiri"/>
          <w:color w:val="111111"/>
          <w:sz w:val="28"/>
          <w:sz w:val="28"/>
          <w:szCs w:val="28"/>
          <w:rtl w:val="true"/>
          <w:lang w:bidi="ar-SA"/>
        </w:rPr>
        <w:t>وهي دلالة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أنّ الكلام يقع فيها في ثلاثة 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دلالة الجملة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تعرف عدالة الرجل بين المسلمين حتى تقبل شهادته لهم وعليهم؟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تعرفوه بالستر والعفاف وكف البطن والفرج واليد واللسان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جماعة منهم الشيخ في رسالته </w:t>
      </w:r>
      <w:r>
        <w:rPr>
          <w:rStyle w:val="FootnoteAnchor"/>
          <w:rtl w:val="true"/>
        </w:rPr>
        <w:footnoteReference w:id="205"/>
      </w:r>
      <w:r>
        <w:rPr>
          <w:rFonts w:ascii="Amiri" w:hAnsi="Amiri" w:eastAsia="Amiri" w:cs="Amiri"/>
          <w:color w:val="111111"/>
          <w:sz w:val="28"/>
          <w:sz w:val="28"/>
          <w:szCs w:val="28"/>
          <w:rtl w:val="true"/>
          <w:lang w:bidi="ar-SA"/>
        </w:rPr>
        <w:t xml:space="preserve">والمحقّق النائيني </w:t>
      </w:r>
      <w:r>
        <w:rPr>
          <w:rStyle w:val="FootnoteAnchor"/>
          <w:rtl w:val="true"/>
        </w:rPr>
        <w:footnoteReference w:id="206"/>
      </w:r>
      <w:r>
        <w:rPr>
          <w:rFonts w:ascii="Amiri" w:hAnsi="Amiri" w:eastAsia="Amiri" w:cs="Amiri"/>
          <w:color w:val="111111"/>
          <w:sz w:val="28"/>
          <w:sz w:val="28"/>
          <w:szCs w:val="28"/>
          <w:rtl w:val="true"/>
          <w:lang w:bidi="ar-SA"/>
        </w:rPr>
        <w:t xml:space="preserve">والسيّد </w:t>
      </w:r>
    </w:p>
    <w:p>
      <w:pPr>
        <w:pStyle w:val="BookText"/>
        <w:rPr/>
      </w:pPr>
      <w:r>
        <w:rPr>
          <w:rFonts w:ascii="Amiri" w:hAnsi="Amiri" w:eastAsia="Amiri" w:cs="Amiri"/>
          <w:color w:val="111111"/>
          <w:sz w:val="28"/>
          <w:sz w:val="28"/>
          <w:szCs w:val="28"/>
          <w:rtl w:val="true"/>
          <w:lang w:bidi="ar-SA"/>
        </w:rPr>
        <w:t xml:space="preserve">البروجردي </w:t>
      </w:r>
      <w:r>
        <w:rPr>
          <w:rStyle w:val="FootnoteAnchor"/>
          <w:rtl w:val="true"/>
        </w:rPr>
        <w:footnoteReference w:id="207"/>
      </w:r>
      <w:r>
        <w:rPr>
          <w:rFonts w:ascii="Amiri" w:hAnsi="Amiri" w:eastAsia="Amiri" w:cs="Amiri"/>
          <w:color w:val="111111"/>
          <w:sz w:val="28"/>
          <w:sz w:val="28"/>
          <w:szCs w:val="28"/>
          <w:rtl w:val="true"/>
          <w:lang w:bidi="ar-SA"/>
        </w:rPr>
        <w:t>قدس سرهم إلى أنّ المستفاد من هذه الجملة أنّ العدالة هي الملكة، وقد تقدّم ذلك في كلام شيخنا الأنصاري وأشرنا إلى أنّ هذه الدعوى تبتني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الستر والعفاف والكف أوصاف نفسانية لا أنّها أفعال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حقيقي منطقي لا أنّه جعلي 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هذان الأمران كانت الدعوى تامة، وإلاّ فهي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في كلا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ناقشه المحقّق الاصفهاني </w:t>
      </w:r>
      <w:r>
        <w:rPr>
          <w:rStyle w:val="FootnoteAnchor"/>
          <w:rtl w:val="true"/>
        </w:rPr>
        <w:footnoteReference w:id="208"/>
      </w:r>
      <w:r>
        <w:rPr>
          <w:rFonts w:ascii="Amiri" w:hAnsi="Amiri" w:eastAsia="Amiri" w:cs="Amiri"/>
          <w:color w:val="111111"/>
          <w:sz w:val="28"/>
          <w:sz w:val="28"/>
          <w:szCs w:val="28"/>
          <w:rtl w:val="true"/>
          <w:lang w:bidi="ar-SA"/>
        </w:rPr>
        <w:t xml:space="preserve">وتبعه السيّد الأستاذ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العناوين المذكورة في هذه الرواية بل في سائر الروايات كلّها عناوين للأفعال الخارجية لا أنّها أوصاف نفسانية، وبيان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ورد في مجموع الروايات عدّة عناوين وهي المأمونية وكونه مرضياً وصالحاً وخيراً وصائناً والستر والعفاف والكف</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عنوان المأمونية فهو وصف للغير ومعناه أنّ الغير في أمن من هذا الشخص ولا ربط لها به لتكون صفة له، وهذا نظير الموثوق به فأنّه وصف للغير أي للواثق لا للشخص الموثوق به فإذا رأى منه مدة من الزمن الاجتناب عن المعاصي حصل له الأمن منه والوثوق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كونه مرضياً فهي صفة للغير الراضي فإنّه يرضى أعماله إذا لم يرتكب المعاصي وهكذا كونه صالحاً ومثله أن يكون خيراً أو يعمل أعمال الخير وكذا كونه صائناً بمعنى محافظته على جوارحه من ارتكاب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العناوين لا ترتبط بنفس الشخص بل بملاحظة غيره له بما يفعله من أفعال خارجية بحيث يتحقق عند الغير عنوان المأمونية والرضا والصلاح والخيارة والصيانة ونطبق هذه العناوين على 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موجزة أنّ هذه الأوصاف للغير لا للشخص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ما ورد في غير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هذه الرواية من الستر والعفاف والكف فيقال في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الستر بمعنى الغطاء والحجز عن القبائح والمعاصي يعني عدم ظهور الرذائل من فعليتها في النفس أو عدم ظهور مقتضاها في الخارج فالستر أمر منتزع من أحدهما وليس هو من الصفات النفسانية ولا يعد من الفضائل الأخلاقية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العفاف فمعناه الاصطلاحي اعتدال القوة البهيمية المتوسطة بينالشره والخمود المقتضية لفعل ما ينبغي من المشتهيات </w:t>
      </w:r>
      <w:r>
        <w:rPr>
          <w:rStyle w:val="FootnoteAnchor"/>
          <w:rtl w:val="true"/>
        </w:rPr>
        <w:footnoteReference w:id="210"/>
      </w:r>
      <w:r>
        <w:rPr>
          <w:rFonts w:ascii="Amiri" w:hAnsi="Amiri" w:eastAsia="Amiri" w:cs="Amiri"/>
          <w:color w:val="111111"/>
          <w:sz w:val="28"/>
          <w:sz w:val="28"/>
          <w:szCs w:val="28"/>
          <w:rtl w:val="true"/>
          <w:lang w:bidi="ar-SA"/>
        </w:rPr>
        <w:t>وهو بهذا المعنى ليس مراداً قطعاً وذلك لأنّ جميع المعاصي لا ترتبط بالقوة الشهوية فقط فلابدّ أن يكون المراد هو معنى عرفي آخر وهذا المعنى هو الصون والمنع والإباء وما يساوي ذلك كما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حصّن فرجي وأعفّه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أي صنه واحفظه وامنعه عن الحرام، وورد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عفّ بطنه وفرجه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فالعفة بمعنى </w:t>
      </w:r>
    </w:p>
    <w:p>
      <w:pPr>
        <w:pStyle w:val="BookText"/>
        <w:rPr/>
      </w:pPr>
      <w:r>
        <w:rPr>
          <w:rFonts w:ascii="Amiri" w:hAnsi="Amiri" w:eastAsia="Amiri" w:cs="Amiri"/>
          <w:color w:val="111111"/>
          <w:sz w:val="28"/>
          <w:sz w:val="28"/>
          <w:szCs w:val="28"/>
          <w:rtl w:val="true"/>
          <w:lang w:bidi="ar-SA"/>
        </w:rPr>
        <w:t>المنع ولاشكّ أنّ هذا من الأفعال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كف البطن والفرج فهو المنع عن فعل الحرام وهو فعل خارجي لا نفساني، فهذه الأوصاف الواردة في هذه الرواية ليست أوصافاً نفسانية فضلاً عن أن تكون ملكات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فما ذكره الشيخ ومن تبعه من أنّ هذه الأوصاف نفسانية وأنّها عبارة أخرى عن الملكات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بين المذهبين تضارباً حيث يذهب الشيخ ومن تبعه إلى القول بأنّ الأوصاف نفسانية، ويذهب المحقّق الاصفهاني والسيّد الأستاذ إلى القول بأنّها أفعال خارجية، إلاّ أنّ بين المذهبين وجهاً مشتركاً، فإنّهم جميعاً يقولون إنّ العدالة لا تتحقق في الإنسان إلاّ أن تكون حالة راسخة في النفس بحيث تصبح طبيعة ثانوية يمتنع من خلالها عن ارتكاب الحرام بداعٍ إلهي وأقلّه الخوف والخشية من اللَّه تعالى على نحو الاستمرار والدوام لا على نحو الاتفاق وإلاّ لم يعد الشخص مستقيماً وذا 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أنّ المذهب الأوّل استفاده من الأوصاف وأنّها ملكات، بينما المذهب الثاني استفاده من أمر خارج هو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البحث وصل بنا إلى هذا الحد فلابدّ من توضيح المسألة بصورة أخرى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عدة من المعاجم اللغويّة كمجمع البحرين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والمصباح المنير </w:t>
      </w:r>
      <w:r>
        <w:rPr>
          <w:rStyle w:val="FootnoteAnchor"/>
          <w:rtl w:val="true"/>
        </w:rPr>
        <w:footnoteReference w:id="214"/>
      </w:r>
      <w:r>
        <w:rPr>
          <w:rFonts w:ascii="IRNazanin" w:hAnsi="IRNazanin" w:eastAsia="IRNazanin"/>
          <w:color w:val="111111"/>
          <w:sz w:val="28"/>
          <w:sz w:val="28"/>
          <w:szCs w:val="28"/>
          <w:rtl w:val="true"/>
          <w:lang w:bidi="fa-IR"/>
        </w:rPr>
        <w:t xml:space="preserve">ولسان العرب </w:t>
      </w:r>
      <w:r>
        <w:rPr>
          <w:rStyle w:val="FootnoteAnchor"/>
          <w:rtl w:val="true"/>
        </w:rPr>
        <w:footnoteReference w:id="215"/>
      </w:r>
      <w:r>
        <w:rPr>
          <w:rFonts w:ascii="IRNazanin" w:hAnsi="IRNazanin" w:eastAsia="IRNazanin"/>
          <w:color w:val="111111"/>
          <w:sz w:val="28"/>
          <w:sz w:val="28"/>
          <w:szCs w:val="28"/>
          <w:rtl w:val="true"/>
          <w:lang w:bidi="fa-IR"/>
        </w:rPr>
        <w:t xml:space="preserve">والقاموس </w:t>
      </w:r>
      <w:r>
        <w:rPr>
          <w:rStyle w:val="FootnoteAnchor"/>
          <w:rtl w:val="true"/>
        </w:rPr>
        <w:footnoteReference w:id="216"/>
      </w:r>
      <w:r>
        <w:rPr>
          <w:rFonts w:ascii="Amiri" w:hAnsi="Amiri" w:eastAsia="Amiri" w:cs="Amiri"/>
          <w:color w:val="111111"/>
          <w:sz w:val="28"/>
          <w:sz w:val="28"/>
          <w:szCs w:val="28"/>
          <w:rtl w:val="true"/>
          <w:lang w:bidi="ar-SA"/>
        </w:rPr>
        <w:t xml:space="preserve">والمعجم الوسيط </w:t>
      </w:r>
      <w:r>
        <w:rPr>
          <w:rStyle w:val="FootnoteAnchor"/>
          <w:rtl w:val="true"/>
        </w:rPr>
        <w:footnoteReference w:id="217"/>
      </w:r>
      <w:r>
        <w:rPr>
          <w:rFonts w:ascii="Amiri" w:hAnsi="Amiri" w:eastAsia="Amiri" w:cs="Amiri"/>
          <w:color w:val="111111"/>
          <w:sz w:val="28"/>
          <w:sz w:val="28"/>
          <w:szCs w:val="28"/>
          <w:rtl w:val="true"/>
          <w:lang w:bidi="ar-SA"/>
        </w:rPr>
        <w:t>وبعد تتبع موارد الاستعمال يظهر أنّ الستر يطلق على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الستار والغطاء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أو العقل أو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الأنسب لمورد الرواية هو المعنى الثاني وهو الحياء، يقال ما له ستر ولا حجر أي لا حياء له ولا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العفة والعفاف والعفيف فقد جاء في مجمع البحرين </w:t>
      </w:r>
      <w:r>
        <w:rPr>
          <w:rStyle w:val="FootnoteAnchor"/>
          <w:rtl w:val="true"/>
        </w:rPr>
        <w:footnoteReference w:id="218"/>
      </w:r>
      <w:r>
        <w:rPr>
          <w:rFonts w:ascii="Amiri" w:hAnsi="Amiri" w:eastAsia="Amiri" w:cs="Amiri"/>
          <w:color w:val="111111"/>
          <w:sz w:val="28"/>
          <w:sz w:val="28"/>
          <w:szCs w:val="28"/>
          <w:rtl w:val="true"/>
          <w:lang w:bidi="ar-SA"/>
        </w:rPr>
        <w:t>بمعنى كف النفس عن المحرّمات وعن سؤال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المصباح المنير </w:t>
      </w:r>
      <w:r>
        <w:rPr>
          <w:rStyle w:val="FootnoteAnchor"/>
          <w:rtl w:val="true"/>
        </w:rPr>
        <w:footnoteReference w:id="219"/>
      </w:r>
      <w:r>
        <w:rPr>
          <w:rFonts w:ascii="IRNazanin" w:hAnsi="IRNazanin" w:eastAsia="IRNazanin"/>
          <w:color w:val="111111"/>
          <w:sz w:val="28"/>
          <w:sz w:val="28"/>
          <w:szCs w:val="28"/>
          <w:rtl w:val="true"/>
          <w:lang w:bidi="fa-IR"/>
        </w:rPr>
        <w:t>بمعنى الامتناع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القاموس </w:t>
      </w:r>
      <w:r>
        <w:rPr>
          <w:rStyle w:val="FootnoteAnchor"/>
          <w:rtl w:val="true"/>
        </w:rPr>
        <w:footnoteReference w:id="220"/>
      </w:r>
      <w:r>
        <w:rPr>
          <w:rFonts w:ascii="IRNazanin" w:hAnsi="IRNazanin" w:eastAsia="IRNazanin"/>
          <w:color w:val="111111"/>
          <w:sz w:val="28"/>
          <w:sz w:val="28"/>
          <w:szCs w:val="28"/>
          <w:rtl w:val="true"/>
          <w:lang w:bidi="fa-IR"/>
        </w:rPr>
        <w:t xml:space="preserve">ولسان العرب </w:t>
      </w:r>
      <w:r>
        <w:rPr>
          <w:rStyle w:val="FootnoteAnchor"/>
          <w:rtl w:val="true"/>
        </w:rPr>
        <w:footnoteReference w:id="221"/>
      </w:r>
      <w:r>
        <w:rPr>
          <w:rFonts w:ascii="Amiri" w:hAnsi="Amiri" w:eastAsia="Amiri" w:cs="Amiri"/>
          <w:color w:val="111111"/>
          <w:sz w:val="28"/>
          <w:sz w:val="28"/>
          <w:szCs w:val="28"/>
          <w:rtl w:val="true"/>
          <w:lang w:bidi="ar-SA"/>
        </w:rPr>
        <w:t>عفّ بمعنى الكف عمّا لا يحل</w:t>
      </w:r>
    </w:p>
    <w:p>
      <w:pPr>
        <w:pStyle w:val="BookText"/>
        <w:rPr/>
      </w:pPr>
      <w:r>
        <w:rPr>
          <w:rFonts w:ascii="Amiri" w:hAnsi="Amiri" w:eastAsia="Amiri" w:cs="Amiri"/>
          <w:color w:val="111111"/>
          <w:sz w:val="28"/>
          <w:sz w:val="28"/>
          <w:szCs w:val="28"/>
          <w:rtl w:val="true"/>
          <w:lang w:bidi="ar-SA"/>
        </w:rPr>
        <w:t>ولا يجمل وزاد الثاني عفّ عن المحارم والأطماع الدنيئة فهو عفيف أي كفّ</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المعجم </w:t>
      </w:r>
      <w:r>
        <w:rPr>
          <w:rStyle w:val="FootnoteAnchor"/>
          <w:rtl w:val="true"/>
        </w:rPr>
        <w:footnoteReference w:id="222"/>
      </w:r>
      <w:r>
        <w:rPr>
          <w:rFonts w:ascii="Amiri" w:hAnsi="Amiri" w:eastAsia="Amiri" w:cs="Amiri"/>
          <w:color w:val="111111"/>
          <w:sz w:val="28"/>
          <w:sz w:val="28"/>
          <w:szCs w:val="28"/>
          <w:rtl w:val="true"/>
          <w:lang w:bidi="ar-SA"/>
        </w:rPr>
        <w:t xml:space="preserve">كما في اللسان أي كفّ عمّا لا يحل ولا يجمل من قول أو </w:t>
      </w:r>
    </w:p>
    <w:p>
      <w:pPr>
        <w:pStyle w:val="BookText"/>
        <w:rPr/>
      </w:pPr>
      <w:r>
        <w:rPr>
          <w:rFonts w:ascii="Amiri" w:hAnsi="Amiri" w:eastAsia="Amiri" w:cs="Amiri"/>
          <w:color w:val="111111"/>
          <w:sz w:val="28"/>
          <w:sz w:val="28"/>
          <w:szCs w:val="28"/>
          <w:rtl w:val="true"/>
          <w:lang w:bidi="ar-SA"/>
        </w:rPr>
        <w:t>فعل والعفة ترك الشهوات من كلّ شي ء وغلب في حفظ الفرج عمّا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هذه الموارد وغيرها أنّ العفاف ليس من الصفات النفسانية بل هو من الأفعال الخارجية بمعنى الامتناع وهو يرادف الكف بعده في الحديث وليس بينهما فرق إلاّ من جهة الإجمال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هذا ما ورد في الروايات الكثيرة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عبد اللَّه بشي ء أفضل من عفة بطن وفرج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والعبادة فعل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العفاف</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جاء في المفردات للراغب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العفة حصول حالة للإنسان يمنع بها عن غلبة الشهوة </w:t>
      </w:r>
      <w:r>
        <w:rPr>
          <w:rStyle w:val="FootnoteAnchor"/>
          <w:rtl w:val="true"/>
        </w:rPr>
        <w:footnoteReference w:id="225"/>
      </w:r>
      <w:r>
        <w:rPr>
          <w:rFonts w:ascii="Amiri" w:hAnsi="Amiri" w:eastAsia="Amiri" w:cs="Amiri"/>
          <w:color w:val="111111"/>
          <w:sz w:val="28"/>
          <w:sz w:val="28"/>
          <w:szCs w:val="28"/>
          <w:rtl w:val="true"/>
          <w:lang w:bidi="ar-SA"/>
        </w:rPr>
        <w:t>، فهو يفسر العفاف بالحالة ولم نر هذا التفسير عنغيره إلاّ علماء الأخلاق ولعلّه أخذ التعريف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العفة من الصفات النفسانية لا يمكن المساعدة عليه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الستر فقد قلنا إنّه بمعنى الحياء وعند ملاحظة موارد الاستعمال للفظ الحياء نرى أنّه يستعمل بمعنى الصفة النفسانية، ففي جميع ما ذكرنا من كتب اللغة فسر الحياء بأنّه انقباض النفس عن القبائح وتركها لذلك وفسره بعضهم بالاحتشام </w:t>
      </w:r>
      <w:r>
        <w:rPr>
          <w:rStyle w:val="FootnoteAnchor"/>
          <w:rtl w:val="true"/>
        </w:rPr>
        <w:footnoteReference w:id="226"/>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 من فلان أي خجل وقد صرّح بذلك في البحار،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ملكة للنفس توجب انقباضها عن القبيح، وانزجارها عن خلاف الآداب </w:t>
      </w:r>
    </w:p>
    <w:p>
      <w:pPr>
        <w:pStyle w:val="BookText"/>
        <w:rPr/>
      </w:pPr>
      <w:r>
        <w:rPr>
          <w:rFonts w:ascii="IRNazanin" w:hAnsi="IRNazanin" w:eastAsia="IRNazanin"/>
          <w:color w:val="111111"/>
          <w:sz w:val="28"/>
          <w:sz w:val="28"/>
          <w:szCs w:val="28"/>
          <w:rtl w:val="true"/>
          <w:lang w:bidi="fa-IR"/>
        </w:rPr>
        <w:t xml:space="preserve">خوفاً من اللوم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يؤيد ذلك ما ورد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تمشي على استحياء</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والإيمان مقرونان في قرن ، فإذا ذهب أحدهما تبعه صاحبه</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لمن لا حياء له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لا يبعد استظهار ما ذهب إليه الشيخ في رسالته </w:t>
      </w:r>
      <w:r>
        <w:rPr>
          <w:rStyle w:val="FootnoteAnchor"/>
          <w:rtl w:val="true"/>
        </w:rPr>
        <w:footnoteReference w:id="231"/>
      </w:r>
      <w:r>
        <w:rPr>
          <w:rFonts w:ascii="Amiri" w:hAnsi="Amiri" w:eastAsia="Amiri" w:cs="Amiri"/>
          <w:color w:val="111111"/>
          <w:sz w:val="28"/>
          <w:sz w:val="28"/>
          <w:szCs w:val="28"/>
          <w:rtl w:val="true"/>
          <w:lang w:bidi="ar-SA"/>
        </w:rPr>
        <w:t>وأنّ الستر بما ذكرنا له من التفسير يكون من الصفات النفسانية وأنّه من الملكات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وإن ذكر في كتاب الصلاة العفاف كما أشار إلى ذلك المحقّق</w:t>
      </w:r>
    </w:p>
    <w:p>
      <w:pPr>
        <w:pStyle w:val="BookText"/>
        <w:rPr/>
      </w:pPr>
      <w:r>
        <w:rPr>
          <w:rFonts w:ascii="Amiri" w:hAnsi="Amiri" w:eastAsia="Amiri" w:cs="Amiri"/>
          <w:color w:val="111111"/>
          <w:sz w:val="28"/>
          <w:sz w:val="28"/>
          <w:szCs w:val="28"/>
          <w:rtl w:val="true"/>
          <w:lang w:bidi="ar-SA"/>
        </w:rPr>
        <w:t xml:space="preserve">الاصفهاني </w:t>
      </w:r>
      <w:r>
        <w:rPr>
          <w:rStyle w:val="FootnoteAnchor"/>
          <w:rtl w:val="true"/>
        </w:rPr>
        <w:footnoteReference w:id="232"/>
      </w:r>
      <w:r>
        <w:rPr>
          <w:rFonts w:ascii="Amiri" w:hAnsi="Amiri" w:eastAsia="Amiri" w:cs="Amiri"/>
          <w:color w:val="111111"/>
          <w:sz w:val="28"/>
          <w:sz w:val="28"/>
          <w:szCs w:val="28"/>
          <w:rtl w:val="true"/>
          <w:lang w:bidi="ar-SA"/>
        </w:rPr>
        <w:t>، إلاّ أنّ مقتضى ما في رسالته في العدالة واستناده إلى صحيحة ابن أبي يعفور، يحمل ما ذكره في كتاب الصلاة على المثال لا الحصر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على فرض الشك وعدم وضوح هذا المعنى، يقال إنّ الحالة الراسخة والاستمرار عليها مستفاد من نفس هذه العناوين فإذا وصف شخص بأنّه من أهل الستر والعفاف فالمراد به من كانت له هذه الحالة، وكذا ممّا ورد في الرواية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تعرفوه بالستر والعفاف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 لا يعرف إلاّ إذا كانت له هذه الحالة الراسخة والطبيعة الثانوية المستمرة وإلاّ إذا لم نقل بذلك فلا دليل على اعتبارها في العدالة، بمعنى أنّ اعتبارها في العدالة بلا وجه، لأنّ العدالة قد فسرت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بهذين التفسيرين، إذ بناء على أنّه تفسير تعبدي وأنّه لابد من الأخذ به، وقلنا بعدم استفادة الاستمرار منه فمن أين إذن يستفاد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هذه العناوين كالستر من الأوصاف النفسانية وأنّ الاستمرار والحالة الثانوية استفيد منه أو يكون الاستمرار مستفاد من مجموعها وإن لم نقل إنّها من الأوصاف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الأمر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بالنسبة إلى الأمر الثاني وهو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تعرفوه بالستر والعفاف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تعريف حقيقي منطقي أو أنّه تعريف جعلي أصولي فقدأشرنا إلى أنّه قد نوقش في كونه تعريفاً حقيقياً فإنّ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ذهب إلى أنّ التعريف جعلي أصولي،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الجملة معرّف أصولي لغوي أعني ما ينكشف به الشي ء، وليس معرّفاً منطقياً بمعنى الحد بحيث يكون المعرِّف عين المعرَّف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لذلك وجهين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 السائل بم تعرف عدالة الرجل بين المسلمين، هو أنّه سأله عمّا يعرف وتستكشف به العدالة، لا أنّه سأل عن حقيقة العدالة وماهيتها، فإنّ المعرّف المنطقي اصطلاح جديد ومن البعيد أن يكون هو مقصود السائل وأنّه سأل عن حقيقة العدالة وحدها، فإنّ قول القائل بم يعرف الشي ء الكذائي أو الشخص المعين محمول على السؤال عمّا ينكشف به الشي ء وما يدل عليه لا السؤال عن حده ورسمه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عن العدالة تارة يسأل عنها بأنّها أيّ شي ء هي؟ وهو سؤال عن حقيقة العدالة، وأخرى يسأل عن اتصاف الرجل بها بأيّ شي ء؟ وهو كالأوّل لأنّه سؤال عن وصف العدالة، وثالثة يسأل عمّا يعرف به اتصاف الرجل بالعدالة لا أنّه يسأل عن نفس العدالة أو عدالة الرجل بل يسأل عمّا يعرف به عدالته كما يقال بأيّ شي ء يعرف اجتهاد الرجل أو إيمانه أو شجاعته؟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السؤال ظاهر في معنى الدال وما ينكشف به الأمر وما يعرف به الشي ء غير نفس الشي ء، بل هو واسطة في المعرفة مثلاً بعد الفراغ عن معرفة الاجتهاد والإيمان تفصيلاً أو إجمالاً يسأل عما يعرف به وعن الطريقإليه، والمقام من هذا القبيل فإنّ نفس السؤال ظاهر في كونه معرّفاً</w:t>
      </w:r>
    </w:p>
    <w:p>
      <w:pPr>
        <w:pStyle w:val="BookText"/>
        <w:rPr/>
      </w:pPr>
      <w:r>
        <w:rPr>
          <w:rFonts w:ascii="Amiri" w:hAnsi="Amiri" w:eastAsia="Amiri" w:cs="Amiri"/>
          <w:color w:val="111111"/>
          <w:sz w:val="28"/>
          <w:sz w:val="28"/>
          <w:szCs w:val="28"/>
          <w:rtl w:val="true"/>
          <w:lang w:bidi="ar-SA"/>
        </w:rPr>
        <w:t>لغوياً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تعرفوه بالستر والعفاف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جعل المعرّف اشتهار الرجل ومعروفيته بهما، ومن المعلوم أنّ الاشتهار والمعروفية غير حقيقة العدالة قطعاً، ولو كانت الجملة معرّفاً منطقياً لكان الجواب هو الستر والعفاف لا المعروفية بهما، وعليه فنفس الجواب ظاهر في كونه معرّفاً لغوياً لا حقيقياً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كان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الستر والعفاف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فيه قرينة على كونه كاشفاً أو أمارة، بل يصح جعله معرّفاً حقيقياً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حيث ورد الجواب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تعرفوه بالستر والعفاف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نظير 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الرجل باجتهاده أو إيمانه، ومعنى هذا أنّ اجتهاده أو إيمانه صفة بارزة فيه يشتهر بها فيكون دالاً عليه وكاشفاً عنه، ومن المعلوم أنّ بينهما تغايراً فلا يكون عين الشخص ونفسه بل هو كاشف عنه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والمقام من هذا القبيل فإنّ الستر والعفاف حيث إنّهما من الصفات البارزة </w:t>
      </w:r>
    </w:p>
    <w:p>
      <w:pPr>
        <w:pStyle w:val="BookText"/>
        <w:rPr/>
      </w:pPr>
      <w:r>
        <w:rPr>
          <w:rFonts w:ascii="Amiri" w:hAnsi="Amiri" w:eastAsia="Amiri" w:cs="Amiri"/>
          <w:color w:val="111111"/>
          <w:sz w:val="28"/>
          <w:sz w:val="28"/>
          <w:szCs w:val="28"/>
          <w:rtl w:val="true"/>
          <w:lang w:bidi="ar-SA"/>
        </w:rPr>
        <w:t>الّتي يعرف بهما فهما كاشفتان عن عدالته لا أنّهما نفس العدالة، وهكذا بالنسبة إلى اجتناب الكبائر والحضور في جماعة المسلمين وعليه فهذه المقدمة أيضاً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جاء جواب ذلك في كلام المحقّق الاصفهاني رحمه الله بما حاصله أنّه لا وجه للقول بأنّ السؤال والجواب كانا عمّا تعرف به العدالة دون ماهيتها وحقيقتها، وذلك لأنّ غرض السائل لمّا كان مترتباً على مصداق العدالة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فليس غرضه السؤال عن نفس العدالة بل عنها بما هي مضافة إلى الرجل وأنّ الرجل العادل أيّ شخص؟ ولذلك لم يسأل بلسان ما هي 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وحينئذ فالسؤال عمّا يعرف به ثبوت العدالة ووجودها يتلائم مع الجهل بحقيقة العدالة وماهيتها بل الغالب أنّ منشأ الجهل بالأوّل هو الجهل بالثاني وحيث إنّ موضوع الحكم شرعاً غير معلوم يكون موجباً للجهل وعدم معلومية الوجود والمصداق فجواب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مطابقاً للسؤال وتعريفاً للمصداق ووجود العدالة، ويكون تعريفاً لحقيقة العدالة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ويترتب على ذلك أنّ كلاً من الجملتين تبين حقيقة العدالة إلاّ أنّ الأُولى مقدمة على الثانية والترتيب بينهما طبيعي، إذ أنّ العدالة وهي الاستقامة وعدم الانحراف عن جادة الشرع تتوقف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المعاصي ثبوتاً وتركاً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الترك بداعي الخوف والخشية من اللَّه تعالى، والحالة الراسخة في النفس ولا ينفع أحدهما دون الآخر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والجملة الأولى تتضمن بيان الداعي والباعث على الاجتناب، والثانية </w:t>
      </w:r>
    </w:p>
    <w:p>
      <w:pPr>
        <w:pStyle w:val="BookText"/>
        <w:rPr/>
      </w:pPr>
      <w:r>
        <w:rPr>
          <w:rFonts w:ascii="Amiri" w:hAnsi="Amiri" w:eastAsia="Amiri" w:cs="Amiri"/>
          <w:color w:val="111111"/>
          <w:sz w:val="28"/>
          <w:sz w:val="28"/>
          <w:szCs w:val="28"/>
          <w:rtl w:val="true"/>
          <w:lang w:bidi="ar-SA"/>
        </w:rPr>
        <w:t xml:space="preserve">تتضمن نفس الاجتناب، وعليه فيصح تعريف العدالة بأحدهما كما يصح بكليهما ولذلك ورد في بعض الروايات الاقتصار على الجملة الأولى كالصائن والعفيف والمرضي والخيّر، وفي بعضها الاقتصار على الجملة الثانية كما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 الناس فلم يظلمهم ، وحدّثهم فلم يكذبهم، ووعدهم فلم يخلفهم</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وفي بعض ثالث من الروايات الجمع بين الأمرين معاً كما في رواية عبد الكريم بن أبي يعفور الواردة في شهادة النساء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 مستورات من أهل البيوتات ، معروفات بالستر والعفاف،</w:t>
      </w:r>
    </w:p>
    <w:p>
      <w:pPr>
        <w:pStyle w:val="BookText"/>
        <w:rPr/>
      </w:pPr>
      <w:r>
        <w:rPr>
          <w:rFonts w:ascii="Amiri" w:hAnsi="Amiri" w:eastAsia="Amiri" w:cs="Amiri"/>
          <w:color w:val="111111"/>
          <w:sz w:val="28"/>
          <w:sz w:val="28"/>
          <w:szCs w:val="28"/>
          <w:rtl w:val="true"/>
          <w:lang w:bidi="ar-SA"/>
        </w:rPr>
        <w:t>مطيعات للأزواج،تاركات للبذاء والتبرّج إلى الرجال في أنديتهم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تعرفوه بالستر والعفاف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ويعرف باجتناب الكبائر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 التعريف المنطقي للاستقامة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والدلالة على ذلك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قبيل المعرّف الأصولي، إلاّ أنّه مع ذلك لا تدل الرواية على أنّ العدالة هي الملكة، وذلك لأنّ الجملة الأولى ليست من الصفات النفسانية كما تقدّم بيانه وعلى فرض كونها منها لا دلالة فيها على أنّ العدالة هي الملكة أيضاً، لأنّ العفة بناء على كونها ملكة لا تتناسب مع ترك جميع المعاصي إلاّ بانضمام الاعتدال في سائر القوى الأخرى المحققة للعدالة الأخلاقية الّتي هي الملكة المطلقة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العفة وحدها فهي أخص لاختصاصها بالاعتدال في القوة البهيمية فقط ولا يعقل استناد اجتناب جميع المعاصي إلى خصوص العفة وإن كان الحد منطقياً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إلاّ أنّ في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السؤال لو كان عن عدالة الرجل أو الرجل العادل لكان كلامه متيناً ولا غبار عليه ويكون الحد حينئذ منطقياً، ولكن المفروض هو أنّ السؤال كان عمّا تعرف به عدالة الرجل لا عن نفس العدالة ولا عن الرجل العادل، والمتبادر من السؤال هو عمّا تنكشف به العدالة لا عن حقيقتها وماهيتها، ولا عن وجود العدالة وثبوتها، بل هو نظير ما إذا قيل إنّ وجود عدالة الرجل أو شجاعته تعرف بالستر والعفاف أو بغلبته ونحو ذلك فليس السؤال هنا عن نفس العدالة</w:t>
      </w:r>
    </w:p>
    <w:p>
      <w:pPr>
        <w:pStyle w:val="BookText"/>
        <w:rPr/>
      </w:pPr>
      <w:r>
        <w:rPr>
          <w:rFonts w:ascii="Amiri" w:hAnsi="Amiri" w:eastAsia="Amiri" w:cs="Amiri"/>
          <w:color w:val="111111"/>
          <w:sz w:val="28"/>
          <w:sz w:val="28"/>
          <w:szCs w:val="28"/>
          <w:rtl w:val="true"/>
          <w:lang w:bidi="ar-SA"/>
        </w:rPr>
        <w:t>والشجاعة وإنّما هوسؤال عن أماراتهما أي العدالة والشجاعة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ما ذكره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السؤال قرينة على أنّ المعرّف أصولي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الوجه الثاني فيمكن المناقشة فيه 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تعرفوه بالستر والعفاف وكف البطن والفرج واليد واللسان ويعرف باجتناب الكبائر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وإن كان بالنظرة البدوية يفيد المعروفية والاشتهار بقرينة أن المصدرية والباء الداخلة على المتعلق، ولكن قد يقال إنّ سؤال السائل بم تعرف عدالة الرجل، قرينة على أنّ المناط هو المعرفة لاقتضاء وحدة السياق المطابقة بين السؤال 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 كلمة عرف ومشتقاتها هنا بمعنى واحد، وأمّا الشهرة فليس لها دخل في المقام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يؤكّد هذا أنّه إذا عرف شخص ستر وعفاف أحد واجتنابه عن الكبائر فهل يتوقف هذا الشخص العارف، في الحكم بالعدالة على الشهرة، وكذا الحال في العكس كما إذا كان أحد مشهوراً بالعدالة إلاّ أنّ شخصاً يعرف أنّه يرتكب المعاصي فهل له أن يرتب آثار العدالة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ذلك فالشهرة لا مدخلية لها في المقام والمناط هو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الجواب عقيب السؤال وكان الكلام ابتدائياً كان للشهرة مدخل في المقام فما أفاده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 الثاني قابل للمناقشة، وأمّا الوجه الأوّل فهو تام ويكفي في إثبات أنّ التعريف أصولي لغوي وليس بمنطقي، وعليه فإذا عرف الرجل بالستر والعفاف أو باجتناب</w:t>
      </w:r>
    </w:p>
    <w:p>
      <w:pPr>
        <w:pStyle w:val="BookText"/>
        <w:rPr/>
      </w:pPr>
      <w:r>
        <w:rPr>
          <w:rFonts w:ascii="Amiri" w:hAnsi="Amiri" w:eastAsia="Amiri" w:cs="Amiri"/>
          <w:color w:val="111111"/>
          <w:sz w:val="28"/>
          <w:sz w:val="28"/>
          <w:szCs w:val="28"/>
          <w:rtl w:val="true"/>
          <w:lang w:bidi="ar-SA"/>
        </w:rPr>
        <w:t>الكبائر أو كان ساتراً لعيوبه وكان متعاهداً للصلوات الخمس مواظباً عليها حافظاً لأوقاتهابحضوره الجماعة فتلك أمارات على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 هنا أموراً ثلاثة كلّ منها كاشف تعبدي عن العدالة من دون أن يلزم أيّ محذور، وذلك لأنّ للعدالة وهي الاستقامة على جادة الشرع وعدم الانحراف يميناً وشمالاً معرفات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والعفاف، وقد تقدّم أنّ الستر هو الحياء من اللَّه تعالى وهو علامة على الورع والإيمان فإنّ الحياء والإيمان مقرونان، وتقدّم أيضاً أنّ العفاف هو كف البطن والفرج واليد واللسان عمّا حرّم اللَّه، وهو علامة على الاستقامة في جميع الأعمال فعلاً وتركاً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 جميع الكبائر وهو أسهل تشخيصاً من الأوّل وهو علامة على الإيمان والاستقامة في العمل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للعيوب والتعاهد للصلوات، وهو أسهل من الأولين كما لا يخفى هذا بناء على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ويكون منه التعاهد للصلوات الخمس إذا واظب عليهنّ، وحفظ مواقيتهنّ بحضور جماعة من المسلمين</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متمم </w:t>
      </w:r>
    </w:p>
    <w:p>
      <w:pPr>
        <w:pStyle w:val="BookText"/>
        <w:rPr/>
      </w:pPr>
      <w:r>
        <w:rPr>
          <w:rFonts w:ascii="Amiri" w:hAnsi="Amiri" w:eastAsia="Amiri" w:cs="Amiri"/>
          <w:color w:val="111111"/>
          <w:sz w:val="28"/>
          <w:sz w:val="28"/>
          <w:szCs w:val="28"/>
          <w:rtl w:val="true"/>
          <w:lang w:bidi="ar-SA"/>
        </w:rPr>
        <w:t>للثالث كما هو المشهور، وأمّا بناء على أنّه كاشف مستقل وعلامة برأسه فمعرفات العدالة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الالتزام بذلك موافق لما ورد من الآيات والروايات والاستعمال في المحاورات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هو أقرب للتّقوى</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في صحيحة ابن أبي يعفور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أعظم الناس حسرة يوم القيامة من وصف عدلاً ثمّ خالفه إلى غيره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المتقدّمة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المتفاهم العرفي من إطلاق الفاسق على من يعمل عملاً على خلاف الشرع وهو معنى مقابل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يتلائم مع المعنى المتقدّم الّذي ذكرناه للعدالة، وهو الاستقامة على جادة الشرع وعدم الانحراف والالتزام بجميع الواجبات وترك جميع المحرّمات، ولا يتلائم مع القول بأنّ العدالة هي الملكة، أو المركب منها ومن العمل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بحسب الظاهر هي الاستواء والاستقامة في جميع الأمور على منهاج الشرع إلاّ أنّه حيث يعتبر في صدقها الاستمرار فهو أي الاستمرار ملازم للملكة والحالة الراسخة في النفس غالباً</w:t>
      </w:r>
      <w:r>
        <w:rPr>
          <w:rFonts w:eastAsia="Amiri" w:cs="Amiri" w:ascii="Amiri" w:hAnsi="Amiri"/>
          <w:color w:val="111111"/>
          <w:sz w:val="28"/>
          <w:szCs w:val="28"/>
          <w:rtl w:val="true"/>
          <w:lang w:bidi="ar-SA"/>
        </w:rPr>
        <w:t xml:space="preserve">. </w:t>
      </w:r>
      <w:bookmarkStart w:id="148" w:name="pg8631_94979"/>
    </w:p>
    <w:p>
      <w:pPr>
        <w:pStyle w:val="Heading3"/>
        <w:numPr>
          <w:ilvl w:val="2"/>
          <w:numId w:val="1"/>
        </w:numPr>
        <w:rPr/>
      </w:pPr>
      <w:bookmarkStart w:id="149" w:name="__RefHeading___Toc2192989_653776707"/>
      <w:bookmarkStart w:id="150" w:name="_Toc53"/>
      <w:bookmarkEnd w:id="148"/>
      <w:bookmarkEnd w:id="149"/>
      <w:r>
        <w:rPr>
          <w:rtl w:val="true"/>
        </w:rPr>
        <w:t>المقام الثاني</w:t>
      </w:r>
      <w:r>
        <w:rPr>
          <w:rtl w:val="true"/>
        </w:rPr>
        <w:t>:</w:t>
      </w:r>
      <w:bookmarkEnd w:id="150"/>
    </w:p>
    <w:p>
      <w:pPr>
        <w:pStyle w:val="Heading4"/>
        <w:numPr>
          <w:ilvl w:val="3"/>
          <w:numId w:val="1"/>
        </w:numPr>
        <w:rPr/>
      </w:pPr>
      <w:bookmarkStart w:id="151" w:name="__RefHeading___Toc2192991_653776707"/>
      <w:bookmarkStart w:id="152" w:name="_Toc54"/>
      <w:bookmarkEnd w:id="151"/>
      <w:r>
        <w:rPr>
          <w:rtl w:val="true"/>
        </w:rPr>
        <w:t>شرائط العدالة</w:t>
      </w:r>
      <w:bookmarkEnd w:id="152"/>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في انقسام المعاصي إلى صغيرة وكبيرة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المناطات العشرة في المعاصي الكبيرة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المعاصي الكبيرة وأقسامها من الكتاب</w:t>
      </w:r>
    </w:p>
    <w:p>
      <w:pPr>
        <w:pStyle w:val="BookText"/>
        <w:rPr/>
      </w:pPr>
      <w:r>
        <w:rPr>
          <w:rFonts w:ascii="Amiri" w:hAnsi="Amiri" w:eastAsia="Amiri" w:cs="Amiri"/>
          <w:color w:val="111111"/>
          <w:sz w:val="28"/>
          <w:sz w:val="28"/>
          <w:szCs w:val="28"/>
          <w:rtl w:val="true"/>
          <w:lang w:bidi="ar-SA"/>
        </w:rPr>
        <w:t>والسنة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في اعتبار الاجتناب عن الذنوب الصغيرة</w:t>
      </w:r>
    </w:p>
    <w:p>
      <w:pPr>
        <w:pStyle w:val="BookText"/>
        <w:rPr/>
      </w:pPr>
      <w:r>
        <w:rPr>
          <w:rFonts w:ascii="Amiri" w:hAnsi="Amiri" w:eastAsia="Amiri" w:cs="Amiri"/>
          <w:color w:val="111111"/>
          <w:sz w:val="28"/>
          <w:sz w:val="28"/>
          <w:szCs w:val="28"/>
          <w:rtl w:val="true"/>
          <w:lang w:bidi="ar-SA"/>
        </w:rPr>
        <w:t>أو الإصرار عليها في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اعتبار المروّة في العدالة وعدمه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8631_94981"/>
      <w:bookmarkStart w:id="154" w:name="pg8631_94981"/>
      <w:bookmarkEnd w:id="154"/>
    </w:p>
    <w:p>
      <w:pPr>
        <w:pStyle w:val="Heading4"/>
        <w:numPr>
          <w:ilvl w:val="3"/>
          <w:numId w:val="1"/>
        </w:numPr>
        <w:rPr/>
      </w:pPr>
      <w:bookmarkStart w:id="155" w:name="pg8631_94981"/>
      <w:bookmarkStart w:id="156" w:name="__RefHeading___Toc2192993_653776707"/>
      <w:bookmarkStart w:id="157" w:name="_Toc55"/>
      <w:bookmarkEnd w:id="155"/>
      <w:bookmarkEnd w:id="156"/>
      <w:r>
        <w:rPr>
          <w:rtl w:val="true"/>
        </w:rPr>
        <w:t>شرائط العدالة</w:t>
      </w:r>
      <w:bookmarkEnd w:id="157"/>
    </w:p>
    <w:p>
      <w:pPr>
        <w:pStyle w:val="BookText"/>
        <w:rPr/>
      </w:pPr>
      <w:r>
        <w:rPr>
          <w:rFonts w:ascii="Amiri" w:hAnsi="Amiri" w:eastAsia="Amiri" w:cs="Amiri"/>
          <w:color w:val="111111"/>
          <w:sz w:val="28"/>
          <w:sz w:val="28"/>
          <w:szCs w:val="28"/>
          <w:rtl w:val="true"/>
          <w:lang w:bidi="ar-SA"/>
        </w:rPr>
        <w:t>ويتضمن البحث فيه عن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المناط في المعاصي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الاجتناب عن صغائر الذنوب، أو الإصرار عليها في العدالة وعدمه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الاجتناب عما يخالف المروءة في العدالة وعدمه</w:t>
      </w:r>
      <w:r>
        <w:rPr>
          <w:rFonts w:eastAsia="Amiri" w:cs="Amiri" w:ascii="Amiri" w:hAnsi="Amiri"/>
          <w:color w:val="111111"/>
          <w:sz w:val="28"/>
          <w:szCs w:val="28"/>
          <w:rtl w:val="true"/>
          <w:lang w:bidi="ar-SA"/>
        </w:rPr>
        <w:t xml:space="preserve">. </w:t>
      </w:r>
      <w:bookmarkStart w:id="158" w:name="pg8631_94982"/>
    </w:p>
    <w:p>
      <w:pPr>
        <w:pStyle w:val="Heading4"/>
        <w:numPr>
          <w:ilvl w:val="3"/>
          <w:numId w:val="1"/>
        </w:numPr>
        <w:rPr/>
      </w:pPr>
      <w:bookmarkStart w:id="159" w:name="__RefHeading___Toc2192995_653776707"/>
      <w:bookmarkStart w:id="160" w:name="_Toc56"/>
      <w:bookmarkEnd w:id="158"/>
      <w:bookmarkEnd w:id="159"/>
      <w:r>
        <w:rPr>
          <w:rtl w:val="true"/>
        </w:rPr>
        <w:t xml:space="preserve">الأمر الأوّل </w:t>
      </w:r>
      <w:r>
        <w:rPr>
          <w:rtl w:val="true"/>
        </w:rPr>
        <w:t xml:space="preserve">: </w:t>
      </w:r>
      <w:r>
        <w:rPr>
          <w:rtl w:val="true"/>
        </w:rPr>
        <w:t>تقسيم المعاصي</w:t>
      </w:r>
      <w:bookmarkEnd w:id="160"/>
    </w:p>
    <w:p>
      <w:pPr>
        <w:pStyle w:val="BookText"/>
        <w:rPr/>
      </w:pPr>
      <w:r>
        <w:rPr>
          <w:rFonts w:ascii="Amiri" w:hAnsi="Amiri" w:eastAsia="Amiri" w:cs="Amiri"/>
          <w:color w:val="111111"/>
          <w:sz w:val="28"/>
          <w:sz w:val="28"/>
          <w:szCs w:val="28"/>
          <w:rtl w:val="true"/>
          <w:lang w:bidi="ar-SA"/>
        </w:rPr>
        <w:t xml:space="preserve">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 إليهم قاطبة كما في مفتاح الكرامة </w:t>
      </w:r>
      <w:r>
        <w:rPr>
          <w:rStyle w:val="FootnoteAnchor"/>
          <w:rtl w:val="true"/>
        </w:rPr>
        <w:footnoteReference w:id="240"/>
      </w:r>
      <w:r>
        <w:rPr>
          <w:rFonts w:ascii="Amiri" w:hAnsi="Amiri" w:eastAsia="Amiri" w:cs="Amiri"/>
          <w:color w:val="111111"/>
          <w:sz w:val="28"/>
          <w:sz w:val="28"/>
          <w:szCs w:val="28"/>
          <w:rtl w:val="true"/>
          <w:lang w:bidi="ar-SA"/>
        </w:rPr>
        <w:t xml:space="preserve">وإلى العلماء كما في مجمع الفوائد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اختلاف المعاصي وأنّها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وصغيرة، إلاّ أنّ الظاهر من القدماء أنّها قسم واحد وأنّ جميع الذنوب كبائر في نفسها، وإنّما الاختلاف فيما بينها بإضافة كلّ ذنب إلى ما فوقه أو إلى ما تحته، كما حكي عن المفيد، والسيّد المرتضى، وابن البراج، وأبي الصلاح، والطبرسي </w:t>
      </w:r>
      <w:r>
        <w:rPr>
          <w:rStyle w:val="FootnoteAnchor"/>
          <w:rtl w:val="true"/>
        </w:rPr>
        <w:footnoteReference w:id="242"/>
      </w:r>
      <w:r>
        <w:rPr>
          <w:rFonts w:ascii="Amiri" w:hAnsi="Amiri" w:eastAsia="Amiri" w:cs="Amiri"/>
          <w:color w:val="111111"/>
          <w:sz w:val="28"/>
          <w:sz w:val="28"/>
          <w:szCs w:val="28"/>
          <w:rtl w:val="true"/>
          <w:lang w:bidi="ar-SA"/>
        </w:rPr>
        <w:t xml:space="preserve">، بل يظهر من مجمع البيان </w:t>
      </w:r>
      <w:r>
        <w:rPr>
          <w:rStyle w:val="FootnoteAnchor"/>
          <w:rtl w:val="true"/>
        </w:rPr>
        <w:footnoteReference w:id="243"/>
      </w:r>
      <w:r>
        <w:rPr>
          <w:rFonts w:ascii="Amiri" w:hAnsi="Amiri" w:eastAsia="Amiri" w:cs="Amiri"/>
          <w:color w:val="111111"/>
          <w:sz w:val="28"/>
          <w:sz w:val="28"/>
          <w:szCs w:val="28"/>
          <w:rtl w:val="true"/>
          <w:lang w:bidi="ar-SA"/>
        </w:rPr>
        <w:t>والعدّة والسرائر أنّه اتفاقي حيث نسب القول به إلى الجميع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السرائر في مقام الجواب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يذهب إليه أحد من أصحابنا، لأنّه لا صغائر عندنا في المعاصي، إلاّ بالإضافة إلى غيرها، وما 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به من أنّه يؤدي ذلك إلى أنلا تقبل شهادة أحد، لأنّه لا أحد ينفك عن مواقعة بعض المعاصي، فغير واضح لأنّه قادر على </w:t>
      </w:r>
    </w:p>
    <w:p>
      <w:pPr>
        <w:pStyle w:val="BookText"/>
        <w:rPr/>
      </w:pPr>
      <w:r>
        <w:rPr>
          <w:rFonts w:ascii="Amiri" w:hAnsi="Amiri" w:eastAsia="Amiri" w:cs="Amiri"/>
          <w:color w:val="111111"/>
          <w:sz w:val="28"/>
          <w:sz w:val="28"/>
          <w:szCs w:val="28"/>
          <w:rtl w:val="true"/>
          <w:lang w:bidi="ar-SA"/>
        </w:rPr>
        <w:t>التوبة من ذلك الصغير فإذا تاب قبلت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التوبة مما يتعذر على إنسان، دون إنسان، ولاشكّ أنّ هذا القول تخريج لبعض المخالفين، فاختاره شيخنا ها هنا، ونصره، وأورده على جهته، ولم يقل عليه شيئاً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الجملة الأخيرة أراد ابن إدريس الجمع بين كلامي الشيخ حيث صرّح بعدم التقسيم في التبيان والعدّة موافقاً لمعاصريه من أنّ الاختلاف بين الذنوب إضافي لا أنّ الاختلاف بينها في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عبارة ابن إدريس إشارة إلى ما ذكره الشيخ في المبسوط من التقسيم كما عليه المتأخرون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العدالة في الدين والعدالة في المروّة والعدالة في الأحكام فمن كان عدلاً في جميع ذلك قبلت شهادته، ومَنْ لم يكن عدلاً، لم يقبل ذلك، فإن ارتكب شيئاً من الكبائر، وهي الشرك والقتل والزنا واللّواط والغصب والسرقة وشرب الخمر والقذف وما أشبه ذلك، فإذا فعل واحدةً من هذه الأشياء سقطت شهادته، فأمّا إن كان مجتنباً للكبائر ومواقعاً للصغائر فإنّه يعتبر الأغلب من حاله، فإن كان الأغلب من حاله مجانبة المعاصي، وكان يواقع ذلك نادراً، قُبلت شهادته، وإنّما اعتبرنا الأغلب في الصغائر، لأنّا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تقبل شهادة مَنْ واقع اليسير من الصغائر، أدّى ذلك إلى أن لا يُقبل شهادة أحد ؛</w:t>
      </w:r>
    </w:p>
    <w:p>
      <w:pPr>
        <w:pStyle w:val="BookText"/>
        <w:rPr/>
      </w:pPr>
      <w:r>
        <w:rPr>
          <w:rFonts w:ascii="Amiri" w:hAnsi="Amiri" w:eastAsia="Amiri" w:cs="Amiri"/>
          <w:color w:val="111111"/>
          <w:sz w:val="28"/>
          <w:sz w:val="28"/>
          <w:szCs w:val="28"/>
          <w:rtl w:val="true"/>
          <w:lang w:bidi="ar-SA"/>
        </w:rPr>
        <w:t xml:space="preserve">لأنّه لا أحد ينفك من مواقعة بعض المعاصي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صريح في تقسيم المعاصي إلى قسمين على وفق المشهور بين 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استدل لكلّ من القولين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القول بعدم الانقسام فقد 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المعاصي كلّها عظيمة وكبيرة لاشتراكها في أنّها مخالفة للَّه سبحانه وتعالى، وعلى خلاف رضاه، وأنّها توجب غضبه وسخطه، نعم قد يكون بعضها أشدّ من بعض، وقد ورد في الروايات ما يدل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الذنوب كلّها شديدة، وأشدّها ما نبت عليه اللحم والدم، لأنّه إمّا مرحوم، وإمّا معذب، والجنّة لا يدخلها إلاّ طيب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القنوت في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واستغفر لذنبك العظيم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ذنب عظيم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أماليه بسنده عن أبي ذر، 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لا تنظر إلى صغر الخطيئة ولكن انظر إلى من عصيت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الحسين بن زيد،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المناهي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تحقّروا شيئاً منالشر وإن صغر في أعينكم ، ولا تستكثروا شيئاً من الخير وإن كثر في أعينكم، فإنّه لا كبير مع الاستغفار، ولا صغير مع الإصرار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صاحب المستدرك عن القطب الراوندي في دعواته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أوحى اللَّه تعالى إلى عزير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عزير، إذا وقعت في معصية فلا تنظر إلى صغرها ، ولكن انظر من 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صحيحة ابن محبوب الدالة على أنّ الكبائر هي ما وعد اللَّه عليه النار، وبضميمة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أنّ جميع المعاصي كلّها كبائر، لأنّها قد توعد عليها النار كما هو مقتضى إطلاق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الاختلاف في تعداد الكبائر وتعيينها، ففي بعض الروايات أنّها سبع، وفي بعضها أنّها تسع، وفي بعضها أنّها عشر، وفي بعضها أنّها عشرون، وفي بعضها أنّها ثلاث وثلاثون، إلى غير ذلك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الاختلاف دليل على أنّ الكبيرة والصغيرة أمران إضافيان فلا تقسيم للذنوب بأنّ بعضها كبائر وبعضها الآخر 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الصدوق بعد أن ذكر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في الكبائر ليست مختلفة لأنّ كلّ ذنب بعد الشرك كبير بالنسبة إلى ما هو أصغر منه، وكلّ كبير صغير بالنسبة إلى الشرك باللَّه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ولكن جميع هذه الوجوه قابلة للمناقشة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فالمناقشة فيهما واضحة، وذلك لأنّ الظاهر من الآية عدم شمولها لكلّ معصية، وأنّ المعاصي الصغيرة خارجة عنها كما أفاده </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وحاصل كلامه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فإنّها مكفرة بترك الكبائر، كما أن الكبائر مكفرة فيما إذا عفي عنها للتوبة أو الشفاعة أو التفضل، مضافاً إلى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يتعدّ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الجمع أي كلّ حدوده، وهذا ممّا يوجب الكفر، وجزاء المتعدي لحدود اللَّه الخلود في النار والعذاب المهين، فتكون الآية أجنبية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بقرينة الآيات السابقة أن يكون المراد من الحدود هي حدود الإرث المذكورة في الآيات السابقة حيث اشتملت على تقسيم الميراث، ومنها ميراث اليتيم وأنّ أكل مال اليتيم بغير حق يوجب سخط اللَّه وغضبه،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ولا شك أنّ ذلك من الكبائر حيث توعد عليه</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اختلاف الروايات في تعيين الكبائر فهي لا تدل على انتفاء الكبائر، بل تدل على وجودها غاية الأمر أنّه لابدّ من الجمع بين الروايات والتوفيق بينها وسيأتي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هو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 أنّ المعاصي كلّها تشترك في مخالفة المولى عزّوجلّ وهي في نفسها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أنّه هل يمكن تقسيم الذنوب والمعاصي إلى قسمين ثبوتاً من جهة المفاسد المترتبةعليها، وإثباتاً من جهة الآثار والأحكام أو لا؟</w:t>
      </w:r>
    </w:p>
    <w:p>
      <w:pPr>
        <w:pStyle w:val="BookText"/>
        <w:rPr/>
      </w:pPr>
      <w:r>
        <w:rPr>
          <w:rFonts w:ascii="Amiri" w:hAnsi="Amiri" w:eastAsia="Amiri" w:cs="Amiri"/>
          <w:color w:val="111111"/>
          <w:sz w:val="28"/>
          <w:sz w:val="28"/>
          <w:szCs w:val="28"/>
          <w:rtl w:val="true"/>
          <w:lang w:bidi="ar-SA"/>
        </w:rPr>
        <w:t>ولا ينبغي التأمل في صحة التقسيم من كلتا الجهتين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جهة الثبوت 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الممكن عقلاً جعل حدٍ للذنوب فيقال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المفاسد إذا وصلت إلى حد معين كمائة درجة فهي كبيرة، وإذا لم تبلغ إلى ذلك الحد فهي صغيرة، وحيث إنّ المفاسد مختلفة بالوجدان فجعل الحد وتقسيم الذنوب على ضوئه ممّا لا يمتنع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الدليل على تقسيمها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على أنّ قسماً من الذنوب كبائر وأنّ الاجتناب عنها ممّا يوجب العفو عمّا سواها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المناقشة في دلالتها ضعيف جداً لا نحتاج إلى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والفواحش إلاّ اللّمم</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 وفسر اللّمم بصغائر الذنوب، أو نوع خاص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الروايات فهي كثيرة جداً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معي بعض أصحابنا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الكبائر كم هي؟ وما هي؟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الكبائر من اجتنب ما وعد اللَّه عليه النار كفّر عنه سيّئاته إذا كان مؤمناً، والسبع الموجبات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الحرام، وعقوق الوالدين، وأكل الربا، والتعرّب بعد الهجرة، وقذف </w:t>
      </w:r>
    </w:p>
    <w:p>
      <w:pPr>
        <w:pStyle w:val="BookText"/>
        <w:rPr/>
      </w:pPr>
      <w:r>
        <w:rPr>
          <w:rFonts w:ascii="Amiri" w:hAnsi="Amiri" w:eastAsia="Amiri" w:cs="Amiri"/>
          <w:color w:val="111111"/>
          <w:sz w:val="28"/>
          <w:sz w:val="28"/>
          <w:szCs w:val="28"/>
          <w:rtl w:val="true"/>
          <w:lang w:bidi="ar-SA"/>
        </w:rPr>
        <w:t xml:space="preserve">المحصنة، وأكل مال اليتيم، والفرار من الزحف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الكبائر سبعة، منها قتل النفس متعمّداً ، والشرك باللَّه العظيم، وقذف المحصنة، وأكل الربا بعد البيّنة، والفرار من الزحف، والتعرّب بعد الهجرة، وعقوق الوالدين، وأكل مال اليتيم ظلماً،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والتعرّب والشرك واحد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كبائر ما تنهون عنه نكفّر عنكم سيّئاتكم وندخلكم مدخلاً كريماً</w:t>
      </w:r>
      <w:r>
        <w:rPr>
          <w:rFonts w:eastAsia="IRNazanin" w:cs="IRNazanin"/>
          <w:color w:val="111111"/>
          <w:sz w:val="28"/>
          <w:szCs w:val="28"/>
          <w:rtl w:val="true"/>
          <w:lang w:bidi="fa-IR"/>
        </w:rPr>
        <w:t xml:space="preserve">) </w:t>
      </w:r>
      <w:r>
        <w:rPr>
          <w:rStyle w:val="FootnoteAnchor"/>
          <w:rtl w:val="true"/>
        </w:rPr>
        <w:footnoteReference w:id="2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الّتي أوجب اللَّه عزّوجلّ عليها النار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بعض الروايات أنّ هناك آثار تختص بالكبائر، وذلك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اجتناب الكبائر يوجب الخير الكثير، كما في صحيحة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يؤت الحكمة فقد أوتيخيراً كثيراً</w:t>
      </w:r>
      <w:r>
        <w:rPr>
          <w:rFonts w:eastAsia="IRNazanin" w:cs="IRNazanin"/>
          <w:color w:val="111111"/>
          <w:sz w:val="28"/>
          <w:szCs w:val="28"/>
          <w:rtl w:val="true"/>
          <w:lang w:bidi="fa-IR"/>
        </w:rPr>
        <w:t xml:space="preserve">» </w:t>
      </w:r>
      <w:r>
        <w:rPr>
          <w:rStyle w:val="FootnoteAnchor"/>
          <w:rtl w:val="true"/>
        </w:rPr>
        <w:footnoteReference w:id="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الإمام، واجتناب الكبائر الّتي أوجب اللَّه عليها النار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تكفير الذنوب والسيّئات، كما في الآية، وبعض الروايات المتقدّمة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يدخل المدخل الكريم، كما هو الظاهر من الآية الشريفة، ولعلّه </w:t>
      </w:r>
    </w:p>
    <w:p>
      <w:pPr>
        <w:pStyle w:val="BookText"/>
        <w:rPr/>
      </w:pPr>
      <w:r>
        <w:rPr>
          <w:rFonts w:ascii="IRNazanin" w:hAnsi="IRNazanin" w:eastAsia="IRNazanin"/>
          <w:color w:val="111111"/>
          <w:sz w:val="28"/>
          <w:sz w:val="28"/>
          <w:szCs w:val="28"/>
          <w:rtl w:val="true"/>
          <w:lang w:bidi="fa-IR"/>
        </w:rPr>
        <w:t>متحد مع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اجتناب الكبائر أمارة على العدالة أو شرط فيها، على الخلاف المتقدّم في كون العدالة ملكة أو لا، كما ورد في صحيحة ابن أبي يعفور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ارتكابها يوجب الخروج عن الإيمان، كما ورد في معتبرة</w:t>
      </w:r>
    </w:p>
    <w:p>
      <w:pPr>
        <w:pStyle w:val="BookText"/>
        <w:rPr/>
      </w:pPr>
      <w:r>
        <w:rPr>
          <w:rFonts w:ascii="IRNazanin" w:hAnsi="IRNazanin" w:eastAsia="IRNazanin"/>
          <w:color w:val="111111"/>
          <w:sz w:val="28"/>
          <w:sz w:val="28"/>
          <w:szCs w:val="28"/>
          <w:rtl w:val="true"/>
          <w:lang w:bidi="fa-IR"/>
        </w:rPr>
        <w:t>محمّد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الكبائر تخرج من الإيمان؟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دون الكبائر، 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يزني الزاني وهو مؤمن ولا يسرق السارق وهو مؤمن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الحسن بن زياد العطّار،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سمّى اللَّه المؤمنين بالعمل الصالح مؤمنين ، ولم يسمّ من ركب الكبائر وما وعد اللَّه عزّوجلّ عليه النار مؤمنين في قرآن ولا أثر، ولا نسمهم بالإيمان بعد ذلك الفعل </w:t>
      </w:r>
      <w:r>
        <w:rPr>
          <w:rStyle w:val="FootnoteAnchor"/>
          <w:rtl w:val="true"/>
        </w:rPr>
        <w:footnoteReference w:id="264"/>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من ارتكب أربعين كبيرة انكشفت عنه الجنن، وهو عبارة عن ارتفاع الوقاية والعناية الإلهية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في موثقة عبد اللَّه بن مسكان،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إلاّ وعليه أربعون جنة حتّى يعمل أربعين كبيرة، فإذا عمل أربعين كبيرة انكشفت عنه الجنن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أصل التقسيم، واختلاف الآثار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وجه الاستدلال على تقسيم الذنوب إلى صغائر وكبائر</w:t>
      </w:r>
      <w:r>
        <w:rPr>
          <w:rFonts w:eastAsia="Amiri" w:cs="Amiri" w:ascii="Amiri" w:hAnsi="Amiri"/>
          <w:color w:val="111111"/>
          <w:sz w:val="28"/>
          <w:szCs w:val="28"/>
          <w:rtl w:val="true"/>
          <w:lang w:bidi="ar-SA"/>
        </w:rPr>
        <w:t xml:space="preserve">. </w:t>
      </w:r>
      <w:bookmarkStart w:id="161" w:name="pg8631_94990"/>
    </w:p>
    <w:p>
      <w:pPr>
        <w:pStyle w:val="Heading4"/>
        <w:numPr>
          <w:ilvl w:val="3"/>
          <w:numId w:val="1"/>
        </w:numPr>
        <w:rPr/>
      </w:pPr>
      <w:bookmarkStart w:id="162" w:name="__RefHeading___Toc2192997_653776707"/>
      <w:bookmarkStart w:id="163" w:name="_Toc57"/>
      <w:bookmarkEnd w:id="161"/>
      <w:bookmarkEnd w:id="162"/>
      <w:r>
        <w:rPr>
          <w:rtl w:val="true"/>
        </w:rPr>
        <w:t>الأمر الثاني</w:t>
      </w:r>
      <w:r>
        <w:rPr>
          <w:rtl w:val="true"/>
        </w:rPr>
        <w:t xml:space="preserve">: </w:t>
      </w:r>
      <w:r>
        <w:rPr>
          <w:rtl w:val="true"/>
        </w:rPr>
        <w:t>المناط في المعاصي الكبيرة</w:t>
      </w:r>
      <w:bookmarkEnd w:id="163"/>
    </w:p>
    <w:p>
      <w:pPr>
        <w:pStyle w:val="Heading5"/>
        <w:numPr>
          <w:ilvl w:val="4"/>
          <w:numId w:val="1"/>
        </w:numPr>
        <w:rPr/>
      </w:pPr>
      <w:bookmarkStart w:id="164" w:name="__RefHeading___Toc2192999_653776707"/>
      <w:bookmarkStart w:id="165" w:name="_Toc58"/>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فقد وقع الاختلاف فيه بين العلماء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الكبيرة هي الذنب الّذي توعّد اللَّه عليه العذاب في كتابه الكريم، وهو المنسوب إلى المشهور، بل ادعي عليه عدم الخلاف فيه، بل إنّ كلام الصيمري من نسبته إلى أصحابنا يشعر بالإجماع عليه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الذنب الّذي رتّب عليه الشارع حداً، أو صرّح فيه بالوعيد، وإليه ذهب صاحب مفتاح الكرامة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المعصية الّتي تؤذن بقلة فاعلها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المعصية الّتي علمت حرمتها بدليل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المعصية الّتي توعّد عليها توعداً شديداً في الكتاب أو السنة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كلّ ما نهي عنه من المعاصي الواردة في سورة النساء من أوّلها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 نصّ على عددها في الأخبار الواردة من أنّها سبع أو عشر أو اثنتا عشر أو عشرون أو غيرها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المعصية الّتي عدّها أهل الشرع كبيرة وإن لم تكن كبيرة في نفسها كسرقة ثوب ممّن لا يجد غيره مع الحاجة إليه، والصغيرة ما لم يعدوه كذلك كسرقته ممّن يجد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صاحب الجواهر عن بعضهم من أنّها المعصية الّتي تزيد مفسدتها على مفسدة الكبيرة المنصوص عليها، فإن نقصت عنها فهي من الصغائر، وإلاّ فمن الكبائر، مثلاً حبس المحصنة للزنا فيها أعظم مفسدة من القذف مع أنّهم لم يعدوه من الكبائر، وكذا دلالة الكفار على عورات المسلمين ونحو ذلك ممّا يفضي إلى القتل والسبي والنهب، فإنّ مفسدته أعظم من مفسدة الفرار من الزحف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قريب من القول الثامن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صاحب الجواهر </w:t>
      </w:r>
      <w:r>
        <w:rPr>
          <w:rStyle w:val="FootnoteAnchor"/>
          <w:rtl w:val="true"/>
        </w:rPr>
        <w:footnoteReference w:id="270"/>
      </w:r>
      <w:r>
        <w:rPr>
          <w:rFonts w:ascii="Amiri" w:hAnsi="Amiri" w:eastAsia="Amiri" w:cs="Amiri"/>
          <w:color w:val="111111"/>
          <w:sz w:val="28"/>
          <w:sz w:val="28"/>
          <w:szCs w:val="28"/>
          <w:rtl w:val="true"/>
          <w:lang w:bidi="ar-SA"/>
        </w:rPr>
        <w:t>وهو أنّ الكبيرة هي المعصية العظيمة في نفسها وتعرف بطرق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عدّ في الروايات وهي أربعون ذنباً بعد الغاء مفهوم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توعّد عليه النار في الكتاب والسنّة صريحاً، أو تلويحاً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 من التشديد في النهي عنه أعظم من التوعد بالنار كالبراءة واللعنة، وكونه كالزاني بأمه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عظمته في نفس أهل الشرع وإن لم نعثر على غير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الشيخ في رسالته هذا القول واعتمد الطرق الثلاثة الأولى، وأضاف طريقين آخرين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أوجب اللَّه عليه النار، سواء في الكتاب، أو بإخبار النبي صلى الله عليه وآله 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 النصّ على عدم قبول شهادته، أو الصلاة خلفه، كما في النهي عن الصلاة خلف العاق لوالديه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اختلاف الأقوال هي الروايات، وعليه فاستفادة المناط في ذلك تتوقف على ملاحظة الروايات الواردة في المقام، وهي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المناط في الكبيرة هو ما أوعد اللَّه عليه النار، وهي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المناط فيها هو ما أوجب اللَّه عليه النار، وهي عدّة روايات أخرى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الفرق بين الطائفتين وما فيه</w:t>
      </w:r>
      <w:r>
        <w:rPr>
          <w:rFonts w:eastAsia="Amiri" w:cs="Amiri" w:ascii="Amiri" w:hAnsi="Amiri"/>
          <w:color w:val="111111"/>
          <w:sz w:val="28"/>
          <w:szCs w:val="28"/>
          <w:rtl w:val="true"/>
          <w:lang w:bidi="ar-SA"/>
        </w:rPr>
        <w:t xml:space="preserve">. </w:t>
      </w:r>
      <w:bookmarkStart w:id="166" w:name="pg8631_94993"/>
    </w:p>
    <w:p>
      <w:pPr>
        <w:pStyle w:val="Heading5"/>
        <w:numPr>
          <w:ilvl w:val="4"/>
          <w:numId w:val="1"/>
        </w:numPr>
        <w:rPr/>
      </w:pPr>
      <w:bookmarkStart w:id="167" w:name="__RefHeading___Toc2193001_653776707"/>
      <w:bookmarkStart w:id="168" w:name="_Toc59"/>
      <w:bookmarkEnd w:id="166"/>
      <w:bookmarkEnd w:id="167"/>
      <w:r>
        <w:rPr>
          <w:rtl w:val="true"/>
        </w:rPr>
        <w:t xml:space="preserve">روايات الطائفة الأولى </w:t>
      </w:r>
      <w:r>
        <w:rPr>
          <w:rtl w:val="true"/>
        </w:rPr>
        <w:t>:</w:t>
      </w:r>
      <w:bookmarkEnd w:id="16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معي بعض أصحابنا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الكبائر كم هي؟ وما هي؟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الكبائر من اجتنب ما وعد اللَّه عليه النار كفّر عنه سيّئاته إذا كان مؤمناً</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الدلالة كما أنّها صحيحة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أحمد بن عمر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كبائر ما تنهون عنه نكفّر عنكم سيّئاتكم</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اجتنب ما أوعد اللَّه عليه النار إذا كان مؤمناً كفّر عنه سيّئاته وأدخله مدخلاً كريماً</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حيث الدلالة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السند ففيه موسى بن جعفر البغدادي، ولم يرد فيه توثيق، إلاّ أنّه واقع في أسناد كتاب نوادر الحكمة، بل هو شيخ صاحبه ولم يستثنه منه، وقد قرّرنا في محلّه أنّ ذلك أمارة على التوثيق، وبناء عليه فالرواية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الصحيح عن محمّد بن الفضيل،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كبائر ما تنهون عنه نكفّر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عنكم سيّئاتكم</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اجتنب الكبائر ما أوعد اللَّه عليه النار إذا كان مؤمناً كفّر </w:t>
      </w:r>
    </w:p>
    <w:p>
      <w:pPr>
        <w:pStyle w:val="BookText"/>
        <w:rPr/>
      </w:pPr>
      <w:r>
        <w:rPr>
          <w:rFonts w:ascii="Amiri" w:hAnsi="Amiri" w:eastAsia="Amiri" w:cs="Amiri"/>
          <w:color w:val="111111"/>
          <w:sz w:val="28"/>
          <w:sz w:val="28"/>
          <w:szCs w:val="28"/>
          <w:rtl w:val="true"/>
          <w:lang w:bidi="ar-SA"/>
        </w:rPr>
        <w:t xml:space="preserve">اللَّه عنه سيّئاته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حيث الدلالة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السند ففيه محمّد بن الفضيل، فإن كان هو محمّد بن القاسم بن الفضيل، فهو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محمّد بن فضيل الأزدي، فالظاهر أنّه ثقة لوقوعه في أسناد نوارد الحكمة، وتفسير القمي، وروى عنه المشايخ الثقات، وعدّه الشيخ المفيد في رسالته العددية من الفقهاء والرؤساء الأعلام الّذين يؤخذ منهم الحلال والحرام والفتيا والأحكام ولا يطعن عليهم بشي ء ولا طريق لذم واحد منهم، وبعض ذلك كاف في وثاقته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معارض بتضعيف الشيخ له حيث ذكره في أصحاب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الفضيل الكوفي الأزدي ضعيف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تضعيف الشيخ له محمول على رميه بالغلو حيث ذكره الشيخ في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صيرفي يرمى بالغلو </w:t>
      </w:r>
      <w:r>
        <w:rPr>
          <w:rStyle w:val="FootnoteAnchor"/>
          <w:rtl w:val="true"/>
        </w:rPr>
        <w:footnoteReference w:id="278"/>
      </w:r>
      <w:r>
        <w:rPr>
          <w:rFonts w:ascii="Amiri" w:hAnsi="Amiri" w:eastAsia="Amiri" w:cs="Amiri"/>
          <w:color w:val="111111"/>
          <w:sz w:val="28"/>
          <w:sz w:val="28"/>
          <w:szCs w:val="28"/>
          <w:rtl w:val="true"/>
          <w:lang w:bidi="ar-SA"/>
        </w:rPr>
        <w:t>، وعليه فلا تعارض بين ذلك وبين التوثيقات الواردة في حقه، فلا وجه للحكم بجهالته كما ذهب إليه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هو المراد كما هو الظاهر فالرواية معتبرة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الحسن بن زياد العطّار،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سمّى اللَّه المؤمنين بالعمل الصالح مؤمنين ، ولم يسمّ منركب الكبائر وما وعد اللَّه عزّوجلّ عليه النار مؤمنين في قرآن ولا أثر، ولا نسمهم بالإيمان بعد ذلك الفعل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169" w:name="pg8631_94995"/>
    </w:p>
    <w:p>
      <w:pPr>
        <w:pStyle w:val="BookText"/>
        <w:rPr/>
      </w:pPr>
      <w:bookmarkEnd w:id="169"/>
      <w:r>
        <w:rPr>
          <w:rFonts w:ascii="Amiri" w:hAnsi="Amiri" w:eastAsia="Amiri" w:cs="Amiri"/>
          <w:color w:val="111111"/>
          <w:sz w:val="28"/>
          <w:sz w:val="28"/>
          <w:szCs w:val="28"/>
          <w:rtl w:val="true"/>
          <w:lang w:bidi="ar-SA"/>
        </w:rPr>
        <w:t>والرواية من حيث الدلالة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السند، فهي وإن كان فيه أبو سعيد الآدمي وهو سهل بن زياد، وهو ضعيف، إلاّ أنّ للشيخ طريقاً صحيحاً إلى جميع كتب وروايات الحسن بن محبوب، فلا ينحصر الطريق بأبي سعيد الآدمي، وعليه فالرواية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عبّاد بن كثير النوا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الكبائر؟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أوعد اللَّه عليه النار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في صراحة دلالتها كالروايات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من جهة السند غير تامة، لعدم ورود التوثيق في عبّاد بن كثير، فتكون مؤيدة، نعم على القول باعتبار روايات الفقيه حيث وردت الرواية فيه فتكون معتبرة</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2193003_653776707"/>
      <w:bookmarkStart w:id="171" w:name="_Toc60"/>
      <w:bookmarkEnd w:id="170"/>
      <w:r>
        <w:rPr>
          <w:rtl w:val="true"/>
        </w:rPr>
        <w:t xml:space="preserve">روايات الطائفة الثانية </w:t>
      </w:r>
      <w:r>
        <w:rPr>
          <w:rtl w:val="true"/>
        </w:rPr>
        <w:t>:</w:t>
      </w:r>
      <w:bookmarkEnd w:id="171"/>
    </w:p>
    <w:p>
      <w:pPr>
        <w:pStyle w:val="BookText"/>
        <w:rPr/>
      </w:pPr>
      <w:r>
        <w:rPr>
          <w:rFonts w:ascii="Amiri" w:hAnsi="Amiri" w:eastAsia="Amiri" w:cs="Amiri"/>
          <w:color w:val="111111"/>
          <w:sz w:val="28"/>
          <w:sz w:val="28"/>
          <w:szCs w:val="28"/>
          <w:rtl w:val="true"/>
          <w:lang w:bidi="ar-SA"/>
        </w:rPr>
        <w:t>ما دلّ على أنّ المناط في الكبيرة هو ما أوجب اللَّه عليه النار، فهي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الكبائر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المؤمن متعمداً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أوجب اللَّه عليه</w:t>
      </w:r>
    </w:p>
    <w:p>
      <w:pPr>
        <w:pStyle w:val="BookText"/>
        <w:rPr/>
      </w:pPr>
      <w:r>
        <w:rPr>
          <w:rFonts w:ascii="IRNazanin" w:hAnsi="IRNazanin" w:eastAsia="IRNazanin"/>
          <w:color w:val="111111"/>
          <w:sz w:val="28"/>
          <w:sz w:val="28"/>
          <w:szCs w:val="28"/>
          <w:rtl w:val="true"/>
          <w:lang w:bidi="fa-IR"/>
        </w:rPr>
        <w:t>النار</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والشاهد فيها هو الجملة الأخيرة فإنّها بيان كلّي للمصاديق المذكورة في الرواية وغيرها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في كتابه، عن أخيه موسى بن </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الكبائر الّتي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كبائر ما تنهون عنه</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أوجب اللَّه عليها النار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يؤت الحكمة فقد أوتي خيراً كثيراً</w:t>
      </w:r>
      <w:r>
        <w:rPr>
          <w:rFonts w:eastAsia="IRNazanin" w:cs="IRNazanin"/>
          <w:color w:val="111111"/>
          <w:sz w:val="28"/>
          <w:szCs w:val="28"/>
          <w:rtl w:val="true"/>
          <w:lang w:bidi="fa-IR"/>
        </w:rPr>
        <w:t xml:space="preserve">» </w:t>
      </w:r>
      <w:r>
        <w:rPr>
          <w:rStyle w:val="FootnoteAnchor"/>
          <w:rtl w:val="true"/>
        </w:rPr>
        <w:footnoteReference w:id="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الإمام، واجتناب الكبائر الّتي أوجب اللَّه عليها النار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الكبائر،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خمس، وهنّ ممّا أوجب اللَّه عليهنّ النار </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الروايات الواردة في بيان المناط في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الفرق بين المناطين 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الطائفة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أوعد اللَّه عليه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الوعيد، والمراد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الطائفة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الحتم واللزوم، فيكون الثاني أخصّ من الأوّل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من الطائفة الأولى، هو ما كان فيه الوعيد من اللَّه تعالى في كتابه العزيز لظاهر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الطائفة الثانية هو إيجاب العذاب وإن كان على لسان نبيه صلى الله عليه وآله أو وصيه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يصدق الإيجاب من اللَّه وإن كان على لسان النبي صلى الله عليه وآله، 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الظاهر عدم صحة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الإيجاب بمعنى الحتم ليس صحيحاً في نفسه، وذلك لأنّ الكبائر قد يشملها العفو، أو الشفاعة، أو ترتفع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الإيجاب حينئذ يساوق معنى الوعيد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وإن كان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أوعد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ذلك، أي أنّ الوعيد كان مباشرة منه تعالى، ولاسيما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ما يستشهد بعد ذكر الذنوب بالآيات، إلاّ أنّه قد ورد في بعض الروايات 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النبي صلى الله عليه وآله، كما في صحيحة عبد العظيم بن عبد 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عمرو بن عبيد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سلّم وجلس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يجتنبون كبائر الإثم والفواحش</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ثمّ أمسك،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أسكتك؟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أعرف الكبائر من كتاب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عدّها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الصلاة متعمداً أو شيئاً ممّا فرض اللَّه عزّوجلّ لأنّ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متعمداً فقد برى ء من ذمّة اللَّه وذمّة رسوله، ونقض العهد وقطيعة الرحم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اللّعنة ولهم سوء الدّار</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وله صراخ من بكائه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قال برأيه، ونازعكم في الفضل والعلم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172" w:name="pg8631_94998"/>
    </w:p>
    <w:p>
      <w:pPr>
        <w:pStyle w:val="BookText"/>
        <w:rPr/>
      </w:pPr>
      <w:bookmarkEnd w:id="172"/>
      <w:r>
        <w:rPr>
          <w:rFonts w:ascii="IRNazanin" w:hAnsi="IRNazanin" w:eastAsia="IRNazanin"/>
          <w:color w:val="111111"/>
          <w:sz w:val="28"/>
          <w:sz w:val="28"/>
          <w:szCs w:val="28"/>
          <w:rtl w:val="true"/>
          <w:lang w:bidi="fa-IR"/>
        </w:rPr>
        <w:t>والشاهد هو 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رسول اللَّه صلى الله عليه وآله وإن كان في سائر الموارد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يعلم أنّ ما أوعد اللَّه عليه النار أعم من كونه وارداً في الكتاب العزيز، أو على لسان النبي صلى الله عليه وآله أو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ووعدهم ووعيدهم وعد اللَّه ووعيده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فالظاهر أنّه لا فرق بين المناطين وكلاهما يرجع إلى معنى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فالمناط في الكبيرة كما هو المستفاد من الرواية، هو ما أوعد اللَّه عليه النار صريحاً، أو ضمناً، وإن كان على لسان النبي صلى الله عليه وآله أو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الموافق لما ذهب إليه المشهور</w:t>
      </w:r>
      <w:r>
        <w:rPr>
          <w:rFonts w:eastAsia="IRNazanin" w:cs="IRNazanin"/>
          <w:color w:val="111111"/>
          <w:sz w:val="28"/>
          <w:szCs w:val="28"/>
          <w:rtl w:val="true"/>
          <w:lang w:bidi="fa-IR"/>
        </w:rPr>
        <w:t>.</w:t>
      </w:r>
    </w:p>
    <w:p>
      <w:pPr>
        <w:pStyle w:val="Heading5"/>
        <w:numPr>
          <w:ilvl w:val="4"/>
          <w:numId w:val="1"/>
        </w:numPr>
        <w:rPr/>
      </w:pPr>
      <w:bookmarkStart w:id="173" w:name="__RefHeading___Toc2193005_653776707"/>
      <w:bookmarkStart w:id="174" w:name="_Toc61"/>
      <w:bookmarkEnd w:id="173"/>
      <w:r>
        <w:rPr>
          <w:rtl w:val="true"/>
        </w:rPr>
        <w:t xml:space="preserve">تعيين عدد الكبائر </w:t>
      </w:r>
      <w:r>
        <w:rPr>
          <w:rtl w:val="true"/>
        </w:rPr>
        <w:t>:</w:t>
      </w:r>
      <w:bookmarkEnd w:id="174"/>
    </w:p>
    <w:p>
      <w:pPr>
        <w:pStyle w:val="Heading6"/>
        <w:numPr>
          <w:ilvl w:val="5"/>
          <w:numId w:val="1"/>
        </w:numPr>
        <w:rPr/>
      </w:pPr>
      <w:bookmarkStart w:id="175" w:name="__RefHeading___Toc2193007_653776707"/>
      <w:bookmarkStart w:id="176" w:name="_Toc62"/>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 xml:space="preserve">ذهب العلّامة بحر العلوم رحمه الله </w:t>
      </w:r>
      <w:r>
        <w:rPr>
          <w:rStyle w:val="FootnoteAnchor"/>
          <w:rtl w:val="true"/>
        </w:rPr>
        <w:footnoteReference w:id="290"/>
      </w:r>
      <w:r>
        <w:rPr>
          <w:rFonts w:ascii="Amiri" w:hAnsi="Amiri" w:eastAsia="Amiri" w:cs="Amiri"/>
          <w:color w:val="111111"/>
          <w:sz w:val="28"/>
          <w:sz w:val="28"/>
          <w:szCs w:val="28"/>
          <w:rtl w:val="true"/>
          <w:lang w:bidi="ar-SA"/>
        </w:rPr>
        <w:t>إلى أنّها أربعة وثلاثون معصية وقد قسّمها إلى ثلاثة أقسام</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2193009_653776707"/>
      <w:bookmarkStart w:id="178" w:name="_Toc63"/>
      <w:bookmarkEnd w:id="177"/>
      <w:r>
        <w:rPr>
          <w:rtl w:val="true"/>
        </w:rPr>
        <w:t xml:space="preserve">القسم الأوّل </w:t>
      </w:r>
      <w:r>
        <w:rPr>
          <w:rtl w:val="true"/>
        </w:rPr>
        <w:t>:</w:t>
      </w:r>
      <w:bookmarkEnd w:id="178"/>
    </w:p>
    <w:p>
      <w:pPr>
        <w:pStyle w:val="BookText"/>
        <w:rPr/>
      </w:pPr>
      <w:r>
        <w:rPr>
          <w:rFonts w:ascii="Amiri" w:hAnsi="Amiri" w:eastAsia="Amiri" w:cs="Amiri"/>
          <w:color w:val="111111"/>
          <w:sz w:val="28"/>
          <w:sz w:val="28"/>
          <w:szCs w:val="28"/>
          <w:rtl w:val="true"/>
          <w:lang w:bidi="ar-SA"/>
        </w:rPr>
        <w:t>وهو ما صرّح فيه بخصوصه بالوعيد بالنار وهي أربعة عشر معصية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باللَّه العظيم،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كفروا أولياؤهم الطاغوت يخرجونهم من النور إلى الظلمات أولئك أصحاب النار هم فيها </w:t>
      </w:r>
    </w:p>
    <w:p>
      <w:pPr>
        <w:pStyle w:val="BookText"/>
        <w:rPr/>
      </w:pP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الإضلال عن سبيل اللَّه تعالى،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عطفه ليضلّ عن سبيل اللَّه له في الدنيا خزي ونذيقه يوم القيامة عذاب الحريق</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فتنوا المؤمنين والمؤمنات ثمّ لم يتوبوا فلهم عذاب جهنّم ولهم عذاب الحريق</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اللَّه تعالى والافتراء عليه، لقوله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القيامة ترى الّذين كذبوا على اللَّه وجوههم مسودّة أليس في جهنّم مثوىللمتكبّرين</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يفترون على اللَّه الكذب لا يفلحون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متاع في الدنيا ثمّ إلينا مرجعهم ثمّ نذيقهم العذاب الشديد بما كانوا يكفرون</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بالعذاب في الآية هو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الّتي حرّم اللَّه قتلها،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للظّالمين ناراً أحاط بهم سرادقها</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 إلى الظالمين،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في سقر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الزكاة،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التخلّف عن الجهاد،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المخلّفون بمقعدهم خلاف رسول اللَّه وكرهوا أن يجاهدوا بأموالهم وأنفسهم في سبيل اللَّه وقالوا لا تنفروا في الحرّ قل نار جهنّم أشدّ حرّاً لو كانوا يفقهون</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الزحف،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179" w:name="pg8631_95001"/>
    </w:p>
    <w:p>
      <w:pPr>
        <w:pStyle w:val="BookText"/>
        <w:rPr/>
      </w:pPr>
      <w:bookmarkEnd w:id="179"/>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الربا،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مال اليتيم ظلماً،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المسرفين هم أصحاب النار</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0" w:name="__RefHeading___Toc2193011_653776707"/>
      <w:bookmarkStart w:id="181" w:name="_Toc64"/>
      <w:bookmarkEnd w:id="180"/>
      <w:r>
        <w:rPr>
          <w:rtl w:val="true"/>
        </w:rPr>
        <w:t xml:space="preserve">القسم الثاني </w:t>
      </w:r>
      <w:r>
        <w:rPr>
          <w:rtl w:val="true"/>
        </w:rPr>
        <w:t>:</w:t>
      </w:r>
      <w:bookmarkEnd w:id="181"/>
    </w:p>
    <w:p>
      <w:pPr>
        <w:pStyle w:val="BookText"/>
        <w:rPr/>
      </w:pPr>
      <w:r>
        <w:rPr>
          <w:rFonts w:ascii="Amiri" w:hAnsi="Amiri" w:eastAsia="Amiri" w:cs="Amiri"/>
          <w:color w:val="111111"/>
          <w:sz w:val="28"/>
          <w:sz w:val="28"/>
          <w:szCs w:val="28"/>
          <w:rtl w:val="true"/>
          <w:lang w:bidi="ar-SA"/>
        </w:rPr>
        <w:t>وهو ما ورد فيه التصريح بالعذاب دون الوعيد بالنار، وهي أربعة عشر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ما أنزل اللَّه،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 اللَّه من الكتاب ويشترون به ثمناً قليلاً أولئك ما يأكلون في بطونهم إلاّ النار ولا يكلّمهم اللَّه يوم القيامة ولا يزكّيهم ولهم عذاب أليم</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ذكر اللَّه عزّوجلّ،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آتيناك من لدنّا ذكراً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أعرض عنه فإنّه يحمل يوم القيامة وزراً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خالدين فيه وساء لهم </w:t>
      </w:r>
    </w:p>
    <w:p>
      <w:pPr>
        <w:pStyle w:val="BookText"/>
        <w:rPr/>
      </w:pPr>
      <w:r>
        <w:rPr>
          <w:rFonts w:ascii="Amiri" w:hAnsi="Amiri" w:eastAsia="Amiri" w:cs="Amiri"/>
          <w:color w:val="111111"/>
          <w:sz w:val="28"/>
          <w:sz w:val="28"/>
          <w:szCs w:val="28"/>
          <w:rtl w:val="true"/>
          <w:lang w:bidi="ar-SA"/>
        </w:rPr>
        <w:t>يوم القيامة حِملاً</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الإلحاد في بيت اللَّه تعالى، لقوله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فيه بإلحاد بظلم نذقه من عذاب أليم</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ذكر اللَّه في المساجد،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منع مساجد اللَّه أن يذكر فيها اسمه وسعى في خرابها أولئك ما كان لهم أنيدخلوها إلاّ خائفين لهم في الدّنيا خزي ولهم في الآخرة عذاب عظيم</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رسول اللَّه صلى الله عليه وآله،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الاستهزاء بالمؤمنين،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يلمزون المطّوّعين من المؤمنين في الصّدقات والّذين لا يجدون إلاّ جهدهم فيسخرون منهم سخر اللَّه منهم ولهم عذاب أليم</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 والثامنة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العهد واليمين،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 وأيمانهم ثمناً قليلاً أولئك لا خلاق لهم في الآخرة ولا يكلّمهم اللَّه ولا ينظر إليهم يوم القيامة ولا يزكّيهم ولهم عذاب أليم</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ينقضون عهد اللَّه من بعد ميثاقه ويقطعون ما أمر اللَّه به أن يوصل ويفسدون في الأرض أولئك لهم </w:t>
      </w:r>
    </w:p>
    <w:p>
      <w:pPr>
        <w:pStyle w:val="BookText"/>
        <w:rPr/>
      </w:pPr>
      <w:r>
        <w:rPr>
          <w:rFonts w:ascii="Amiri" w:hAnsi="Amiri" w:eastAsia="Amiri" w:cs="Amiri"/>
          <w:color w:val="111111"/>
          <w:sz w:val="28"/>
          <w:sz w:val="28"/>
          <w:szCs w:val="28"/>
          <w:rtl w:val="true"/>
          <w:lang w:bidi="ar-SA"/>
        </w:rPr>
        <w:t>اللّعنة ولهم سوء الدّار</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بناءً على أن العقاب لكلّ واحد من المذكورين في الآية كما هو الظاهر لا للجامع لها،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وهذا بناء على أنّ اللعن موجب للعذاب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المحاربة وقطع السبيل،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 أولئك لهم عذاب مهين</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يزنون 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ويخلد فيه مهاناً</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الفحشاء،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w:t>
      </w:r>
    </w:p>
    <w:p>
      <w:pPr>
        <w:pStyle w:val="BookText"/>
        <w:rPr/>
      </w:pPr>
      <w:r>
        <w:rPr>
          <w:rFonts w:ascii="Amiri" w:hAnsi="Amiri" w:eastAsia="Amiri" w:cs="Amiri"/>
          <w:color w:val="111111"/>
          <w:sz w:val="28"/>
          <w:sz w:val="28"/>
          <w:szCs w:val="28"/>
          <w:rtl w:val="true"/>
          <w:lang w:bidi="ar-SA"/>
        </w:rPr>
        <w:t>تشيع الفاحشة في الّذين آمنوا لهم عذاب أليم</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المحصنات،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يرمون </w:t>
      </w:r>
      <w:bookmarkStart w:id="182" w:name="pg8631_95004"/>
    </w:p>
    <w:p>
      <w:pPr>
        <w:pStyle w:val="BookText"/>
        <w:rPr/>
      </w:pPr>
      <w:bookmarkEnd w:id="182"/>
      <w:r>
        <w:rPr>
          <w:rFonts w:ascii="Amiri" w:hAnsi="Amiri" w:eastAsia="Amiri" w:cs="Amiri"/>
          <w:color w:val="111111"/>
          <w:sz w:val="28"/>
          <w:sz w:val="28"/>
          <w:szCs w:val="28"/>
          <w:rtl w:val="true"/>
          <w:lang w:bidi="ar-SA"/>
        </w:rPr>
        <w:t>المحصنات الغافلات المؤمنات لعنوا في الدّنيا والآخرة ولهم عذاب عظيم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 w:name="__RefHeading___Toc2193013_653776707"/>
      <w:bookmarkStart w:id="184" w:name="_Toc65"/>
      <w:bookmarkEnd w:id="183"/>
      <w:r>
        <w:rPr>
          <w:rtl w:val="true"/>
        </w:rPr>
        <w:t xml:space="preserve">القسم الثالث </w:t>
      </w:r>
      <w:r>
        <w:rPr>
          <w:rtl w:val="true"/>
        </w:rPr>
        <w:t>:</w:t>
      </w:r>
      <w:bookmarkEnd w:id="184"/>
    </w:p>
    <w:p>
      <w:pPr>
        <w:pStyle w:val="Heading6"/>
        <w:numPr>
          <w:ilvl w:val="5"/>
          <w:numId w:val="1"/>
        </w:numPr>
        <w:rPr/>
      </w:pPr>
      <w:bookmarkStart w:id="185" w:name="__RefHeading___Toc2193015_653776707"/>
      <w:bookmarkStart w:id="186" w:name="_Toc66"/>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وهو ما استفيد الوعيد عليه من الآيات ضمناً لا صريحاً، وهي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بغير ما أنزل اللَّه تعالى، لقوله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روح اللَّه عزّوجلّ،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تيأسوا من روح اللَّه 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الحجّ،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وبرّاً بوالدتي ولم يجعلني</w:t>
      </w:r>
    </w:p>
    <w:p>
      <w:pPr>
        <w:pStyle w:val="BookText"/>
        <w:rPr/>
      </w:pPr>
      <w:r>
        <w:rPr>
          <w:rFonts w:ascii="Amiri" w:hAnsi="Amiri" w:eastAsia="Amiri" w:cs="Amiri"/>
          <w:color w:val="111111"/>
          <w:sz w:val="28"/>
          <w:sz w:val="28"/>
          <w:szCs w:val="28"/>
          <w:rtl w:val="true"/>
          <w:lang w:bidi="ar-SA"/>
        </w:rPr>
        <w:t>جبّاراً شقيّاً</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ويسقى من ماء صديد</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الّذين شقوا ففي النار لهم فيها زفير </w:t>
      </w:r>
    </w:p>
    <w:p>
      <w:pPr>
        <w:pStyle w:val="BookText"/>
        <w:rPr/>
      </w:pPr>
      <w:r>
        <w:rPr>
          <w:rFonts w:ascii="Amiri" w:hAnsi="Amiri" w:eastAsia="Amiri" w:cs="Amiri"/>
          <w:color w:val="111111"/>
          <w:sz w:val="28"/>
          <w:sz w:val="28"/>
          <w:szCs w:val="28"/>
          <w:rtl w:val="true"/>
          <w:lang w:bidi="ar-SA"/>
        </w:rPr>
        <w:t>وشهيق</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ما تتلوا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فتنة فلا تكفر فيتعلّمون منهما ما يفرّقون به بين المرء وزوجه وما هم بضارّين به من أحد إلاّ بإذن اللَّه ويتعلّمون ما يضرّهم ولا ينفعهم ولقد علموا لمن اشتراه ما له في الآخرة من خلاق ولبئس ما شروا به أنفسهم لو كانوا يعلمون</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ومجموع هذه المعاصي أربعة وثلاثون معصية، وهي مستنبطة من الكتاب العزيز، ويظهر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ورد في بعض الروايات من عدّ غيرها من المعاصي في جملة الكبائر بما يبلغها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حذف المكررات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أربعين معصية إلاّ أنّه لما كانت هذه الضابطة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أوعد اللَّه عليه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تنطبق عليها توقف في الحكم عليها بأنّها كبائر، والقدر المتيقن هو العدد المذكور، أي أربعة وثلاثون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أورد عليه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أمور، أهمّها أمران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بعدّة موارد، كشرب الخمر، وشهادة الزور، وترك الصوم، وأكل الميتة والدم ولحم الخنزير، وغيرها ممّا هو من الكبائر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قلنا إنّ الضابطة في معرفة الكبيرة هي ما أوعد اللَّه عليها النار، إلاّ أنّه لا وجه لإلغاء ما ورد في الأخبار، أو التوقف فيها، بل لابدّ من الأخذ بها وعدّها من الكبائر بمقتضى حجيتها، إذ لا منافاة بينها وبين الضابطة المذكورة، حيث إنّ قصارى ما هناك أنّا لم نعرف كيف أوعد اللَّه عليها النار، وأمّا أصل الوعيد فهو ثابت بهذه الأخبار، كما يظهر ذلك من رواية عبيد بن زرارة، حيث بين فيها كيفيّة أنّ ترك الصلاة داخل في الكفر ويكون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المستفاد من الأخبار أنّ عدد الكبائر أربعون معصية، كما اعترف بذلك السيّد بحر العلوم أيضاً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الكفر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ما أنزل اللَّه، وهي ممّا أضافه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اليأس من روح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الأمن من مكر اللَّه، وهي ممّا أضافه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على اللَّه وعلى رسوله وعلى الأوصياء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المحاربة لأولياء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النفس الّتي حرّم اللَّه قتلها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معاونة الظالمين، وعبر عنها السيّد، بالركون إلى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الفرار من الزحف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التعرّب بعد الهجرة، وهي ممّا أضافه صاحب الجواهر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الزور، وهي ممّا أضافه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كتمان الشهادة، وهي ممّا أضافه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اليمين الغموس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العهد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تبديل الوصية، وهي ممّا أضافه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مال اليتيم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الرّبا بعد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الميتة والدم ولحم الخنزير وما أهل به لغير اللَّه، وهي ممّا أضافه مع خمسة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السحت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الغلول، وعن رواية مطلق 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البخس في المكيال والميزان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حبس الحقوق من غير 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الإسراف والتبذير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الاشتغال بالملاهي، وهي ممّا أضافه مع موردين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اللواط، وهي ممّا أضافه صاحب الجواهر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قذف المحصنات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الاستخفاف بالحجّ، وعبّر عنها السيّد بترك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شي ء ممّا فرضه اللَّه، وهي ممّا أضافه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الإصرار على الذنوب، وهي ممّا أضافه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أنّه أضاف سبعة عشر معصية، وحذف ممّا ذكره السيّد خمسة عشر معصية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مقتضى التحفظ على ما ورد في الآيات والروايات أنّ مجموع الكبائر يصل إلى أربعة وستين معصية، وهي على ثلاثة أقسام</w:t>
      </w:r>
      <w:r>
        <w:rPr>
          <w:rFonts w:eastAsia="Amiri" w:cs="Amiri" w:ascii="Amiri" w:hAnsi="Amiri"/>
          <w:color w:val="111111"/>
          <w:sz w:val="28"/>
          <w:szCs w:val="28"/>
          <w:rtl w:val="true"/>
          <w:lang w:bidi="ar-SA"/>
        </w:rPr>
        <w:t xml:space="preserve">: </w:t>
      </w:r>
      <w:bookmarkStart w:id="187" w:name="pg8631_95009"/>
    </w:p>
    <w:p>
      <w:pPr>
        <w:pStyle w:val="Heading6"/>
        <w:numPr>
          <w:ilvl w:val="5"/>
          <w:numId w:val="1"/>
        </w:numPr>
        <w:rPr/>
      </w:pPr>
      <w:bookmarkStart w:id="188" w:name="__RefHeading___Toc2193017_653776707"/>
      <w:bookmarkStart w:id="189" w:name="_Toc67"/>
      <w:bookmarkEnd w:id="187"/>
      <w:bookmarkEnd w:id="188"/>
      <w:r>
        <w:rPr>
          <w:rtl w:val="true"/>
        </w:rPr>
        <w:t xml:space="preserve">القسم الأوّل </w:t>
      </w:r>
      <w:r>
        <w:rPr>
          <w:rtl w:val="true"/>
        </w:rPr>
        <w:t>:</w:t>
      </w:r>
      <w:bookmarkEnd w:id="189"/>
    </w:p>
    <w:p>
      <w:pPr>
        <w:pStyle w:val="BookText"/>
        <w:rPr/>
      </w:pPr>
      <w:r>
        <w:rPr>
          <w:rFonts w:ascii="Amiri" w:hAnsi="Amiri" w:eastAsia="Amiri" w:cs="Amiri"/>
          <w:color w:val="111111"/>
          <w:sz w:val="28"/>
          <w:sz w:val="28"/>
          <w:szCs w:val="28"/>
          <w:rtl w:val="true"/>
          <w:lang w:bidi="ar-SA"/>
        </w:rPr>
        <w:t xml:space="preserve">المعاصي الّتي عبّر عنها بأكبر الكبائر، في ثمان روايات وأكثرها صحاح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عبّرت عن المعاصي بأكبر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النفس وما يناسبه،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عبّرت عنها بأكبر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والباب،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عبّرت عنها بالكبائر السبع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والباب،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عبّرت عنها بالكبائر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والباب،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الكفر أو الشرك باللَّه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النفس الّتي حرّم اللَّه قتلها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مال 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قذف المحصنة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الفرار من الزحف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التعرّب بعد الهجرة</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2193019_653776707"/>
      <w:bookmarkStart w:id="191" w:name="_Toc68"/>
      <w:bookmarkEnd w:id="190"/>
      <w:r>
        <w:rPr>
          <w:rtl w:val="true"/>
        </w:rPr>
        <w:t xml:space="preserve">القسم الثاني </w:t>
      </w:r>
      <w:r>
        <w:rPr>
          <w:rtl w:val="true"/>
        </w:rPr>
        <w:t>:</w:t>
      </w:r>
      <w:bookmarkEnd w:id="19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المعاصي الّتي عدّت من الكبائر في الروايات الصحيحة كصحيحة عبد </w:t>
      </w:r>
    </w:p>
    <w:p>
      <w:pPr>
        <w:pStyle w:val="BookText"/>
        <w:rPr/>
      </w:pPr>
      <w:r>
        <w:rPr>
          <w:rFonts w:ascii="Amiri" w:hAnsi="Amiri" w:eastAsia="Amiri" w:cs="Amiri"/>
          <w:color w:val="111111"/>
          <w:sz w:val="28"/>
          <w:sz w:val="28"/>
          <w:szCs w:val="28"/>
          <w:rtl w:val="true"/>
          <w:lang w:bidi="ar-SA"/>
        </w:rPr>
        <w:t xml:space="preserve">العظيم الحسني </w:t>
      </w:r>
      <w:r>
        <w:rPr>
          <w:rStyle w:val="FootnoteAnchor"/>
          <w:rtl w:val="true"/>
        </w:rPr>
        <w:footnoteReference w:id="331"/>
      </w:r>
      <w:r>
        <w:rPr>
          <w:rFonts w:ascii="Amiri" w:hAnsi="Amiri" w:eastAsia="Amiri" w:cs="Amiri"/>
          <w:color w:val="111111"/>
          <w:sz w:val="28"/>
          <w:sz w:val="28"/>
          <w:szCs w:val="28"/>
          <w:rtl w:val="true"/>
          <w:lang w:bidi="ar-SA"/>
        </w:rPr>
        <w:t>وغيرها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اليأس من روح اللَّه، أو القنوط من رحمة اللَّه، بناء على أنّ معناهما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الأمن من مكر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اليمين الغموس الفاجرة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الغلول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الزكاة المفروضة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الزور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كتمان الشهادة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الصلاة متعمداً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شي ء ممّا افترضه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العهد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الكذب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ورسوله صلى الله عليه وآله، وعلى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موثقة أبي خديجة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 ما أنزل اللَّه، كما في الصحيح عن ابن أبي يعفور والمعلى بن </w:t>
      </w:r>
      <w:bookmarkStart w:id="192" w:name="pg8631_95011"/>
    </w:p>
    <w:p>
      <w:pPr>
        <w:pStyle w:val="BookText"/>
        <w:rPr/>
      </w:pPr>
      <w:bookmarkEnd w:id="192"/>
      <w:r>
        <w:rPr>
          <w:rFonts w:ascii="Amiri" w:hAnsi="Amiri" w:eastAsia="Amiri" w:cs="Amiri"/>
          <w:color w:val="111111"/>
          <w:sz w:val="28"/>
          <w:sz w:val="28"/>
          <w:szCs w:val="28"/>
          <w:rtl w:val="true"/>
          <w:lang w:bidi="ar-SA"/>
        </w:rPr>
        <w:t xml:space="preserve">خنيس، عن أبي الصامت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اقتطاع مال امرء مسلم بغير حقٍّ، كما في موثقة السكوني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الذنب الّذي استخف به صاحبه، كما في صحيحة أبي أسامة</w:t>
      </w:r>
    </w:p>
    <w:p>
      <w:pPr>
        <w:pStyle w:val="BookText"/>
        <w:rPr/>
      </w:pPr>
      <w:r>
        <w:rPr>
          <w:rFonts w:ascii="Amiri" w:hAnsi="Amiri" w:eastAsia="Amiri" w:cs="Amiri"/>
          <w:color w:val="111111"/>
          <w:sz w:val="28"/>
          <w:sz w:val="28"/>
          <w:szCs w:val="28"/>
          <w:rtl w:val="true"/>
          <w:lang w:bidi="ar-SA"/>
        </w:rPr>
        <w:t xml:space="preserve">وغيرها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أوجب اللَّه عليه النار، كما في صحيحة عبيد بن زرارة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2193021_653776707"/>
      <w:bookmarkStart w:id="194" w:name="_Toc69"/>
      <w:bookmarkEnd w:id="193"/>
      <w:r>
        <w:rPr>
          <w:rtl w:val="true"/>
        </w:rPr>
        <w:t xml:space="preserve">القسم الثالث </w:t>
      </w:r>
      <w:r>
        <w:rPr>
          <w:rtl w:val="true"/>
        </w:rPr>
        <w:t>:</w:t>
      </w:r>
      <w:bookmarkEnd w:id="194"/>
    </w:p>
    <w:p>
      <w:pPr>
        <w:pStyle w:val="BookText"/>
        <w:rPr/>
      </w:pPr>
      <w:r>
        <w:rPr>
          <w:rFonts w:ascii="Amiri" w:hAnsi="Amiri" w:eastAsia="Amiri" w:cs="Amiri"/>
          <w:color w:val="111111"/>
          <w:sz w:val="28"/>
          <w:sz w:val="28"/>
          <w:szCs w:val="28"/>
          <w:rtl w:val="true"/>
          <w:lang w:bidi="ar-SA"/>
        </w:rPr>
        <w:t xml:space="preserve">المعاصي الّتي عدّت من الكبائر في روايات بعضها معتبرة، كروايةالأعمش </w:t>
      </w:r>
      <w:r>
        <w:rPr>
          <w:rStyle w:val="FootnoteAnchor"/>
          <w:rtl w:val="true"/>
        </w:rPr>
        <w:footnoteReference w:id="337"/>
      </w:r>
      <w:r>
        <w:rPr>
          <w:rFonts w:ascii="Amiri" w:hAnsi="Amiri" w:eastAsia="Amiri" w:cs="Amiri"/>
          <w:color w:val="111111"/>
          <w:sz w:val="28"/>
          <w:sz w:val="28"/>
          <w:szCs w:val="28"/>
          <w:rtl w:val="true"/>
          <w:lang w:bidi="ar-SA"/>
        </w:rPr>
        <w:t xml:space="preserve">، وصحيحة الفضل بن شاذان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ذكرنا رواية الفضل بن شاذان في الروايات غير المعتبرة بناء على مسلك المشهور، ولكن بناءً على ما حقّقناه من أن بعض الطرق إلى الفضل بن شاذان معتبر فرواياتها هنا معتبرة</w:t>
      </w:r>
    </w:p>
    <w:p>
      <w:pPr>
        <w:pStyle w:val="BookText"/>
        <w:rPr/>
      </w:pPr>
      <w:r>
        <w:rPr>
          <w:rFonts w:ascii="Amiri" w:hAnsi="Amiri" w:eastAsia="Amiri" w:cs="Amiri"/>
          <w:color w:val="111111"/>
          <w:sz w:val="28"/>
          <w:sz w:val="28"/>
          <w:szCs w:val="28"/>
          <w:rtl w:val="true"/>
          <w:lang w:bidi="ar-SA"/>
        </w:rPr>
        <w:t>وغيرهما،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الميتة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الدم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لحم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ما أهل به لغير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السحت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البخس في المكيال والميزان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معاونة المظلومين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الركون إلى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حبس الحقوق من غير 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التكبر والتجبر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الإسراف والتبذير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الاستخفاف بالحجّ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المحاربة لأولياء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الملاهي الّتي تصد عن ذكر اللَّه، كالغناء، وضرب الأوتار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استحلال البيت الحرام، كما في كنز الفوائد، والعوالي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الحيف في الوصية، كما في مرسل الفقيه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إذا دعاه أبوه لعن أباه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إذا أجابه ابنه يضربه، كما في رواية زياد الكناسي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حق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في رواية عبد الرّحمن بن كثير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بإضافة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يستفاد من الآيات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الاضلال عن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التخلف عن الجهاد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الإعراض عن ذكر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الإلحاد في بيت اللَّه، ولعلّه متحد مع الاستحلال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عن مساجد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إيذاء الرسول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الاستهزاء بالمؤمنين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المحاربة وقطع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إشاعة الفحشاء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بغير ما أنزل اللَّه، ولعلّه متحد مع الكذب على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الإصرار على الصغائر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المجموع هو أربعة وستون معصية، نعم وقع الخلاف في المعصية الأخيرة وسيأتي البحث فيه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الآيات والروايات، هو ما ذكرناه إلاّ أنّه يمكن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إرجاع بعض المعاصي إلى بعض كما أنّها قابلة للزيادة بملاحظة الروايات الأخرى، كما في الغيبة مثلاً أو غيرها من المعاصي</w:t>
      </w:r>
      <w:r>
        <w:rPr>
          <w:rFonts w:eastAsia="Amiri" w:cs="Amiri" w:ascii="Amiri" w:hAnsi="Amiri"/>
          <w:color w:val="111111"/>
          <w:sz w:val="28"/>
          <w:szCs w:val="28"/>
          <w:rtl w:val="true"/>
          <w:lang w:bidi="ar-SA"/>
        </w:rPr>
        <w:t xml:space="preserve">. </w:t>
      </w:r>
      <w:bookmarkStart w:id="195" w:name="pg8631_95015"/>
    </w:p>
    <w:p>
      <w:pPr>
        <w:pStyle w:val="Heading4"/>
        <w:numPr>
          <w:ilvl w:val="3"/>
          <w:numId w:val="1"/>
        </w:numPr>
        <w:rPr/>
      </w:pPr>
      <w:bookmarkStart w:id="196" w:name="__RefHeading___Toc2193023_653776707"/>
      <w:bookmarkStart w:id="197" w:name="_Toc70"/>
      <w:bookmarkEnd w:id="195"/>
      <w:bookmarkEnd w:id="196"/>
      <w:r>
        <w:rPr>
          <w:rtl w:val="true"/>
        </w:rPr>
        <w:t>الأمر الثالث</w:t>
      </w:r>
      <w:r>
        <w:rPr>
          <w:rtl w:val="true"/>
        </w:rPr>
        <w:t xml:space="preserve">: </w:t>
      </w:r>
      <w:r>
        <w:rPr>
          <w:rtl w:val="true"/>
        </w:rPr>
        <w:t>في اعتبار الاجتناب عن الصغائر أو الإصرار عليها في العدالة وعدمه</w:t>
      </w:r>
      <w:bookmarkEnd w:id="197"/>
    </w:p>
    <w:p>
      <w:pPr>
        <w:pStyle w:val="Heading5"/>
        <w:numPr>
          <w:ilvl w:val="4"/>
          <w:numId w:val="1"/>
        </w:numPr>
        <w:rPr/>
      </w:pPr>
      <w:bookmarkStart w:id="198" w:name="__RefHeading___Toc2193025_653776707"/>
      <w:bookmarkStart w:id="199" w:name="_Toc71"/>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المشهور، بل ادعي عدم الخلاف، والاجماع، على أنّه لابدّ من الاجتناب عن الصغائر لتحصيل العدالة سواء قلنا بأنّ العدالة هي الاستقامة كما هو واضح، أو قلنا بأنّها ملكة وإنّ الاجتناب عن الصغائر متمم لتفسير العدالة، كما هو المشهور بناء على أنّ الإصرار على الصغائر من المعاصي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بأنّ الاجتناب ليس متمماً للتفسير، أو إنّ الإصرار ليس من الكبائر، فلا يعتبر الاجتناب عنها حينئذ لتحصيل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 ذلك في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الاصرار على الصغائر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مطلق ارتكاب الصغيرة يخل بالعدالة أو لا؟ </w:t>
      </w:r>
      <w:bookmarkStart w:id="200" w:name="pg8631_95016"/>
    </w:p>
    <w:p>
      <w:pPr>
        <w:pStyle w:val="Heading5"/>
        <w:numPr>
          <w:ilvl w:val="4"/>
          <w:numId w:val="1"/>
        </w:numPr>
        <w:rPr/>
      </w:pPr>
      <w:bookmarkStart w:id="201" w:name="__RefHeading___Toc2193027_653776707"/>
      <w:bookmarkStart w:id="202" w:name="_Toc72"/>
      <w:bookmarkEnd w:id="200"/>
      <w:bookmarkEnd w:id="201"/>
      <w:r>
        <w:rPr>
          <w:rtl w:val="true"/>
        </w:rPr>
        <w:t>الجهة الأولى</w:t>
      </w:r>
      <w:r>
        <w:rPr>
          <w:rtl w:val="true"/>
        </w:rPr>
        <w:t xml:space="preserve">: </w:t>
      </w:r>
      <w:r>
        <w:rPr>
          <w:rtl w:val="true"/>
        </w:rPr>
        <w:t>الحكم</w:t>
      </w:r>
      <w:r>
        <w:rPr>
          <w:rtl w:val="true"/>
        </w:rPr>
        <w:t>:</w:t>
      </w:r>
      <w:bookmarkEnd w:id="202"/>
    </w:p>
    <w:p>
      <w:pPr>
        <w:pStyle w:val="BookText"/>
        <w:rPr/>
      </w:pPr>
      <w:r>
        <w:rPr>
          <w:rFonts w:ascii="Amiri" w:hAnsi="Amiri" w:eastAsia="Amiri" w:cs="Amiri"/>
          <w:color w:val="111111"/>
          <w:sz w:val="28"/>
          <w:sz w:val="28"/>
          <w:szCs w:val="28"/>
          <w:rtl w:val="true"/>
          <w:lang w:bidi="ar-SA"/>
        </w:rPr>
        <w:t>فقد استدل على أنّ الإصرار على الصغائر من الكبائر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كما عن مفتاح الكرامة </w:t>
      </w:r>
      <w:r>
        <w:rPr>
          <w:rStyle w:val="FootnoteAnchor"/>
          <w:rtl w:val="true"/>
        </w:rPr>
        <w:footnoteReference w:id="343"/>
      </w:r>
      <w:r>
        <w:rPr>
          <w:rFonts w:ascii="Amiri" w:hAnsi="Amiri" w:eastAsia="Amiri" w:cs="Amiri"/>
          <w:color w:val="111111"/>
          <w:sz w:val="28"/>
          <w:sz w:val="28"/>
          <w:szCs w:val="28"/>
          <w:rtl w:val="true"/>
          <w:lang w:bidi="ar-SA"/>
        </w:rPr>
        <w:t xml:space="preserve">، والتحرير </w:t>
      </w:r>
      <w:r>
        <w:rPr>
          <w:rStyle w:val="FootnoteAnchor"/>
          <w:rtl w:val="true"/>
        </w:rPr>
        <w:footnoteReference w:id="344"/>
      </w:r>
      <w:r>
        <w:rPr>
          <w:rFonts w:ascii="Amiri" w:hAnsi="Amiri" w:eastAsia="Amiri" w:cs="Amiri"/>
          <w:color w:val="111111"/>
          <w:sz w:val="28"/>
          <w:sz w:val="28"/>
          <w:szCs w:val="28"/>
          <w:rtl w:val="true"/>
          <w:lang w:bidi="ar-SA"/>
        </w:rPr>
        <w:t xml:space="preserve">، وفي الذخيرة </w:t>
      </w:r>
      <w:r>
        <w:rPr>
          <w:rStyle w:val="FootnoteAnchor"/>
          <w:rtl w:val="true"/>
        </w:rPr>
        <w:footnoteReference w:id="345"/>
      </w:r>
      <w:r>
        <w:rPr>
          <w:rFonts w:ascii="Amiri" w:hAnsi="Amiri" w:eastAsia="Amiri" w:cs="Amiri"/>
          <w:color w:val="111111"/>
          <w:sz w:val="28"/>
          <w:sz w:val="28"/>
          <w:szCs w:val="28"/>
          <w:rtl w:val="true"/>
          <w:lang w:bidi="ar-SA"/>
        </w:rPr>
        <w:t>دعوى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الدالة على 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اجتنب الكبائر من المؤمنين لم يسأل عن الصغائر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كبائر ما تنهون عنه نكفّر عنكم سيّئاتكم وندخلكم مدخلاً كريماً</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فالشفاعة لمن تجب؟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شفاعتي لأهل الكبائر من أمّتي، فأمّا المحسنون فما عليهم من سبيل، قال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فكيف تكون الشفاعة لأهل الكبائر واللَّه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يشفعون إلاّ لمن ارتضى</w:t>
      </w:r>
      <w:r>
        <w:rPr>
          <w:rFonts w:eastAsia="IRNazanin" w:cs="IRNazanin"/>
          <w:color w:val="111111"/>
          <w:sz w:val="28"/>
          <w:szCs w:val="28"/>
          <w:rtl w:val="true"/>
          <w:lang w:bidi="fa-IR"/>
        </w:rPr>
        <w:t xml:space="preserve">» </w:t>
      </w:r>
      <w:r>
        <w:rPr>
          <w:rStyle w:val="FootnoteAnchor"/>
          <w:rtl w:val="true"/>
        </w:rPr>
        <w:footnoteReference w:id="347"/>
      </w:r>
      <w:r>
        <w:rPr>
          <w:rFonts w:ascii="Amiri" w:hAnsi="Amiri" w:eastAsia="Amiri" w:cs="Amiri"/>
          <w:color w:val="111111"/>
          <w:sz w:val="28"/>
          <w:sz w:val="28"/>
          <w:szCs w:val="28"/>
          <w:rtl w:val="true"/>
          <w:lang w:bidi="ar-SA"/>
        </w:rPr>
        <w:t>ومن يرتكب الكبائر لا يكون مرتضى؟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أحمد ما من مؤمن يذنب ذنباً إلاّ ساءه ذلك وندم عليه، وقد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بالندم توبة،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سرته حسنته وساءته سيئته فهو مؤمن، فمن لم يندم </w:t>
      </w:r>
    </w:p>
    <w:p>
      <w:pPr>
        <w:pStyle w:val="BookText"/>
        <w:rPr/>
      </w:pPr>
      <w:r>
        <w:rPr>
          <w:rFonts w:ascii="Amiri" w:hAnsi="Amiri" w:eastAsia="Amiri" w:cs="Amiri"/>
          <w:color w:val="111111"/>
          <w:sz w:val="28"/>
          <w:sz w:val="28"/>
          <w:szCs w:val="28"/>
          <w:rtl w:val="true"/>
          <w:lang w:bidi="ar-SA"/>
        </w:rPr>
        <w:t>على ذنب يرتكبه فليس بمؤمن، ولم تجب له</w:t>
      </w:r>
    </w:p>
    <w:p>
      <w:pPr>
        <w:pStyle w:val="BookText"/>
        <w:rPr/>
      </w:pP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كبير مع الاستغفار،ولا صغير مع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والشاهد في الجملة الأخيرة وهي صريحة الدلالة، كما أنّها معتبرة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صغيرة مع الإصرار، ولا كبيرة مع الاستغفار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حيث الدلالة واضحة، إلاّ أنّها من حيث السند غير تامة لوقوع عمّار بن مروان القندي في سندها، ولم يرد فيه توثيق،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كتب عبد اللَّه بن سنان معروفة ولا يحتاج إلى ملاحظة طريقها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الحسين بن زيد،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المناهي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تحقّروا شيئاً من الشر وإن صغر في أعينكم ، ولا تستكثروا شيئاً من الخير وإن كثر في أعينكم، فإنّه لا كبير مع الاستغفار ولا صغير مع الإصرار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الدلالة، إلاّ أنّ في سندها عدّة مجاهيل، وإن كانت مذكورة في الفقيه ولا يبعد اعتبارها بناء على اعتبار روايات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رواية الأعمش،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w:t>
      </w:r>
    </w:p>
    <w:p>
      <w:pPr>
        <w:pStyle w:val="BookText"/>
        <w:rPr/>
      </w:pPr>
      <w:r>
        <w:rPr>
          <w:rFonts w:ascii="Amiri" w:hAnsi="Amiri" w:eastAsia="Amiri" w:cs="Amiri"/>
          <w:color w:val="111111"/>
          <w:sz w:val="28"/>
          <w:sz w:val="28"/>
          <w:szCs w:val="28"/>
          <w:rtl w:val="true"/>
          <w:lang w:bidi="ar-SA"/>
        </w:rPr>
        <w:t xml:space="preserve">حديث شرايع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والإصرار على صغائر الذنوب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صريحة الدلالة، إلاّ أنّ سندها غير تام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رواية الصدوق بأسانيده، عن الفضل بن شاذان،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والإصرار على الذنوب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على المدعى باعتبار عمومها فهي شاملة للصغائر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سند هذه الرواية وإن عبر عنه الشيخ بالحسن كالصحيح إلاّ أنّ فيه وفي سائر روايات الصدوق عن الفضل بن شاذان بحثاً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للصدوق إلى روايات الفضل أربعة طرق، في اثنين منها علي بن محمّد بن قتيبة، وفي الآخر قنبر بن علي بن شاذان عن أبيه، وفي الأخير منها محمّد بن شاذان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 في هؤلاء توثيق إلاّ ما ورد في علي بن محمّد بن قتيبة بأنّه فاضل وكثرة رواية الكشي عنه ولا يعد ذلك توثيقاً، نعم في محمّد بن شاذان بن نعيم الواقع في الطريق الأخير قد يستفاد وثاقته ممّا ورد في التوقيع الشريف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محمّد بن شاذان بن نعيم فهو رجل من شيعتنا أهل البيت</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فإنّ فيه إشعاراً بأنّ محمّد بن شاذان بن نعيم ذو شأن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 فيه اشعاراً بمكانته الاجتماعية، الأمر الّذي دفع إسحاق بن يعقوب للسؤال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يقال إنّ ذلك إن لم يدل على الوثاقة فهو لا يقصر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اعتبار سند التوقيع كما حققناه في محله فالظاهر اعتبار رواية محمّد بن شاذان بن نعيم، ويترتب على ذلك هو اعتبار جميع روايات</w:t>
      </w:r>
    </w:p>
    <w:p>
      <w:pPr>
        <w:pStyle w:val="BookText"/>
        <w:rPr/>
      </w:pPr>
      <w:r>
        <w:rPr>
          <w:rFonts w:ascii="Amiri" w:hAnsi="Amiri" w:eastAsia="Amiri" w:cs="Amiri"/>
          <w:color w:val="111111"/>
          <w:sz w:val="28"/>
          <w:sz w:val="28"/>
          <w:szCs w:val="28"/>
          <w:rtl w:val="true"/>
          <w:lang w:bidi="ar-SA"/>
        </w:rPr>
        <w:t>الصدوق عن الفضل الواردة عن طريق محمّد بن شاذان بن نعيم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تحف العقول </w:t>
      </w:r>
      <w:r>
        <w:rPr>
          <w:rStyle w:val="FootnoteAnchor"/>
          <w:rtl w:val="true"/>
        </w:rPr>
        <w:footnoteReference w:id="354"/>
      </w:r>
      <w:r>
        <w:rPr>
          <w:rFonts w:ascii="IRNazanin" w:hAnsi="IRNazanin" w:eastAsia="IRNazanin"/>
          <w:color w:val="111111"/>
          <w:sz w:val="28"/>
          <w:sz w:val="28"/>
          <w:szCs w:val="28"/>
          <w:rtl w:val="true"/>
          <w:lang w:bidi="fa-IR"/>
        </w:rPr>
        <w:t xml:space="preserve">من أنّ الإصرار على الذنوب أمن </w:t>
      </w:r>
      <w:bookmarkStart w:id="203" w:name="pg8631_95019"/>
    </w:p>
    <w:p>
      <w:pPr>
        <w:pStyle w:val="BookText"/>
        <w:rPr/>
      </w:pPr>
      <w:bookmarkEnd w:id="203"/>
      <w:r>
        <w:rPr>
          <w:rFonts w:ascii="Amiri" w:hAnsi="Amiri" w:eastAsia="Amiri" w:cs="Amiri"/>
          <w:color w:val="111111"/>
          <w:sz w:val="28"/>
          <w:sz w:val="28"/>
          <w:szCs w:val="28"/>
          <w:rtl w:val="true"/>
          <w:lang w:bidi="ar-SA"/>
        </w:rPr>
        <w:t xml:space="preserve">لمكر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ما تقدّم من أنّ الأمن من مكر اللَّه من الكبائر فالإصرار على الذنوب وإن كانت صغيرة يكون من الكبائر</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2193029_653776707"/>
      <w:bookmarkStart w:id="205" w:name="_Toc73"/>
      <w:bookmarkEnd w:id="204"/>
      <w:r>
        <w:rPr>
          <w:rtl w:val="true"/>
        </w:rPr>
        <w:t>الجهة الثانية</w:t>
      </w:r>
      <w:r>
        <w:rPr>
          <w:rtl w:val="true"/>
        </w:rPr>
        <w:t xml:space="preserve">: </w:t>
      </w:r>
      <w:r>
        <w:rPr>
          <w:rtl w:val="true"/>
        </w:rPr>
        <w:t>موضوع الإصرار على الصغائر</w:t>
      </w:r>
      <w:r>
        <w:rPr>
          <w:rtl w:val="true"/>
        </w:rPr>
        <w:t>:</w:t>
      </w:r>
      <w:bookmarkEnd w:id="205"/>
    </w:p>
    <w:p>
      <w:pPr>
        <w:pStyle w:val="BookText"/>
        <w:rPr/>
      </w:pPr>
      <w:r>
        <w:rPr>
          <w:rFonts w:ascii="Amiri" w:hAnsi="Amiri" w:eastAsia="Amiri" w:cs="Amiri"/>
          <w:color w:val="111111"/>
          <w:sz w:val="28"/>
          <w:sz w:val="28"/>
          <w:szCs w:val="28"/>
          <w:rtl w:val="true"/>
          <w:lang w:bidi="ar-SA"/>
        </w:rPr>
        <w:t>الإصرار في اللغة يأتي بمعنى الإقامة على الشي ء والمدامة عليه والملازمة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أصْرَرْتُ على الشي ء، أي أقمتُ ودمتُ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 على الشي ء يُصِرُّ إصْراراً إذا لَزِمَه وَداومَه وثبَتَ عليه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 على فِعْلِهِ بالألفِ دَاوَمَهُ وَلازَمَهُ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عَزَمَ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يختلف هذا المعنى عنه في الشرع، فإذا ارتكب الإنسان صغيرة</w:t>
      </w:r>
    </w:p>
    <w:p>
      <w:pPr>
        <w:pStyle w:val="BookText"/>
        <w:rPr/>
      </w:pPr>
      <w:r>
        <w:rPr>
          <w:rFonts w:ascii="Amiri" w:hAnsi="Amiri" w:eastAsia="Amiri" w:cs="Amiri"/>
          <w:color w:val="111111"/>
          <w:sz w:val="28"/>
          <w:sz w:val="28"/>
          <w:szCs w:val="28"/>
          <w:rtl w:val="true"/>
          <w:lang w:bidi="ar-SA"/>
        </w:rPr>
        <w:t>وأصرّ عليها، بمعنى تكرر فعلها منه من دون أن يتوب فذلك هو الإصرار، وأمّا إذا تحققت التوبة منه ولم يعد إلى الذنب فلا يعد ذلك إصراراً، بل لا يعد مذنباً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أنّه لا إصرار مع الاستغفار، كما ورد أنّه لا كبيرة معه، وبالأولوية أنّه لا صغيرة مع الاستغفار، فلا إشكال من هذه الناحية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الإشكال في اعتبار العزم على الاتيان بالصغيرة في تحقق الإصرار أو </w:t>
      </w:r>
    </w:p>
    <w:p>
      <w:pPr>
        <w:pStyle w:val="BookText"/>
        <w:rPr/>
      </w:pP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ومجموع ما يمكن تصوره في ارتكاب الصغيرة مع العزم وبدونه ست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بالصغيرة ويعزم على العود إليها بمثل الذنب الّذي أتى به على نحو يتكرر الفعل مراراً، كالنظر إلى الأجنبية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بالصغيرة عازماً على العود إليها بجنس الذنب لا بمثل ما أتى به كشرب النجس مثلاً، أو تقبيل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بالصغيرة عازماً على العود إليها بمثل الذنب الّذي أتى به، أو بجنسه ولكنه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بالصغيرة ولا يعزم على العود ولكنه يأتي بمثل الذنب الّذي أتى به، أو بجنسه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بالصغيرة ولا يعزم على العود إليها ولا يفعل ولكنه لا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بالصغيرة ولا يعزم على العود إليها ولا</w:t>
      </w:r>
    </w:p>
    <w:p>
      <w:pPr>
        <w:pStyle w:val="BookText"/>
        <w:rPr/>
      </w:pPr>
      <w:r>
        <w:rPr>
          <w:rFonts w:ascii="Amiri" w:hAnsi="Amiri" w:eastAsia="Amiri" w:cs="Amiri"/>
          <w:color w:val="111111"/>
          <w:sz w:val="28"/>
          <w:sz w:val="28"/>
          <w:szCs w:val="28"/>
          <w:rtl w:val="true"/>
          <w:lang w:bidi="ar-SA"/>
        </w:rPr>
        <w:t>يفعلويتوب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الصورتان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صدق الإصرار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تحقق التكرار فحكمها حكم الصورتين الأوليين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الجواهر </w:t>
      </w:r>
      <w:r>
        <w:rPr>
          <w:rStyle w:val="FootnoteAnchor"/>
          <w:rtl w:val="true"/>
        </w:rPr>
        <w:footnoteReference w:id="359"/>
      </w:r>
      <w:r>
        <w:rPr>
          <w:rFonts w:ascii="Amiri" w:hAnsi="Amiri" w:eastAsia="Amiri" w:cs="Amiri"/>
          <w:color w:val="111111"/>
          <w:sz w:val="28"/>
          <w:sz w:val="28"/>
          <w:szCs w:val="28"/>
          <w:rtl w:val="true"/>
          <w:lang w:bidi="ar-SA"/>
        </w:rPr>
        <w:t xml:space="preserve">، والشيخ في رسالته </w:t>
      </w:r>
      <w:r>
        <w:rPr>
          <w:rStyle w:val="FootnoteAnchor"/>
          <w:rtl w:val="true"/>
        </w:rPr>
        <w:footnoteReference w:id="36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والشهيد </w:t>
      </w:r>
      <w:r>
        <w:rPr>
          <w:rStyle w:val="FootnoteAnchor"/>
          <w:rtl w:val="true"/>
        </w:rPr>
        <w:footnoteReference w:id="361"/>
      </w:r>
      <w:r>
        <w:rPr>
          <w:rFonts w:ascii="Amiri" w:hAnsi="Amiri" w:eastAsia="Amiri" w:cs="Amiri"/>
          <w:color w:val="111111"/>
          <w:sz w:val="28"/>
          <w:sz w:val="28"/>
          <w:szCs w:val="28"/>
          <w:rtl w:val="true"/>
          <w:lang w:bidi="ar-SA"/>
        </w:rPr>
        <w:t xml:space="preserve">والمقدّس الأردبيلي وقد نسبه إلى المشهور </w:t>
      </w:r>
      <w:r>
        <w:rPr>
          <w:rStyle w:val="FootnoteAnchor"/>
          <w:rtl w:val="true"/>
        </w:rPr>
        <w:footnoteReference w:id="362"/>
      </w:r>
      <w:r>
        <w:rPr>
          <w:rFonts w:ascii="Amiri" w:hAnsi="Amiri" w:eastAsia="Amiri" w:cs="Amiri"/>
          <w:color w:val="111111"/>
          <w:sz w:val="28"/>
          <w:sz w:val="28"/>
          <w:szCs w:val="28"/>
          <w:rtl w:val="true"/>
          <w:lang w:bidi="ar-SA"/>
        </w:rPr>
        <w:t>هو صدق الإصرار مع العزم وإن لم يأت بالذنب، فإنّ الشهيد قسم في قواعده الإصرار إلى قسمين فعلي وحكمي، وفسر الفعلي بأنّه الدوام على نوع واحد من الصغائر أو الإكثار من جنسها من دون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الحكمي بأنّه العزم على تلك الصغيرة بعد الفراغ منها، أمّا لو فعل الصغيرة ولم يخطر في باله بعدها توبة منها أو عزماً على فعلها فلا يصدق عليه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ذلك أنّ مجرد العزم كافٍ في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الحدائق </w:t>
      </w:r>
      <w:r>
        <w:rPr>
          <w:rStyle w:val="FootnoteAnchor"/>
          <w:rtl w:val="true"/>
        </w:rPr>
        <w:footnoteReference w:id="363"/>
      </w:r>
      <w:r>
        <w:rPr>
          <w:rFonts w:ascii="Amiri" w:hAnsi="Amiri" w:eastAsia="Amiri" w:cs="Amiri"/>
          <w:color w:val="111111"/>
          <w:sz w:val="28"/>
          <w:sz w:val="28"/>
          <w:szCs w:val="28"/>
          <w:rtl w:val="true"/>
          <w:lang w:bidi="ar-SA"/>
        </w:rPr>
        <w:t xml:space="preserve">والسيّد البروجردي </w:t>
      </w:r>
      <w:r>
        <w:rPr>
          <w:rStyle w:val="FootnoteAnchor"/>
          <w:rtl w:val="true"/>
        </w:rPr>
        <w:footnoteReference w:id="364"/>
      </w:r>
      <w:r>
        <w:rPr>
          <w:rFonts w:ascii="Amiri" w:hAnsi="Amiri" w:eastAsia="Amiri" w:cs="Amiri"/>
          <w:color w:val="111111"/>
          <w:sz w:val="28"/>
          <w:sz w:val="28"/>
          <w:szCs w:val="28"/>
          <w:rtl w:val="true"/>
          <w:lang w:bidi="ar-SA"/>
        </w:rPr>
        <w:t>أنّها داخلة في الإصرار ولكن الظاهر من</w:t>
      </w:r>
    </w:p>
    <w:p>
      <w:pPr>
        <w:pStyle w:val="BookText"/>
        <w:rPr/>
      </w:pPr>
      <w:r>
        <w:rPr>
          <w:rFonts w:ascii="IRNazanin" w:hAnsi="IRNazanin" w:eastAsia="IRNazanin"/>
          <w:color w:val="111111"/>
          <w:sz w:val="28"/>
          <w:sz w:val="28"/>
          <w:szCs w:val="28"/>
          <w:rtl w:val="true"/>
          <w:lang w:bidi="fa-IR"/>
        </w:rPr>
        <w:t xml:space="preserve">الجواهر </w:t>
      </w:r>
      <w:r>
        <w:rPr>
          <w:rStyle w:val="FootnoteAnchor"/>
          <w:rtl w:val="true"/>
        </w:rPr>
        <w:footnoteReference w:id="365"/>
      </w:r>
      <w:r>
        <w:rPr>
          <w:rFonts w:ascii="Amiri" w:hAnsi="Amiri" w:eastAsia="Amiri" w:cs="Amiri"/>
          <w:color w:val="111111"/>
          <w:sz w:val="28"/>
          <w:sz w:val="28"/>
          <w:szCs w:val="28"/>
          <w:rtl w:val="true"/>
          <w:lang w:bidi="ar-SA"/>
        </w:rPr>
        <w:t xml:space="preserve">والشيخ في رسالته </w:t>
      </w:r>
      <w:r>
        <w:rPr>
          <w:rStyle w:val="FootnoteAnchor"/>
          <w:rtl w:val="true"/>
        </w:rPr>
        <w:footnoteReference w:id="366"/>
      </w:r>
      <w:r>
        <w:rPr>
          <w:rFonts w:ascii="Amiri" w:hAnsi="Amiri" w:eastAsia="Amiri" w:cs="Amiri"/>
          <w:color w:val="111111"/>
          <w:sz w:val="28"/>
          <w:sz w:val="28"/>
          <w:szCs w:val="28"/>
          <w:rtl w:val="true"/>
          <w:lang w:bidi="ar-SA"/>
        </w:rPr>
        <w:t>اعتبار العزم على المعصية في صدق الإصرار فلا تكون هذه الصورة داخلة فيه إذ لا عزم على العود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خارجة عن محل الكلام لعدم صدق الإصرار عليها بلا إشكال، ومحل الكلام هما الصورتان الثالثة والخامسة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لها بأنّه يمكن استظهار صدق الإصرار عليها في العرف واللغة وذلك لما تقدّم من أنّ معنى الإصرار على الشي ء هو المداومة عليه وملازمته والإقامة عليه، وحيث إنّ المذنب لم يرجع عن ذنبه ولم يتب وكان عازماً على العود فآثار الذنب وتوابعه باقية فلا يبعد صدق الإصرار لأنّ ذلك </w:t>
      </w:r>
    </w:p>
    <w:p>
      <w:pPr>
        <w:pStyle w:val="BookText"/>
        <w:rPr/>
      </w:pPr>
      <w:r>
        <w:rPr>
          <w:rFonts w:ascii="Amiri" w:hAnsi="Amiri" w:eastAsia="Amiri" w:cs="Amiri"/>
          <w:color w:val="111111"/>
          <w:sz w:val="28"/>
          <w:sz w:val="28"/>
          <w:szCs w:val="28"/>
          <w:rtl w:val="true"/>
          <w:lang w:bidi="ar-SA"/>
        </w:rPr>
        <w:t>موجب للانحراف عن جادة الشرع ولو بهذا الذنب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الإصرار في مفهوم العرف يتحقق بما جي ء بالفعل كثيراً وتكرر صدوره أمّا إذا جي ء به مرة واحدة فلا يقال إنّه مصرّ على الفعل عرفاً فإنّ العرف لا شأن له بالعزم ولا يحاسب على القصد وإنّما يلاحظ الفعل الخارجي وتكرره في حكمه بالإصرار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المعنى اللغوي فإنّ الإصرار لغة كما تقدّم هو الإقامة على الشي ء والمداومة عليه والإصرار على العزم ليس إصراراً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ورد في الروايات من أنّ الإصرار إنّما هو علىالذنب وهو الفعل، والعزم ليس فعلاً ليكون مشمولاً لمعنى الإصرار اللّهم إلاّ أن يقال إنّ العزم سبب في تحقق الإصرار وهو الظاهر من كلام 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عدّ ذلك إصراراً حكمياً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معتبرة عمر بن يزيد، أنّه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إمام لا بأس به في جميع أموره عارف، غير أنّه يسمع أبويه الكلام الغليظ الّذي يغيظهما، أقرأ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تقرأ خلفه ما لم يكن عاقاً قاطعاً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يفصل بين العزم وعدمه، وحكم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الائتمام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فالعزم على العود لا مدخلية له في صدق الإصرار، فبمقتضى إطلاق الرواية يمكن القول بعدم صدق الإصرار حتى مع العزم على العود، اللّهم إلاّ أن يثبت عرفاً أو لغةً </w:t>
      </w:r>
    </w:p>
    <w:p>
      <w:pPr>
        <w:pStyle w:val="BookText"/>
        <w:rPr/>
      </w:pPr>
      <w:r>
        <w:rPr>
          <w:rFonts w:ascii="Amiri" w:hAnsi="Amiri" w:eastAsia="Amiri" w:cs="Amiri"/>
          <w:color w:val="111111"/>
          <w:sz w:val="28"/>
          <w:sz w:val="28"/>
          <w:szCs w:val="28"/>
          <w:rtl w:val="true"/>
          <w:lang w:bidi="ar-SA"/>
        </w:rPr>
        <w:t>صدقه عليه فيقدم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الشك في أنّ العزم يوجب الإصرار أو لا، فمقتضى الأصل هو التفصيل بين ما إذا كان الشك في أصل تحقق العدالة، وبين ارتفاعها، ففي الأوّل يجري استصحاب عدم العدالة، إذ لابدّ من إحراز الموضوع وهو يقتضي اليقين بعدم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يجري استصحاب العدالة، لعدم اليقين بأنّ العزم رافع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أنّ فيها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دخولها في الإصرار، فقد استدل له بما ورد في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يصرّوا على ما فعلوا وهم يعلمون</w:t>
      </w:r>
      <w:r>
        <w:rPr>
          <w:rFonts w:eastAsia="IRNazanin" w:cs="IRNazanin"/>
          <w:color w:val="111111"/>
          <w:sz w:val="28"/>
          <w:szCs w:val="28"/>
          <w:rtl w:val="true"/>
          <w:lang w:bidi="fa-IR"/>
        </w:rPr>
        <w:t xml:space="preserve">» </w:t>
      </w:r>
      <w:r>
        <w:rPr>
          <w:rStyle w:val="FootnoteAnchor"/>
          <w:rtl w:val="true"/>
        </w:rPr>
        <w:footnoteReference w:id="3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الإصرار أن يذنب الذنب فلا يستغفر اللَّه ولا يحدّث نفسه بالتوبة فذلك الإصرار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محمّد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اجتنب الكبائر من المؤمنين لم يسأل عن الصغائر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لم يندم عليها كان مصرّاً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فالمستفاد من هذه الجملة أنّ عدم الندم والإصرار متلازمان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ورد في روايات أخرى كثيرة من أنّ الاستغفار رافع للإصرار، وهي بمفهومها تدل على أنّ عدم الاستغفار إصرار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والمستفاد من هذه الروايات كلّها أنّ من ارتكب الصغيرة ولم يستغفر فهو مصر وإن كان بحسب اللغة والعرف لا يعد مصراً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الروايات قابلة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جابر فهي وإن كانت تامة الدلالة إلاّ أنّها من حيث السند ضعيفة بعمر بن شمر، ومحمّد بن سالم، فلا يمكن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معتبرة ابن أبي عمير، فهي وإن كانت تامة السند، إلاّ أن دلالتها غير تامة،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موردها كبائر الذنوب، وذلك لأنّه قد ورد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أباأحمد ما من أحد يرتكب كبيرة من المعاصي وهو يعلم أنّه سيعاقب عليها إلاّ ندم على ما ارتكب ومتى ندم كان تائباً مستحقاً للشفاعة، ومتى لم يندم عليها كان مصراً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فهي صريحة في مورد الندم على ارتكاب الكبيرة، ولذلك علله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والمصر لا يغفر له لأنّه غير مؤمن بعقوبة ما ارتكب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المعنى لا يجري في الصغيرة، للعلم بعدم العقوبة عليها وتكفيرها باجتناب الكبائر، وبناء على الفرق بين الصغائر والكبائر، فلا يتعدى في معنى الإصرار على الكبائر إلى معناه على الصغائر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الاصفهاني رحمه الله </w:t>
      </w:r>
      <w:r>
        <w:rPr>
          <w:rStyle w:val="FootnoteAnchor"/>
          <w:rtl w:val="true"/>
        </w:rPr>
        <w:footnoteReference w:id="372"/>
      </w:r>
      <w:r>
        <w:rPr>
          <w:rFonts w:ascii="Amiri" w:hAnsi="Amiri" w:eastAsia="Amiri" w:cs="Amiri"/>
          <w:color w:val="111111"/>
          <w:sz w:val="28"/>
          <w:sz w:val="28"/>
          <w:szCs w:val="28"/>
          <w:rtl w:val="true"/>
          <w:lang w:bidi="ar-SA"/>
        </w:rPr>
        <w:t>من أنّ للصغيرة إذا صدرت من الإنسان ثلاث حالات،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المرتكب لها مجتنباً عن الكبائر، وإمّا أن لا يكون مجتنباً عنها مع الابتلاء بها، وإمّا أنّه غير مبتلى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صدرت عن المجتنب عن الكبائر كان صدورها مقروناً بالمانع عن تأثيرها فى العقوبة فلا حاجة إلى التوبة في رفعها، ولا يتحقق الإصرار إلاّ بفعلها مرّة بعد أولى، وكرّة بعد أخرى، لا بعدم الندم حيث إنّ الذنب مكفر على الفرض فيكون كما إذا تخللت التوبة المانعة من تحقق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هذه الحالة هي محل الكلام لا الحالتين الأخريين، فصح لنا أن نقول إنّ الإصرار على 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يهمنا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الشي ء مرّة بعد أولى، وكرّة بعد أخرى، من دون تحققه بعدم الندم أو العزم على العود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غير أنّ هناك حالة رابعة لم يذكرها، وهي ما إذا كان الشخص غير متمكن من ارتكاب الكبيرة، فالاجتناب عنها ليس باختياره، ولكن هذه الحالة قليلة الوقوع والتحقق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يبقى فرق واضح بين مرتكب الكبيرة ومرتكب الصغيرة، إذ مع التوبة فيهما فلا إخلال بالعدالة، ومع عدم التوبة فكلاهما مخلان بها، مع أنّ المشهور هو القول بالفرق بين الصغيرة والكبيرة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تكون الصغيرة لاتنفك عن الإصرار دائماً لأنّ وجوب التوبة فوري في أوّل الأزمنة بعد الارتكاب، فإذا أخلّ بها فقد أخلّ بواجب آخر فيتحقق الإصرار فلا تكون حينئذ صغيرة ليكون الاجتناب عن الكبائر مكفراً لها إلاّ في موارد نادرة جداً كالنسيان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ارتكاب الكبيرة مخل </w:t>
      </w:r>
    </w:p>
    <w:p>
      <w:pPr>
        <w:pStyle w:val="BookText"/>
        <w:rPr/>
      </w:pPr>
      <w:r>
        <w:rPr>
          <w:rFonts w:ascii="Amiri" w:hAnsi="Amiri" w:eastAsia="Amiri" w:cs="Amiri"/>
          <w:color w:val="111111"/>
          <w:sz w:val="28"/>
          <w:sz w:val="28"/>
          <w:szCs w:val="28"/>
          <w:rtl w:val="true"/>
          <w:lang w:bidi="ar-SA"/>
        </w:rPr>
        <w:t>بالعدالة مطلقاً، سواء التفت إليها أو لا، بخلاف الصغيرة فإنّها مكفرة مع النسيان دون حالة الالتفات إليها فيحصل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لأنّه حمل على الفرد النادر فإنّ الظاهر من الآية والروايات الدالة على أنّ الاجتناب مكفر عن الصغائر مطلقاً التفت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الثاني فقد أجاب بعض السادة ممن عاصر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وجوب التوبة عن المعاصي مطلقاً، بل هو مختصّ بالكبائر، وأمّا الصغائر فهي مكفَّرة باجتناب الكبائر وبالأعمال الصالحة، فلا تجب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الشيخ في رسالته لم يرتض هذا الجواب وناقش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وجوب التوبة عامة ولا تختص بالكبائر، وأدلة تكفير الأعمال الصالحة لو صلحت دالّة على عدم وجوب التوبة ولم يفرق بين الصغائر والكبائر لعموم كثير من أدلّة التكفير بل صراحة بعضها في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التوبة عنها لا ينافي تكفيرها بالأعمال الصالحة أو باجتناب الكبائر، لأنّ زمان التوبة أسبق من الأعمال الصالحة أو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الجواب دعوى كون وجوب التوبة وجوباً عقلياً محضاً بمعنى كونه للارشاد وإن أمر به الشارع في الكتاب والسنة لكن أوامرها ارشادية لرفع مفسدة المعصية، ولا يترتب على تركها عقاب آخر غير العقاب الّذي كان على المعصية السابقة فلا يتحقق مع عدمها الاصرار كما زعم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ذكرناه من أنّ عدم التوبة لا يوجب الاصرار هو الظاهر من المحقّق في الشرائع، فإنّه قد ذكر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ارتكاب الصغيرة لا يقدح في العدالة، </w:t>
      </w:r>
      <w:bookmarkStart w:id="206" w:name="pg8631_95027"/>
    </w:p>
    <w:p>
      <w:pPr>
        <w:pStyle w:val="BookText"/>
        <w:rPr/>
      </w:pPr>
      <w:bookmarkEnd w:id="206"/>
      <w:r>
        <w:rPr>
          <w:rFonts w:ascii="Amiri" w:hAnsi="Amiri" w:eastAsia="Amiri" w:cs="Amiri"/>
          <w:color w:val="111111"/>
          <w:sz w:val="28"/>
          <w:sz w:val="28"/>
          <w:szCs w:val="28"/>
          <w:rtl w:val="true"/>
          <w:lang w:bidi="ar-SA"/>
        </w:rPr>
        <w:t>والآخر أنّه يقدح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أشبه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كلامه أنّ الارتكاب غير قادح سواء تاب عنها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يظهر من الشهيدرحمه الله كما تقدّم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فعلالصغيرة ولم يخطر بباله بعدها توبة ولا عزم على فعلها فالظاهر أنّه غير مصر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رجحان هذا القول وإن كان القول الآخر هو الأحوط، وأحوط منه ما تقدّم في الصورة الثالثة من أنّ مجرد العزم كاف في صدق الاصرار</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2193031_653776707"/>
      <w:bookmarkStart w:id="208" w:name="_Toc74"/>
      <w:bookmarkEnd w:id="207"/>
      <w:r>
        <w:rPr>
          <w:rtl w:val="true"/>
        </w:rPr>
        <w:t>الجهة الثالثة</w:t>
      </w:r>
      <w:r>
        <w:rPr>
          <w:rtl w:val="true"/>
        </w:rPr>
        <w:t xml:space="preserve">: </w:t>
      </w:r>
      <w:r>
        <w:rPr>
          <w:rtl w:val="true"/>
        </w:rPr>
        <w:t>ارتكاب الصغيرة قادح في العدالة أو لا؟</w:t>
      </w:r>
      <w:bookmarkEnd w:id="208"/>
    </w:p>
    <w:p>
      <w:pPr>
        <w:pStyle w:val="Heading6"/>
        <w:numPr>
          <w:ilvl w:val="5"/>
          <w:numId w:val="1"/>
        </w:numPr>
        <w:rPr/>
      </w:pPr>
      <w:bookmarkStart w:id="209" w:name="__RefHeading___Toc2193033_653776707"/>
      <w:bookmarkStart w:id="210" w:name="_Toc75"/>
      <w:bookmarkEnd w:id="209"/>
      <w:r>
        <w:rPr>
          <w:rtl w:val="true"/>
        </w:rPr>
        <w:t>اشارة</w:t>
      </w:r>
      <w:bookmarkEnd w:id="21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إلى المشهور، والمعروف بين الفقهاء عدم القدح </w:t>
      </w:r>
      <w:r>
        <w:rPr>
          <w:rStyle w:val="FootnoteAnchor"/>
          <w:rtl w:val="true"/>
        </w:rPr>
        <w:footnoteReference w:id="377"/>
      </w:r>
      <w:r>
        <w:rPr>
          <w:rFonts w:ascii="Amiri" w:hAnsi="Amiri" w:eastAsia="Amiri" w:cs="Amiri"/>
          <w:color w:val="111111"/>
          <w:sz w:val="28"/>
          <w:sz w:val="28"/>
          <w:szCs w:val="28"/>
          <w:rtl w:val="true"/>
          <w:lang w:bidi="ar-SA"/>
        </w:rPr>
        <w:t xml:space="preserve">، كما تقدّم عن الشرائع </w:t>
      </w:r>
      <w:r>
        <w:rPr>
          <w:rStyle w:val="FootnoteAnchor"/>
          <w:rtl w:val="true"/>
        </w:rPr>
        <w:footnoteReference w:id="378"/>
      </w:r>
      <w:r>
        <w:rPr>
          <w:rFonts w:ascii="IRNazanin" w:hAnsi="IRNazanin" w:eastAsia="IRNazanin"/>
          <w:color w:val="111111"/>
          <w:sz w:val="28"/>
          <w:sz w:val="28"/>
          <w:szCs w:val="28"/>
          <w:rtl w:val="true"/>
          <w:lang w:bidi="fa-IR"/>
        </w:rPr>
        <w:t xml:space="preserve">، والقواعد </w:t>
      </w:r>
      <w:r>
        <w:rPr>
          <w:rStyle w:val="FootnoteAnchor"/>
          <w:rtl w:val="true"/>
        </w:rPr>
        <w:footnoteReference w:id="379"/>
      </w:r>
      <w:r>
        <w:rPr>
          <w:rFonts w:ascii="Amiri" w:hAnsi="Amiri" w:eastAsia="Amiri" w:cs="Amiri"/>
          <w:color w:val="111111"/>
          <w:sz w:val="28"/>
          <w:sz w:val="28"/>
          <w:szCs w:val="28"/>
          <w:rtl w:val="true"/>
          <w:lang w:bidi="ar-SA"/>
        </w:rPr>
        <w:t xml:space="preserve">، والشهيد </w:t>
      </w:r>
      <w:r>
        <w:rPr>
          <w:rStyle w:val="FootnoteAnchor"/>
          <w:rtl w:val="true"/>
        </w:rPr>
        <w:footnoteReference w:id="380"/>
      </w:r>
      <w:r>
        <w:rPr>
          <w:rFonts w:ascii="Amiri" w:hAnsi="Amiri" w:eastAsia="Amiri" w:cs="Amiri"/>
          <w:color w:val="111111"/>
          <w:sz w:val="28"/>
          <w:sz w:val="28"/>
          <w:szCs w:val="28"/>
          <w:rtl w:val="true"/>
          <w:lang w:bidi="ar-SA"/>
        </w:rPr>
        <w:t xml:space="preserve">، وهو الظاهر عن جماعة منهم صاحب الجواهر </w:t>
      </w:r>
      <w:r>
        <w:rPr>
          <w:rStyle w:val="FootnoteAnchor"/>
          <w:rtl w:val="true"/>
        </w:rPr>
        <w:footnoteReference w:id="381"/>
      </w:r>
      <w:r>
        <w:rPr>
          <w:rFonts w:ascii="Amiri" w:hAnsi="Amiri" w:eastAsia="Amiri" w:cs="Amiri"/>
          <w:color w:val="111111"/>
          <w:sz w:val="28"/>
          <w:sz w:val="28"/>
          <w:szCs w:val="28"/>
          <w:rtl w:val="true"/>
          <w:lang w:bidi="ar-SA"/>
        </w:rPr>
        <w:t xml:space="preserve">والشيخ في رسالته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آخرون منهم صاحب الحدائق </w:t>
      </w:r>
      <w:r>
        <w:rPr>
          <w:rStyle w:val="FootnoteAnchor"/>
          <w:rtl w:val="true"/>
        </w:rPr>
        <w:footnoteReference w:id="383"/>
      </w:r>
      <w:r>
        <w:rPr>
          <w:rFonts w:ascii="Amiri" w:hAnsi="Amiri" w:eastAsia="Amiri" w:cs="Amiri"/>
          <w:color w:val="111111"/>
          <w:sz w:val="28"/>
          <w:sz w:val="28"/>
          <w:szCs w:val="28"/>
          <w:rtl w:val="true"/>
          <w:lang w:bidi="ar-SA"/>
        </w:rPr>
        <w:t xml:space="preserve">والسيّد البروجردي </w:t>
      </w:r>
      <w:r>
        <w:rPr>
          <w:rStyle w:val="FootnoteAnchor"/>
          <w:rtl w:val="true"/>
        </w:rPr>
        <w:footnoteReference w:id="384"/>
      </w:r>
      <w:r>
        <w:rPr>
          <w:rFonts w:ascii="Amiri" w:hAnsi="Amiri" w:eastAsia="Amiri" w:cs="Amiri"/>
          <w:color w:val="111111"/>
          <w:sz w:val="28"/>
          <w:sz w:val="28"/>
          <w:szCs w:val="28"/>
          <w:rtl w:val="true"/>
          <w:lang w:bidi="ar-SA"/>
        </w:rPr>
        <w:t xml:space="preserve">والسيّد الأستاذ قدس سرهم </w:t>
      </w:r>
      <w:r>
        <w:rPr>
          <w:rStyle w:val="FootnoteAnchor"/>
          <w:rtl w:val="true"/>
        </w:rPr>
        <w:footnoteReference w:id="385"/>
      </w:r>
      <w:r>
        <w:rPr>
          <w:rFonts w:ascii="Amiri" w:hAnsi="Amiri" w:eastAsia="Amiri" w:cs="Amiri"/>
          <w:color w:val="111111"/>
          <w:sz w:val="28"/>
          <w:sz w:val="28"/>
          <w:szCs w:val="28"/>
          <w:rtl w:val="true"/>
          <w:lang w:bidi="ar-SA"/>
        </w:rPr>
        <w:t xml:space="preserve">إلى أنّ ارتكاب مطلق </w:t>
      </w:r>
    </w:p>
    <w:p>
      <w:pPr>
        <w:pStyle w:val="BookText"/>
        <w:rPr/>
      </w:pPr>
      <w:r>
        <w:rPr>
          <w:rFonts w:ascii="Amiri" w:hAnsi="Amiri" w:eastAsia="Amiri" w:cs="Amiri"/>
          <w:color w:val="111111"/>
          <w:sz w:val="28"/>
          <w:sz w:val="28"/>
          <w:szCs w:val="28"/>
          <w:rtl w:val="true"/>
          <w:lang w:bidi="ar-SA"/>
        </w:rPr>
        <w:t>المعصية قادح في 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الأوّل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كان ارتكاب الصغيرة دائماً مقروناً بالاجتناب عن الكبائر المانع من الأثر والعقوبة فهو أولى من التوبة، فكما أنّ التوبة رافعة للمعصية وعقابها إذ التائب عن ذنبه كمن لا ذنب له ولا تضر المعصية وإن كانت كبيرة مع التوبة، فكيف مع الاجتناب عن الكبائر الّذي هو رافع للمعصية ومانع عن العقوبة، فإنّه يوجب العفو ابتداء من دون حاجة إلى التوبة، فلا يكون ارتكاب الصغيرة قادحاً في العدالة ولا يجتمع مع الفسق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صحيحة عبد اللَّه بن أبي يعفور حيث ورد فيها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 باجتناب الكبائر الّتي أوعد اللَّه عليها النار</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 لو كان الاجتناب عن الصغائر معتبراً في العدالة لم يكن للحصر في اجتناب الكبائر وجه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تفصيله في الصغائر بين ما يكون عن عمد والتفات إلى حرمتها وكونها معصية من دون أن يكون هناك عذر من الأعذار العرفية من خجل أو حياء أو نحوهما فهذا يوجب الفسق، لأنّه انحراف عن جادة الشرع والاستقامة، وبين ما يكون ارتكابها مستنداً إلى عدم الالتفات إلى </w:t>
      </w:r>
    </w:p>
    <w:p>
      <w:pPr>
        <w:pStyle w:val="BookText"/>
        <w:rPr/>
      </w:pPr>
      <w:r>
        <w:rPr>
          <w:rFonts w:ascii="Amiri" w:hAnsi="Amiri" w:eastAsia="Amiri" w:cs="Amiri"/>
          <w:color w:val="111111"/>
          <w:sz w:val="28"/>
          <w:sz w:val="28"/>
          <w:szCs w:val="28"/>
          <w:rtl w:val="true"/>
          <w:lang w:bidi="ar-SA"/>
        </w:rPr>
        <w:t>حرمتها، أو التفت إليها إلاّ أنّهم يكتفون في ارتكابها بأعذار عرفية مسامحة كترك الأمر بالمعروف والخروج عن مجلس الغيبة حياء أو لاستدعاء صديق ونحوها مع كونهم كارهين لها في أنفسهم، فالظاهر أنّ مثل هذا لا يكون منافياً لاتصافه بالعدالة عرفاً، لأنّه مع ذلك يصدق عليه أنّه من أهل الستر والعفاف والخير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الكبائر فإنّها غير قابلة للمسامحة ولا يقبل فيها الاعتذار بالأعذارالعرفية من خجل واستدعاء صديق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يعتبر في العدالة أن يكون الشخص مجتنباً عن كلّ ما هو كبيرة شرعاً، أو في أنظار أهل العرف، وكذا الصغائر الّتي يؤتى بها مع الالتفات إلى حرمتها من غير استناد إلى شي ء من الأعذار العرفية، دون الصغائر الّتي يؤتى بها مع عدم الالتفات أو معه ولكن مع الأعذار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هذه الوجوه، فإنّه بعد أن قرر أنّ نفس العدالة بمفهومها تدل على أنّ ارتكاب المعصية وإن كانت صغيرة قادحة في العدالة، وأنّ المعصية على إطلاقها انحراف عن الجادة وتعدّ طغياناً وخروجاً عن زيّ العبودية ومانع عن كون مرتكبها خيّراً أو مأموناً أو عفيفاً أو غير ذلك من العناوين المتقدّمة بلا فرق في ذلك بين الصغائر والكبائر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بالإضافة إلى ستر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ارتكاب الصغائر ينافي ستر العيوب ولا يتصف مرتكبها بأنّه ساتر لعيوبه فإنّ المعصية من العيوب وكيف لا تكون معصية اللَّه سبحانه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خروج عن وظيفة العبودية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يتطلع دار جاره وينظر إلى من يحرم عليه النظر إليه سلب ذلك عنه العفة والمأمونية والخير والصلاح، فلا يقال إنّه عفيف أو مأمون أو خيّر، مع أنّه من الصغائر الّتي لم يتوعد عليها بالنار في الكتاب</w:t>
      </w:r>
      <w:r>
        <w:rPr>
          <w:rFonts w:eastAsia="Amiri" w:cs="Amiri" w:ascii="Amiri" w:hAnsi="Amiri"/>
          <w:color w:val="111111"/>
          <w:sz w:val="28"/>
          <w:szCs w:val="28"/>
          <w:rtl w:val="true"/>
          <w:lang w:bidi="ar-SA"/>
        </w:rPr>
        <w:t xml:space="preserve">. </w:t>
      </w:r>
      <w:bookmarkStart w:id="211" w:name="pg8631_95030"/>
    </w:p>
    <w:p>
      <w:pPr>
        <w:pStyle w:val="BookText"/>
        <w:rPr/>
      </w:pPr>
      <w:bookmarkEnd w:id="211"/>
      <w:r>
        <w:rPr>
          <w:rFonts w:ascii="Amiri" w:hAnsi="Amiri" w:eastAsia="Amiri" w:cs="Amiri"/>
          <w:color w:val="111111"/>
          <w:sz w:val="28"/>
          <w:sz w:val="28"/>
          <w:szCs w:val="28"/>
          <w:rtl w:val="true"/>
          <w:lang w:bidi="ar-SA"/>
        </w:rPr>
        <w:t>إذاً نفس العدالة بمفهومها يقتضي عدم الفرق بين الكبائر والصغائر</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2193035_653776707"/>
      <w:bookmarkStart w:id="213" w:name="_Toc76"/>
      <w:bookmarkEnd w:id="212"/>
      <w:r>
        <w:rPr>
          <w:rtl w:val="true"/>
        </w:rPr>
        <w:t>الإشكال على الوجه الأوّل</w:t>
      </w:r>
      <w:r>
        <w:rPr>
          <w:rtl w:val="true"/>
        </w:rPr>
        <w:t>:</w:t>
      </w:r>
      <w:bookmarkEnd w:id="213"/>
    </w:p>
    <w:p>
      <w:pPr>
        <w:pStyle w:val="BookText"/>
        <w:rPr/>
      </w:pPr>
      <w:r>
        <w:rPr>
          <w:rFonts w:ascii="Amiri" w:hAnsi="Amiri" w:eastAsia="Amiri" w:cs="Amiri"/>
          <w:color w:val="111111"/>
          <w:sz w:val="28"/>
          <w:sz w:val="28"/>
          <w:szCs w:val="28"/>
          <w:rtl w:val="true"/>
          <w:lang w:bidi="ar-SA"/>
        </w:rPr>
        <w:t xml:space="preserve">وقد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الوجه الأوّل بأنّ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التلازم بين العفو عن المعصية وعدم الفسق، فإنّ الفسق هو الخروج عن وظيفة العبودية والانحراف عن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 عنه أمر آخر غير مانع عن كونه فسقاً وانحرافاً، فإنّ للَّه سبحانه أن يعفو عن أعظم المعاصي تفضلاً، أو لشفاعة نبي أو وصي أو مؤمن، أو لصدقة تصدّق بها، أو إحسان صنعه، أو لغير ذلك من أسباب العفو والغفران، إلاّ أنّ العفو عن أيّ معصية لا يمنع عن حصول الفسق بارتكابها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بملاحظة الموالي العرفية وعبيدهم، أفلا يعدون مخالفة العبد وعصيانه لسيّده عصياناً وتمرداً إذا كان السيّد ممّن لا يعاقب عبده بوجه؟</w:t>
      </w:r>
    </w:p>
    <w:p>
      <w:pPr>
        <w:pStyle w:val="BookText"/>
        <w:rPr/>
      </w:pPr>
      <w:r>
        <w:rPr>
          <w:rFonts w:ascii="Amiri" w:hAnsi="Amiri" w:eastAsia="Amiri" w:cs="Amiri"/>
          <w:color w:val="111111"/>
          <w:sz w:val="28"/>
          <w:sz w:val="28"/>
          <w:szCs w:val="28"/>
          <w:rtl w:val="true"/>
          <w:lang w:bidi="ar-SA"/>
        </w:rPr>
        <w:t xml:space="preserve">فإنّ العفو شي ء والفسق والانحراف بارتكاب الصغيرة شي ء آخر، فلا تلازم بين العفو وعدم الفسق أبداً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تأييد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التكفير لا يختص بالاجتناب عن الكبائر، بل يتحقق بالأعمال الصالحة فإنّ الحسنات يذهبن السيئات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مكفرة للسيئات سواء كانت صغائر أو كبائر، مع أنّ ارتكاب الكبيرة قادح في العدالة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العفو مانع عن الفسق، إلاّ أنّه لا سبيل لنا إلى </w:t>
      </w:r>
    </w:p>
    <w:p>
      <w:pPr>
        <w:pStyle w:val="BookText"/>
        <w:rPr/>
      </w:pPr>
      <w:r>
        <w:rPr>
          <w:rFonts w:ascii="Amiri" w:hAnsi="Amiri" w:eastAsia="Amiri" w:cs="Amiri"/>
          <w:color w:val="111111"/>
          <w:sz w:val="28"/>
          <w:sz w:val="28"/>
          <w:szCs w:val="28"/>
          <w:rtl w:val="true"/>
          <w:lang w:bidi="ar-SA"/>
        </w:rPr>
        <w:t>إحراز ذلك في من يرتكب الصغائر، فإنّ العفو عنها قد علق في الكتاب العزيز على اجتناب الكبائر ومن أين لنا إحراز أنّ مرتكب الصغيرة لا يرتكب الكبائر طيلة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المراد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هو الاجتناب عنها آناً ما، لأنّه أمر حاصل لكلّ شخص حتى لأفسق الفسقة بل المراد به الاجتناب عنها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سبيل لنا إلى إحرازه، ومن المحتمل أن يرتكب فاعل الصغيرة الكبيرة أيضاً بعد ذلك، ومعه لا عفو عن الصغيرة، إذن يكون الصغائر كالكبائر مانعة عن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ارتكابه الكبائر طيلة حياته هو المحقّق لشرط العفو عن الصغائر وهو المثبت لعدالته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عدم الارتكاب إنّما يفيد في إحراز عدم ارتكابه المحرّمات وأمّا الواجبات إذا شككنا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يخمّس أو لا يخمّس أو يصلّي أو يحجّ أو غير ذلك من الواجبات، فاستصحاب العدم ينتج العكس لاقتضائه عدم الاتيان بالواجبات إذاً لا سبيل لنا إلى إحراز أنّ الرجل لا يرتكب الكبائر، ومع عدم إحرازه لا يمكن التمسك بالعموم لأنّه من الشبهات المصداقية حينئذ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الإجابة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قرره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ارتكاب مطلق المعصية انحراف عن جادة الشرع تام لو أخذمفهوم العدالة بالدقة العقلية فإنّ ارتكاب أقلّ المعاصي خروج عن وظيفة العبودية وانحراف عن جادة الشرع، وأمّا إذا أخذت العدالة بمفهومها العرفي فربما لا يرى </w:t>
      </w:r>
    </w:p>
    <w:p>
      <w:pPr>
        <w:pStyle w:val="BookText"/>
        <w:rPr/>
      </w:pPr>
      <w:r>
        <w:rPr>
          <w:rFonts w:ascii="Amiri" w:hAnsi="Amiri" w:eastAsia="Amiri" w:cs="Amiri"/>
          <w:color w:val="111111"/>
          <w:sz w:val="28"/>
          <w:sz w:val="28"/>
          <w:szCs w:val="28"/>
          <w:rtl w:val="true"/>
          <w:lang w:bidi="ar-SA"/>
        </w:rPr>
        <w:t xml:space="preserve">العرف أنّ الخطأ أو الذنب الصغير انحراف ومخالفة للاستقامة على جادة الشرع، بل يراه مع ذلك بدون الإصرار باقياً على الجادة وطريق الشرع فلا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يرد على هذا، بأنّ الفهم وإن كان ثابتاً إذ العرف قد لا يرى أنّ بعض الأمور مخلّة بالعدالة والاستقامة، إلاّ أنّ هذا يرجع إلى الفهم في التطبيق والمصداق 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المفسرة بالاستقامة والاعتدال في جادة الشرع إنّما هي بمعنى كون العبد في طريق الوصول إلى الجنّة وتحصيل رضوان اللَّه سبحانه وتعالى وهذا المعنى هو الغاية والمقصود من الطريق والكون على الجادة الشرعية دون الفسق الّذي هو انحراف عن الطريق ولا يوصل سالكه إلى الغاية وهي رضا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الّتي توجب الانحراف عن الجادة وبالتالي عدم الوصول إلى الغاية هي الكبائر إذا لم تعقب بالتوبة، وأمّا الصغائر المعبر عنها في الآية الشريفة باللّمم الّتي تمحى بلطف اللَّه تعالى وتفضله أو باجتناب الكبائر أو بسائر الأعمال فلا توجب الانحراف وعدم الوصول، ولذلك لايعد فعلها فسقاً وخروجاً عن جادة الشرع وانحرافاً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كان النظر إلى الطريق بنفسه من دون ملاحظة الغاية والمنتهى فالانحراف صادق بالدقة العقلية وإن كان النظر إليه مع ملاحظة الغاية فلا يصدق الانحراف على ارتكاب الصغيرة لأنّ العبد يصل إلى الغاية واقعاً ومن المعلوم أنّ النظر إلى الطريق باللحاظ الثاني دون الأوّل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يتبين أنّ نفس مفهوم العدالة لا يقتضي أنّ ارتكاب الصغيرة قادح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ذيل رواية ابن أبي يعفور تدل على أنّ مرتكب الصغيرة غير ساتر لعيوبه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 الظاهر من الستر هنا بمعنى عدم الاظهار والإعلان، أي التجاهر بارتكاب المعاصي بخلاف معنى الستر في صدر الرواية فإنّه بمعنى الحياء كما تقدّم بيانه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الاتحاد في معنى الستر فمن المحتمل أن يكون المراد بالعيوب في ذيل الرواية هي العيوب المذكورة في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الاحتمال فلا يمكن الاستدلال بها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ناقش به أوّلاً، فالجواب عنه بما ذكره المحقّق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أنّ الضائر بالعدالة المعصية بما لها من البعد الحاصل بها عن المولى، وإلاّ فلو كان بلحاظ نفس صدورها فالشي ء لا ينقلب عمّا وقع عليه، فلا يعود الارتكاب اجتناباً ولا ينفعه الندم ولا يجديه العزم على العدم، فكيف تعود العدالة بالتوبة مع أنّ الملكة على حالها قبل المعصية وبعدها، والكبيرة وقعت والعدالة ارتفعت، فلا الملكة زالت لتعود ولا العدم ينقلب هنا إلى الوجود، بخلاف ما إذا كان زوال العدالة بالمعصية بلحاظ البعد الحاصل بها عن المولى، فإنّ التوبة عن الكبيرة توجب القرب بعد البعد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المقام فإنّ اجتناب الكبائر يمنع عن تحقق البعد الّذييقتضيه فعل الصغائر، فكما أنّ التوبة توجب عدم الخروج عن العدالة فكذلك اجتناب </w:t>
      </w:r>
    </w:p>
    <w:p>
      <w:pPr>
        <w:pStyle w:val="BookText"/>
        <w:rPr/>
      </w:pPr>
      <w:r>
        <w:rPr>
          <w:rFonts w:ascii="Amiri" w:hAnsi="Amiri" w:eastAsia="Amiri" w:cs="Amiri"/>
          <w:color w:val="111111"/>
          <w:sz w:val="28"/>
          <w:sz w:val="28"/>
          <w:szCs w:val="28"/>
          <w:rtl w:val="true"/>
          <w:lang w:bidi="ar-SA"/>
        </w:rPr>
        <w:t>الكبائر فإنّه يوجب ذلك بلا فرق بينهما، فكلّ عفو من اللَّه سبحانه وتعالى إذا تحقق وعلم به فهو موجب لبقاء العدالة وعدم زوالها فيكون بين العفو والتكفير وبين عدم الفسق ملازمة قهرية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ما في المثال العرفي وما ذكرناه من المؤيد من تكفير الحسنات للسيئات وإن كانت من الكبائر، لأنّه إذا علم وأحرز التكفير بالحسنات وأنّ الخطيئة قد محيت فلا يبقى فسق ولا يكون العبد بعيداً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تشخيص ذلك وإحراز أيّ الذنوب عفي عنه وأيّ الحسنات أذهبت السيئات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جملة من الروايات أنّ صلاة الليل تذهب ما يجترحه العبد من السيئات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أجاب به ثانياً من عدم إمكان إحراز الاجتناب عن الكبائر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في الكتاب العزيز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وإن لم يعيّن فيها ظرف الاجتناب وهل هو طيلة الحياة أو آناً ما، ولم نظفر بشي ء من ذلك في الروايات كما ورد في التوبة من أنّه إذا قارف العبد المعصية أجّل إلى سبع ساعات فإن تاب لم تسجل عليه، ولكن لايبعد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بالاجتناب في مدة بحيث يصدق معها عرفاً أنّه مجتنب عن الكبائر كما في سائر الموارد الّتي يرجع في مفاهيمها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الاجتناب وهو كف النفس أمر وجودي لا عدمي حتى لا يصدق إلاّ بالترك دائماً فإذا صدق عليه أنّه مجتنب عن الكبائر حكم بعدالته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ذلك ما ورد في صدر الرواية من جعل الاجتناب عن الكبائر </w:t>
      </w:r>
      <w:bookmarkStart w:id="214" w:name="pg8631_95035"/>
    </w:p>
    <w:p>
      <w:pPr>
        <w:pStyle w:val="BookText"/>
        <w:rPr/>
      </w:pPr>
      <w:bookmarkEnd w:id="214"/>
      <w:r>
        <w:rPr>
          <w:rFonts w:ascii="Amiri" w:hAnsi="Amiri" w:eastAsia="Amiri" w:cs="Amiri"/>
          <w:color w:val="111111"/>
          <w:sz w:val="28"/>
          <w:sz w:val="28"/>
          <w:szCs w:val="28"/>
          <w:rtl w:val="true"/>
          <w:lang w:bidi="ar-SA"/>
        </w:rPr>
        <w:t>معرّفاً للعدالة بلا فرق بين كون التعريف حقيقياً أو أصولياً كما تقدّم الكلام حول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المعتبر هو الاجتناب طيلة الحياة لما صحّ جعله معرّفاً للعدالة، وهل هو إلاّ إحالة على أمر صعب وغير مجد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الاعتبار بالاجتناب هو بالصدق العرفي، وإحراذ ذلك ليس مشكلاً فضلاً عن كونه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فيمكن إحرازه بضم الوجدان الفعلي إلى ظاهر حال المسلم إذ مع إحراز اجتنابه فعلاً وأنّ ظاهر حاله الاستمرار على ذلك وعدم ارتكابه الكبيرة فيما بعد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للاجتناب مع عدم المانع فعلاً محرز فإذا شكّ فيما بعد في وجود المانع يستصحب عدمه وبذلك يحرز أنّه مجتنب عن الكبائر</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2193037_653776707"/>
      <w:bookmarkStart w:id="216" w:name="_Toc77"/>
      <w:bookmarkEnd w:id="215"/>
      <w:r>
        <w:rPr>
          <w:rtl w:val="true"/>
        </w:rPr>
        <w:t>الإشكال على الوجه الثاني</w:t>
      </w:r>
      <w:r>
        <w:rPr>
          <w:rtl w:val="true"/>
        </w:rPr>
        <w:t>:</w:t>
      </w:r>
      <w:bookmarkEnd w:id="21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بالرواية إنّما يتم فيما لو حملنا فيها المعرّف على المعرّف المنطقي وقلنا إنّ حقيقة العدالة وماهيتها هو اجتناب الكبائر، فإنّ الاجتناب عن الصغائر أيضاً لو كان مقوّماً للعدالة لميكن للحصر باجتناب الكبائر وجه، إلاّ أنّا ذكرنا أنّ المعرّف أُصولي لغوي فالاجتناب عن الكبائر والمعروفية بالفقه والستر وغير ذلك ممّا ورد في الرواية دوال وكواشف عن العدالة، وعليه فلا مانع من أن يكون الاجتناب عن الكبائر معرّفاً وكاشفاً عن العدالة ويكون الاجتناب عن الصغائر أيضاً معتبراً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المعرّف إنّما يعتبر عند الشك والتردد، وإلاّ فمع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الرجل يشرب الخمر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كافر باللَّه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غشّ المسلمين بإظهاره الإسلام عندهم، لا معنى لجعل حسن الظاهر والمعروفية بما ورد في الرواية معرّفاً وكاشفاً عن العدالة، فعلى ذلك إذا علمنا أنّه يرتكب الصغائر جزمنا بفسقه وانحرافه عن جادة الشرع ولم يترتب أثر على المعرّف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نعلم بارتكابه لها وشككنا في عدالته وفسقه، كانت المعروفية بالستر والعفاف واجتنابه الكبائر معرّفين وكاشفين عن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الرواية قد ورد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والدلالة على ذلك كلّه أن يكون ساتراً لجميع عيوبه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ذلك أنّ الستر لجميع العيوب معتبر في استكشاف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النظر إلى الأجنبية ولاسيما في مجامع الناس من العيوب، وكيف لا فإنّه معصية للَّه وإن لم يتوعد عليه بالنار في الكتاب، فإذا لم يكن ساتراً لعيبه لم تشمله الرواية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 الرواية بنفسها تدلنا على أنّ الاجتناب عن الصغائر معتبر في العدالة</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قسماً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وقسماً آخر غير تام، وذلك أنّ ما ذكره أوّلاً من أنّ المعرّف إذا كان حقيقياً فالدلالة تامة دون ما إذا كانأصولياً متين، فإنّ من المعلوم أنّه إذا كان التعريف لحقيقة العدالة وأنّها عبارة عن اجتناب الكبائر فالمستفاد من ذلك عدم دخالة غيره في حقيقتها لا محالة وليس للاجتناب عن الصغائر دخل في العدالة، وأمّا إذا كان المعرّف أصولياً بمعنى كونه علامة وكاشفاً عن العدالة فلا يدل ذلك على حقيقة العدالة فمن المحتمل أن يكون اجتناب الصغائر أو شي ء آخر معتبراً في العدالة ويكون الاجتناب عن الكبائر كاشفاً ودالاً </w:t>
      </w:r>
    </w:p>
    <w:p>
      <w:pPr>
        <w:pStyle w:val="BookText"/>
        <w:rPr/>
      </w:pPr>
      <w:r>
        <w:rPr>
          <w:rFonts w:ascii="Amiri" w:hAnsi="Amiri" w:eastAsia="Amiri" w:cs="Amiri"/>
          <w:color w:val="111111"/>
          <w:sz w:val="28"/>
          <w:sz w:val="28"/>
          <w:szCs w:val="28"/>
          <w:rtl w:val="true"/>
          <w:lang w:bidi="ar-SA"/>
        </w:rPr>
        <w:t>على العدالة كما أنّه يحتمل عدم دخل شي ء آخر فيها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هنا سؤال وهو أنّه إذا كان الاجتناب عن مطلق الذنوب شرطاً في العدالة فما هو الوجه في جعل الاجتناب عن خصوص الكبائر دالاً وأمارة ولم يجعل الاجتناب عن الصغائر أو الاجتناب عن مطلق المعصية كذلك مع أنّ الثاني أسهل تشخيصاً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الاجتناب عن الكبائر ملازم للاجتناب المطلق حيث إنّ المعاصي الكبيرة مقرونة بالدواعي النفسانية والقوى الحيوانية دون الصغائر فمن كانت درجة إيمانه بحد توجب تركه جميع الكبائر فلا محالة أنّه يترك الصغائر الّتي يكفي في تركها أوّل درجة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غير تام فإنّ ملاحظة الخوف من العقوبة ربما توجب عكس ذلك فإنّ من خاف من عقوبة قليلة حاصلة من ارتكاب الصغيرة فهو يخاف من العقوبة الشديدة المترتبة على المعصية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يحسن أن يجعل الاجتناب عن الصغائر دالاً على</w:t>
      </w:r>
    </w:p>
    <w:p>
      <w:pPr>
        <w:pStyle w:val="BookText"/>
        <w:rPr/>
      </w:pPr>
      <w:r>
        <w:rPr>
          <w:rFonts w:ascii="Amiri" w:hAnsi="Amiri" w:eastAsia="Amiri" w:cs="Amiri"/>
          <w:color w:val="111111"/>
          <w:sz w:val="28"/>
          <w:sz w:val="28"/>
          <w:szCs w:val="28"/>
          <w:rtl w:val="true"/>
          <w:lang w:bidi="ar-SA"/>
        </w:rPr>
        <w:t>الاجتناب عن الكبائر وهذا ممّا يقوي ويؤيد أنّ جعل اجتناب الكبيرة دالاً وكاشفاً عن العدالة مشعراً بأنّ الاجتناب عن الصغيرة ليس له دخل في العدالة وإلاّ فالأولى أن يجعله دالاً ومعرفاً، ولكنّه مع ذلك لا يمكن الركون إلى ذلك ولعلّ هناكحكمة في جعل اجتناب الكبيرة دالاً على العدالة دون اجتناب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ذكرنا فلا يمكن الاستدلال بهذه الجملة من الطرفين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حول ذيل الرواية حيث جعل ارتكاب الصغيرة عيباً مخلاً بالعدالة ولابدّ أن يكون ساتراً لجميع عيوبه، فقد تقدّم الجواب عنه وسيأتي ما </w:t>
      </w:r>
      <w:bookmarkStart w:id="217" w:name="pg8631_95038"/>
    </w:p>
    <w:p>
      <w:pPr>
        <w:pStyle w:val="BookText"/>
        <w:rPr/>
      </w:pPr>
      <w:bookmarkEnd w:id="217"/>
      <w:r>
        <w:rPr>
          <w:rFonts w:ascii="Amiri" w:hAnsi="Amiri" w:eastAsia="Amiri" w:cs="Amiri"/>
          <w:color w:val="111111"/>
          <w:sz w:val="28"/>
          <w:sz w:val="28"/>
          <w:szCs w:val="28"/>
          <w:rtl w:val="true"/>
          <w:lang w:bidi="ar-SA"/>
        </w:rPr>
        <w:t>يناسب المقام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2193039_653776707"/>
      <w:bookmarkStart w:id="219" w:name="_Toc78"/>
      <w:bookmarkEnd w:id="218"/>
      <w:r>
        <w:rPr>
          <w:rtl w:val="true"/>
        </w:rPr>
        <w:t>الإشكال على الوجه الثالث</w:t>
      </w:r>
      <w:r>
        <w:rPr>
          <w:rtl w:val="true"/>
        </w:rPr>
        <w:t>:</w:t>
      </w:r>
      <w:bookmarkEnd w:id="219"/>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الثالث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الأنظار العرفية إنّما تتبع في مفاهيم الألفاظ سعة وضيقاً كلفظ الماء والتراب والذهب وأمثال ذلك، ولذلك نرتب آثار الذهب على ما هو ذهب وغيره وكذلك الماء لأنّ مفهوم الماء والذهب عند إطلاقهما عندهم أعم من الخالص والخليط بغيرهما بمقدار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تطبيق المفاهيم العرفية على مصاديقها ومواردها فلم يقم فيه أيّ دليل على اعتبار النظر العرفي وفهمه، ولذلك لا يعتنى بتسامحاتهم في المفاهيم المحددة كثمانية فراسخ في السفر الموضوع لوجوب القصر في الصلاة، وسبعة وعشرين شبراً في الكر ونحوهما، حيث يعتبر في القصر</w:t>
      </w:r>
    </w:p>
    <w:p>
      <w:pPr>
        <w:pStyle w:val="BookText"/>
        <w:rPr/>
      </w:pPr>
      <w:r>
        <w:rPr>
          <w:rFonts w:ascii="Amiri" w:hAnsi="Amiri" w:eastAsia="Amiri" w:cs="Amiri"/>
          <w:color w:val="111111"/>
          <w:sz w:val="28"/>
          <w:sz w:val="28"/>
          <w:szCs w:val="28"/>
          <w:rtl w:val="true"/>
          <w:lang w:bidi="ar-SA"/>
        </w:rPr>
        <w:t>أن لا تكون المسافة أقلّ من ثمانية فراسخ ولو بمقدار يسير لا يضر في إطلاق الثمانية لدى العرف، وكذا يعتبر في الكر أن لا يكون أقلّ من سبعة وعشرين شبراً ولو بإصبع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حيث إنّ مفهوم العدالة أمر غير خفي فلا مناص من أنينطبق ذلك على مصاديقه انطباقاً حقيقياً عقلياً ولا يكفي فيه التطبيق المسامحي العرفي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كان ارتكاب الصغيرة عن غفلة فلا كلام في أنّ ارتكابها غير مضر للعدالة، وأمّا إذا كان عن عذر عرفي فإن بلغ ذلك مرتبة يراه الشارع أيضاً عذراً في الارتكاب كما إذا بلغ مرتبة العسر والحرج فأيضاً لا يضر بالعدالة ولا يوجب الفسق بلا فرق في ذلك بين الصغيرة والكبيرة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يبلغ العذر العرفي مرتبة يراه الشارع معذّراً فلا مناص من الحكم </w:t>
      </w:r>
    </w:p>
    <w:p>
      <w:pPr>
        <w:pStyle w:val="BookText"/>
        <w:rPr/>
      </w:pPr>
      <w:r>
        <w:rPr>
          <w:rFonts w:ascii="Amiri" w:hAnsi="Amiri" w:eastAsia="Amiri" w:cs="Amiri"/>
          <w:color w:val="111111"/>
          <w:sz w:val="28"/>
          <w:sz w:val="28"/>
          <w:szCs w:val="28"/>
          <w:rtl w:val="true"/>
          <w:lang w:bidi="ar-SA"/>
        </w:rPr>
        <w:t xml:space="preserve">بحرمة ارتكابه وعصيانه واستلزامه الفسق والانحراف وعدّ العرف ذلك معذّراً وتسامحهم في عدّ ارتكابه معصية لا يترتب عليها أثر شرعي أبداً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أصل التفصيل متين، وأمّا بالنسبة إلى أصل الدعوى وأنّ ارتكاب الصغيرة موجب للفسق أو لا، فقد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يستدل على قادحية ارتكاب الصغيرة في العدالة مضافاً إلى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علقمة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تره بعينك يرتكب ذنباً </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العلاء بن سيّابة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شهادةمن يلعب بالحمام؟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إذا كان لا يُعرف بفسق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اللَّه بن أحمد بن عامر الطائي، عن أبيه، عن الرّضا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الناس فلم يظلمهم ، وحدّثهم فلم يكذبهم، ووعدهم فلم يخلفهم، فهو ممّن كملت مروءته وظهرت عدالته، ووجبت اخوّته وحرمت غيبته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ورد في قبول شهادة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عبد الكريم بن أبي يعفور،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شهادة المرأة والنسوة إذا كنّ مستورات من أهل البيوتات، معروفات بالستر والعفاف، مطيعات للأزواج، تاركات </w:t>
      </w:r>
    </w:p>
    <w:p>
      <w:pPr>
        <w:pStyle w:val="BookText"/>
        <w:rPr/>
      </w:pPr>
      <w:r>
        <w:rPr>
          <w:rFonts w:ascii="Amiri" w:hAnsi="Amiri" w:eastAsia="Amiri" w:cs="Amiri"/>
          <w:color w:val="111111"/>
          <w:sz w:val="28"/>
          <w:sz w:val="28"/>
          <w:szCs w:val="28"/>
          <w:rtl w:val="true"/>
          <w:lang w:bidi="ar-SA"/>
        </w:rPr>
        <w:t xml:space="preserve">للبذاء والتبرّج إلى الرجال في أنديتهم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فإنّه يقال بأنّ المستفاد منها أنّ مطلق الذنوب توجب الفسق وإن كانت من الصغائر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هذه الروايات كلّها مخدوشة إمّا سنداً وإمّا دلالة، فلا يمكن الاعتماد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تقدّم في معتبرة عمر بن يزيد صحة الائتمام بمن يسمع أبويه الكلام الغليظ الّذي يغيظهما فإنّه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 خلفه</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يدل على أنّ ارتكاب الصغيرة لا يضر بالعدالة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فالأقوى هو قول المشهور وأنّ ارتكاب الصغيرة ما لم يكن ظاهراًأو بالغاً حدّ الإصرار لا يقدح في العدالة</w:t>
      </w:r>
      <w:r>
        <w:rPr>
          <w:rFonts w:eastAsia="Amiri" w:cs="Amiri" w:ascii="Amiri" w:hAnsi="Amiri"/>
          <w:color w:val="111111"/>
          <w:sz w:val="28"/>
          <w:szCs w:val="28"/>
          <w:rtl w:val="true"/>
          <w:lang w:bidi="ar-SA"/>
        </w:rPr>
        <w:t xml:space="preserve">. </w:t>
      </w:r>
      <w:bookmarkStart w:id="220" w:name="pg8631_95041"/>
    </w:p>
    <w:p>
      <w:pPr>
        <w:pStyle w:val="Heading4"/>
        <w:numPr>
          <w:ilvl w:val="3"/>
          <w:numId w:val="1"/>
        </w:numPr>
        <w:rPr/>
      </w:pPr>
      <w:bookmarkStart w:id="221" w:name="__RefHeading___Toc2193041_653776707"/>
      <w:bookmarkStart w:id="222" w:name="_Toc79"/>
      <w:bookmarkEnd w:id="220"/>
      <w:bookmarkEnd w:id="221"/>
      <w:r>
        <w:rPr>
          <w:rtl w:val="true"/>
        </w:rPr>
        <w:t>الأمر الرابع</w:t>
      </w:r>
      <w:r>
        <w:rPr>
          <w:rtl w:val="true"/>
        </w:rPr>
        <w:t xml:space="preserve">: </w:t>
      </w:r>
      <w:r>
        <w:rPr>
          <w:rtl w:val="true"/>
        </w:rPr>
        <w:t>اعتبار المروّة في العدالة</w:t>
      </w:r>
      <w:bookmarkEnd w:id="222"/>
    </w:p>
    <w:p>
      <w:pPr>
        <w:pStyle w:val="Heading5"/>
        <w:numPr>
          <w:ilvl w:val="4"/>
          <w:numId w:val="1"/>
        </w:numPr>
        <w:rPr/>
      </w:pPr>
      <w:bookmarkStart w:id="223" w:name="__RefHeading___Toc2193043_653776707"/>
      <w:bookmarkStart w:id="224" w:name="_Toc80"/>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بمعنى أنّه هل أنّ ارتكاب خلاف المروّة قادح في العدالة أو لا؟</w:t>
      </w:r>
    </w:p>
    <w:p>
      <w:pPr>
        <w:pStyle w:val="BookText"/>
        <w:rPr/>
      </w:pPr>
      <w:r>
        <w:rPr>
          <w:rFonts w:ascii="Amiri" w:hAnsi="Amiri" w:eastAsia="Amiri" w:cs="Amiri"/>
          <w:color w:val="111111"/>
          <w:sz w:val="28"/>
          <w:sz w:val="28"/>
          <w:szCs w:val="28"/>
          <w:rtl w:val="true"/>
          <w:lang w:bidi="ar-SA"/>
        </w:rPr>
        <w:t xml:space="preserve">فقد اختلفت فيه أقوال العلماء، فنسب إلى المشهور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عن الماحوزي الاجماع عليه </w:t>
      </w:r>
      <w:r>
        <w:rPr>
          <w:rStyle w:val="FootnoteAnchor"/>
          <w:rtl w:val="true"/>
        </w:rPr>
        <w:footnoteReference w:id="399"/>
      </w:r>
      <w:r>
        <w:rPr>
          <w:rFonts w:ascii="Amiri" w:hAnsi="Amiri" w:eastAsia="Amiri" w:cs="Amiri"/>
          <w:color w:val="111111"/>
          <w:sz w:val="28"/>
          <w:sz w:val="28"/>
          <w:szCs w:val="28"/>
          <w:rtl w:val="true"/>
          <w:lang w:bidi="ar-SA"/>
        </w:rPr>
        <w:t xml:space="preserve">، وهو المشهور بين من تأخر عن العلّامةرحمه الله ويلوح من الشيخ في المبسوط ذلك، وهو الظاهر من ابن الجنيد في قبول الشهادة وعن ابن حمزة في موضع من الوسيلة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وممن صرّح باعتبار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مختلف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تحرير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الدروس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ذكرى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جامع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من الأعاظم إلى عدم الاعتبار، وذكر الشيخ في رسالته أنّه الظاهر من المحقّق في الشرائع والنافع والعلّامة وولده في موضع من الإيضاح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وإليه ذهب جمع من المتأخرين منهم صاحب الجواهر </w:t>
      </w:r>
      <w:r>
        <w:rPr>
          <w:rStyle w:val="FootnoteAnchor"/>
          <w:rtl w:val="true"/>
        </w:rPr>
        <w:footnoteReference w:id="402"/>
      </w:r>
      <w:r>
        <w:rPr>
          <w:rFonts w:ascii="Amiri" w:hAnsi="Amiri" w:eastAsia="Amiri" w:cs="Amiri"/>
          <w:color w:val="111111"/>
          <w:sz w:val="28"/>
          <w:sz w:val="28"/>
          <w:szCs w:val="28"/>
          <w:rtl w:val="true"/>
          <w:lang w:bidi="ar-SA"/>
        </w:rPr>
        <w:t xml:space="preserve">،وشيخنا الأنصاري </w:t>
      </w:r>
      <w:r>
        <w:rPr>
          <w:rStyle w:val="FootnoteAnchor"/>
          <w:rtl w:val="true"/>
        </w:rPr>
        <w:footnoteReference w:id="403"/>
      </w:r>
      <w:r>
        <w:rPr>
          <w:rFonts w:ascii="IRNazanin" w:hAnsi="IRNazanin" w:eastAsia="IRNazanin"/>
          <w:color w:val="111111"/>
          <w:sz w:val="28"/>
          <w:sz w:val="28"/>
          <w:szCs w:val="28"/>
          <w:rtl w:val="true"/>
          <w:lang w:bidi="fa-IR"/>
        </w:rPr>
        <w:t xml:space="preserve">وصاحب الحدائق </w:t>
      </w:r>
      <w:r>
        <w:rPr>
          <w:rStyle w:val="FootnoteAnchor"/>
          <w:rtl w:val="true"/>
        </w:rPr>
        <w:footnoteReference w:id="404"/>
      </w:r>
      <w:r>
        <w:rPr>
          <w:rFonts w:ascii="Amiri" w:hAnsi="Amiri" w:eastAsia="Amiri" w:cs="Amiri"/>
          <w:color w:val="111111"/>
          <w:sz w:val="28"/>
          <w:sz w:val="28"/>
          <w:szCs w:val="28"/>
          <w:rtl w:val="true"/>
          <w:lang w:bidi="ar-SA"/>
        </w:rPr>
        <w:t xml:space="preserve">والسيّد الأستاذ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والمروءة في اللغة </w:t>
      </w:r>
      <w:r>
        <w:rPr>
          <w:rStyle w:val="FootnoteAnchor"/>
          <w:rtl w:val="true"/>
        </w:rPr>
        <w:footnoteReference w:id="406"/>
      </w:r>
      <w:r>
        <w:rPr>
          <w:rFonts w:ascii="Amiri" w:hAnsi="Amiri" w:eastAsia="Amiri" w:cs="Amiri"/>
          <w:color w:val="111111"/>
          <w:sz w:val="28"/>
          <w:sz w:val="28"/>
          <w:szCs w:val="28"/>
          <w:rtl w:val="true"/>
          <w:lang w:bidi="ar-SA"/>
        </w:rPr>
        <w:t>بمعنى الإنسانية والكمال فيها، فإنّ أصلها من المرء الّذي يطلق على الذكر والأنثى فهي بمعنى مطلق الإنسانية، والمراد بالإنسانية الاعتدال في القوى الشهوية والغضبية، فإنّ الإنسان إذا وافق قوته البهيمية كان كالبهائم، وإذا وافق القوة الغضبية كان كالسبع، ولكن إذا اعتدل في القوة الشهوية بالعفة، وفي القوة الغضبية بالشجاعة، فهو إنسان من حيث العدالة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الاصطلاح فقد فسروها باتباع محاسن العادات واجتناب مساويها وما تنفر عنه النفس من المباحات ويؤذن بدناءة النفس وخستها، كالأكل في الأسواق والمجامع، والبول في الشوارع وقت سلوك الناس، وكشف الرأس في المجامع، وتقبيل الزوجة أو الأمة في المحاضر، ولبس</w:t>
      </w:r>
    </w:p>
    <w:p>
      <w:pPr>
        <w:pStyle w:val="BookText"/>
        <w:rPr/>
      </w:pPr>
      <w:r>
        <w:rPr>
          <w:rFonts w:ascii="Amiri" w:hAnsi="Amiri" w:eastAsia="Amiri" w:cs="Amiri"/>
          <w:color w:val="111111"/>
          <w:sz w:val="28"/>
          <w:sz w:val="28"/>
          <w:szCs w:val="28"/>
          <w:rtl w:val="true"/>
          <w:lang w:bidi="ar-SA"/>
        </w:rPr>
        <w:t xml:space="preserve">الفقيه لباس الجندي والمضايقة في اليسير الّذي لا يناسب حاله ونقل الماء والأطعمة بنفسه ممّن ليس أهلاً لذلك إذا كان عن شح وضنه وخروج أحد الأعلام حافياًإلى الأسواق أو جلوسه في الطرقات وغير ذلك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هذه الأمور قد تختلف باختلاف الأماكن والبلدان والأعصار </w:t>
      </w:r>
    </w:p>
    <w:p>
      <w:pPr>
        <w:pStyle w:val="BookText"/>
        <w:rPr/>
      </w:pPr>
      <w:r>
        <w:rPr>
          <w:rFonts w:ascii="Amiri" w:hAnsi="Amiri" w:eastAsia="Amiri" w:cs="Amiri"/>
          <w:color w:val="111111"/>
          <w:sz w:val="28"/>
          <w:sz w:val="28"/>
          <w:szCs w:val="28"/>
          <w:rtl w:val="true"/>
          <w:lang w:bidi="ar-SA"/>
        </w:rPr>
        <w:t>والعادات، فقد يكون الخروج بدون عمامة لأهل العلم عيباً في بلد دون بلد آخر، فمع ارتكاب ما يعد عيباً في ذلك البلد بناء على اعتبارها لابد من الحكم بزوال العدالة وإن لم يتصف الفاعل بالفسق، لأنّه لم يرتكب شيئاً من المحرّمات فهناك واسطة بين العدالة والفسق ولكن لا تترتب عليه آثار العدالة كما لا تترتب عليه آثار الفسق وبذلك يتبين أنّ بين المعنى اللغوي والاصطلاحي للمروّة فرقاً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للمشهور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في رسالته </w:t>
      </w:r>
      <w:r>
        <w:rPr>
          <w:rStyle w:val="FootnoteAnchor"/>
          <w:rtl w:val="true"/>
        </w:rPr>
        <w:footnoteReference w:id="408"/>
      </w:r>
      <w:r>
        <w:rPr>
          <w:rFonts w:ascii="IRNazanin" w:hAnsi="IRNazanin" w:eastAsia="IRNazanin"/>
          <w:color w:val="111111"/>
          <w:sz w:val="28"/>
          <w:sz w:val="28"/>
          <w:szCs w:val="28"/>
          <w:rtl w:val="true"/>
          <w:lang w:bidi="fa-IR"/>
        </w:rPr>
        <w:t xml:space="preserve">من أنّ ما ورد في صدر صحيحة ابن أبي يعفور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تعرفوه بالستر والعفاف وكف البطن واليد واللسان</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بالستر هو الحياء، وبالعفة الكف عمّا لا يجمل ولا يليق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الإنسان على هذه الحالة يتعسر صدور ما لا ينبغي أن يصدر من مثله بحسب المتعارف، وذلك يدل على اعتبار المروّة في 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في نفس المعتبرة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الشيخ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والدالّ على ذلك كلّه أن يكون ساتراً لجميع عيوبه حتى يحرم على المسلمين ما وراء ذلك من عثراته وعيوبه وتفتيش ما وراء ذلك</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جميع العيوب عام شامل لما هو عيب شرعاً، أو عيب عرفاً، فإذا ارتكب المكلف العيب العرفي فلا يصدق عليه أنّه ساتر لجميع عيوبه ولا يمكن الحكم بعدالته</w:t>
      </w:r>
      <w:r>
        <w:rPr>
          <w:rFonts w:eastAsia="Amiri" w:cs="Amiri" w:ascii="Amiri" w:hAnsi="Amiri"/>
          <w:color w:val="111111"/>
          <w:sz w:val="28"/>
          <w:szCs w:val="28"/>
          <w:rtl w:val="true"/>
          <w:lang w:bidi="ar-SA"/>
        </w:rPr>
        <w:t xml:space="preserve">. </w:t>
      </w:r>
      <w:bookmarkStart w:id="225" w:name="pg8631_95044"/>
    </w:p>
    <w:p>
      <w:pPr>
        <w:pStyle w:val="BookText"/>
        <w:rPr/>
      </w:pPr>
      <w:bookmarkEnd w:id="225"/>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الجواهر </w:t>
      </w:r>
      <w:r>
        <w:rPr>
          <w:rStyle w:val="FootnoteAnchor"/>
          <w:rtl w:val="true"/>
        </w:rPr>
        <w:footnoteReference w:id="410"/>
      </w:r>
      <w:r>
        <w:rPr>
          <w:rFonts w:ascii="Amiri" w:hAnsi="Amiri" w:eastAsia="Amiri" w:cs="Amiri"/>
          <w:color w:val="111111"/>
          <w:sz w:val="28"/>
          <w:sz w:val="28"/>
          <w:szCs w:val="28"/>
          <w:rtl w:val="true"/>
          <w:lang w:bidi="ar-SA"/>
        </w:rPr>
        <w:t>من الاستدلال بجملة من الروايات الدالة على اعتبار 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دين لمن لا مروّة له ، ولا مروّة لمن لا عقل له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سماعة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الناس فلم يظلمهم وحدّثهم فلم يكذبهم وواعدهم فلم يخلفهم كان ممّن حرمت غيبته، وكملت مروّته، وظهر عدله، ووجبت أخوّته </w:t>
      </w:r>
      <w:r>
        <w:rPr>
          <w:rStyle w:val="FootnoteAnchor"/>
          <w:rtl w:val="true"/>
        </w:rPr>
        <w:footnoteReference w:id="412"/>
      </w:r>
      <w:r>
        <w:rPr>
          <w:rFonts w:ascii="Amiri" w:hAnsi="Amiri" w:eastAsia="Amiri" w:cs="Amiri"/>
          <w:color w:val="111111"/>
          <w:sz w:val="28"/>
          <w:sz w:val="28"/>
          <w:szCs w:val="28"/>
          <w:rtl w:val="true"/>
          <w:lang w:bidi="ar-SA"/>
        </w:rPr>
        <w:t>، وغيرهما فإنّها تدل بمفهومها على أنّ من لا مروّة له فلا ثقة بقوله فلا عدالة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يخجل من الناس ولم يستح من غير اللَّه سبحانه وتعالى بأن لم يبال بالنقائص العرفية لم يخجل ولم يستح من اللَّه تعالى، وذلك لعدم مبالاته بتلك الأمور وذلك يكشف عن أنّه ممّن لا حياء له، وأنّ عدالته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في جميع هذه الوجوه، والمهم منها الوجهان الأوّلان وقد ذكرهما الشيخ في رسالته وأشكل عليهما</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2193045_653776707"/>
      <w:bookmarkStart w:id="227" w:name="_Toc81"/>
      <w:bookmarkEnd w:id="226"/>
      <w:r>
        <w:rPr>
          <w:rtl w:val="true"/>
        </w:rPr>
        <w:t>الإشكال على الوجه الأوّل</w:t>
      </w:r>
      <w:r>
        <w:rPr>
          <w:rtl w:val="true"/>
        </w:rPr>
        <w:t>:</w:t>
      </w:r>
      <w:bookmarkEnd w:id="22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الحياء والعفة هو ما كان في مقام العبودية من إتيان الواجبات وترك المحرمات بمعنى الاتصاف بالحياء والعفة عن النقائص الشرعية دون العرفية، فإنّ الظاهر أنّ نظر الشارع إلى العيوب الشرعية دون 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ذلك تظهر المناقشة في 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يكون ساتراً لجميع عيوبه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مطلقاً أي سواء كان العيب شرعياً أو عرفياً، إلاّ أنّ المتبادر من العيوب في الرواية هي العيوب الشرعية الّتي ذكرت في الفقرة السابقة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أنّه لو كان المراد مطلق العيوب والنقائص من الكبائر والصغائر والمكروهات المنافية للمروّة لزم تخصيص الأكثر إذ الكبائر ومنافيات المروّة في جنب غيرهما ممّا لا يعتبر في العدالة تركها ولا في طريقها سترها كالقطرة في جنب البحر فلابدّ من حمله على المعهود المتقدم في الفقرات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يؤكد ذلك ما ورد في نفس الرواية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سئل عنه في قبيلته ومحلته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منه إلاّ خيراً مواظباً على الصلوات</w:t>
      </w:r>
    </w:p>
    <w:p>
      <w:pPr>
        <w:pStyle w:val="BookText"/>
        <w:rPr/>
      </w:pPr>
      <w:r>
        <w:rPr>
          <w:rFonts w:ascii="Amiri" w:hAnsi="Amiri" w:eastAsia="Amiri" w:cs="Amiri"/>
          <w:color w:val="111111"/>
          <w:sz w:val="28"/>
          <w:sz w:val="28"/>
          <w:szCs w:val="28"/>
          <w:rtl w:val="true"/>
          <w:lang w:bidi="ar-SA"/>
        </w:rPr>
        <w:t>متعاهداً لأوقاتها في مصلاه فإنّ ذلك يجيز شهادته وعدالته بين المسلمين وذلك أنّ الصلاة ستر وكفارة للذنوب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فإنّه قرينة على بيان المراد من المعرّف الأوّل وهو الستر والعفاف، ومن الثالث وهو الستر لجميع العيوب،وذلك لأنّ قولهم في حق الشخص ما رأينا منه إلاّ خيراً مع تعاهده للصلاة وهي ساترة للعيوب وناهية عن الفحشاء والمنكر بمنزلة التفسير للفقرات المتقدمة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المراد بجميع العيوب هي العيوب الشرعية دون غيرها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يستفاد من 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يكون نقصاً شرعاً، سواء كان من ارتكاب المحرّمات من الكبائر أو الصغائر أو ترك الواجبات إذا كان ذلك معلناً وظاهراً غير مستور موجب لسقوط العدالة</w:t>
      </w:r>
      <w:r>
        <w:rPr>
          <w:rFonts w:eastAsia="Amiri" w:cs="Amiri" w:ascii="Amiri" w:hAnsi="Amiri"/>
          <w:color w:val="111111"/>
          <w:sz w:val="28"/>
          <w:szCs w:val="28"/>
          <w:rtl w:val="true"/>
          <w:lang w:bidi="ar-SA"/>
        </w:rPr>
        <w:t xml:space="preserve">. </w:t>
      </w:r>
      <w:bookmarkStart w:id="228" w:name="pg8631_95046"/>
    </w:p>
    <w:p>
      <w:pPr>
        <w:pStyle w:val="BookText"/>
        <w:rPr/>
      </w:pPr>
      <w:bookmarkEnd w:id="228"/>
      <w:r>
        <w:rPr>
          <w:rFonts w:ascii="Amiri" w:hAnsi="Amiri" w:eastAsia="Amiri" w:cs="Amiri"/>
          <w:color w:val="111111"/>
          <w:sz w:val="28"/>
          <w:sz w:val="28"/>
          <w:szCs w:val="28"/>
          <w:rtl w:val="true"/>
          <w:lang w:bidi="ar-SA"/>
        </w:rPr>
        <w:t xml:space="preserve">وأمّا اختصاصها بالكبائر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يظهر من كلام شيخنا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التصريح بأنّه ساتر لجميع عيوبه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الكبائر والصغائر أنّ الكبائر قادحة في العدالة مطلقاً، دون الصغائر فإنّها لا تقدح في العدالة إلاّ مع الاظهار والإبراز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منافيات المروّة فإنّها إن لم ترجع إلى أحد المحرّمات كهتك عرض نفسه مثلاً فلا تدخل في هذه الفقرة وإن أصرّ بعض الأساطين كالسيّد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2193047_653776707"/>
      <w:bookmarkStart w:id="230" w:name="_Toc82"/>
      <w:bookmarkEnd w:id="229"/>
      <w:r>
        <w:rPr>
          <w:rtl w:val="true"/>
        </w:rPr>
        <w:t>الإشكال على الوجه الثالث</w:t>
      </w:r>
      <w:r>
        <w:rPr>
          <w:rtl w:val="true"/>
        </w:rPr>
        <w:t>:</w:t>
      </w:r>
      <w:bookmarkEnd w:id="230"/>
    </w:p>
    <w:p>
      <w:pPr>
        <w:pStyle w:val="BookText"/>
        <w:rPr/>
      </w:pPr>
      <w:r>
        <w:rPr>
          <w:rFonts w:ascii="Amiri" w:hAnsi="Amiri" w:eastAsia="Amiri" w:cs="Amiri"/>
          <w:color w:val="111111"/>
          <w:sz w:val="28"/>
          <w:sz w:val="28"/>
          <w:szCs w:val="28"/>
          <w:rtl w:val="true"/>
          <w:lang w:bidi="ar-SA"/>
        </w:rPr>
        <w:t>فهو أنّ الظاهر من المروّة المذكورة في الروايات هو المعنى الأوّل أي اللغوي فإنّه قد وردت بهذا المعنى في عدة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باسناده عن جويرية بن مسهر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اشتددت خلف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جويرية إنّه لم يهلك هؤلاء الحمقى إلاّ بخفق النعال خلفهم ما جاء بك؟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أسألك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الشرفوعن المروءة وعن العقل،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الشرف فمن شرفه السلطان شرف، وأمّا المروءة فإصلاح المعيشة، وأمّا العقل فمن اتقى اللَّه عقل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تذاكر الناس عند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الفتوة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تظنّون أنّ الفتوّة بالفسق والفجور إنّما الفتوة والمروءة طعام موضوع، ونائل مبذول بشي ء معروف، وأذى مكفوف، وأمّا تلك فشطّارة وفسق، ثمّ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المروة؟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المروءة واللَّه أن يضع الرجل خوانه بفناء داره، والمروءة مروءتان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مروة في الحضر، ومروة في السفر، فأمّا الّتي في الحضر فتلاوة القرآن، ولزوم المساجد، والمشي مع الإخوان في الحوائج، والنعمة ترى على الخادم أنّها تسرّ الصديق، وتكبت العدوّ، وأمّا الّتي في السفر، فكثرة الزاد وطيبه وبذله لمن كان معك، وكتمانك على القوم أمرهم بعد مفارقتك إيّاهم وكثرة المزاح في غير ما يسخط اللَّه عزّوجلّ،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جدّي صلى الله عليه وآله بالحق نبياً، إنّ اللَّه عزّوجلّ ليرزق العبد على قدر المروءة، وإنّ المعونة تنزل على قدر المؤونة، وإنّ الصبر ينزل على قدر شدّة البلاء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هذه الرواية بعدّة طرق وبعضها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الهيثم بن عبد اللَّه النهدي، عن أبيه، عن أبي عبد</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المروءة مروءتان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مروءة في السفر ، ومروءة في الحضر، فأمّا مروءة الحضر، فتلاوة القرآن، وحضور المساجد، وصحبة أهل الخير، والنظر في الفقه، وأمّا مروءة السفر، فبذل الزاد، والمزاح في غير ما يسخط اللَّه عزّوجلّ،وقلّة الخلاف على من صحبك، وترك الرواية عليهم إذ أنت فارقتهم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الصحيح عن حمّاد بن عيسى،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مروءة المرء المسلم مروءتان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مروءة في حضر، ومروءة في سفر، فأمّا مروءة الحضر، فقراءة القرآن، ومجالسة العلماء، والنظر في الفقه، والمحافظة على </w:t>
      </w:r>
      <w:bookmarkStart w:id="231" w:name="pg8631_95048"/>
    </w:p>
    <w:p>
      <w:pPr>
        <w:pStyle w:val="BookText"/>
        <w:rPr/>
      </w:pPr>
      <w:bookmarkEnd w:id="231"/>
      <w:r>
        <w:rPr>
          <w:rFonts w:ascii="Amiri" w:hAnsi="Amiri" w:eastAsia="Amiri" w:cs="Amiri"/>
          <w:color w:val="111111"/>
          <w:sz w:val="28"/>
          <w:sz w:val="28"/>
          <w:szCs w:val="28"/>
          <w:rtl w:val="true"/>
          <w:lang w:bidi="ar-SA"/>
        </w:rPr>
        <w:t xml:space="preserve">الصلوات في الجماعات، وأمّا مروءة السفر، فبذل الزاد، وقلّة الخلاف على من صحبك، وكثرة ذكر اللَّه في كلّ مصعد ومهبط ونزول وقيام وقعود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منها أنّ المراد بالمروّة هو معناها الأخلاقي لا الاصطلاحي فكذلك ما نحن فيه</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2193049_653776707"/>
      <w:bookmarkStart w:id="233" w:name="_Toc83"/>
      <w:bookmarkEnd w:id="232"/>
      <w:r>
        <w:rPr>
          <w:rtl w:val="true"/>
        </w:rPr>
        <w:t>الإشكال على الوجه الرابع</w:t>
      </w:r>
      <w:r>
        <w:rPr>
          <w:rtl w:val="true"/>
        </w:rPr>
        <w:t>:</w:t>
      </w:r>
      <w:bookmarkEnd w:id="233"/>
    </w:p>
    <w:p>
      <w:pPr>
        <w:pStyle w:val="BookText"/>
        <w:rPr/>
      </w:pPr>
      <w:r>
        <w:rPr>
          <w:rFonts w:ascii="Amiri" w:hAnsi="Amiri" w:eastAsia="Amiri" w:cs="Amiri"/>
          <w:color w:val="111111"/>
          <w:sz w:val="28"/>
          <w:sz w:val="28"/>
          <w:szCs w:val="28"/>
          <w:rtl w:val="true"/>
          <w:lang w:bidi="ar-SA"/>
        </w:rPr>
        <w:t>وحاصله أنّ عدم مبالاة الإنسان بالأمور الدارجة لدى الناس وعدم استحيائه وخجله عن غير اللَّه لا كاشفية له عن عدم استحيائه من اللَّه سبحانه وتعالى، لأنّه قد يكون ذلك مستنداً إلى كونه متفانياً في اللَّه تعالى وفي الأمور الأخروية ومتمحضاً فيما يرجع إلى النشأة الثانية، ولأجله لا يعتني بغير اللَّه جلّت عظمته ولا تهمه الأمور الدنيوية ولا يبالي بما هو ممدوح أو مذموم لدى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كيف يكون عدم مبالاته بالأمور المتعارفة والدنيوية كاشفاً عن عدم خجله واستحيائه من اللَّه سبحانه، فإذن لا تلازم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ارتكاب ما ينافي المروّة غير قادح في العدالة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المقام الثاني والحمد للَّه ربّ العالمين</w:t>
      </w:r>
      <w:r>
        <w:rPr>
          <w:rFonts w:eastAsia="Amiri" w:cs="Amiri" w:ascii="Amiri" w:hAnsi="Amiri"/>
          <w:color w:val="111111"/>
          <w:sz w:val="28"/>
          <w:szCs w:val="28"/>
          <w:rtl w:val="true"/>
          <w:lang w:bidi="ar-SA"/>
        </w:rPr>
        <w:t xml:space="preserve">. </w:t>
      </w:r>
      <w:bookmarkStart w:id="234" w:name="pg8631_95049"/>
    </w:p>
    <w:p>
      <w:pPr>
        <w:pStyle w:val="Heading3"/>
        <w:numPr>
          <w:ilvl w:val="2"/>
          <w:numId w:val="1"/>
        </w:numPr>
        <w:rPr/>
      </w:pPr>
      <w:bookmarkStart w:id="235" w:name="__RefHeading___Toc2193051_653776707"/>
      <w:bookmarkStart w:id="236" w:name="_Toc84"/>
      <w:bookmarkEnd w:id="234"/>
      <w:bookmarkEnd w:id="235"/>
      <w:r>
        <w:rPr>
          <w:rtl w:val="true"/>
        </w:rPr>
        <w:t>المقام الثالث</w:t>
      </w:r>
      <w:r>
        <w:rPr>
          <w:rtl w:val="true"/>
        </w:rPr>
        <w:t>:</w:t>
      </w:r>
      <w:bookmarkEnd w:id="236"/>
    </w:p>
    <w:p>
      <w:pPr>
        <w:pStyle w:val="Heading4"/>
        <w:numPr>
          <w:ilvl w:val="3"/>
          <w:numId w:val="1"/>
        </w:numPr>
        <w:rPr/>
      </w:pPr>
      <w:bookmarkStart w:id="237" w:name="__RefHeading___Toc2193053_653776707"/>
      <w:bookmarkStart w:id="238" w:name="_Toc85"/>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التوبة وأحكامها</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المراتب السبعة للتوبة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التكليفي للتوبة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الأقسام الخمسة للتوبة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الوضعي للتوبة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التحقيق في رجوع العدالة بمجرد التوبة وعدمه</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8631_95051"/>
      <w:bookmarkStart w:id="240" w:name="pg8631_95051"/>
      <w:bookmarkEnd w:id="240"/>
    </w:p>
    <w:p>
      <w:pPr>
        <w:pStyle w:val="Heading4"/>
        <w:numPr>
          <w:ilvl w:val="3"/>
          <w:numId w:val="1"/>
        </w:numPr>
        <w:rPr/>
      </w:pPr>
      <w:bookmarkStart w:id="241" w:name="pg8631_95051"/>
      <w:bookmarkStart w:id="242" w:name="__RefHeading___Toc2193055_653776707"/>
      <w:bookmarkStart w:id="243" w:name="_Toc86"/>
      <w:bookmarkEnd w:id="241"/>
      <w:bookmarkEnd w:id="242"/>
      <w:r>
        <w:rPr>
          <w:rtl w:val="true"/>
        </w:rPr>
        <w:t>التوبة وأحكامها</w:t>
      </w:r>
      <w:bookmarkEnd w:id="243"/>
    </w:p>
    <w:p>
      <w:pPr>
        <w:pStyle w:val="BookText"/>
        <w:rPr/>
      </w:pPr>
      <w:r>
        <w:rPr>
          <w:rFonts w:ascii="Amiri" w:hAnsi="Amiri" w:eastAsia="Amiri" w:cs="Amiri"/>
          <w:color w:val="111111"/>
          <w:sz w:val="28"/>
          <w:sz w:val="28"/>
          <w:szCs w:val="28"/>
          <w:rtl w:val="true"/>
          <w:lang w:bidi="ar-SA"/>
        </w:rPr>
        <w:t>ويقع الكلام فيها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التكليفي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الوضعي</w:t>
      </w:r>
      <w:r>
        <w:rPr>
          <w:rFonts w:eastAsia="Amiri" w:cs="Amiri" w:ascii="Amiri" w:hAnsi="Amiri"/>
          <w:color w:val="111111"/>
          <w:sz w:val="28"/>
          <w:szCs w:val="28"/>
          <w:rtl w:val="true"/>
          <w:lang w:bidi="ar-SA"/>
        </w:rPr>
        <w:t xml:space="preserve">. </w:t>
      </w:r>
      <w:bookmarkStart w:id="244" w:name="pg8631_95052"/>
    </w:p>
    <w:p>
      <w:pPr>
        <w:pStyle w:val="Heading4"/>
        <w:numPr>
          <w:ilvl w:val="3"/>
          <w:numId w:val="1"/>
        </w:numPr>
        <w:rPr/>
      </w:pPr>
      <w:bookmarkStart w:id="245" w:name="__RefHeading___Toc2193057_653776707"/>
      <w:bookmarkStart w:id="246" w:name="_Toc87"/>
      <w:bookmarkEnd w:id="244"/>
      <w:bookmarkEnd w:id="245"/>
      <w:r>
        <w:rPr>
          <w:rtl w:val="true"/>
        </w:rPr>
        <w:t>الجهة الأولى</w:t>
      </w:r>
      <w:r>
        <w:rPr>
          <w:rtl w:val="true"/>
        </w:rPr>
        <w:t xml:space="preserve">: </w:t>
      </w:r>
      <w:r>
        <w:rPr>
          <w:rtl w:val="true"/>
        </w:rPr>
        <w:t>بيان حقيقة التوبة</w:t>
      </w:r>
      <w:bookmarkEnd w:id="246"/>
    </w:p>
    <w:p>
      <w:pPr>
        <w:pStyle w:val="Heading5"/>
        <w:numPr>
          <w:ilvl w:val="4"/>
          <w:numId w:val="1"/>
        </w:numPr>
        <w:rPr/>
      </w:pPr>
      <w:bookmarkStart w:id="247" w:name="__RefHeading___Toc2193059_653776707"/>
      <w:bookmarkStart w:id="248" w:name="_Toc88"/>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 xml:space="preserve">التوبة في اللغة </w:t>
      </w:r>
      <w:r>
        <w:rPr>
          <w:rStyle w:val="FootnoteAnchor"/>
          <w:rtl w:val="true"/>
        </w:rPr>
        <w:footnoteReference w:id="418"/>
      </w:r>
      <w:r>
        <w:rPr>
          <w:rFonts w:ascii="Amiri" w:hAnsi="Amiri" w:eastAsia="Amiri" w:cs="Amiri"/>
          <w:color w:val="111111"/>
          <w:sz w:val="28"/>
          <w:sz w:val="28"/>
          <w:szCs w:val="28"/>
          <w:rtl w:val="true"/>
          <w:lang w:bidi="ar-SA"/>
        </w:rPr>
        <w:t>بمعنى الرجوع عن الشي ء والاقلاع عنه وتضاف إلى اللَّه تعالى وإلى العبد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اللَّه على فلان،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على النبي والمهاجرين والأنصار</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ومن أسمائه تعالى التواب، وهو من صيغ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التوبة منه تعالى رجوعه باللطف والتوفيق والمغفرة والرحمة فله تعالى توبتان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بالإعانة والتوفيق لعبده ليتوب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على العبد بالمغفرة والرّحمة والتطهير من دنس المعاصي والآثام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ليتوبوا إنّ اللَّه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249" w:name="pg8631_95053"/>
    </w:p>
    <w:p>
      <w:pPr>
        <w:pStyle w:val="BookText"/>
        <w:rPr/>
      </w:pPr>
      <w:bookmarkEnd w:id="249"/>
      <w:r>
        <w:rPr>
          <w:rFonts w:ascii="Amiri" w:hAnsi="Amiri" w:eastAsia="Amiri" w:cs="Amiri"/>
          <w:color w:val="111111"/>
          <w:sz w:val="28"/>
          <w:sz w:val="28"/>
          <w:szCs w:val="28"/>
          <w:rtl w:val="true"/>
          <w:lang w:bidi="ar-SA"/>
        </w:rPr>
        <w:t>وأمّا توبة العبد فهي رجوعه عن الذنب إلى الطاعة ومن البعد إلى القرب ومن الانحراف إلى الاستقامة والتوّاب من الناس الراجع إلى اللَّه تعالى من تاب من ذنبه يتوب توبة وتوباً أقلع منه</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2193061_653776707"/>
      <w:bookmarkStart w:id="251" w:name="_Toc89"/>
      <w:bookmarkEnd w:id="250"/>
      <w:r>
        <w:rPr>
          <w:rtl w:val="true"/>
        </w:rPr>
        <w:t>مراتب التوبة</w:t>
      </w:r>
      <w:r>
        <w:rPr>
          <w:rtl w:val="true"/>
        </w:rPr>
        <w:t>:</w:t>
      </w:r>
      <w:bookmarkEnd w:id="251"/>
    </w:p>
    <w:p>
      <w:pPr>
        <w:pStyle w:val="Heading6"/>
        <w:numPr>
          <w:ilvl w:val="5"/>
          <w:numId w:val="1"/>
        </w:numPr>
        <w:rPr/>
      </w:pPr>
      <w:bookmarkStart w:id="252" w:name="__RefHeading___Toc2193063_653776707"/>
      <w:bookmarkStart w:id="253" w:name="_Toc90"/>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وقد ذكر لها مراتب سبع طولية يجمعها علم وحال وقول وعمل وهي</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2193065_653776707"/>
      <w:bookmarkStart w:id="255" w:name="_Toc91"/>
      <w:bookmarkEnd w:id="254"/>
      <w:r>
        <w:rPr>
          <w:rtl w:val="true"/>
        </w:rPr>
        <w:t>المرتبة الأولى</w:t>
      </w:r>
      <w:r>
        <w:rPr>
          <w:rtl w:val="true"/>
        </w:rPr>
        <w:t>:</w:t>
      </w:r>
      <w:bookmarkEnd w:id="255"/>
    </w:p>
    <w:p>
      <w:pPr>
        <w:pStyle w:val="BookText"/>
        <w:rPr/>
      </w:pPr>
      <w:r>
        <w:rPr>
          <w:rFonts w:ascii="IRNazanin" w:hAnsi="IRNazanin" w:eastAsia="IRNazanin"/>
          <w:color w:val="111111"/>
          <w:sz w:val="28"/>
          <w:sz w:val="28"/>
          <w:szCs w:val="28"/>
          <w:rtl w:val="true"/>
          <w:lang w:bidi="fa-IR"/>
        </w:rPr>
        <w:t>الرجوع عن الجهل والغرور إلى العلم والاقرار قلباً فإنّه ما لم يعلم العبد عظمة الرّب وقبح معصيته وشدة عقابه وما يترتب على ذلك من الانحطاط والبعد عن اللَّه تعالى فلا يتحقق له الرجوع، ويشير إلى ذلك، ما رواه معاذ الجوهري عن الصادق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صلى الله عليه وآله، عن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أذنب ذنباً صغيراً كان أو كبيراً وهو لا يعلم أنّ لي أن أعذبه أو أعفو عنه لا غفرت له ذلك الذنب أبداً، ومن أذنب ذنباً صغيراً كان أو كبيراً وهو يعلم أنّ لي أن أعذّبه أو أعفو عنه عفوت عنه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أذنب ذنباً فعلم أنّ اللَّه مطّلع عليه إن شاء عذّبه وإن شاء غفر له، غفر له وإن لم يستغفر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256" w:name="pg8631_95054"/>
    </w:p>
    <w:p>
      <w:pPr>
        <w:pStyle w:val="BookText"/>
        <w:rPr/>
      </w:pPr>
      <w:bookmarkEnd w:id="256"/>
      <w:r>
        <w:rPr>
          <w:rFonts w:ascii="IRNazanin" w:hAnsi="IRNazanin" w:eastAsia="IRNazanin"/>
          <w:color w:val="111111"/>
          <w:sz w:val="28"/>
          <w:sz w:val="28"/>
          <w:szCs w:val="28"/>
          <w:rtl w:val="true"/>
          <w:lang w:bidi="fa-IR"/>
        </w:rPr>
        <w:t>وفي رواية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واللَّه ما خرج عبد من ذنب بإصرار ، وما خرج عبد من ذنب إلاّ بإقرار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7" w:name="__RefHeading___Toc2193067_653776707"/>
      <w:bookmarkStart w:id="258" w:name="_Toc92"/>
      <w:bookmarkEnd w:id="257"/>
      <w:r>
        <w:rPr>
          <w:rtl w:val="true"/>
        </w:rPr>
        <w:t>المرتبة الثانية</w:t>
      </w:r>
      <w:r>
        <w:rPr>
          <w:rtl w:val="true"/>
        </w:rPr>
        <w:t>:</w:t>
      </w:r>
      <w:bookmarkEnd w:id="258"/>
    </w:p>
    <w:p>
      <w:pPr>
        <w:pStyle w:val="BookText"/>
        <w:rPr/>
      </w:pPr>
      <w:r>
        <w:rPr>
          <w:rFonts w:ascii="Amiri" w:hAnsi="Amiri" w:eastAsia="Amiri" w:cs="Amiri"/>
          <w:color w:val="111111"/>
          <w:sz w:val="28"/>
          <w:sz w:val="28"/>
          <w:szCs w:val="28"/>
          <w:rtl w:val="true"/>
          <w:lang w:bidi="ar-SA"/>
        </w:rPr>
        <w:t>الرجوع عن السرور بحب المعصية إلى بغضها وكراهتها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ذلك يشير ما ورد في صحيحة محمّد بن أبي عمير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أحمد ما من مؤمن يذنب ذنباً إلاّ ساءه ذلك وندم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سرته حسنته وساءته سيئته فهو مؤمن، فمن لم يندم على ذنب يرتكبه فليس بمؤمن</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9" w:name="__RefHeading___Toc2193069_653776707"/>
      <w:bookmarkStart w:id="260" w:name="_Toc93"/>
      <w:bookmarkEnd w:id="259"/>
      <w:r>
        <w:rPr>
          <w:rtl w:val="true"/>
        </w:rPr>
        <w:t>المرتبة الثالثة</w:t>
      </w:r>
      <w:r>
        <w:rPr>
          <w:rtl w:val="true"/>
        </w:rPr>
        <w:t>:</w:t>
      </w:r>
      <w:bookmarkEnd w:id="260"/>
    </w:p>
    <w:p>
      <w:pPr>
        <w:pStyle w:val="BookText"/>
        <w:rPr/>
      </w:pPr>
      <w:r>
        <w:rPr>
          <w:rFonts w:ascii="Amiri" w:hAnsi="Amiri" w:eastAsia="Amiri" w:cs="Amiri"/>
          <w:color w:val="111111"/>
          <w:sz w:val="28"/>
          <w:sz w:val="28"/>
          <w:szCs w:val="28"/>
          <w:rtl w:val="true"/>
          <w:lang w:bidi="ar-SA"/>
        </w:rPr>
        <w:t>الرجوع من الفرح بالظفر بالمعصية إلى الحزن والأسف على صدورها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ذلك يشير ما ورد في الصحيحة المشار إليها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بالندم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هذه الجملة علي الجهضمي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أذنب ذنباً فندم عليه ، إلاّ غفر اللَّه له قبل أن يستغفر</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261" w:name="pg8631_95055"/>
    </w:p>
    <w:p>
      <w:pPr>
        <w:pStyle w:val="BookText"/>
        <w:rPr/>
      </w:pPr>
      <w:bookmarkEnd w:id="261"/>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الندامة توبة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2" w:name="__RefHeading___Toc2193071_653776707"/>
      <w:bookmarkStart w:id="263" w:name="_Toc94"/>
      <w:bookmarkEnd w:id="262"/>
      <w:r>
        <w:rPr>
          <w:rtl w:val="true"/>
        </w:rPr>
        <w:t>المرتبة الرابعة</w:t>
      </w:r>
      <w:r>
        <w:rPr>
          <w:rtl w:val="true"/>
        </w:rPr>
        <w:t>:</w:t>
      </w:r>
      <w:bookmarkEnd w:id="263"/>
    </w:p>
    <w:p>
      <w:pPr>
        <w:pStyle w:val="BookText"/>
        <w:rPr/>
      </w:pPr>
      <w:r>
        <w:rPr>
          <w:rFonts w:ascii="Amiri" w:hAnsi="Amiri" w:eastAsia="Amiri" w:cs="Amiri"/>
          <w:color w:val="111111"/>
          <w:sz w:val="28"/>
          <w:sz w:val="28"/>
          <w:szCs w:val="28"/>
          <w:rtl w:val="true"/>
          <w:lang w:bidi="ar-SA"/>
        </w:rPr>
        <w:t>الرجوع عن العزم على فعل المعصية إلى العزم على عدم العود إليها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يشير ما روي أنّ التوبة النصوح هو أن يتوب الرجل من ذنب وينوي أن لا يعود إليه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كميل بن زياد،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القلب وإضمار أن لا يعود إلى الذنب الّذي استغفر منه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4" w:name="__RefHeading___Toc2193073_653776707"/>
      <w:bookmarkStart w:id="265" w:name="_Toc95"/>
      <w:bookmarkEnd w:id="264"/>
      <w:r>
        <w:rPr>
          <w:rtl w:val="true"/>
        </w:rPr>
        <w:t>المرتبة الخامسة</w:t>
      </w:r>
      <w:r>
        <w:rPr>
          <w:rtl w:val="true"/>
        </w:rPr>
        <w:t>:</w:t>
      </w:r>
      <w:bookmarkEnd w:id="265"/>
    </w:p>
    <w:p>
      <w:pPr>
        <w:pStyle w:val="BookText"/>
        <w:rPr/>
      </w:pPr>
      <w:r>
        <w:rPr>
          <w:rFonts w:ascii="Amiri" w:hAnsi="Amiri" w:eastAsia="Amiri" w:cs="Amiri"/>
          <w:color w:val="111111"/>
          <w:sz w:val="28"/>
          <w:sz w:val="28"/>
          <w:szCs w:val="28"/>
          <w:rtl w:val="true"/>
          <w:lang w:bidi="ar-SA"/>
        </w:rPr>
        <w:t>الرجوع عن طلب المعصية إلى طلب مغفرة اللَّه وعفوه تعالى عنه طلباًقلبياً، ويعبر عن هذه الحالة بحقيقة الاستغفار والّتي ينبعث عنها الاستغفار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أشارت كثير من الآيات والروايات</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2193075_653776707"/>
      <w:bookmarkStart w:id="267" w:name="_Toc96"/>
      <w:bookmarkEnd w:id="266"/>
      <w:r>
        <w:rPr>
          <w:rtl w:val="true"/>
        </w:rPr>
        <w:t>المرتبة السادسة</w:t>
      </w:r>
      <w:r>
        <w:rPr>
          <w:rtl w:val="true"/>
        </w:rPr>
        <w:t>:</w:t>
      </w:r>
      <w:bookmarkEnd w:id="267"/>
    </w:p>
    <w:p>
      <w:pPr>
        <w:pStyle w:val="BookText"/>
        <w:rPr/>
      </w:pPr>
      <w:r>
        <w:rPr>
          <w:rFonts w:ascii="Amiri" w:hAnsi="Amiri" w:eastAsia="Amiri" w:cs="Amiri"/>
          <w:color w:val="111111"/>
          <w:sz w:val="28"/>
          <w:sz w:val="28"/>
          <w:szCs w:val="28"/>
          <w:rtl w:val="true"/>
          <w:lang w:bidi="ar-SA"/>
        </w:rPr>
        <w:t>الرجوع عن فعل المعصية إلى تركها ومن الانحراف إلى الاستقامة ومن العصيان إلى الطاعة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ذلك يشير ما رواه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bookmarkStart w:id="268" w:name="pg8631_95056"/>
    </w:p>
    <w:p>
      <w:pPr>
        <w:pStyle w:val="BookText"/>
        <w:rPr/>
      </w:pPr>
      <w:bookmarkEnd w:id="268"/>
      <w:r>
        <w:rPr>
          <w:rFonts w:ascii="Amiri" w:hAnsi="Amiri" w:eastAsia="Amiri" w:cs="Amiri"/>
          <w:color w:val="111111"/>
          <w:sz w:val="28"/>
          <w:sz w:val="28"/>
          <w:szCs w:val="28"/>
          <w:rtl w:val="true"/>
          <w:lang w:bidi="ar-SA"/>
        </w:rPr>
        <w:t xml:space="preserve">التائب من الذنب كمن لا ذنب له ، والمقيم على الذنب وهو مستغفر منه كالمستهزى ء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العزم على ترك المعصية والندم عليها لا يجتمعان مع فعلها</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2193077_653776707"/>
      <w:bookmarkStart w:id="270" w:name="_Toc97"/>
      <w:bookmarkEnd w:id="269"/>
      <w:r>
        <w:rPr>
          <w:rtl w:val="true"/>
        </w:rPr>
        <w:t>المرتبة السابعة</w:t>
      </w:r>
      <w:r>
        <w:rPr>
          <w:rtl w:val="true"/>
        </w:rPr>
        <w:t>:</w:t>
      </w:r>
      <w:bookmarkEnd w:id="270"/>
    </w:p>
    <w:p>
      <w:pPr>
        <w:pStyle w:val="BookText"/>
        <w:rPr/>
      </w:pPr>
      <w:r>
        <w:rPr>
          <w:rFonts w:ascii="Amiri" w:hAnsi="Amiri" w:eastAsia="Amiri" w:cs="Amiri"/>
          <w:color w:val="111111"/>
          <w:sz w:val="28"/>
          <w:sz w:val="28"/>
          <w:szCs w:val="28"/>
          <w:rtl w:val="true"/>
          <w:lang w:bidi="ar-SA"/>
        </w:rPr>
        <w:t>الرجوع عن التقصير بالتدارك وتلافي ما فات من الحقوق والواجبات المفروضة من صلاة أو صيام أو زكاة أو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ذلك يشير ما رواه الشريف الرضي في نهج البلاغة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قائلاً قال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أتدري ما الاستغفار؟ الاستغفار درجة العلّيّين، وهو اسم واقع على ستّة 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والرابع أن تعمد إلى كلّ فريضة عليك ضيّعتها فتؤدّي حقّها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المراتب السبع متلازمة غالباً فإنّ الجهل هو المنشأ والموجب لحب المعصية والسرور بها فإذا زال وعلم بشدة الخسران فذلك يوجب بغضها وكراهيتها ومع تحقق هذه الحالة يتبدل الفرح إلى حزن وأسف وندم، ثمّ الانتقال إلى حالة العزم والتصميم على عدم العود إلى المعصية أبداً، وذلك يوجب الاستغفار وطلب المغفرة من اللَّه تعالى قلباً ولساناً، ثمّ يتحقق على أثر ذلك الترك والتدارك لما فات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بأنّ الملازمة غالبية لأنّها قد تتخلف في بعض الحالات كما لا </w:t>
      </w:r>
    </w:p>
    <w:p>
      <w:pPr>
        <w:pStyle w:val="BookText"/>
        <w:rPr/>
      </w:pPr>
      <w:r>
        <w:rPr>
          <w:rFonts w:ascii="Amiri" w:hAnsi="Amiri" w:eastAsia="Amiri" w:cs="Amiri"/>
          <w:color w:val="111111"/>
          <w:sz w:val="28"/>
          <w:sz w:val="28"/>
          <w:szCs w:val="28"/>
          <w:rtl w:val="true"/>
          <w:lang w:bidi="ar-SA"/>
        </w:rPr>
        <w:t>يخفى، فإنّ للعلم بالمعصية درجات فإن كان العبد عالماً بعظمة اللَّه تعالى واستولى حب اللَّه على قلبه فإنّه يوجب الملازمة كما ذكرنا، وأمّا إذا كان عالماً بشدة العقاب فقط من دون العلم بعظمة اللَّه تعالى فقد يترك المعصية خوفاً من النار لا بغضاً للمعصية وكراهية لها فلم تتحقق الملازمة بين المرتبتين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المهم في المقام هو أنّ التوبة المأمور بها في الآيات والروايات شاملة للمراتب الثلاث الأخيرة بلا إشكال، 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واستغفروا ربّكم ثمّ توبوا إليه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المراتب الأربع الأولى فهي وإن وصفت في بعض الروايات بأنّها توبة إلاّ أنّ وصفها بذلك إمّا لكونها أدنى مراتب التوبة، وإمّا لأنّها ملازمة للمراتب الثلاث الأخيرة غالباً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71" w:name="pg8631_95058"/>
    </w:p>
    <w:p>
      <w:pPr>
        <w:pStyle w:val="Heading4"/>
        <w:numPr>
          <w:ilvl w:val="3"/>
          <w:numId w:val="1"/>
        </w:numPr>
        <w:rPr/>
      </w:pPr>
      <w:bookmarkStart w:id="272" w:name="__RefHeading___Toc2193079_653776707"/>
      <w:bookmarkStart w:id="273" w:name="_Toc98"/>
      <w:bookmarkEnd w:id="271"/>
      <w:bookmarkEnd w:id="272"/>
      <w:r>
        <w:rPr>
          <w:rtl w:val="true"/>
        </w:rPr>
        <w:t>الجهة الثانية</w:t>
      </w:r>
      <w:r>
        <w:rPr>
          <w:rtl w:val="true"/>
        </w:rPr>
        <w:t xml:space="preserve">: </w:t>
      </w:r>
      <w:r>
        <w:rPr>
          <w:rtl w:val="true"/>
        </w:rPr>
        <w:t>حكم التوبة التكليفي</w:t>
      </w:r>
      <w:bookmarkEnd w:id="273"/>
    </w:p>
    <w:p>
      <w:pPr>
        <w:pStyle w:val="Heading5"/>
        <w:numPr>
          <w:ilvl w:val="4"/>
          <w:numId w:val="1"/>
        </w:numPr>
        <w:rPr/>
      </w:pPr>
      <w:bookmarkStart w:id="274" w:name="__RefHeading___Toc2193081_653776707"/>
      <w:bookmarkStart w:id="275" w:name="_Toc99"/>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لا إشكال في وجوبها، وقد استدل على ذلك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والعقل</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2193083_653776707"/>
      <w:bookmarkStart w:id="277" w:name="_Toc100"/>
      <w:bookmarkEnd w:id="276"/>
      <w:r>
        <w:rPr>
          <w:rtl w:val="true"/>
        </w:rPr>
        <w:t>أوّلاً</w:t>
      </w:r>
      <w:r>
        <w:rPr>
          <w:rtl w:val="true"/>
        </w:rPr>
        <w:t xml:space="preserve">: </w:t>
      </w:r>
      <w:r>
        <w:rPr>
          <w:rtl w:val="true"/>
        </w:rPr>
        <w:t>الكتاب الكريم</w:t>
      </w:r>
      <w:r>
        <w:rPr>
          <w:rtl w:val="true"/>
        </w:rPr>
        <w:t>:</w:t>
      </w:r>
      <w:bookmarkEnd w:id="277"/>
    </w:p>
    <w:p>
      <w:pPr>
        <w:pStyle w:val="BookText"/>
        <w:rPr/>
      </w:pPr>
      <w:r>
        <w:rPr>
          <w:rFonts w:ascii="Amiri" w:hAnsi="Amiri" w:eastAsia="Amiri" w:cs="Amiri"/>
          <w:color w:val="111111"/>
          <w:sz w:val="28"/>
          <w:sz w:val="28"/>
          <w:szCs w:val="28"/>
          <w:rtl w:val="true"/>
          <w:lang w:bidi="ar-SA"/>
        </w:rPr>
        <w:t>فقد ذكر أنّه ورد في القرآن ما يقرب من أربعمائة آية حول التوبة، والّذي يدل على الوجوب عدّة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وتوبوا إلى اللَّه جميعاً أيّها المؤمنون لعلّكم تفلحون</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على الوجوب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ويدخلكم جنّات تجري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والتوبة النصوح هي الخالصة مع العزم على عدم العود، والآية الشريفة </w:t>
      </w:r>
    </w:p>
    <w:p>
      <w:pPr>
        <w:pStyle w:val="BookText"/>
        <w:rPr/>
      </w:pPr>
      <w:r>
        <w:rPr>
          <w:rFonts w:ascii="Amiri" w:hAnsi="Amiri" w:eastAsia="Amiri" w:cs="Amiri"/>
          <w:color w:val="111111"/>
          <w:sz w:val="28"/>
          <w:sz w:val="28"/>
          <w:szCs w:val="28"/>
          <w:rtl w:val="true"/>
          <w:lang w:bidi="ar-SA"/>
        </w:rPr>
        <w:t>كالسابقة في وضوح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فيها فاستغفروه ثمّ توبوا إليه</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واستغفروا ربّكم ثمّ توبوا إليه إنّ ربّي رحيم ودود</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والتوّاب الّذي يحبه اللَّه تعالى أعم من أن تكون توبته من جهة الكم أو من جهة الكيف وهكذا المتطهر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أنّ هذه الآية اشتملت على اثني عشر وجهاً كلّها تدل على الحث على التوبة والترغيب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الآيات الكثيرة الدالة على محبوبية التوبة وأنّها واجبة، ولا إشكال في ذلك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وقع الكلام في أنّ الأمر الوارد في هذه الآيات للارشاد، وسيأتي بيانه قريباً إن شاء اللَّه تعالى</w:t>
      </w:r>
      <w:r>
        <w:rPr>
          <w:rFonts w:eastAsia="Amiri" w:cs="Amiri" w:ascii="Amiri" w:hAnsi="Amiri"/>
          <w:color w:val="111111"/>
          <w:sz w:val="28"/>
          <w:szCs w:val="28"/>
          <w:rtl w:val="true"/>
          <w:lang w:bidi="ar-SA"/>
        </w:rPr>
        <w:t xml:space="preserve">. </w:t>
      </w:r>
      <w:bookmarkStart w:id="278" w:name="pg8631_95060"/>
    </w:p>
    <w:p>
      <w:pPr>
        <w:pStyle w:val="Heading5"/>
        <w:numPr>
          <w:ilvl w:val="4"/>
          <w:numId w:val="1"/>
        </w:numPr>
        <w:rPr/>
      </w:pPr>
      <w:bookmarkStart w:id="279" w:name="__RefHeading___Toc2193085_653776707"/>
      <w:bookmarkStart w:id="280" w:name="_Toc101"/>
      <w:bookmarkEnd w:id="278"/>
      <w:bookmarkEnd w:id="279"/>
      <w:r>
        <w:rPr>
          <w:rtl w:val="true"/>
        </w:rPr>
        <w:t>ثانياً</w:t>
      </w:r>
      <w:r>
        <w:rPr>
          <w:rtl w:val="true"/>
        </w:rPr>
        <w:t xml:space="preserve">: </w:t>
      </w:r>
      <w:r>
        <w:rPr>
          <w:rtl w:val="true"/>
        </w:rPr>
        <w:t>السنة الشريفة</w:t>
      </w:r>
      <w:r>
        <w:rPr>
          <w:rtl w:val="true"/>
        </w:rPr>
        <w:t>:</w:t>
      </w:r>
      <w:bookmarkEnd w:id="280"/>
    </w:p>
    <w:p>
      <w:pPr>
        <w:pStyle w:val="BookText"/>
        <w:rPr/>
      </w:pPr>
      <w:r>
        <w:rPr>
          <w:rFonts w:ascii="Amiri" w:hAnsi="Amiri" w:eastAsia="Amiri" w:cs="Amiri"/>
          <w:color w:val="111111"/>
          <w:sz w:val="28"/>
          <w:sz w:val="28"/>
          <w:szCs w:val="28"/>
          <w:rtl w:val="true"/>
          <w:lang w:bidi="ar-SA"/>
        </w:rPr>
        <w:t xml:space="preserve">فقد جاء في بعض الجوامع الحديثية مائة واثنان وعشرون رواية كلّها تدل على الحث والترغيب في التوبة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يدل على وجوب التوبة منها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العبد توبة نصوحاً أحبّه اللَّه فستر عليه في الدنيا والآخرة،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يستر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يُنسي ملكيه ما كتبا عليه من الذنوب، ويوحي إلى جوارحه أُكتمي عليه ذنوبه، ويوحي إلى بقاع الأرض أُكتمي ما كان يعمل عليك من الذنوب فيلقى اللَّه حين يلقاه وليس شي ء يشهد عليه بشي ء من الذنوب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إنّما تدل على حسن التوبة لا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أنّها تدل على الوجوب، فإنّ اكتساب محبة اللَّه تعالى ولا سيما بهذه الكيفية ممّا يقتضي اللزوم، لا أنّه حسن فقط، فدلالتها على الوجوب تامة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توبوا إلى اللَّه توبة نصوحاً</w:t>
      </w:r>
      <w:r>
        <w:rPr>
          <w:rFonts w:eastAsia="IRNazanin" w:cs="IRNazanin"/>
          <w:color w:val="111111"/>
          <w:sz w:val="28"/>
          <w:szCs w:val="28"/>
          <w:rtl w:val="true"/>
          <w:lang w:bidi="fa-IR"/>
        </w:rPr>
        <w:t xml:space="preserve">« </w:t>
      </w:r>
      <w:r>
        <w:rPr>
          <w:rStyle w:val="FootnoteAnchor"/>
          <w:rtl w:val="true"/>
        </w:rPr>
        <w:footnoteReference w:id="4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يتوب العبد من الذنب ثمّ لا يعود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عليّ فلمّا رأى مشّقته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من عباده المفتّن التوّاب</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وسند الرواية معتبر فإنّها قد وردت في كتاب عاصم بن حميد الحناط، وقد ذكرنا في محلّه أنّ روايات هذا الكتاب معتبرة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دلالتها فهي كالرواية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أحبّ عباد اللَّه إلى اللَّه المفتن المحسن التوّاب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إشكال في سند الرواية فإنّها واردة في كتاب الزهد للحسين بن سعيد، والطريق إليها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دلالتها فهي أوضح حيث ورد فيها التعبير أنّ من أحب عباد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عبيدة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أشدّ فرحاً بتوبة عبده من رجل أضلّ راحلته وزاده في ليلة ظلماء فوجدها، فاللَّه أشدّ فرحاً بتوبة عبده من ذلك الرجل براحلته حين وجدها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حيث السند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الدلالة واضحة لأنّه إذا كان اللَّه تعالى أشدّ فرحاً بتوبة عبده المؤمن ففيه دلالة على الوجوب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 الدلالة على الوجوب رواية ابن القدّاح،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يفرح بتوبة عبده المؤمن إذا تاب كما يفرح أحدكم بضالّته إذا وجدها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فإنّها كالرواية السابقة من حيث الدلالة، وأمّا من حيث السند ففي سندها سهل بن زياد، ولذلك جعلناها مؤيدة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رواية ابن أبي عمير </w:t>
      </w:r>
      <w:r>
        <w:rPr>
          <w:rStyle w:val="FootnoteAnchor"/>
          <w:rtl w:val="true"/>
        </w:rPr>
        <w:footnoteReference w:id="446"/>
      </w:r>
      <w:r>
        <w:rPr>
          <w:rFonts w:ascii="Amiri" w:hAnsi="Amiri" w:eastAsia="Amiri" w:cs="Amiri"/>
          <w:color w:val="111111"/>
          <w:sz w:val="28"/>
          <w:sz w:val="28"/>
          <w:szCs w:val="28"/>
          <w:rtl w:val="true"/>
          <w:lang w:bidi="ar-SA"/>
        </w:rPr>
        <w:t>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أعطى التائبين ثلاث خصال لو أعطى خصلة منها جميع أهل السماوات والأرض لنجوا بها،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فمن أحبّه اللَّه لم يعذّبه،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العرش ومن حوله يسبّحون بحمد ربّهم ويستغفرون للّذين آمنوا ربّنا وسعت كلّ شي ء رحمة وعلماً فاغفر للّذين تابوا واتّبعوا سبيلك وقهم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وأدخلهم جنّات عدن الّتي وعدتهم ومن صلح من آبائهم وأزواجهم وذرّيّاتهم إنّك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وقهم السيّئات ومن تق السيّئات يومئذ فقد رحمته وذلك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يدعون مع اللَّه إلهاً آخر</w:t>
      </w:r>
    </w:p>
    <w:p>
      <w:pPr>
        <w:pStyle w:val="BookText"/>
        <w:rPr/>
      </w:pPr>
      <w:r>
        <w:rPr>
          <w:rFonts w:ascii="Amiri" w:hAnsi="Amiri" w:eastAsia="Amiri" w:cs="Amiri"/>
          <w:color w:val="111111"/>
          <w:sz w:val="28"/>
          <w:sz w:val="28"/>
          <w:szCs w:val="28"/>
          <w:rtl w:val="true"/>
          <w:lang w:bidi="ar-SA"/>
        </w:rPr>
        <w:t xml:space="preserve">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w:t>
      </w:r>
    </w:p>
    <w:p>
      <w:pPr>
        <w:pStyle w:val="BookText"/>
        <w:rPr/>
      </w:pPr>
      <w:r>
        <w:rPr>
          <w:rFonts w:ascii="Amiri" w:hAnsi="Amiri" w:eastAsia="Amiri" w:cs="Amiri"/>
          <w:color w:val="111111"/>
          <w:sz w:val="28"/>
          <w:sz w:val="28"/>
          <w:szCs w:val="28"/>
          <w:rtl w:val="true"/>
          <w:lang w:bidi="ar-SA"/>
        </w:rPr>
        <w:t xml:space="preserve">القيامة ويخلدفيه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وعمل صالحاً فأولئك يبدّل اللَّه سيّئاتهم حسنات وكان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بما ذكر فيها من الخصال تدل على اللزوم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من حيث السند غير تامة لا للارسال فإنّ مرسلات ابن أبي عمير معتبرة كما حققناه </w:t>
      </w:r>
      <w:bookmarkStart w:id="281" w:name="pg8631_95063"/>
    </w:p>
    <w:p>
      <w:pPr>
        <w:pStyle w:val="BookText"/>
        <w:rPr/>
      </w:pPr>
      <w:bookmarkEnd w:id="281"/>
      <w:r>
        <w:rPr>
          <w:rFonts w:ascii="Amiri" w:hAnsi="Amiri" w:eastAsia="Amiri" w:cs="Amiri"/>
          <w:color w:val="111111"/>
          <w:sz w:val="28"/>
          <w:sz w:val="28"/>
          <w:szCs w:val="28"/>
          <w:rtl w:val="true"/>
          <w:lang w:bidi="ar-SA"/>
        </w:rPr>
        <w:t xml:space="preserve">في محلّه </w:t>
      </w:r>
      <w:r>
        <w:rPr>
          <w:rStyle w:val="FootnoteAnchor"/>
          <w:rtl w:val="true"/>
        </w:rPr>
        <w:footnoteReference w:id="450"/>
      </w:r>
      <w:r>
        <w:rPr>
          <w:rFonts w:ascii="Amiri" w:hAnsi="Amiri" w:eastAsia="Amiri" w:cs="Amiri"/>
          <w:color w:val="111111"/>
          <w:sz w:val="28"/>
          <w:sz w:val="28"/>
          <w:szCs w:val="28"/>
          <w:rtl w:val="true"/>
          <w:lang w:bidi="ar-SA"/>
        </w:rPr>
        <w:t>، وإنّما لأنّها 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دلالة الروايات على الوجوب ممّا لا إشكال فيها</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2193087_653776707"/>
      <w:bookmarkStart w:id="283" w:name="_Toc102"/>
      <w:bookmarkEnd w:id="282"/>
      <w:r>
        <w:rPr>
          <w:rtl w:val="true"/>
        </w:rPr>
        <w:t>ثالثاً</w:t>
      </w:r>
      <w:r>
        <w:rPr>
          <w:rtl w:val="true"/>
        </w:rPr>
        <w:t xml:space="preserve">: </w:t>
      </w:r>
      <w:r>
        <w:rPr>
          <w:rtl w:val="true"/>
        </w:rPr>
        <w:t>الإجماع</w:t>
      </w:r>
      <w:r>
        <w:rPr>
          <w:rtl w:val="true"/>
        </w:rPr>
        <w:t>:</w:t>
      </w:r>
      <w:bookmarkEnd w:id="283"/>
    </w:p>
    <w:p>
      <w:pPr>
        <w:pStyle w:val="BookText"/>
        <w:rPr/>
      </w:pPr>
      <w:r>
        <w:rPr>
          <w:rFonts w:ascii="Amiri" w:hAnsi="Amiri" w:eastAsia="Amiri" w:cs="Amiri"/>
          <w:color w:val="111111"/>
          <w:sz w:val="28"/>
          <w:sz w:val="28"/>
          <w:szCs w:val="28"/>
          <w:rtl w:val="true"/>
          <w:lang w:bidi="ar-SA"/>
        </w:rPr>
        <w:t xml:space="preserve">ادعاه غير واحد من الأعلام، كصاحب الذخيرة </w:t>
      </w:r>
      <w:r>
        <w:rPr>
          <w:rStyle w:val="FootnoteAnchor"/>
          <w:rtl w:val="true"/>
        </w:rPr>
        <w:footnoteReference w:id="451"/>
      </w:r>
      <w:r>
        <w:rPr>
          <w:rFonts w:ascii="Amiri" w:hAnsi="Amiri" w:eastAsia="Amiri" w:cs="Amiri"/>
          <w:color w:val="111111"/>
          <w:sz w:val="28"/>
          <w:sz w:val="28"/>
          <w:szCs w:val="28"/>
          <w:rtl w:val="true"/>
          <w:lang w:bidi="ar-SA"/>
        </w:rPr>
        <w:t xml:space="preserve">، والعلّامة المجلسي في المرآة </w:t>
      </w:r>
      <w:r>
        <w:rPr>
          <w:rStyle w:val="FootnoteAnchor"/>
          <w:rtl w:val="true"/>
        </w:rPr>
        <w:footnoteReference w:id="452"/>
      </w:r>
      <w:r>
        <w:rPr>
          <w:rFonts w:ascii="Amiri" w:hAnsi="Amiri" w:eastAsia="Amiri" w:cs="Amiri"/>
          <w:color w:val="111111"/>
          <w:sz w:val="28"/>
          <w:sz w:val="28"/>
          <w:szCs w:val="28"/>
          <w:rtl w:val="true"/>
          <w:lang w:bidi="ar-SA"/>
        </w:rPr>
        <w:t xml:space="preserve">، والنراقي في جامع السعادات </w:t>
      </w:r>
      <w:r>
        <w:rPr>
          <w:rStyle w:val="FootnoteAnchor"/>
          <w:rtl w:val="true"/>
        </w:rPr>
        <w:footnoteReference w:id="453"/>
      </w:r>
      <w:r>
        <w:rPr>
          <w:rFonts w:ascii="Amiri" w:hAnsi="Amiri" w:eastAsia="Amiri" w:cs="Amiri"/>
          <w:color w:val="111111"/>
          <w:sz w:val="28"/>
          <w:sz w:val="28"/>
          <w:szCs w:val="28"/>
          <w:rtl w:val="true"/>
          <w:lang w:bidi="ar-SA"/>
        </w:rPr>
        <w:t xml:space="preserve">، بل ادعي إجماع الأمة على ذلك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2193089_653776707"/>
      <w:bookmarkStart w:id="285" w:name="_Toc103"/>
      <w:bookmarkEnd w:id="284"/>
      <w:r>
        <w:rPr>
          <w:rtl w:val="true"/>
        </w:rPr>
        <w:t>رابعاً</w:t>
      </w:r>
      <w:r>
        <w:rPr>
          <w:rtl w:val="true"/>
        </w:rPr>
        <w:t xml:space="preserve">: </w:t>
      </w:r>
      <w:r>
        <w:rPr>
          <w:rtl w:val="true"/>
        </w:rPr>
        <w:t>العقل</w:t>
      </w:r>
      <w:r>
        <w:rPr>
          <w:rtl w:val="true"/>
        </w:rPr>
        <w:t>:</w:t>
      </w:r>
      <w:bookmarkEnd w:id="285"/>
    </w:p>
    <w:p>
      <w:pPr>
        <w:pStyle w:val="BookText"/>
        <w:rPr/>
      </w:pPr>
      <w:r>
        <w:rPr>
          <w:rFonts w:ascii="Amiri" w:hAnsi="Amiri" w:eastAsia="Amiri" w:cs="Amiri"/>
          <w:color w:val="111111"/>
          <w:sz w:val="28"/>
          <w:sz w:val="28"/>
          <w:szCs w:val="28"/>
          <w:rtl w:val="true"/>
          <w:lang w:bidi="ar-SA"/>
        </w:rPr>
        <w:t>ويمكن تقريب دلالته على الوجوب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يحكم بوجوب دفع الضرر المحتمل وهو العقاب الأخروي، وهذا الحكم ممّا تسالم عليه الفقهاء وإن ناقش فيه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أفاد أنّ العقل ليس له حكم في ذلك بمعنى المدح والذم على فعل ما ينبغي فعله أو تركه، بل هو أمر جبلي فطري وقد بيّنا ذلك في محلّه من علم الأصول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يحكم بوجوب رفع الموانع عن البلوغ إلى المراتب العالية من الكمال الّتي خلق الإنسان لأجلها، فإنّه مع وجود هذه الموانع من المعاصي </w:t>
      </w:r>
    </w:p>
    <w:p>
      <w:pPr>
        <w:pStyle w:val="BookText"/>
        <w:rPr/>
      </w:pPr>
      <w:r>
        <w:rPr>
          <w:rFonts w:ascii="Amiri" w:hAnsi="Amiri" w:eastAsia="Amiri" w:cs="Amiri"/>
          <w:color w:val="111111"/>
          <w:sz w:val="28"/>
          <w:sz w:val="28"/>
          <w:szCs w:val="28"/>
          <w:rtl w:val="true"/>
          <w:lang w:bidi="ar-SA"/>
        </w:rPr>
        <w:t>ورذائل السيّئات لا يمكن الوصول إلى تلك المراتب قطعاً فيجب رفعها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يحكم بوجوب اكتساب المنافع العظيمة والمصالح الملزمة للبلوغ إلى مستقر الكرامة وتحصيل رضا اللَّه تعالى،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وأيّ مصلحة أعظم من أن يكون العبد محبوباً للَّه تعالى، وقد ورد في كثير من الأدعية الواردة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تمني الدخول في زمرة التوابين حتى من المؤمنين والصلحاء، ومنه يعلم أنّ التوبة كما أنّها تستوجب التخلي عن المعاصي والرذائل كذلك تستوجب علو الدرجات ونيل حب اللَّه تعالى، فللتوبة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سلبية، والأخرى إيجابية، ولذلك قسموا التوبة إلى خمسة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من الشرك، وقد ورد أنّ 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العوام، وهي الرجوع إلى اللَّه عن المعاصي والسيّئات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الخواص، وهي التوبة عن رذائل الصفات الّتي تكون منشأ للمعاصي والسيئات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خواص الخواص، وهي التوبة عمّا لا ينبغي فعله أو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أخص الخواص، وهي التوبة عن التوجه لغير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للتوبة درجات وهي من المقامات العالية، مضافاً إلى أنّها رافعة للسيّئات والذنوب، والعقل يحكم بوجوبها على ما مرّ بيانه من التقريبات الثلاثة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فما ورد من الآيات والروايات وإن كانت تامة الدلالة إلاّ أنّها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إرشادات وتأكيدات لحكم العقل لا أنّها تفيد حكماً مولوياً، إذ يلزم منه العقاب على تركها لكونه معصية فيجب التوبة عنها وهكذا ولازم ذلك التسلسل</w:t>
      </w:r>
      <w:r>
        <w:rPr>
          <w:rFonts w:eastAsia="Amiri" w:cs="Amiri" w:ascii="Amiri" w:hAnsi="Amiri"/>
          <w:color w:val="111111"/>
          <w:sz w:val="28"/>
          <w:szCs w:val="28"/>
          <w:rtl w:val="true"/>
          <w:lang w:bidi="ar-SA"/>
        </w:rPr>
        <w:t xml:space="preserve">. </w:t>
      </w:r>
      <w:bookmarkStart w:id="286" w:name="pg8631_95066"/>
    </w:p>
    <w:p>
      <w:pPr>
        <w:pStyle w:val="Heading4"/>
        <w:numPr>
          <w:ilvl w:val="3"/>
          <w:numId w:val="1"/>
        </w:numPr>
        <w:rPr/>
      </w:pPr>
      <w:bookmarkStart w:id="287" w:name="__RefHeading___Toc2193091_653776707"/>
      <w:bookmarkStart w:id="288" w:name="_Toc104"/>
      <w:bookmarkEnd w:id="286"/>
      <w:bookmarkEnd w:id="287"/>
      <w:r>
        <w:rPr>
          <w:rtl w:val="true"/>
        </w:rPr>
        <w:t>الجهة الثالثة</w:t>
      </w:r>
      <w:r>
        <w:rPr>
          <w:rtl w:val="true"/>
        </w:rPr>
        <w:t xml:space="preserve">: </w:t>
      </w:r>
      <w:r>
        <w:rPr>
          <w:rtl w:val="true"/>
        </w:rPr>
        <w:t>الحكم الوضعي للتوبة</w:t>
      </w:r>
      <w:bookmarkEnd w:id="288"/>
    </w:p>
    <w:p>
      <w:pPr>
        <w:pStyle w:val="Heading5"/>
        <w:numPr>
          <w:ilvl w:val="4"/>
          <w:numId w:val="1"/>
        </w:numPr>
        <w:rPr/>
      </w:pPr>
      <w:bookmarkStart w:id="289" w:name="__RefHeading___Toc2193093_653776707"/>
      <w:bookmarkStart w:id="290" w:name="_Toc105"/>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 xml:space="preserve">وفيها مسألتان </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2193095_653776707"/>
      <w:bookmarkStart w:id="292" w:name="_Toc106"/>
      <w:bookmarkEnd w:id="291"/>
      <w:r>
        <w:rPr>
          <w:rtl w:val="true"/>
        </w:rPr>
        <w:t>المسألة الأولى</w:t>
      </w:r>
      <w:r>
        <w:rPr>
          <w:rtl w:val="true"/>
        </w:rPr>
        <w:t>:</w:t>
      </w:r>
      <w:bookmarkEnd w:id="292"/>
    </w:p>
    <w:p>
      <w:pPr>
        <w:pStyle w:val="BookText"/>
        <w:rPr/>
      </w:pPr>
      <w:r>
        <w:rPr>
          <w:rFonts w:ascii="Amiri" w:hAnsi="Amiri" w:eastAsia="Amiri" w:cs="Amiri"/>
          <w:color w:val="111111"/>
          <w:sz w:val="28"/>
          <w:sz w:val="28"/>
          <w:szCs w:val="28"/>
          <w:rtl w:val="true"/>
          <w:lang w:bidi="ar-SA"/>
        </w:rPr>
        <w:t xml:space="preserve">لا إشكال في رجوع العدالة بالتوبة، بل ادعى جماعة من المتأخرين الإجماع عليه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رجوع العدالة بعد التوبة هل هو فوري بحيث لا يحتاج إلى مدة قصيرة أو طويلة لترسخ الملكة بناء على القول بأنّ العدالة ملكة، أو ليتحقق كون المكلف على جادة الشرع أو ليثبت كونه على ظاهر العدالة بناء على القول بعدم الملكة؟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المفتاح أن في المسألة مذاهب ثلاثة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بتكرار ظهور التوبة ومجرد استمرار ما على التوبة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إصلاح العمل وأنّه يكفي في ذلك عمل صالح ولو ذكر أو </w:t>
      </w:r>
    </w:p>
    <w:p>
      <w:pPr>
        <w:pStyle w:val="BookText"/>
        <w:rPr/>
      </w:pP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الاكتفاء بمجرد إظهار التوبة بل لابدّ من الاختبار مدة يغلب معه الظن بأنّه أصلح سريرته وأنّه صادق في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الأشهر عندهم واكتفى الشيخ في المبسوط في قبول الشهادة بإظهار التوبة عقيب قول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أقبل شهادتك، وهو الّذي يعطيه كلام السرائر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الآيات والروايات أنّه بمجرد التوبة واقعاً تعود العدالة مع ثبوتها قبل ذلك لأنّ التائب من الذنب كمن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بأنّ الملكة كيف تعود بعد زوالها بمجرد التوبة في غير محلّه، لأنّه مجرد استبعاد في مقابل الدليل ولعلّها لم ترتفع من أصلها بل قد تكون هي السبب للتوبة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بأصل الثبوت عند التوبة لا بأس به، هذا بالنسبة إلى نفس التائب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الغير فإن تيقن أو اطمأن بذلك فهو وله أن يرتب آثار العدالة عليه، وإن لم يطمئن فلابدّ من مضي مدة يحرز فيها صلاحه وستره أو غيرهما من الطرق حتى يثبت عنده أنّه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كون التائب متصفاً بالعدالة في الواقع</w:t>
      </w:r>
      <w:r>
        <w:rPr>
          <w:rFonts w:eastAsia="Amiri" w:cs="Amiri" w:ascii="Amiri" w:hAnsi="Amiri"/>
          <w:color w:val="111111"/>
          <w:sz w:val="28"/>
          <w:szCs w:val="28"/>
          <w:rtl w:val="true"/>
          <w:lang w:bidi="ar-SA"/>
        </w:rPr>
        <w:t xml:space="preserve">. </w:t>
      </w:r>
      <w:bookmarkStart w:id="293" w:name="pg8631_95068"/>
    </w:p>
    <w:p>
      <w:pPr>
        <w:pStyle w:val="Heading5"/>
        <w:numPr>
          <w:ilvl w:val="4"/>
          <w:numId w:val="1"/>
        </w:numPr>
        <w:rPr/>
      </w:pPr>
      <w:bookmarkStart w:id="294" w:name="__RefHeading___Toc2193097_653776707"/>
      <w:bookmarkStart w:id="295" w:name="_Toc107"/>
      <w:bookmarkEnd w:id="293"/>
      <w:bookmarkEnd w:id="294"/>
      <w:r>
        <w:rPr>
          <w:rtl w:val="true"/>
        </w:rPr>
        <w:t>المسألة الثانية</w:t>
      </w:r>
      <w:r>
        <w:rPr>
          <w:rtl w:val="true"/>
        </w:rPr>
        <w:t>:</w:t>
      </w:r>
      <w:bookmarkEnd w:id="295"/>
    </w:p>
    <w:p>
      <w:pPr>
        <w:pStyle w:val="BookText"/>
        <w:rPr/>
      </w:pPr>
      <w:r>
        <w:rPr>
          <w:rFonts w:ascii="Amiri" w:hAnsi="Amiri" w:eastAsia="Amiri" w:cs="Amiri"/>
          <w:color w:val="111111"/>
          <w:sz w:val="28"/>
          <w:sz w:val="28"/>
          <w:szCs w:val="28"/>
          <w:rtl w:val="true"/>
          <w:lang w:bidi="ar-SA"/>
        </w:rPr>
        <w:t xml:space="preserve">الظاهر تسالم الأصحاب على أن القاذف إذا تاب وزال فسقه تقبل شهادته بل ادعي الاجماع على ذلك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اختلفوا في أنّه هل يعتبر إضافة على التوبة ظهور عمل صالح منه أو لا؟</w:t>
      </w:r>
    </w:p>
    <w:p>
      <w:pPr>
        <w:pStyle w:val="BookText"/>
        <w:rPr/>
      </w:pPr>
      <w:r>
        <w:rPr>
          <w:rFonts w:ascii="Amiri" w:hAnsi="Amiri" w:eastAsia="Amiri" w:cs="Amiri"/>
          <w:color w:val="111111"/>
          <w:sz w:val="28"/>
          <w:sz w:val="28"/>
          <w:szCs w:val="28"/>
          <w:rtl w:val="true"/>
          <w:lang w:bidi="ar-SA"/>
        </w:rPr>
        <w:t xml:space="preserve">والظاهر من الشيخ في الخلاف اعتبار ذلك </w:t>
      </w:r>
      <w:r>
        <w:rPr>
          <w:rStyle w:val="FootnoteAnchor"/>
          <w:rtl w:val="true"/>
        </w:rPr>
        <w:footnoteReference w:id="460"/>
      </w:r>
      <w:r>
        <w:rPr>
          <w:rFonts w:ascii="Amiri" w:hAnsi="Amiri" w:eastAsia="Amiri" w:cs="Amiri"/>
          <w:color w:val="111111"/>
          <w:sz w:val="28"/>
          <w:sz w:val="28"/>
          <w:szCs w:val="28"/>
          <w:rtl w:val="true"/>
          <w:lang w:bidi="ar-SA"/>
        </w:rPr>
        <w:t xml:space="preserve">وكذا من ابن شهرآشوب في متشابه القرآن </w:t>
      </w:r>
      <w:r>
        <w:rPr>
          <w:rStyle w:val="FootnoteAnchor"/>
          <w:rtl w:val="true"/>
        </w:rPr>
        <w:footnoteReference w:id="461"/>
      </w:r>
      <w:r>
        <w:rPr>
          <w:rFonts w:ascii="Amiri" w:hAnsi="Amiri" w:eastAsia="Amiri" w:cs="Amiri"/>
          <w:color w:val="111111"/>
          <w:sz w:val="28"/>
          <w:sz w:val="28"/>
          <w:szCs w:val="28"/>
          <w:rtl w:val="true"/>
          <w:lang w:bidi="ar-SA"/>
        </w:rPr>
        <w:t xml:space="preserve">والمحقّق الثاني في جامع المقاصد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إلى ظاهر الغنية والاصباح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w:t>
      </w:r>
      <w:r>
        <w:rPr>
          <w:rStyle w:val="FootnoteAnchor"/>
          <w:rtl w:val="true"/>
        </w:rPr>
        <w:footnoteReference w:id="464"/>
      </w:r>
      <w:r>
        <w:rPr>
          <w:rFonts w:ascii="IRNazanin" w:hAnsi="IRNazanin" w:eastAsia="IRNazanin"/>
          <w:color w:val="111111"/>
          <w:sz w:val="28"/>
          <w:sz w:val="28"/>
          <w:szCs w:val="28"/>
          <w:rtl w:val="true"/>
          <w:lang w:bidi="fa-IR"/>
        </w:rPr>
        <w:t xml:space="preserve">والسرائر </w:t>
      </w:r>
      <w:r>
        <w:rPr>
          <w:rStyle w:val="FootnoteAnchor"/>
          <w:rtl w:val="true"/>
        </w:rPr>
        <w:footnoteReference w:id="465"/>
      </w:r>
      <w:r>
        <w:rPr>
          <w:rFonts w:ascii="Amiri" w:hAnsi="Amiri" w:eastAsia="Amiri" w:cs="Amiri"/>
          <w:color w:val="111111"/>
          <w:sz w:val="28"/>
          <w:sz w:val="28"/>
          <w:szCs w:val="28"/>
          <w:rtl w:val="true"/>
          <w:lang w:bidi="ar-SA"/>
        </w:rPr>
        <w:t>إذا كان القذف قذف سب لا قذف شهادة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عن النهاية </w:t>
      </w:r>
      <w:r>
        <w:rPr>
          <w:rStyle w:val="FootnoteAnchor"/>
          <w:rtl w:val="true"/>
        </w:rPr>
        <w:footnoteReference w:id="466"/>
      </w:r>
      <w:r>
        <w:rPr>
          <w:rFonts w:ascii="IRNazanin" w:hAnsi="IRNazanin" w:eastAsia="IRNazanin"/>
          <w:color w:val="111111"/>
          <w:sz w:val="28"/>
          <w:sz w:val="28"/>
          <w:szCs w:val="28"/>
          <w:rtl w:val="true"/>
          <w:lang w:bidi="fa-IR"/>
        </w:rPr>
        <w:t xml:space="preserve">والمقنع </w:t>
      </w:r>
      <w:r>
        <w:rPr>
          <w:rStyle w:val="FootnoteAnchor"/>
          <w:rtl w:val="true"/>
        </w:rPr>
        <w:footnoteReference w:id="467"/>
      </w:r>
      <w:r>
        <w:rPr>
          <w:rFonts w:ascii="Amiri" w:hAnsi="Amiri" w:eastAsia="Amiri" w:cs="Amiri"/>
          <w:color w:val="111111"/>
          <w:sz w:val="28"/>
          <w:sz w:val="28"/>
          <w:szCs w:val="28"/>
          <w:rtl w:val="true"/>
          <w:lang w:bidi="ar-SA"/>
        </w:rPr>
        <w:t xml:space="preserve">والوسيلة </w:t>
      </w:r>
      <w:r>
        <w:rPr>
          <w:rStyle w:val="FootnoteAnchor"/>
          <w:rtl w:val="true"/>
        </w:rPr>
        <w:footnoteReference w:id="468"/>
      </w:r>
      <w:r>
        <w:rPr>
          <w:rFonts w:ascii="IRNazanin" w:hAnsi="IRNazanin" w:eastAsia="IRNazanin"/>
          <w:color w:val="111111"/>
          <w:sz w:val="28"/>
          <w:sz w:val="28"/>
          <w:szCs w:val="28"/>
          <w:rtl w:val="true"/>
          <w:lang w:bidi="fa-IR"/>
        </w:rPr>
        <w:t xml:space="preserve">عدم الاعتبار، واستقربه </w:t>
      </w:r>
    </w:p>
    <w:p>
      <w:pPr>
        <w:pStyle w:val="BookText"/>
        <w:rPr/>
      </w:pPr>
      <w:r>
        <w:rPr>
          <w:rFonts w:ascii="Amiri" w:hAnsi="Amiri" w:eastAsia="Amiri" w:cs="Amiri"/>
          <w:color w:val="111111"/>
          <w:sz w:val="28"/>
          <w:sz w:val="28"/>
          <w:szCs w:val="28"/>
          <w:rtl w:val="true"/>
          <w:lang w:bidi="ar-SA"/>
        </w:rPr>
        <w:t xml:space="preserve">المحقّق </w:t>
      </w:r>
      <w:r>
        <w:rPr>
          <w:rStyle w:val="FootnoteAnchor"/>
          <w:rtl w:val="true"/>
        </w:rPr>
        <w:footnoteReference w:id="469"/>
      </w:r>
      <w:r>
        <w:rPr>
          <w:rFonts w:ascii="IRNazanin" w:hAnsi="IRNazanin" w:eastAsia="IRNazanin"/>
          <w:color w:val="111111"/>
          <w:sz w:val="28"/>
          <w:sz w:val="28"/>
          <w:szCs w:val="28"/>
          <w:rtl w:val="true"/>
          <w:lang w:bidi="fa-IR"/>
        </w:rPr>
        <w:t xml:space="preserve">وصاحب الجواهر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القاذف إذا تاب وصلح قبلت توبته، وزال فسقه بلا خلاف، وتقبل عندنا شهادته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 أنّه جلد أبا بكرة حين شهد على المغيرة بالزنا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تقبل شهادتك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القاذف قبلت شهادته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مخالف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طائفة إلى أنّها تسقط، فلا تقبل أبداً، ذهب إليه في التابعين شريح، والحسن البصري، والنخعي، والثوري، وأبو حنيفة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أنّه ترد شهادته بمجرد القذف ولا يعتبر الجلد وتقبل شهادته بالتوبة مع انضمامها إلى إصلاح العمل واستدل بإجماع الفرقة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الخلاف هو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يرمون المحصنات ثمّ لم يأتوا بأربعة شهداء فاجلدوهم ثمانين جلدةً ولا تقبلوا لهم شهادةً أبداً وأولئك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بعد ذلك وأصلحوا فإنّ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هو عطف تفسير أو جملة مستأنفة وقيد زائد على التوبة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المستفاد من الروايات الواردة في المقام أنّه تفسير للتوبة ولا يعتبر شي ء زائد عليها وأنّ التوبة واستمرارها 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القاذف بعد ما يقام عليه الحدّ ما توبته؟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يكذّب نفسه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أكذب نفسه وتاب أتقبل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القاسم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يقذف الرجل فيجلد حداً ، ثمّ يتوب ولا يعلم منه إلاّ خيراً، أتجوز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يقال عندكم؟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توبته فيما بينه وبين اللَّه، ولا تقبل شهادته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قالوا 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تاب ولم يعلم منه إلاّ خير جازت شهادته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حيث السند معتبرة فإنّ القاسم بن سليمان وإن لم يرد فيه توثيق إلاّ أنّه واقع في أسناد القسم الأوّل من تفسير علي بن إبراهيم القمي فيكون مشمولاً بالتوثيق على ما بينّاه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وغيرهما من الروايات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شهادة القاذف تقبل بمجرد التوبة وليس هناك ما يدل على اشتراط أمر آخر</w:t>
      </w:r>
      <w:r>
        <w:rPr>
          <w:rFonts w:eastAsia="Amiri" w:cs="Amiri" w:ascii="Amiri" w:hAnsi="Amiri"/>
          <w:color w:val="111111"/>
          <w:sz w:val="28"/>
          <w:szCs w:val="28"/>
          <w:rtl w:val="true"/>
          <w:lang w:bidi="ar-SA"/>
        </w:rPr>
        <w:t xml:space="preserve">. </w:t>
      </w:r>
      <w:bookmarkStart w:id="296" w:name="pg8631_95071"/>
    </w:p>
    <w:p>
      <w:pPr>
        <w:pStyle w:val="Heading3"/>
        <w:numPr>
          <w:ilvl w:val="2"/>
          <w:numId w:val="1"/>
        </w:numPr>
        <w:rPr/>
      </w:pPr>
      <w:bookmarkStart w:id="297" w:name="__RefHeading___Toc2193099_653776707"/>
      <w:bookmarkStart w:id="298" w:name="_Toc108"/>
      <w:bookmarkEnd w:id="296"/>
      <w:bookmarkEnd w:id="297"/>
      <w:r>
        <w:rPr>
          <w:rtl w:val="true"/>
        </w:rPr>
        <w:t>المقام الرابع</w:t>
      </w:r>
      <w:r>
        <w:rPr>
          <w:rtl w:val="true"/>
        </w:rPr>
        <w:t>:</w:t>
      </w:r>
      <w:bookmarkEnd w:id="298"/>
    </w:p>
    <w:p>
      <w:pPr>
        <w:pStyle w:val="Heading4"/>
        <w:numPr>
          <w:ilvl w:val="3"/>
          <w:numId w:val="1"/>
        </w:numPr>
        <w:rPr/>
      </w:pPr>
      <w:bookmarkStart w:id="299" w:name="__RefHeading___Toc2193101_653776707"/>
      <w:bookmarkStart w:id="300" w:name="_Toc109"/>
      <w:bookmarkEnd w:id="299"/>
      <w:r>
        <w:rPr>
          <w:rtl w:val="true"/>
        </w:rPr>
        <w:t>طرق ثبوت العدالة</w:t>
      </w:r>
      <w:bookmarkEnd w:id="300"/>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شهادة عادل واحد قولاً وفعلاً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مع عدم ظهور الفسق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الظن بالعدالة</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8631_95073"/>
      <w:bookmarkStart w:id="302" w:name="pg8631_95073"/>
      <w:bookmarkEnd w:id="302"/>
    </w:p>
    <w:p>
      <w:pPr>
        <w:pStyle w:val="Heading4"/>
        <w:numPr>
          <w:ilvl w:val="3"/>
          <w:numId w:val="1"/>
        </w:numPr>
        <w:rPr/>
      </w:pPr>
      <w:bookmarkStart w:id="303" w:name="pg8631_95073"/>
      <w:bookmarkStart w:id="304" w:name="__RefHeading___Toc2193103_653776707"/>
      <w:bookmarkStart w:id="305" w:name="_Toc110"/>
      <w:bookmarkEnd w:id="303"/>
      <w:bookmarkEnd w:id="304"/>
      <w:r>
        <w:rPr>
          <w:rtl w:val="true"/>
        </w:rPr>
        <w:t>طرق ثبوت العدالة</w:t>
      </w:r>
      <w:bookmarkEnd w:id="305"/>
    </w:p>
    <w:p>
      <w:pPr>
        <w:pStyle w:val="Heading5"/>
        <w:numPr>
          <w:ilvl w:val="4"/>
          <w:numId w:val="1"/>
        </w:numPr>
        <w:rPr/>
      </w:pPr>
      <w:bookmarkStart w:id="306" w:name="__RefHeading___Toc2193105_653776707"/>
      <w:bookmarkStart w:id="307" w:name="_Toc111"/>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وقد ذكرت ستة طرق لذلك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البيّنة، وهي شهادة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شهادة عادل واحد قولاً وفعلاً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مع عدم ظهور الفسق</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مطلق الظن بالعدالة</w:t>
      </w:r>
      <w:r>
        <w:rPr>
          <w:rFonts w:eastAsia="Amiri" w:cs="Amiri" w:ascii="Amiri" w:hAnsi="Amiri"/>
          <w:color w:val="111111"/>
          <w:sz w:val="28"/>
          <w:szCs w:val="28"/>
          <w:rtl w:val="true"/>
          <w:lang w:bidi="ar-SA"/>
        </w:rPr>
        <w:t xml:space="preserve">. </w:t>
      </w:r>
      <w:bookmarkStart w:id="308" w:name="pg8631_95074"/>
    </w:p>
    <w:p>
      <w:pPr>
        <w:pStyle w:val="Heading5"/>
        <w:numPr>
          <w:ilvl w:val="4"/>
          <w:numId w:val="1"/>
        </w:numPr>
        <w:rPr/>
      </w:pPr>
      <w:bookmarkStart w:id="309" w:name="__RefHeading___Toc2193107_653776707"/>
      <w:bookmarkStart w:id="310" w:name="_Toc112"/>
      <w:bookmarkEnd w:id="308"/>
      <w:bookmarkEnd w:id="309"/>
      <w:r>
        <w:rPr>
          <w:rtl w:val="true"/>
        </w:rPr>
        <w:t>الطريق الأوّل</w:t>
      </w:r>
      <w:r>
        <w:rPr>
          <w:rtl w:val="true"/>
        </w:rPr>
        <w:t xml:space="preserve">: </w:t>
      </w:r>
      <w:r>
        <w:rPr>
          <w:rtl w:val="true"/>
        </w:rPr>
        <w:t>حسن الظاهر</w:t>
      </w:r>
      <w:bookmarkEnd w:id="310"/>
    </w:p>
    <w:p>
      <w:pPr>
        <w:pStyle w:val="Heading6"/>
        <w:numPr>
          <w:ilvl w:val="5"/>
          <w:numId w:val="1"/>
        </w:numPr>
        <w:rPr/>
      </w:pPr>
      <w:bookmarkStart w:id="311" w:name="__RefHeading___Toc2193109_653776707"/>
      <w:bookmarkStart w:id="312" w:name="_Toc113"/>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فهو المشهور بين الفقهاء، إلاّ أنّه هل يعتبر فيه المعاشرة أو لا؟ وهل هو مقيد بإفادته العلم أو الظن أو أنّه طريق لثبوت العدالة وإن لم يفد علماً أو ظناً؟</w:t>
      </w:r>
    </w:p>
    <w:p>
      <w:pPr>
        <w:pStyle w:val="BookText"/>
        <w:rPr/>
      </w:pPr>
      <w:r>
        <w:rPr>
          <w:rFonts w:ascii="Amiri" w:hAnsi="Amiri" w:eastAsia="Amiri" w:cs="Amiri"/>
          <w:color w:val="111111"/>
          <w:sz w:val="28"/>
          <w:sz w:val="28"/>
          <w:szCs w:val="28"/>
          <w:rtl w:val="true"/>
          <w:lang w:bidi="ar-SA"/>
        </w:rPr>
        <w:t>أمّا أصل كونه طريقاً لثبوت العدالة فيمكن الاستدلال عليه بعدّة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أبي يعفور المتقدمة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والدلالة على ذلك كلّه أن يكون ساتراً لجميع عيوبه حتى يحرم على المسلمين ما وراء ذلك من عثراته وعيوبه وتفتيش ما وراء ذلك ويجب عليهم تزكيته وإظهار عدالته في الناس ويكون منه التعاهد للصلوات الخمس إذا واظب عليهن وحفظ مواقيتهن بحضور جماعة من المسلمين وأن لا يتخلف عن جماعتهم في مصلاهم إلاّ من علّة فإذا كان كذلك لازماً لمصلاه عند حضور الصلوات الخمس فإذا سئل عنه في قبيلته ومحلته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منه إلاّ خيراً مواظباً على الصلوات متعاهداً لأوقاتها في مصلاه فإنّ ذلك يجيز شهادته وعدالته بين المسلمين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صريحة في كفاية حسن الظاهر، وأنّه طريق لثبوت العدالة الّتي </w:t>
      </w:r>
    </w:p>
    <w:p>
      <w:pPr>
        <w:pStyle w:val="BookText"/>
        <w:rPr/>
      </w:pPr>
      <w:r>
        <w:rPr>
          <w:rFonts w:ascii="IRNazanin" w:hAnsi="IRNazanin" w:eastAsia="IRNazanin"/>
          <w:color w:val="111111"/>
          <w:sz w:val="28"/>
          <w:sz w:val="28"/>
          <w:szCs w:val="28"/>
          <w:rtl w:val="true"/>
          <w:lang w:bidi="fa-IR"/>
        </w:rPr>
        <w:t xml:space="preserve">عرّفها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صدر الرواية، وأنّ مجرد الستر بالنسبة للمحرّمات، وحضور الجماعة في أوقات الصلوات بالنسبة للواجبات يكفيان في تحقق حسن الظاهر، وهما علامتان على العدالة مع أنّه من المعلوم أنّه لا ملازمة بين العدالة وبينهما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ذكر الاهتمام بحضور الجماعة وتعاهد أوقات الصلوات للدلالة على اتيانه بالصلاة وأنّه لا يترك الواجب، وإلاّ فلا خصوصية في الحضور فإنّه مستحب بلا إشكال وليس بواجب، إلاّ أن يوجب ترك الحضور التهاون فيجب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ادعي اتفاق الفقهاء على عدم اعتبار الحضور في ثبوت العدالة، وإن كان المحدّث صاحب الحدائق رحمه الله تبعاً للمحدّث الشيخ عبد اللَّه البحراني رحمه الله تمسك بظاهر الصحيحة واشترط حضور الجماعة في اتصاف الشخص بالعدالة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الرواية تامة كما أنّ سندها 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الأمر إلينا لأجزنا شهادة الرجل إذا علم منه خير مع يمين الخصم في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الدلالة فإنّ مجرد العلم بأنّ الرجل يعمل خيراً كالاتيان بالواجبات من الصلاة والصوم وأمثالهما يوجب قبول شهادته وهو عبارة أخرى عن حسن الظاهر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الكريم بن أبي يعفور،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شهادة المرأة والنسوة إذا كنّ مستورات من أهل البيوتات، معروفات بالستر </w:t>
      </w:r>
    </w:p>
    <w:p>
      <w:pPr>
        <w:pStyle w:val="BookText"/>
        <w:rPr/>
      </w:pPr>
      <w:r>
        <w:rPr>
          <w:rFonts w:ascii="Amiri" w:hAnsi="Amiri" w:eastAsia="Amiri" w:cs="Amiri"/>
          <w:color w:val="111111"/>
          <w:sz w:val="28"/>
          <w:sz w:val="28"/>
          <w:szCs w:val="28"/>
          <w:rtl w:val="true"/>
          <w:lang w:bidi="ar-SA"/>
        </w:rPr>
        <w:t xml:space="preserve">والعفاف، مطيعات للأزواج، تاركات للبذاء والتبرّج إلى الرجال في أنديتهم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واضحة الدلالة على كفاية حسن الظاهر في قبول الشهادة إلاّ أنّها من حيث السند غير تامة فإنّ عبد الكريم بن أبي يعفور وإن كان أخاً لعبد اللَّه بن أبي يعفور إلاّ أنّه لم يرد فيه توثيق فتكون مؤيدة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الناس فلم يظلمهم ، وحدّثهم فلم يكذبهم، ووعدهم فلم يخلفهم، كان ممّن حرمت غيبته وكملت مروّته وظهر عدله، ووجبت أخوته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من حيث الدلالة واضحة فإنّ هذه الخصال الثلاث من عدم الظلم في المعاملة وعدم الكذب في الحديث وعدم الخلف في الوعد لا توجب إلاّ حسن الظاهر ولا تفيد العلم بالملكة، لأن السيئات كثيرة ولا تنحصر في هذه الخصال الثلاث فربّ شخص يستقبح الظلم والكذب وخلف الوعد ولكنّه لا يصلي ولا يصوم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جهة السند تامة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اللَّه بن أحمد بن عامر الطائي، عن أبيه، عن الرّضا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الناس فلم يظلمهم، وحدّثهم فلم يكذبهم، ووعدهم فلم يخلفهم، فهو ممّن كملت مروءته وظهرت عدالته، ووجبت أخوّته وحرمت غيبته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بمضمون الرواية السابقة، إلاّ أنّها من حيث السند غير تامة فتكون مؤيدة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إبراهيم بن زياد الكرخي، 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خمس صلوات في اليوم والليلة في جماعة فظنّوا به خيراً، وأجيزوا شهادته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حيث الدلالة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حيث السند فقد أشكل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بأنّها ضعيفة بعدّة مجاهيل، وهم جعفر بن محمّد بن مسرور، والحسين بن محمّد بن عامر، وعمه عبد اللَّه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أنّهم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جعفر بن محمّد بن مسرور، فقد احتمل الوحيد في تعليقته أنّه جعفر بن محمّد بن قولويه، وأنّ قولويه اسمه مسرور وعليه فهو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ذلك غير ثابت، بل الثابت خلافه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يبعد القول بالاتحاد لأنّ الحسين بن محمّد بن عامر، هو شيخ ابن قولويه، ويروي عنه في كامل الزيارات وغيره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عدم الاتحاد فهو من مشايخ الصدوق وقد ترضى عنه كثيراً، وقد بيّنا في محلّه أنّ الترضي علامة على التوثيق، فلا إشكال في وثاقته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الحسين بن محمّد بن عامر، فهو الحسين بن محمّد بن عمرانالأشعري القمي، وقد وثقه النجاشي في موضعين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عمّه عبد اللَّه بن عامر، فهو ثقة أيضاً، وقال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وجوه أصحابنا، ثقة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إبراهيم بن زياد الكرخي، والصحيح بن أبي زياد، فهو وإن لم يرد فيه توثيق، إلاّ أنّ ابن أبي عمير قد روى عنه في أكثر من مورد كما في هذه الرواية، وذلك كاف للحكم بوثاقته على 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الرواية من حيث السند تامة، كما أنّها من حيث الدلالة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يونس بن عبد الرّحمن، عن بعض رجاله،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البيّنة إذا أقيمت على الحقّ، أيحلّ للقاضي أن يقضي بقول البينة؟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أشياء يجب على الناس الأخذ فيها بظاهر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الولايات، والمناكح، والذبائح، والشهادات، والأنساب، فإذا كان ظاهر الرجل ظاهراً مأموناً، جازت شهادته، ولا يسأل عن باطنه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من حيث الدلالة أوضح ممّا تقدّم، إلاّ أنّها من حيث السند مرسلة إلاّ أن يقال أنّ مراسيل يونس معتبرة مثل مراسيل ابن أبي عمير لقول ابن الوليد بأنّ كتبه كلّها صحيحة معمول عليها وقد حققنا ذلك في مباحثنا الرجالية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رسول اللَّه أخبرني عمّن تقبل شهادته ومن لا تقبل؟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علقمة، كلّ من كان على فطرة الإسلام جازت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 شهادة مقترف بالذنوب؟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علقمة لو لم تقبل شهادة المقترفين للذنوب لما قبلت إلاّ </w:t>
      </w:r>
      <w:bookmarkStart w:id="313" w:name="pg8631_95079"/>
    </w:p>
    <w:p>
      <w:pPr>
        <w:pStyle w:val="BookText"/>
        <w:rPr/>
      </w:pPr>
      <w:bookmarkEnd w:id="313"/>
      <w:r>
        <w:rPr>
          <w:rFonts w:ascii="IRNazanin" w:hAnsi="IRNazanin" w:eastAsia="IRNazanin"/>
          <w:color w:val="111111"/>
          <w:sz w:val="28"/>
          <w:sz w:val="28"/>
          <w:szCs w:val="28"/>
          <w:rtl w:val="true"/>
          <w:lang w:bidi="fa-IR"/>
        </w:rPr>
        <w:t>شهادة الأنبياء والأوصياء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المعصومون دون سائر الخلق، فمن لم تره بعينك يرتكب ذنباً أو لم يشهد عليه بذلك شاهدان، فهو من أهل العدالة والستر، وشهادته مقبولة وإن كان في نفسه مذنباً، ومن اغتابه بما فيه فهو خارج من ولاية للَّه، داخل في ولاية الشيطان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حيث الدلالة كالرواية السابقة من الاكتفاء بحسن الظاهر في الحكم بالعدالة وقبول الشهادة وغيرهما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من حيث السند غير تامة فتكون مؤيدة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اصل كون حسن الظاهر طريقاً لثبوت العدالة ممّا لا إشكال فيه</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2193111_653776707"/>
      <w:bookmarkStart w:id="315" w:name="_Toc114"/>
      <w:bookmarkEnd w:id="314"/>
      <w:r>
        <w:rPr>
          <w:rtl w:val="true"/>
        </w:rPr>
        <w:t>في اعتبار المعاشرة في حسن الظاهر</w:t>
      </w:r>
      <w:r>
        <w:rPr>
          <w:rtl w:val="true"/>
        </w:rPr>
        <w:t>:</w:t>
      </w:r>
      <w:bookmarkEnd w:id="315"/>
    </w:p>
    <w:p>
      <w:pPr>
        <w:pStyle w:val="BookText"/>
        <w:rPr/>
      </w:pPr>
      <w:r>
        <w:rPr>
          <w:rFonts w:ascii="Amiri" w:hAnsi="Amiri" w:eastAsia="Amiri" w:cs="Amiri"/>
          <w:color w:val="111111"/>
          <w:sz w:val="28"/>
          <w:sz w:val="28"/>
          <w:szCs w:val="28"/>
          <w:rtl w:val="true"/>
          <w:lang w:bidi="ar-SA"/>
        </w:rPr>
        <w:t>وأمّا اعتبار المعاشرة في حسن الظاهر، أو كفاية عدم رؤية ما</w:t>
      </w:r>
    </w:p>
    <w:p>
      <w:pPr>
        <w:pStyle w:val="BookText"/>
        <w:rPr/>
      </w:pPr>
      <w:r>
        <w:rPr>
          <w:rFonts w:ascii="Amiri" w:hAnsi="Amiri" w:eastAsia="Amiri" w:cs="Amiri"/>
          <w:color w:val="111111"/>
          <w:sz w:val="28"/>
          <w:sz w:val="28"/>
          <w:szCs w:val="28"/>
          <w:rtl w:val="true"/>
          <w:lang w:bidi="ar-SA"/>
        </w:rPr>
        <w:t xml:space="preserve">يخالف العدالة، فالظاهر من جماعة منهم الشيخ في رسالته والمحقّق الاصفهاني رحمه الله </w:t>
      </w:r>
      <w:r>
        <w:rPr>
          <w:rStyle w:val="FootnoteAnchor"/>
          <w:rtl w:val="true"/>
        </w:rPr>
        <w:footnoteReference w:id="486"/>
      </w:r>
      <w:r>
        <w:rPr>
          <w:rFonts w:ascii="Amiri" w:hAnsi="Amiri" w:eastAsia="Amiri" w:cs="Amiri"/>
          <w:color w:val="111111"/>
          <w:sz w:val="28"/>
          <w:sz w:val="28"/>
          <w:szCs w:val="28"/>
          <w:rtl w:val="true"/>
          <w:lang w:bidi="ar-SA"/>
        </w:rPr>
        <w:t xml:space="preserve">هو الاعتبار، وذهب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الاعتبار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على الاعتبار بوجهين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ستر العيوب إنّما يتحقق في موارد تكون معرضاً للظهور أي في مورد قابل للظهور، وأمّا إذا لم تكن قابلة للظهور فهي مستترة في نفسها، لا أنّ </w:t>
      </w:r>
      <w:bookmarkStart w:id="316" w:name="pg8631_95080"/>
    </w:p>
    <w:p>
      <w:pPr>
        <w:pStyle w:val="BookText"/>
        <w:rPr/>
      </w:pPr>
      <w:bookmarkEnd w:id="316"/>
      <w:r>
        <w:rPr>
          <w:rFonts w:ascii="Amiri" w:hAnsi="Amiri" w:eastAsia="Amiri" w:cs="Amiri"/>
          <w:color w:val="111111"/>
          <w:sz w:val="28"/>
          <w:sz w:val="28"/>
          <w:szCs w:val="28"/>
          <w:rtl w:val="true"/>
          <w:lang w:bidi="ar-SA"/>
        </w:rPr>
        <w:t>المكلّف قد سترها كما هو المستفاد من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لابدّ من المعاشرة والمخالطة بمقدار لو كان في المكلف نقص ديني لظهر وبان، فهي معتبرة في كاشفية حسن الظاهر عن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بموثقة سماعة </w:t>
      </w:r>
      <w:r>
        <w:rPr>
          <w:rStyle w:val="FootnoteAnchor"/>
          <w:rtl w:val="true"/>
        </w:rPr>
        <w:footnoteReference w:id="488"/>
      </w:r>
      <w:r>
        <w:rPr>
          <w:rFonts w:ascii="Amiri" w:hAnsi="Amiri" w:eastAsia="Amiri" w:cs="Amiri"/>
          <w:color w:val="111111"/>
          <w:sz w:val="28"/>
          <w:sz w:val="28"/>
          <w:szCs w:val="28"/>
          <w:rtl w:val="true"/>
          <w:lang w:bidi="ar-SA"/>
        </w:rPr>
        <w:t>، لدلالتها على أنّ العدالة تتوقف على عدم ارتكاب هذه الأمور الثلاثة المذكورة في الرواية، وهي تتوقف على المعاشرة</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2193113_653776707"/>
      <w:bookmarkStart w:id="318" w:name="_Toc115"/>
      <w:bookmarkEnd w:id="317"/>
      <w:r>
        <w:rPr>
          <w:rtl w:val="true"/>
        </w:rPr>
        <w:t>الإشكال على الوجه الأوّل وجوابه</w:t>
      </w:r>
      <w:r>
        <w:rPr>
          <w:rtl w:val="true"/>
        </w:rPr>
        <w:t>:</w:t>
      </w:r>
      <w:bookmarkEnd w:id="318"/>
    </w:p>
    <w:p>
      <w:pPr>
        <w:pStyle w:val="BookText"/>
        <w:rPr/>
      </w:pPr>
      <w:r>
        <w:rPr>
          <w:rFonts w:ascii="Amiri" w:hAnsi="Amiri" w:eastAsia="Amiri" w:cs="Amiri"/>
          <w:color w:val="111111"/>
          <w:sz w:val="28"/>
          <w:sz w:val="28"/>
          <w:szCs w:val="28"/>
          <w:rtl w:val="true"/>
          <w:lang w:bidi="ar-SA"/>
        </w:rPr>
        <w:t xml:space="preserve">وقد أجاب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ستر العيوب يكفي في صدقه وتحققه أن يسترها المكلف في حضوره لجماعة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ارتكابه ما ينافي ذلك قبل إقامة الجماعة وبعدها وهو بمرأى من</w:t>
      </w:r>
    </w:p>
    <w:p>
      <w:pPr>
        <w:pStyle w:val="BookText"/>
        <w:rPr/>
      </w:pPr>
      <w:r>
        <w:rPr>
          <w:rFonts w:ascii="Amiri" w:hAnsi="Amiri" w:eastAsia="Amiri" w:cs="Amiri"/>
          <w:color w:val="111111"/>
          <w:sz w:val="28"/>
          <w:sz w:val="28"/>
          <w:szCs w:val="28"/>
          <w:rtl w:val="true"/>
          <w:lang w:bidi="ar-SA"/>
        </w:rPr>
        <w:t xml:space="preserve">المسلمين، لأنّه قد يبتلي قبلها أو بعدها بما هو مورد للظهور فإذا ستر عيوبه ولم يرتكب أمراً ينافي عدالته صدق أنّه حَسن الظاهر وأنّه ساتر لجميع عيوبه فلا يحتاج كاشفية الستر إلى أزيد من ذلك بوجه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هذا الجواب، فإنّه اعتراف في الجملة بلزوم كونهمعرضاً للظهور ولكن بدعوى أنّه يكفي مقدار ما ذكره، فصار الإشكال في مقدار الظهور والمعاشرة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التعبير بحسن الظاهر يفيد هذا الاعتبار وأنّه لابدّ من تحقق ظهور حسن للفاعل حتى يوصف بحسن الظاهر، كما أنّ هذا المعنى يستفاد من الروايات الّتي استدل بها من اعتبر المعاشرة</w:t>
      </w:r>
      <w:r>
        <w:rPr>
          <w:rFonts w:eastAsia="Amiri" w:cs="Amiri" w:ascii="Amiri" w:hAnsi="Amiri"/>
          <w:color w:val="111111"/>
          <w:sz w:val="28"/>
          <w:szCs w:val="28"/>
          <w:rtl w:val="true"/>
          <w:lang w:bidi="ar-SA"/>
        </w:rPr>
        <w:t xml:space="preserve">. </w:t>
      </w:r>
      <w:bookmarkStart w:id="319" w:name="pg8631_95081"/>
    </w:p>
    <w:p>
      <w:pPr>
        <w:pStyle w:val="Heading6"/>
        <w:numPr>
          <w:ilvl w:val="5"/>
          <w:numId w:val="1"/>
        </w:numPr>
        <w:rPr/>
      </w:pPr>
      <w:bookmarkStart w:id="320" w:name="__RefHeading___Toc2193115_653776707"/>
      <w:bookmarkStart w:id="321" w:name="_Toc116"/>
      <w:bookmarkEnd w:id="319"/>
      <w:bookmarkEnd w:id="320"/>
      <w:r>
        <w:rPr>
          <w:rtl w:val="true"/>
        </w:rPr>
        <w:t>الإشكال على الوجه الثاني</w:t>
      </w:r>
      <w:r>
        <w:rPr>
          <w:rtl w:val="true"/>
        </w:rPr>
        <w:t>:</w:t>
      </w:r>
      <w:bookmarkEnd w:id="321"/>
    </w:p>
    <w:p>
      <w:pPr>
        <w:pStyle w:val="BookText"/>
        <w:rPr/>
      </w:pPr>
      <w:r>
        <w:rPr>
          <w:rFonts w:ascii="Amiri" w:hAnsi="Amiri" w:eastAsia="Amiri" w:cs="Amiri"/>
          <w:color w:val="111111"/>
          <w:sz w:val="28"/>
          <w:sz w:val="28"/>
          <w:szCs w:val="28"/>
          <w:rtl w:val="true"/>
          <w:lang w:bidi="ar-SA"/>
        </w:rPr>
        <w:t xml:space="preserve">وحاصل ما أجاب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الثاني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الموثقة أجنبية عن المدعى، حيث إنّها لم تدل على أنّ العادل لابدّ له من أن يعامل الناس فلا يظلمهم ويحدّثهم فلا يكذبهم ويواعدهم فلا يخلفهم، لأنّ عدم ارتكاب الظلم والكذب وخلف الوعد متفرع على الأفعال المذكورة في الموثقة تفرع النتيجة على الشرط، نظير القضايا الشرطية، ولم تدل على أنّ ارتكاب الأفعال المذكورة معتبر في حصول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أحد أنّ العدالة لا تتحقق إلاّ بالتحدّث للناس أو مواعدتهم ومعاملتهم بحيث لو لم تصدر منه لم يحكم بعدالته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انحصار تحقق العدالة بهذه الأمور الثلاثة يلزم منه أنّه إذا وجدت أسباب أخرى من تعاهد الصلوات بحضور الجماعات والتستر عن جميع العيوب كما في صحيحة ابن أبي يعفور لا يحكم بعدالته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دلالة للموثقة على أنّ المعاشرة معتبرة في العدالة، وإنّما تدل على أنّ من صدرت منه تلك الأفعال فلم يظلم ولم يكذب ولم يخلف الوعد فهو محكوم بالعدالة، لا أنّ العدالة لا تحصل بدون المعاشرة كما إذا كان منزوياً لايشاهد إلاّ في أوقات الصلاة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كانت الموثقة لا تدل على الانحصار أو لزوم الاتيان بهذه الأعمال في تحقق العدالة، لكنّها تدل على كيفية استكشاف العدالة وأنّ عدم صدور الذنب عند المعاملة والمخالطة طريق لإثبات العدالة وهو </w:t>
      </w:r>
    </w:p>
    <w:p>
      <w:pPr>
        <w:pStyle w:val="BookText"/>
        <w:rPr/>
      </w:pPr>
      <w:r>
        <w:rPr>
          <w:rFonts w:ascii="Amiri" w:hAnsi="Amiri" w:eastAsia="Amiri" w:cs="Amiri"/>
          <w:color w:val="111111"/>
          <w:sz w:val="28"/>
          <w:sz w:val="28"/>
          <w:szCs w:val="28"/>
          <w:rtl w:val="true"/>
          <w:lang w:bidi="ar-SA"/>
        </w:rPr>
        <w:t>المعبر عنه بحسن الظاهر فالظاهر هو اعتبار المعاشرة بمقدار يتحقق به حسن الظاهر من المكلّف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فرض التنزل فمجرد الشك في اعتبار المعاشرة وعدمه كاف في الحكم بالاعتبار، وذلك لأنّ الروايات المتقدّمة الدالة على حجيّة حسن الظاهر حيث إنّها محفوفة بما يصلح للقرينية والتقييد فلا يمكن الأخذ بإطلاقها والقول بأنّ حسن الظاهر حجة مطلقاً، سواء كان بالمعاشرة أو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لحسن الظاهر عرضاً عريضاً يتّصل أوّل مرتبته بمجهول الحال، وآخر مرتبته بالعصمة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مرتبةٍ منها طريق للعدالة؟</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والباطن أمران إضافيان، فالظاهر لأهل البلد</w:t>
      </w:r>
    </w:p>
    <w:p>
      <w:pPr>
        <w:pStyle w:val="BookText"/>
        <w:rPr/>
      </w:pPr>
      <w:r>
        <w:rPr>
          <w:rFonts w:ascii="Amiri" w:hAnsi="Amiri" w:eastAsia="Amiri" w:cs="Amiri"/>
          <w:color w:val="111111"/>
          <w:sz w:val="28"/>
          <w:sz w:val="28"/>
          <w:szCs w:val="28"/>
          <w:rtl w:val="true"/>
          <w:lang w:bidi="ar-SA"/>
        </w:rPr>
        <w:t>باطن بالنسبة إلى غيرهم، والظاهر لأهل المحلّة باطن بالنسبة إلى أهل البلد، والظاهر للجيران باطن بالنسبة إلى أهل المحلة، والظاهر للزوجة باطن بالنسبة للجيران، فالعبرة بأيّ ظاهر من تلك الظواهر؟</w:t>
      </w:r>
    </w:p>
    <w:p>
      <w:pPr>
        <w:pStyle w:val="BookText"/>
        <w:rPr/>
      </w:pPr>
      <w:r>
        <w:rPr>
          <w:rFonts w:ascii="Amiri" w:hAnsi="Amiri" w:eastAsia="Amiri" w:cs="Amiri"/>
          <w:color w:val="111111"/>
          <w:sz w:val="28"/>
          <w:sz w:val="28"/>
          <w:szCs w:val="28"/>
          <w:rtl w:val="true"/>
          <w:lang w:bidi="ar-SA"/>
        </w:rPr>
        <w:t>ومرجع الإشكالين إلى أنّ الظاهر مجمل فهو من الاحالة على المجهول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عاشر أو صاحب شخص شخصاً ورآه فاعلاً لما افترضه اللَّه عليه، وتاركاً لما حرّمه عليه، فما يظهر في نفسه عند المعاشرةوالمخالطة هو معنى حسن الظاهر وهو الملاك الّذي يستفاد من الروايات بعناوين مختلفة من كونه ساتراً لعيوبه، أو أنّ ظاهره ظاهر مأمون، أو من التعاهد لحضور الجماعات وغيرها من التعابير، وهذا المعنى لا يفرق فيه بين أن يكون معاشره زوجته أو أهل محلته أو جيرانه، أو أهل بلده أو غيرهم</w:t>
      </w:r>
      <w:r>
        <w:rPr>
          <w:rFonts w:eastAsia="Amiri" w:cs="Amiri" w:ascii="Amiri" w:hAnsi="Amiri"/>
          <w:color w:val="111111"/>
          <w:sz w:val="28"/>
          <w:szCs w:val="28"/>
          <w:rtl w:val="true"/>
          <w:lang w:bidi="ar-SA"/>
        </w:rPr>
        <w:t xml:space="preserve">. </w:t>
      </w:r>
      <w:bookmarkStart w:id="322" w:name="pg8631_95083"/>
    </w:p>
    <w:p>
      <w:pPr>
        <w:pStyle w:val="BookText"/>
        <w:rPr/>
      </w:pPr>
      <w:bookmarkEnd w:id="322"/>
      <w:r>
        <w:rPr>
          <w:rFonts w:ascii="Amiri" w:hAnsi="Amiri" w:eastAsia="Amiri" w:cs="Amiri"/>
          <w:color w:val="111111"/>
          <w:sz w:val="28"/>
          <w:sz w:val="28"/>
          <w:szCs w:val="28"/>
          <w:rtl w:val="true"/>
          <w:lang w:bidi="ar-SA"/>
        </w:rPr>
        <w:t>أمّا كون المعاشرة لجميع الناس أو أهل بلده أو أهل محلّته أو جيرانه أو زوجته، فلا موجب لاعتبار شي ء من ذلك، ولا دليل على تعيّن شي ء من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معنى حسن الظاهر ظاهر لا إجمال فيه</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2193117_653776707"/>
      <w:bookmarkStart w:id="324" w:name="_Toc117"/>
      <w:bookmarkEnd w:id="323"/>
      <w:r>
        <w:rPr>
          <w:rtl w:val="true"/>
        </w:rPr>
        <w:t>كاشفية حسن الظاهر عن العدالة إفادته العلم أو الظن</w:t>
      </w:r>
      <w:r>
        <w:rPr>
          <w:rtl w:val="true"/>
        </w:rPr>
        <w:t>:</w:t>
      </w:r>
      <w:bookmarkEnd w:id="324"/>
    </w:p>
    <w:p>
      <w:pPr>
        <w:pStyle w:val="BookText"/>
        <w:rPr/>
      </w:pPr>
      <w:r>
        <w:rPr>
          <w:rFonts w:ascii="Amiri" w:hAnsi="Amiri" w:eastAsia="Amiri" w:cs="Amiri"/>
          <w:color w:val="111111"/>
          <w:sz w:val="28"/>
          <w:sz w:val="28"/>
          <w:szCs w:val="28"/>
          <w:rtl w:val="true"/>
          <w:lang w:bidi="ar-SA"/>
        </w:rPr>
        <w:t>وأمّا اعتبار إفادة الظن بالعدالة في حسن الظاهر، فالظن النوعي لا ينفك عنه عادة، وأمّا الظن الشخصي فهو المنسوب إلى المشهور، منهم</w:t>
      </w:r>
    </w:p>
    <w:p>
      <w:pPr>
        <w:pStyle w:val="BookText"/>
        <w:rPr/>
      </w:pPr>
      <w:r>
        <w:rPr>
          <w:rFonts w:ascii="Amiri" w:hAnsi="Amiri" w:eastAsia="Amiri" w:cs="Amiri"/>
          <w:color w:val="111111"/>
          <w:sz w:val="28"/>
          <w:sz w:val="28"/>
          <w:szCs w:val="28"/>
          <w:rtl w:val="true"/>
          <w:lang w:bidi="ar-SA"/>
        </w:rPr>
        <w:t xml:space="preserve">الشيخ في باب الجماعة من كتاب الصلاة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على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الظن هو القدر المتيقن من إطلاقات الروايات الدالة على حسن الظاهر فهي منصرفة إلى صورة إفادة الظن الشخصي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وأجيب عن ذلك بمنع الانصراف، وأنّ في الإطلاقات ما يدل على عدم اعتبار ذلك،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مرسلة يونس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يسأل عن باطنه</w:t>
      </w:r>
      <w:r>
        <w:rPr>
          <w:rFonts w:eastAsia="IRNazanin" w:cs="IRNazanin"/>
          <w:color w:val="111111"/>
          <w:sz w:val="28"/>
          <w:szCs w:val="28"/>
          <w:rtl w:val="true"/>
          <w:lang w:bidi="fa-IR"/>
        </w:rPr>
        <w:t xml:space="preserve">»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ابن أبي يعفور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يحرم على المسلمين ما وراء ذلك من عثراته وعيوبه وتفتيش ما وراء ذلك</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في معتبرة إبراهيم بن زياد الكرخي،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خمس صلوات في اليوم والليلة في جماعة </w:t>
      </w:r>
    </w:p>
    <w:p>
      <w:pPr>
        <w:pStyle w:val="BookText"/>
        <w:rPr/>
      </w:pPr>
      <w:r>
        <w:rPr>
          <w:rFonts w:ascii="Amiri" w:hAnsi="Amiri" w:eastAsia="Amiri" w:cs="Amiri"/>
          <w:color w:val="111111"/>
          <w:sz w:val="28"/>
          <w:sz w:val="28"/>
          <w:szCs w:val="28"/>
          <w:rtl w:val="true"/>
          <w:lang w:bidi="ar-SA"/>
        </w:rPr>
        <w:t xml:space="preserve">فظنّوا به خيراً، وأجيزوا شهادته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المناط في اعتبار حسن الظاهر هو الظن به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الظن ليس أمراً اختيارياً حتى يكون مورداً للأمر، بل المراد هو ترتيب آثار العدالة والخير عليه، فمفادها أنّ حضور المكلّف وتعاهده لحضور الجماعات طريق عادة إلى معرفة أنّه رجل خيّر ومن أهل</w:t>
      </w:r>
    </w:p>
    <w:p>
      <w:pPr>
        <w:pStyle w:val="BookText"/>
        <w:rPr/>
      </w:pPr>
      <w:r>
        <w:rPr>
          <w:rFonts w:ascii="IRNazanin" w:hAnsi="IRNazanin" w:eastAsia="IRNazanin"/>
          <w:color w:val="111111"/>
          <w:sz w:val="28"/>
          <w:sz w:val="28"/>
          <w:szCs w:val="28"/>
          <w:rtl w:val="true"/>
          <w:lang w:bidi="fa-IR"/>
        </w:rPr>
        <w:t>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ذلك لا ينفك عن الظن بعدالته نوعاً، وأمّا اعتبار الظن الشخصي فلا يستفاد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يظهر من الشيخ في رسالته في العدالة، اعتبار الوثوق وهو الظن القوي الّذي يوجب الاطمئنان في حجيّة حسن الظاهر </w:t>
      </w:r>
      <w:r>
        <w:rPr>
          <w:rStyle w:val="FootnoteAnchor"/>
          <w:rtl w:val="true"/>
        </w:rPr>
        <w:footnoteReference w:id="495"/>
      </w:r>
      <w:r>
        <w:rPr>
          <w:rFonts w:ascii="IRNazanin" w:hAnsi="IRNazanin" w:eastAsia="IRNazanin"/>
          <w:color w:val="111111"/>
          <w:sz w:val="28"/>
          <w:sz w:val="28"/>
          <w:szCs w:val="28"/>
          <w:rtl w:val="true"/>
          <w:lang w:bidi="fa-IR"/>
        </w:rPr>
        <w:t xml:space="preserve">نظراً إلى ما ورد في مرسلة يونس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 ظاهر الرجل ظاهراً مأموناً جازت شهادته</w:t>
      </w:r>
      <w:r>
        <w:rPr>
          <w:rFonts w:eastAsia="IRNazanin" w:cs="IRNazanin"/>
          <w:color w:val="111111"/>
          <w:sz w:val="28"/>
          <w:szCs w:val="28"/>
          <w:rtl w:val="true"/>
          <w:lang w:bidi="fa-IR"/>
        </w:rPr>
        <w:t xml:space="preserve">»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والأمن إنّما يكون في صورة الوثوق والاطمئنان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ما ورد في رواية أبي علي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مواليك قد اختلفوا، فأصلي خلفهم جميعاً؟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إلاّ خلف من تثق بدينه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الشيخ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وأمانته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كلتا الروايتين ضعيفتان سنداً، ودلالة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جهة السند مرسلة، ومن جهة الدلالة أنّه تقدم أنّها لا تدل على اعتبار الظن الفعلي فضلاً عن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جهة السند ضعيفة، بسهل بن زياد، ومن جهة الدلالة بأنّ المراد بالوثوق هو الوثوق في الدين والعقيدة، كأن يكون مخالفاً أو قائلاً بالجبر والتجسيم ونحو ذلك بقرينة صدر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الأمانة فهي مذكورة في رواية الكليني، وعلى فرض اعتبار هذه الزيادة فهي بمعنى كونها طريقاً للعدالة، أي أنّ الوثوق بالأمانة كاشف عن العدالة، إن لم يكن هناك طريق آخر كالبيّنة أو الاستصحاب أو حسن الظاهر، ولا يدل على انحصار الطريق به بحيث لا يوجد طريق آخر للعدالة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 حسن الظاهر طريق إلى العدالة مطلقاً ولا يعتبر فيه الظن الشخصي فضلاً عن الوثوق</w:t>
      </w:r>
      <w:r>
        <w:rPr>
          <w:rFonts w:eastAsia="Amiri" w:cs="Amiri" w:ascii="Amiri" w:hAnsi="Amiri"/>
          <w:color w:val="111111"/>
          <w:sz w:val="28"/>
          <w:szCs w:val="28"/>
          <w:rtl w:val="true"/>
          <w:lang w:bidi="ar-SA"/>
        </w:rPr>
        <w:t xml:space="preserve">. </w:t>
      </w:r>
      <w:bookmarkStart w:id="325" w:name="pg8631_95086"/>
    </w:p>
    <w:p>
      <w:pPr>
        <w:pStyle w:val="Heading5"/>
        <w:numPr>
          <w:ilvl w:val="4"/>
          <w:numId w:val="1"/>
        </w:numPr>
        <w:rPr/>
      </w:pPr>
      <w:bookmarkStart w:id="326" w:name="__RefHeading___Toc2193119_653776707"/>
      <w:bookmarkStart w:id="327" w:name="_Toc118"/>
      <w:bookmarkEnd w:id="325"/>
      <w:bookmarkEnd w:id="326"/>
      <w:r>
        <w:rPr>
          <w:rtl w:val="true"/>
        </w:rPr>
        <w:t>الطريق الثاني</w:t>
      </w:r>
      <w:r>
        <w:rPr>
          <w:rtl w:val="true"/>
        </w:rPr>
        <w:t xml:space="preserve">: </w:t>
      </w:r>
      <w:r>
        <w:rPr>
          <w:rtl w:val="true"/>
        </w:rPr>
        <w:t>البيّنة</w:t>
      </w:r>
      <w:bookmarkEnd w:id="327"/>
    </w:p>
    <w:p>
      <w:pPr>
        <w:pStyle w:val="BookText"/>
        <w:rPr/>
      </w:pPr>
      <w:r>
        <w:rPr>
          <w:rFonts w:ascii="Amiri" w:hAnsi="Amiri" w:eastAsia="Amiri" w:cs="Amiri"/>
          <w:color w:val="111111"/>
          <w:sz w:val="28"/>
          <w:sz w:val="28"/>
          <w:szCs w:val="28"/>
          <w:rtl w:val="true"/>
          <w:lang w:bidi="ar-SA"/>
        </w:rPr>
        <w:t xml:space="preserve">أي شهادة العدلين، والظاهر عدم الخلاف في اعتبارها واستدل عليه الشيخ في رسالته </w:t>
      </w:r>
      <w:r>
        <w:rPr>
          <w:rStyle w:val="FootnoteAnchor"/>
          <w:rtl w:val="true"/>
        </w:rPr>
        <w:footnoteReference w:id="49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يظهر من عموم حجية شهادة العدلين بما ورد من فعل النبي صلى الله عليه وآله حيث كان يبعث رجلين من الصحابة لتزكية الشهود المجهولين فيعمل بقولهما جرحاً وتعديلاً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دلّ على قبول شهادة القابلة إذا سئل عنها فعدّلت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وبفحوى ما دلّ على اعتبار البيّنة في الجرح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علقمة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تره بعينك يرتكب ذنباً أو لم يشهد عليه بذلك شاهدان، فهو من أهل العدالة والستر</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تمامية الدليل وإن كان في بعض ما ذكره تأمل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بين كون البيّنة بالفعل أو بالقول، كأن يصليا خلف شخص مؤتمين به مع انتفاء احتمال الضرورة أو سبب آخر غير اعتقادهما بعدالته</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الفعل منبى ء ومخبر عمّا في نفس الفاعل فيتصف بالصدق والكذب كالقول واحتمال تعمد الكذب أو الخطأ في كلّ واحد منهما سواء فكما لا يعتد بالاحتمالين في القول كذلك لا يعتد بهما في الفعل</w:t>
      </w:r>
      <w:r>
        <w:rPr>
          <w:rFonts w:eastAsia="Amiri" w:cs="Amiri" w:ascii="Amiri" w:hAnsi="Amiri"/>
          <w:color w:val="111111"/>
          <w:sz w:val="28"/>
          <w:szCs w:val="28"/>
          <w:rtl w:val="true"/>
          <w:lang w:bidi="ar-SA"/>
        </w:rPr>
        <w:t xml:space="preserve">. </w:t>
      </w:r>
      <w:bookmarkStart w:id="328" w:name="pg8631_95088"/>
    </w:p>
    <w:p>
      <w:pPr>
        <w:pStyle w:val="Heading5"/>
        <w:numPr>
          <w:ilvl w:val="4"/>
          <w:numId w:val="1"/>
        </w:numPr>
        <w:rPr/>
      </w:pPr>
      <w:bookmarkStart w:id="329" w:name="__RefHeading___Toc2193121_653776707"/>
      <w:bookmarkStart w:id="330" w:name="_Toc119"/>
      <w:bookmarkEnd w:id="328"/>
      <w:bookmarkEnd w:id="329"/>
      <w:r>
        <w:rPr>
          <w:rtl w:val="true"/>
        </w:rPr>
        <w:t>الطريق الثالث</w:t>
      </w:r>
      <w:r>
        <w:rPr>
          <w:rtl w:val="true"/>
        </w:rPr>
        <w:t xml:space="preserve">: </w:t>
      </w:r>
      <w:r>
        <w:rPr>
          <w:rtl w:val="true"/>
        </w:rPr>
        <w:t>اعتبار شهادة عادل واحد قولاً أو فعلاً</w:t>
      </w:r>
      <w:bookmarkEnd w:id="33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اعتباره أيضاً لأنّ مقتضى حجيّة قول العادل أو خبر الثقة والّتي تدل عليهما سيرة العقلاء والمستفاد من آية النبأ وغيرها من أدلتها شاملة لجميع الموارد، إلاّ أن يثبت بدليل خاص اشتراط التعدد كالترافع والحدود، أو اشتراط انضمام اليمين إليه وأمثال ذلك كما هو الحال في بعض الموارد</w:t>
      </w:r>
      <w:r>
        <w:rPr>
          <w:rFonts w:eastAsia="Amiri" w:cs="Amiri" w:ascii="Amiri" w:hAnsi="Amiri"/>
          <w:color w:val="111111"/>
          <w:sz w:val="28"/>
          <w:szCs w:val="28"/>
          <w:rtl w:val="true"/>
          <w:lang w:bidi="ar-SA"/>
        </w:rPr>
        <w:t xml:space="preserve">. </w:t>
      </w:r>
      <w:bookmarkStart w:id="331" w:name="pg8631_95089"/>
    </w:p>
    <w:p>
      <w:pPr>
        <w:pStyle w:val="Heading5"/>
        <w:numPr>
          <w:ilvl w:val="4"/>
          <w:numId w:val="1"/>
        </w:numPr>
        <w:rPr/>
      </w:pPr>
      <w:bookmarkStart w:id="332" w:name="__RefHeading___Toc2193123_653776707"/>
      <w:bookmarkStart w:id="333" w:name="_Toc120"/>
      <w:bookmarkEnd w:id="331"/>
      <w:bookmarkEnd w:id="332"/>
      <w:r>
        <w:rPr>
          <w:rtl w:val="true"/>
        </w:rPr>
        <w:t>الطريق الرابع</w:t>
      </w:r>
      <w:r>
        <w:rPr>
          <w:rtl w:val="true"/>
        </w:rPr>
        <w:t xml:space="preserve">: </w:t>
      </w:r>
      <w:r>
        <w:rPr>
          <w:rtl w:val="true"/>
        </w:rPr>
        <w:t>الشياع الموجب للظن</w:t>
      </w:r>
      <w:bookmarkEnd w:id="333"/>
    </w:p>
    <w:p>
      <w:pPr>
        <w:pStyle w:val="Heading6"/>
        <w:numPr>
          <w:ilvl w:val="5"/>
          <w:numId w:val="1"/>
        </w:numPr>
        <w:rPr/>
      </w:pPr>
      <w:bookmarkStart w:id="334" w:name="__RefHeading___Toc2193125_653776707"/>
      <w:bookmarkStart w:id="335" w:name="_Toc121"/>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ومعناه إخبار جماعة مجهولين بثبوت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حجة مطلقاً، أي سواء أفاد الوثوق أو الظن، أو أنّه حجة إذا أفاد الوثوق فقط؟</w:t>
      </w:r>
    </w:p>
    <w:p>
      <w:pPr>
        <w:pStyle w:val="BookText"/>
        <w:rPr/>
      </w:pPr>
      <w:r>
        <w:rPr>
          <w:rFonts w:ascii="Amiri" w:hAnsi="Amiri" w:eastAsia="Amiri" w:cs="Amiri"/>
          <w:color w:val="111111"/>
          <w:sz w:val="28"/>
          <w:sz w:val="28"/>
          <w:szCs w:val="28"/>
          <w:rtl w:val="true"/>
          <w:lang w:bidi="ar-SA"/>
        </w:rPr>
        <w:t xml:space="preserve">ظاهر جماعة منهم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والشيخ رحمه الله في كتاب الصلاة الأوّل </w:t>
      </w:r>
      <w:r>
        <w:rPr>
          <w:rStyle w:val="FootnoteAnchor"/>
          <w:rtl w:val="true"/>
        </w:rPr>
        <w:footnoteReference w:id="503"/>
      </w:r>
      <w:r>
        <w:rPr>
          <w:rFonts w:ascii="Amiri" w:hAnsi="Amiri" w:eastAsia="Amiri" w:cs="Amiri"/>
          <w:color w:val="111111"/>
          <w:sz w:val="28"/>
          <w:sz w:val="28"/>
          <w:szCs w:val="28"/>
          <w:rtl w:val="true"/>
          <w:lang w:bidi="ar-SA"/>
        </w:rPr>
        <w:t xml:space="preserve">، وظاهر غير واحد كالسيّدرحمه الله في العروة </w:t>
      </w:r>
      <w:r>
        <w:rPr>
          <w:rStyle w:val="FootnoteAnchor"/>
          <w:rtl w:val="true"/>
        </w:rPr>
        <w:footnoteReference w:id="504"/>
      </w:r>
      <w:r>
        <w:rPr>
          <w:rFonts w:ascii="Amiri" w:hAnsi="Amiri" w:eastAsia="Amiri" w:cs="Amiri"/>
          <w:color w:val="111111"/>
          <w:sz w:val="28"/>
          <w:sz w:val="28"/>
          <w:szCs w:val="28"/>
          <w:rtl w:val="true"/>
          <w:lang w:bidi="ar-SA"/>
        </w:rPr>
        <w:t xml:space="preserve">والشيخ في رسالته في العدالة هو الثاني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حجيّة الشياع عموماً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على حجيته عموماً بوجوه</w:t>
      </w:r>
      <w:r>
        <w:rPr>
          <w:rFonts w:eastAsia="Amiri" w:cs="Amiri" w:ascii="Amiri" w:hAnsi="Amiri"/>
          <w:color w:val="111111"/>
          <w:sz w:val="28"/>
          <w:szCs w:val="28"/>
          <w:rtl w:val="true"/>
          <w:lang w:bidi="ar-SA"/>
        </w:rPr>
        <w:t xml:space="preserve">: </w:t>
      </w:r>
      <w:bookmarkStart w:id="336" w:name="pg8631_95090"/>
    </w:p>
    <w:p>
      <w:pPr>
        <w:pStyle w:val="Heading6"/>
        <w:numPr>
          <w:ilvl w:val="5"/>
          <w:numId w:val="1"/>
        </w:numPr>
        <w:rPr/>
      </w:pPr>
      <w:bookmarkStart w:id="337" w:name="__RefHeading___Toc2193127_653776707"/>
      <w:bookmarkStart w:id="338" w:name="_Toc122"/>
      <w:bookmarkEnd w:id="336"/>
      <w:bookmarkEnd w:id="337"/>
      <w:r>
        <w:rPr>
          <w:rtl w:val="true"/>
        </w:rPr>
        <w:t>الوجه الأوّل</w:t>
      </w:r>
      <w:r>
        <w:rPr>
          <w:rtl w:val="true"/>
        </w:rPr>
        <w:t>:</w:t>
      </w:r>
      <w:bookmarkEnd w:id="338"/>
    </w:p>
    <w:p>
      <w:pPr>
        <w:pStyle w:val="BookText"/>
        <w:rPr/>
      </w:pPr>
      <w:r>
        <w:rPr>
          <w:rFonts w:ascii="IRNazanin" w:hAnsi="IRNazanin" w:eastAsia="IRNazanin"/>
          <w:color w:val="111111"/>
          <w:sz w:val="28"/>
          <w:sz w:val="28"/>
          <w:szCs w:val="28"/>
          <w:rtl w:val="true"/>
          <w:lang w:bidi="fa-IR"/>
        </w:rPr>
        <w:t xml:space="preserve">بما رواه يونس مرسلاً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البيّنة إذا أقيمت على الحقّ، أيحلّ للقاضي أن يقضي بقول البيّنة؟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أشياء يجب على الناس الأخذ فيها بظاهر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الولايات، والمناكح، والذبائح، والشهادات، والأنساب، </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نسخ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الحال بدلاً من ظاهر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ظاهر الحكم في هذه الأمور هو ما إذا كانت هذه الأمور ظاهرة وشائعة بين الناس فيؤخذ بها وهذا الشياع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إن كان المراد منه الخبر فالاستدلال تام، لأنّه يدل على أنّه إذا كان ظاهراً فيؤخذ به، وأمّا إذا كان المراد به هو النسبة الخبرية فلا دلالة له حينئذ على كون الشياع في الخبر حجة إذ لا ملازمة بين ظهور النسبة وشيوع الخبر، فقد تكون النسبة ظاهرة عن جماعة ولكن الخبر سراً ولا ظهور له عند الناس، والظاهر أنّ المراد هو الثاني أي النسبة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الرواية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 ظاهر الرجل ظاهراً مأموناً جازت شهادته ولا يسأل عن باطنه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ظاهر في أنّ الظاهر في مقابل الباطن لا في مقابل عدم شياع الخبر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واردة فيما يحلّ للقاضي بأن يقضي بقولالبيّنة من </w:t>
      </w:r>
      <w:bookmarkStart w:id="339" w:name="pg8631_95091"/>
    </w:p>
    <w:p>
      <w:pPr>
        <w:pStyle w:val="BookText"/>
        <w:rPr/>
      </w:pPr>
      <w:bookmarkEnd w:id="339"/>
      <w:r>
        <w:rPr>
          <w:rFonts w:ascii="IRNazanin" w:hAnsi="IRNazanin" w:eastAsia="IRNazanin"/>
          <w:color w:val="111111"/>
          <w:sz w:val="28"/>
          <w:sz w:val="28"/>
          <w:szCs w:val="28"/>
          <w:rtl w:val="true"/>
          <w:lang w:bidi="fa-IR"/>
        </w:rPr>
        <w:t xml:space="preserve">دون سؤال عنها إذا لم يعرفها، فإنّ فرض قيام البيّنة فرض شهادة العدلين عند الناس لكن القاضي لا يعرفها،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ظهور صلاحها عند الناس كاف في قبول شهادتها ولا يسأل عن باطنها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فالرواية لا دلالة فيها على فرض شيوع الخبر عن عدالتهما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أنّه لعلّ الأولى المناقشة في الدلالة بوجه آخر، وهو أنّ ظهور الحكم يمكن أن يكون مستنده هو حسن الظاهر لا الشياع، وذلك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فإذا كان ظاهر الرجل ظاهراً مأموناً جازت شهادته ولا يسأل عن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ظاهر في حسن الظاهر 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ويؤيده ما ورد في نسخة التهذيب، وكذلك مورد الرواية حيث يستفاد منه عدم الحاجة إلى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انفكاك الخبر عن النسبة، وإن كان أمراً صحيحاً واقعاً ولكن بحسب العادة لا ينفكان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تطبيق ذيل الرواية في موردها على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جريان هذا الوجه في جميع الأمور المذكورة في الرواية موضع تأمل</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2193129_653776707"/>
      <w:bookmarkStart w:id="341" w:name="_Toc123"/>
      <w:bookmarkEnd w:id="340"/>
      <w:r>
        <w:rPr>
          <w:rtl w:val="true"/>
        </w:rPr>
        <w:t>الوجه الثاني</w:t>
      </w:r>
      <w:r>
        <w:rPr>
          <w:rtl w:val="true"/>
        </w:rPr>
        <w:t>:</w:t>
      </w:r>
      <w:bookmarkEnd w:id="34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ورد في صحيحة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اللَّه عزّوجلّ يقول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 باللَّه ويؤمن للمؤمنين</w:t>
      </w:r>
      <w:r>
        <w:rPr>
          <w:rFonts w:eastAsia="IRNazanin" w:cs="IRNazanin"/>
          <w:color w:val="111111"/>
          <w:sz w:val="28"/>
          <w:szCs w:val="28"/>
          <w:rtl w:val="true"/>
          <w:lang w:bidi="fa-IR"/>
        </w:rPr>
        <w:t xml:space="preserve">» </w:t>
      </w:r>
      <w:r>
        <w:rPr>
          <w:rStyle w:val="FootnoteAnchor"/>
          <w:rtl w:val="true"/>
        </w:rPr>
        <w:footnoteReference w:id="50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للَّه </w:t>
      </w:r>
      <w:bookmarkStart w:id="342" w:name="pg8631_95092"/>
    </w:p>
    <w:p>
      <w:pPr>
        <w:pStyle w:val="BookText"/>
        <w:rPr/>
      </w:pPr>
      <w:bookmarkEnd w:id="342"/>
      <w:r>
        <w:rPr>
          <w:rFonts w:ascii="Amiri" w:hAnsi="Amiri" w:eastAsia="Amiri" w:cs="Amiri"/>
          <w:color w:val="111111"/>
          <w:sz w:val="28"/>
          <w:sz w:val="28"/>
          <w:szCs w:val="28"/>
          <w:rtl w:val="true"/>
          <w:lang w:bidi="ar-SA"/>
        </w:rPr>
        <w:t>ويصدّق للمؤمنين، فإذا شهد عندك المؤمنون فصدّقهم</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قد نوقش فيها في مبحث حجيّة الخبر بأنّ المراد من التصديق هو التصديق من جميع الجهات بل التصديق بما ينفع المخبر إليه ولا يضر المخبر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على ذلك رواية أخرى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سمعك وبصرك عن أخيك فإن شهد عندك خمسون قسامة وقال لك قولاً فصدّقه وكذبهم</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فالتكذيب في ما يضر المخبر عنه ولا يجدي المخبر إليه</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2193131_653776707"/>
      <w:bookmarkStart w:id="344" w:name="_Toc124"/>
      <w:bookmarkEnd w:id="343"/>
      <w:r>
        <w:rPr>
          <w:rtl w:val="true"/>
        </w:rPr>
        <w:t>الوجه الثالث</w:t>
      </w:r>
      <w:r>
        <w:rPr>
          <w:rtl w:val="true"/>
        </w:rPr>
        <w:t>:</w:t>
      </w:r>
      <w:bookmarkEnd w:id="344"/>
    </w:p>
    <w:p>
      <w:pPr>
        <w:pStyle w:val="BookText"/>
        <w:rPr/>
      </w:pPr>
      <w:r>
        <w:rPr>
          <w:rFonts w:ascii="Amiri" w:hAnsi="Amiri" w:eastAsia="Amiri" w:cs="Amiri"/>
          <w:color w:val="111111"/>
          <w:sz w:val="28"/>
          <w:sz w:val="28"/>
          <w:szCs w:val="28"/>
          <w:rtl w:val="true"/>
          <w:lang w:bidi="ar-SA"/>
        </w:rPr>
        <w:t xml:space="preserve">ما عن الشهيد في المسالك من الاستدلال بالأولوية حيث إنّ الظن الحاصل من الشياع أقوى من الظن الحاصل من البيّنة العادلة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الوجه أضعف ممّا تقدّم حيث إنّ ملاك حجيّة البيّنة ليس هو إفادتها الظن، بل لجهة قيام الأدلة على حجيتها من السيرة وإمضاء الشارع وهو حجة وإن لم تفد الظن الفعلي، مضافاً إلى أنّه استدلال بالأولوية الظنية وحجيّتها متوقفة على حجيّة الظن على فرض انسداد باب العلم والعلمي أصولاً وفروعاً، فهذا الوجه غير تام</w:t>
      </w:r>
      <w:r>
        <w:rPr>
          <w:rFonts w:eastAsia="Amiri" w:cs="Amiri" w:ascii="Amiri" w:hAnsi="Amiri"/>
          <w:color w:val="111111"/>
          <w:sz w:val="28"/>
          <w:szCs w:val="28"/>
          <w:rtl w:val="true"/>
          <w:lang w:bidi="ar-SA"/>
        </w:rPr>
        <w:t xml:space="preserve">. </w:t>
      </w:r>
      <w:bookmarkStart w:id="345" w:name="pg8631_95093"/>
    </w:p>
    <w:p>
      <w:pPr>
        <w:pStyle w:val="Heading6"/>
        <w:numPr>
          <w:ilvl w:val="5"/>
          <w:numId w:val="1"/>
        </w:numPr>
        <w:rPr/>
      </w:pPr>
      <w:bookmarkStart w:id="346" w:name="__RefHeading___Toc2193133_653776707"/>
      <w:bookmarkStart w:id="347" w:name="_Toc125"/>
      <w:bookmarkEnd w:id="345"/>
      <w:bookmarkEnd w:id="346"/>
      <w:r>
        <w:rPr>
          <w:rtl w:val="true"/>
        </w:rPr>
        <w:t>الوجه الرابع</w:t>
      </w:r>
      <w:r>
        <w:rPr>
          <w:rtl w:val="true"/>
        </w:rPr>
        <w:t>:</w:t>
      </w:r>
      <w:bookmarkEnd w:id="347"/>
    </w:p>
    <w:p>
      <w:pPr>
        <w:pStyle w:val="BookText"/>
        <w:rPr/>
      </w:pPr>
      <w:r>
        <w:rPr>
          <w:rFonts w:ascii="Amiri" w:hAnsi="Amiri" w:eastAsia="Amiri" w:cs="Amiri"/>
          <w:color w:val="111111"/>
          <w:sz w:val="28"/>
          <w:sz w:val="28"/>
          <w:szCs w:val="28"/>
          <w:rtl w:val="true"/>
          <w:lang w:bidi="ar-SA"/>
        </w:rPr>
        <w:t>ما يظهر من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الاكتفاء بالتسامع وظاهرهم الاتفاق عليه في الجملة، وإن حكي عن الاسكافي الاقتصار فيه على النسب خاصة </w:t>
      </w:r>
      <w:r>
        <w:rPr>
          <w:rStyle w:val="FootnoteAnchor"/>
          <w:rtl w:val="true"/>
        </w:rPr>
        <w:footnoteReference w:id="511"/>
      </w:r>
      <w:r>
        <w:rPr>
          <w:rFonts w:ascii="Amiri" w:hAnsi="Amiri" w:eastAsia="Amiri" w:cs="Amiri"/>
          <w:color w:val="111111"/>
          <w:sz w:val="28"/>
          <w:sz w:val="28"/>
          <w:szCs w:val="28"/>
          <w:rtl w:val="true"/>
          <w:lang w:bidi="ar-SA"/>
        </w:rPr>
        <w:t>، وعن الاصباح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والموت والملك المطلق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النافع والتبصرة في أربعة بحذف الموت وزيادة النكاح والوقف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ومحكي المبسوط، والوسيلة وجامع المقاصد والاقتصاد والتلخيص في سبعة بزيادة العتق وولاية القاضي على ما في المتن </w:t>
      </w:r>
      <w:r>
        <w:rPr>
          <w:rStyle w:val="FootnoteAnchor"/>
          <w:rtl w:val="true"/>
        </w:rPr>
        <w:footnoteReference w:id="514"/>
      </w:r>
      <w:r>
        <w:rPr>
          <w:rFonts w:ascii="Amiri" w:hAnsi="Amiri" w:eastAsia="Amiri" w:cs="Amiri"/>
          <w:color w:val="111111"/>
          <w:sz w:val="28"/>
          <w:sz w:val="28"/>
          <w:szCs w:val="28"/>
          <w:rtl w:val="true"/>
          <w:lang w:bidi="ar-SA"/>
        </w:rPr>
        <w:t xml:space="preserve">، وعن الوسيلة وجامع المقاصد الولاء بدل الولاية </w:t>
      </w:r>
      <w:r>
        <w:rPr>
          <w:rStyle w:val="FootnoteAnchor"/>
          <w:rtl w:val="true"/>
        </w:rPr>
        <w:footnoteReference w:id="515"/>
      </w:r>
      <w:r>
        <w:rPr>
          <w:rFonts w:ascii="Amiri" w:hAnsi="Amiri" w:eastAsia="Amiri" w:cs="Amiri"/>
          <w:color w:val="111111"/>
          <w:sz w:val="28"/>
          <w:sz w:val="28"/>
          <w:szCs w:val="28"/>
          <w:rtl w:val="true"/>
          <w:lang w:bidi="ar-SA"/>
        </w:rPr>
        <w:t xml:space="preserve">، وفي التحرير في ثمانية بزيادة الولاء </w:t>
      </w:r>
      <w:r>
        <w:rPr>
          <w:rStyle w:val="FootnoteAnchor"/>
          <w:rtl w:val="true"/>
        </w:rPr>
        <w:footnoteReference w:id="516"/>
      </w:r>
      <w:r>
        <w:rPr>
          <w:rFonts w:ascii="Amiri" w:hAnsi="Amiri" w:eastAsia="Amiri" w:cs="Amiri"/>
          <w:color w:val="111111"/>
          <w:sz w:val="28"/>
          <w:sz w:val="28"/>
          <w:szCs w:val="28"/>
          <w:rtl w:val="true"/>
          <w:lang w:bidi="ar-SA"/>
        </w:rPr>
        <w:t xml:space="preserve">، وعن غيره زيادة تاسع وهو الرق، وفي شرح الصيمري عشرة بزيادة العدالة بل قال هذا هو المحقّق من فتاوى الأصحاب </w:t>
      </w:r>
      <w:r>
        <w:rPr>
          <w:rStyle w:val="FootnoteAnchor"/>
          <w:rtl w:val="true"/>
        </w:rPr>
        <w:footnoteReference w:id="517"/>
      </w:r>
      <w:r>
        <w:rPr>
          <w:rFonts w:ascii="Amiri" w:hAnsi="Amiri" w:eastAsia="Amiri" w:cs="Amiri"/>
          <w:color w:val="111111"/>
          <w:sz w:val="28"/>
          <w:sz w:val="28"/>
          <w:szCs w:val="28"/>
          <w:rtl w:val="true"/>
          <w:lang w:bidi="ar-SA"/>
        </w:rPr>
        <w:t>، بل قيل بزيادة سبعة عشر إليها وهي العزل والرضاع وتضرر الزوجة والتعديل والجرح والإسلام والكفر والرشد والسفه والحمل والولادة والوصاية والحرية واللوث والغصب والدين والإعسار</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مقام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لبعض ما ذكره غير واحد من الاعتبارات كعسر إقامة البيّنة عليه ونحوه ممّا لا يصلح أن يكون مدركاً لحكم شرعي بل للسيرة فيما </w:t>
      </w:r>
      <w:bookmarkStart w:id="348" w:name="pg8631_95094"/>
    </w:p>
    <w:p>
      <w:pPr>
        <w:pStyle w:val="BookText"/>
        <w:rPr/>
      </w:pPr>
      <w:bookmarkEnd w:id="348"/>
      <w:r>
        <w:rPr>
          <w:rFonts w:ascii="IRNazanin" w:hAnsi="IRNazanin" w:eastAsia="IRNazanin"/>
          <w:color w:val="111111"/>
          <w:sz w:val="28"/>
          <w:sz w:val="28"/>
          <w:szCs w:val="28"/>
          <w:rtl w:val="true"/>
          <w:lang w:bidi="fa-IR"/>
        </w:rPr>
        <w:t xml:space="preserve">قامت عليه منها، مؤيدة بما قيل من أنّ المراد بظاهر الحكم في مرسل يونس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الاستفاضة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صحيح حريز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أنّه لا مدخلية لمفاده الّذي يكون تارة علماً وأخرى متاخماً له وثالثة ظناً غالباً في حجيّته، وإنّما المدار على تحققه، بل ظاهر الصحيح المزبور عدم اعتباره لغير المذكورات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الدليل هي السيرة المؤيدة بالروايتين المتقدّمتين والاتفاق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الاتفاق بمعنى الإجماع فهو ليس بحجة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السيرة فسيأتي الكلام فيها</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2193135_653776707"/>
      <w:bookmarkStart w:id="350" w:name="_Toc126"/>
      <w:bookmarkEnd w:id="349"/>
      <w:r>
        <w:rPr>
          <w:rtl w:val="true"/>
        </w:rPr>
        <w:t>الوجه الخامس</w:t>
      </w:r>
      <w:r>
        <w:rPr>
          <w:rtl w:val="true"/>
        </w:rPr>
        <w:t>:</w:t>
      </w:r>
      <w:bookmarkEnd w:id="350"/>
    </w:p>
    <w:p>
      <w:pPr>
        <w:pStyle w:val="Heading6"/>
        <w:numPr>
          <w:ilvl w:val="5"/>
          <w:numId w:val="1"/>
        </w:numPr>
        <w:rPr/>
      </w:pPr>
      <w:bookmarkStart w:id="351" w:name="__RefHeading___Toc2193137_653776707"/>
      <w:bookmarkStart w:id="352" w:name="_Toc127"/>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بما ورد في الصوم والافطار في يوم الشك فإنّه قد وردت عدّة روايات تدلّ على حجيّة الشياع</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الحميد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في الجبل في القرية فيها خمسمائة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كذلك فصم لصيامهم وأفطر لفطرهم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سماعة،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اليوم في شهر رمضان يختلف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أهل مصر على صيامه للرؤية فاقضه إذا كان أهل المصر خمسمائة إنسان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الجارود زياد بن المنذر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حين يصوم الناس وافطر حين يفطر الناس، فإنّ اللَّه عزّوجلّ جعل الأهلّة مواقيت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وهي بظاهرها تدل على حجيّة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محدودة بالمقدار المعين وهو خمسمائة إنسان، وهو عدد كبير قد يكون موجباً لحصول الاطمئنان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مختصة بالصوم وأمّا شمولها لما نحن فيه فلا دليل عليه</w:t>
      </w:r>
      <w:r>
        <w:rPr>
          <w:rFonts w:eastAsia="Amiri" w:cs="Amiri" w:ascii="Amiri" w:hAnsi="Amiri"/>
          <w:color w:val="111111"/>
          <w:sz w:val="28"/>
          <w:szCs w:val="28"/>
          <w:rtl w:val="true"/>
          <w:lang w:bidi="ar-SA"/>
        </w:rPr>
        <w:t xml:space="preserve">. </w:t>
      </w:r>
      <w:bookmarkStart w:id="353" w:name="pg8631_95096"/>
    </w:p>
    <w:p>
      <w:pPr>
        <w:pStyle w:val="Heading6"/>
        <w:numPr>
          <w:ilvl w:val="5"/>
          <w:numId w:val="1"/>
        </w:numPr>
        <w:rPr/>
      </w:pPr>
      <w:bookmarkStart w:id="354" w:name="__RefHeading___Toc2193139_653776707"/>
      <w:bookmarkStart w:id="355" w:name="_Toc128"/>
      <w:bookmarkEnd w:id="353"/>
      <w:bookmarkEnd w:id="354"/>
      <w:r>
        <w:rPr>
          <w:rtl w:val="true"/>
        </w:rPr>
        <w:t>حجيّة الشياع في العدالة</w:t>
      </w:r>
      <w:r>
        <w:rPr>
          <w:rtl w:val="true"/>
        </w:rPr>
        <w:t>:</w:t>
      </w:r>
      <w:bookmarkEnd w:id="355"/>
    </w:p>
    <w:p>
      <w:pPr>
        <w:pStyle w:val="BookText"/>
        <w:rPr/>
      </w:pPr>
      <w:r>
        <w:rPr>
          <w:rFonts w:ascii="Amiri" w:hAnsi="Amiri" w:eastAsia="Amiri" w:cs="Amiri"/>
          <w:color w:val="111111"/>
          <w:sz w:val="28"/>
          <w:sz w:val="28"/>
          <w:szCs w:val="28"/>
          <w:rtl w:val="true"/>
          <w:lang w:bidi="ar-SA"/>
        </w:rPr>
        <w:t xml:space="preserve">أمّا حجيّة الشياع في خصوص المقام وهو العدالة فقد استدل عليه شيخنا الأنصاري رحمه الله بوجوه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ابن أبي يعفور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سئل عنه في قبيلته ومحلته قالوا ما رأينا منه إلاّ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التسامع والشياع من أهل المحلّة والقبيلة طريقاً إلى العدالة وقبول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من أنّ النبي صلى الله عليه وآله كان يبعث رجلين لتحقيق حال الشهود والسؤال عنهم في محلّتهم وقبيلتهم فإذا قالوا ما رأينا منهم إلاّ خيراً فيرجع المبعوثان فيقبل النبي خبرهما وشهادة الشهود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 المستمرة الجارية على ترتيب آثار العدالة على الشخص بمجرد التسامع والتظافر، فإنّ الخلق الكثير يقتدون في الصلاة خلف شخص ولم تقم البيّنة عند كلّ واحد من المصلين على عدالة إمام الجماعة بل لم يحصل لهم إلاّ الظن بالتسامع ونحو ذلك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عبد اللَّه بن المغيرة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كلّ من ولدعلى الفطرة وعرف بالصلاح في نفسه جازت شهادته</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وأجيب عن الأوّل 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سئل عنه في قبيلته ومحلته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منه إلاّ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ويكون منه التعاهد للصلوات الخمس إذا واظب عليهنّ وحفظ مواقيتهنّ بحضور جماعة من المسلمين، وأن لا يتخلّف عن جماعتهم في مصلّاهم إلاّ من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سئل عنه في قبيلته ومحلّته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منه إلاّ خيراً مواظباً على الصلوات، متعاهداً لأوقاتها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فالظاهر من الرواية أنّ المعتبر هو تعاهد الصلوات ليتحقق له حسن الظاهر بين المسلمين بحيث إذا سئل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إلاّ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ذلك يجيز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 كذلك لازماً لمصلّاه عند حضور الصلوات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سئل عنه في قبيلته ومحلّته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بل الأخير غاية مترتبة على لزومه لمصلّاه وتعاهده لحضور الجماعات، وليس فيه خصوصية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الجواب وجيه إذا كان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دخيلاً في تحقق حسن الظاهر، وأمّا إذا كان حسن الظاهر قد حصل بالتعاهد للصلوات الخمس بالكيفية المذكورة، فتفريع هذه الجملة عليها بلا وجه إلاّ إذا كان لها في نفسها خصوصية، وهي كون الشياع حجة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مع تطرّق الاحتمال الأوّل تكون دلالة الصحيحة على حجيّة</w:t>
      </w:r>
    </w:p>
    <w:p>
      <w:pPr>
        <w:pStyle w:val="BookText"/>
        <w:rPr/>
      </w:pPr>
      <w:r>
        <w:rPr>
          <w:rFonts w:ascii="Amiri" w:hAnsi="Amiri" w:eastAsia="Amiri" w:cs="Amiri"/>
          <w:color w:val="111111"/>
          <w:sz w:val="28"/>
          <w:sz w:val="28"/>
          <w:szCs w:val="28"/>
          <w:rtl w:val="true"/>
          <w:lang w:bidi="ar-SA"/>
        </w:rPr>
        <w:t>الشياع غير تامة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الرواية سنداً، ودلالة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من جهة السند فلأنّها مذكورة في التفسير المنسوب للإمام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يثبت 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جهة الدلالة فلأنّ المذكور فيها أنّ النبي صلى الله عليه وآله بعد إخبار الرجلين المبعوثين يحضر القوم ويسألهم بنفسه،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وفلاناً جاءني عنكم فيما بيننا بجميل وذكر صالح فإن أقروا قضى بشهادتهما ورتب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الذكر الصالح عبارة عن حسن الظاهر عند القوم لا مجرّد الشياع عندهم، حتى يقال بدلالة الرواية على حجيته، مع أنّ النبي صلى الله عليه وآله يعرف القوم لا لأنّه يعتمد على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بأنّ السيرة يمكن تصديقها في خصوص المورد أي صلاة الجماعة، وأمّا في غيرها فلا موجب لتصديقها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أخرى بأنّه يمكن ابتناؤها على عدم حجيّتها مطلقاً لأنّ أمثال هذه السيرة تبتني غالباً على قلة المبالاة والمسامحة في أمور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المؤيد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بقوله وعرف بالصلاح هو عند من يريد ترتيب آثار العدالة عليه فظاهره هو العلم أو بما في منزلته، أي وجداناً أو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عند الناس فهو بمعنى أنّ صلاحه يعرفه الناس، لا أنّه مجرد شياع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الرواية واردة في شهادة الناصبي ولم يعمل بها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يقم دليل تام على حجيّة الشياع مطلقاً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أفاد الشياع الوثوق والاطمئنان فهو حجة لحجيّة الاطمئنان فإنّه علم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عادي في نظر العرف والعقلاء، وأنّهم لا يعتنون باحتمال الخلاف لكونه موهوناً عندهم، وسيرتهم على الاعتماد عليه قائمة في أمورهم من دون ردع من الشارع، فهو بمنزلة العلم وليس مشمولاً للأدلة الناهية عن العمل بالظن أو غير العلم لخروجه عنها موضوعاً، فهو بنفسه حجة بلا فرق بين أسبابه من الشياع أو غيره</w:t>
      </w:r>
      <w:r>
        <w:rPr>
          <w:rFonts w:eastAsia="Amiri" w:cs="Amiri" w:ascii="Amiri" w:hAnsi="Amiri"/>
          <w:color w:val="111111"/>
          <w:sz w:val="28"/>
          <w:szCs w:val="28"/>
          <w:rtl w:val="true"/>
          <w:lang w:bidi="ar-SA"/>
        </w:rPr>
        <w:t xml:space="preserve">. </w:t>
      </w:r>
      <w:bookmarkStart w:id="356" w:name="pg8631_95100"/>
    </w:p>
    <w:p>
      <w:pPr>
        <w:pStyle w:val="Heading5"/>
        <w:numPr>
          <w:ilvl w:val="4"/>
          <w:numId w:val="1"/>
        </w:numPr>
        <w:rPr/>
      </w:pPr>
      <w:bookmarkStart w:id="357" w:name="__RefHeading___Toc2193141_653776707"/>
      <w:bookmarkStart w:id="358" w:name="_Toc129"/>
      <w:bookmarkEnd w:id="356"/>
      <w:bookmarkEnd w:id="357"/>
      <w:r>
        <w:rPr>
          <w:rtl w:val="true"/>
        </w:rPr>
        <w:t>الطريق الخامس</w:t>
      </w:r>
      <w:r>
        <w:rPr>
          <w:rtl w:val="true"/>
        </w:rPr>
        <w:t xml:space="preserve">: </w:t>
      </w:r>
      <w:r>
        <w:rPr>
          <w:rtl w:val="true"/>
        </w:rPr>
        <w:t>الإسلام مع عدم ظهور الفسق</w:t>
      </w:r>
      <w:bookmarkEnd w:id="358"/>
    </w:p>
    <w:p>
      <w:pPr>
        <w:pStyle w:val="BookText"/>
        <w:rPr/>
      </w:pPr>
      <w:r>
        <w:rPr>
          <w:rFonts w:ascii="Amiri" w:hAnsi="Amiri" w:eastAsia="Amiri" w:cs="Amiri"/>
          <w:color w:val="111111"/>
          <w:sz w:val="28"/>
          <w:sz w:val="28"/>
          <w:szCs w:val="28"/>
          <w:rtl w:val="true"/>
          <w:lang w:bidi="ar-SA"/>
        </w:rPr>
        <w:t>نسب إلى بعض القدماء ومنهم الشيخ في الخلاف مدعياً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عليه بوجوه أحسنها الاستدلال بجملة من الأخبار الّتي تدل على قبول شهادة الشاهدين، أو الشاهد الواحد إذا كان من المسلمين ولم يعرف بالفسق أو بشهادة الزور، كصحيحة حريز </w:t>
      </w:r>
      <w:r>
        <w:rPr>
          <w:rStyle w:val="FootnoteAnchor"/>
          <w:rtl w:val="true"/>
        </w:rPr>
        <w:footnoteReference w:id="527"/>
      </w:r>
      <w:r>
        <w:rPr>
          <w:rFonts w:ascii="Amiri" w:hAnsi="Amiri" w:eastAsia="Amiri" w:cs="Amiri"/>
          <w:color w:val="111111"/>
          <w:sz w:val="28"/>
          <w:sz w:val="28"/>
          <w:szCs w:val="28"/>
          <w:rtl w:val="true"/>
          <w:lang w:bidi="ar-SA"/>
        </w:rPr>
        <w:t xml:space="preserve">، ورواية العلاء بن سيابة </w:t>
      </w:r>
      <w:r>
        <w:rPr>
          <w:rStyle w:val="FootnoteAnchor"/>
          <w:rtl w:val="true"/>
        </w:rPr>
        <w:footnoteReference w:id="528"/>
      </w:r>
      <w:r>
        <w:rPr>
          <w:rFonts w:ascii="Amiri" w:hAnsi="Amiri" w:eastAsia="Amiri" w:cs="Amiri"/>
          <w:color w:val="111111"/>
          <w:sz w:val="28"/>
          <w:sz w:val="28"/>
          <w:szCs w:val="28"/>
          <w:rtl w:val="true"/>
          <w:lang w:bidi="ar-SA"/>
        </w:rPr>
        <w:t xml:space="preserve">، ورواية علقمة </w:t>
      </w:r>
      <w:r>
        <w:rPr>
          <w:rStyle w:val="FootnoteAnchor"/>
          <w:rtl w:val="true"/>
        </w:rPr>
        <w:footnoteReference w:id="529"/>
      </w:r>
      <w:r>
        <w:rPr>
          <w:rFonts w:ascii="Amiri" w:hAnsi="Amiri" w:eastAsia="Amiri" w:cs="Amiri"/>
          <w:color w:val="111111"/>
          <w:sz w:val="28"/>
          <w:sz w:val="28"/>
          <w:szCs w:val="28"/>
          <w:rtl w:val="true"/>
          <w:lang w:bidi="ar-SA"/>
        </w:rPr>
        <w:t xml:space="preserve">، وصحيحة البزنطي </w:t>
      </w:r>
      <w:r>
        <w:rPr>
          <w:rStyle w:val="FootnoteAnchor"/>
          <w:rtl w:val="true"/>
        </w:rPr>
        <w:footnoteReference w:id="53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وكلّها غير تامة إمّا لقصور دلالتها في نفسها، وإمّا أنّه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تقييدها بسائر الروايات الدالة على اعتبار حسن الظاهر أو شهادة العدلين أو الشياع المفيد للعلم أو الوثوق والاطمئنان، مضافاً إلى ما تقدّم من التحقيق في هذا القول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359" w:name="pg8631_95101"/>
    </w:p>
    <w:p>
      <w:pPr>
        <w:pStyle w:val="Heading5"/>
        <w:numPr>
          <w:ilvl w:val="4"/>
          <w:numId w:val="1"/>
        </w:numPr>
        <w:rPr/>
      </w:pPr>
      <w:bookmarkStart w:id="360" w:name="__RefHeading___Toc2193143_653776707"/>
      <w:bookmarkStart w:id="361" w:name="_Toc130"/>
      <w:bookmarkEnd w:id="359"/>
      <w:bookmarkEnd w:id="360"/>
      <w:r>
        <w:rPr>
          <w:rtl w:val="true"/>
        </w:rPr>
        <w:t>الطريق السادس</w:t>
      </w:r>
      <w:r>
        <w:rPr>
          <w:rtl w:val="true"/>
        </w:rPr>
        <w:t xml:space="preserve">: </w:t>
      </w:r>
      <w:r>
        <w:rPr>
          <w:rtl w:val="true"/>
        </w:rPr>
        <w:t>مطلق الظن بالعدالة</w:t>
      </w:r>
      <w:bookmarkEnd w:id="361"/>
    </w:p>
    <w:p>
      <w:pPr>
        <w:pStyle w:val="BookText"/>
        <w:rPr/>
      </w:pPr>
      <w:r>
        <w:rPr>
          <w:rFonts w:ascii="Amiri" w:hAnsi="Amiri" w:eastAsia="Amiri" w:cs="Amiri"/>
          <w:color w:val="111111"/>
          <w:sz w:val="28"/>
          <w:sz w:val="28"/>
          <w:szCs w:val="28"/>
          <w:rtl w:val="true"/>
          <w:lang w:bidi="ar-SA"/>
        </w:rPr>
        <w:t>فقد وقع الخلاف في كونه طريقاً للعدالة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شيخنا الأنصاري رحمه الله في كتاب الصلاة إلى اعتباره </w:t>
      </w:r>
      <w:r>
        <w:rPr>
          <w:rStyle w:val="FootnoteAnchor"/>
          <w:rtl w:val="true"/>
        </w:rPr>
        <w:footnoteReference w:id="532"/>
      </w:r>
      <w:r>
        <w:rPr>
          <w:rFonts w:ascii="Amiri" w:hAnsi="Amiri" w:eastAsia="Amiri" w:cs="Amiri"/>
          <w:color w:val="111111"/>
          <w:sz w:val="28"/>
          <w:sz w:val="28"/>
          <w:szCs w:val="28"/>
          <w:rtl w:val="true"/>
          <w:lang w:bidi="ar-SA"/>
        </w:rPr>
        <w:t xml:space="preserve">، ونسبه في رسالته إلى بعض معاصريه وقيده فيها بإفادته الوثوق وقد استدل على طريقيته بوجهين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العلم بالعدالة منسد فإنّه متعسر أو متعذر، ومع إجراء الأصل والرجوع إلى أصالة عدم العمل بالظن يلزم إبطال الحقوق وتعطيل الجماعات والأسواق واختلال النظام، فيتعين فيها الركون إلى الظن كما في نظائرها من الموضوعات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عنه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إنّما يلزم فيما إذا لم يجعل الشارع طريقاً إلى العدالة أصلاً مع أنّه قد تقدّم أنّ حسن الظاهر أو شهادة العدلين بل عدل واحد أو الشياع الموجب للاطمئنان حجة، وهي تكفي في عدم الانسداد، بل يكفي حسن الظاهر لأنّه طريق واسع إلى كشف العدالة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الإنسداد إنّما يوجب العمل بالظن في الجملة فيجب الاقتصار منه على الظن القويّ المعبّر عنه عرفاً بالوثوق والاطمئنان مع إمكان استفادة هذه المرتبة من النصوص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أبي علي بن 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إلاّ خلف من تثق بدينه</w:t>
      </w:r>
      <w:r>
        <w:rPr>
          <w:rFonts w:eastAsia="IRNazanin" w:cs="IRNazanin"/>
          <w:color w:val="111111"/>
          <w:sz w:val="28"/>
          <w:szCs w:val="28"/>
          <w:rtl w:val="true"/>
          <w:lang w:bidi="fa-IR"/>
        </w:rPr>
        <w:t xml:space="preserve">» </w:t>
      </w:r>
      <w:r>
        <w:rPr>
          <w:rStyle w:val="FootnoteAnchor"/>
          <w:rtl w:val="true"/>
        </w:rPr>
        <w:footnoteReference w:id="534"/>
      </w:r>
      <w:r>
        <w:rPr>
          <w:rFonts w:ascii="Amiri" w:hAnsi="Amiri" w:eastAsia="Amiri" w:cs="Amiri"/>
          <w:color w:val="111111"/>
          <w:sz w:val="28"/>
          <w:sz w:val="28"/>
          <w:szCs w:val="28"/>
          <w:rtl w:val="true"/>
          <w:lang w:bidi="ar-SA"/>
        </w:rPr>
        <w:t>، وغيرها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في رواية إبراهيم بن زياد الكرخي، 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خمس صلوات في اليوم والليلة في جماعة فظنّوا به خيراً، وأجيزوا شهادته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فظنّوا به كلّ خير</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دلت على ظن الخير بالمصلي جماعة في مواقعها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والمقصود الأصلي ليس مجرد ظن الخير وإنّما هو ترتيب آثار الخير بعد الظن به، ويظهر ذلك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وأجيزوا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فظنوا به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قبيل عطف العلة الغائية على معلولها، كما هو شائع ذائع في الأمثلة العرفية، والأخبار، والآيات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الجواب عن ذلك، بأنّ الرواية تدل على أنّ المدار ما هو سبب لحصول ظن الخير وهو ما يوجب حسن الظاهر الحاصل من حضوره وتعاهده في صلواته الخمس بالجماعة، وهذا ملازم للظن نوعاً بأنّه من أهل الخير، وإلاّ فإنّ الظن ليس أمراً اختيارياً حتى يصح التكليف به، فالأثر يترتب على حسن الظاهر الّذي يكون منشأ للظن نوعاً، ولا دلالة في الرواية على اعتبار الظن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فرض التسليم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ينصرف إلى الظن القوي المعبر عنه بالوثوق، وبقرينة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مباحث العدالة، ونسأل اللَّه تعالى أن يجعلنا من أهل الصلاح والاستقامة وأن تكون خير أعمالنا خواتيمها وخير أيامنا يوم نلقاه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 الفراغ منه في ليلة الأربعاء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مدينة قم المقدّسة، عشّ آل محمّد صلى الله عليه وآله</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8631_95105"/>
      <w:bookmarkStart w:id="363" w:name="pg8631_95105"/>
      <w:bookmarkEnd w:id="363"/>
    </w:p>
    <w:p>
      <w:pPr>
        <w:pStyle w:val="Heading2"/>
        <w:numPr>
          <w:ilvl w:val="1"/>
          <w:numId w:val="1"/>
        </w:numPr>
        <w:rPr/>
      </w:pPr>
      <w:bookmarkStart w:id="364" w:name="pg8631_95105"/>
      <w:bookmarkStart w:id="365" w:name="__RefHeading___Toc2193145_653776707"/>
      <w:bookmarkStart w:id="366" w:name="_Toc131"/>
      <w:bookmarkEnd w:id="364"/>
      <w:bookmarkEnd w:id="365"/>
      <w:r>
        <w:rPr>
          <w:rtl w:val="true"/>
        </w:rPr>
        <w:t>الفهارس الفنية</w:t>
      </w:r>
      <w:bookmarkEnd w:id="3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الآيات الكريمة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 والروايات الشريفة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مصادر التحقيق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8631_95107"/>
      <w:bookmarkStart w:id="368" w:name="pg8631_95107"/>
      <w:bookmarkEnd w:id="368"/>
    </w:p>
    <w:p>
      <w:pPr>
        <w:pStyle w:val="Heading2"/>
        <w:numPr>
          <w:ilvl w:val="1"/>
          <w:numId w:val="1"/>
        </w:numPr>
        <w:rPr/>
      </w:pPr>
      <w:bookmarkStart w:id="369" w:name="pg8631_95107"/>
      <w:bookmarkStart w:id="370" w:name="__RefHeading___Toc2193147_653776707"/>
      <w:bookmarkStart w:id="371" w:name="_Toc132"/>
      <w:bookmarkEnd w:id="369"/>
      <w:bookmarkEnd w:id="370"/>
      <w:r>
        <w:rPr>
          <w:rtl w:val="true"/>
        </w:rPr>
        <w:t>فهرس الآيات الكريمة</w:t>
      </w:r>
      <w:bookmarkEnd w:id="371"/>
    </w:p>
    <w:p>
      <w:pPr>
        <w:pStyle w:val="BookText"/>
        <w:rPr/>
      </w:pPr>
      <w:r>
        <w:rPr>
          <w:rFonts w:ascii="IRNazanin" w:hAnsi="IRNazanin" w:eastAsia="IRNazanin"/>
          <w:color w:val="111111"/>
          <w:sz w:val="28"/>
          <w:sz w:val="28"/>
          <w:szCs w:val="28"/>
          <w:rtl w:val="true"/>
          <w:lang w:bidi="fa-IR"/>
        </w:rPr>
        <w:t xml:space="preserve">اعدلوا هو أقرب للتّقوى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إنّا أعتدنا للظّالمين نارا أحاط بهم سرادقها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إنّ الّذين فتنوا المؤمنين والمؤمنات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إنّ الّذين يأكلون أموال اليتامى ظلما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إنّ الّذين يحبّون أن تشيع الفاحشة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إنّ الّذين يرمون المحصنات الغافلات المؤمنات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إنّ الّذين يشترون بعهد اللّه وأيمانهم ثمنا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إنّ الّذين يفترون على اللّه الكذب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إنّ الّذين يكتمون ما أنزل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إنّ الّذين يؤذون 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إنّ اللّه يأمر بالعدل والإحسان وإيتاء ذي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تجتنبوا كبائر ما تنهون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إنّما جزاء الّذين يحاربون 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تمشي على استحياء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ثاني عطفه ليضلّ عن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ثمّ تاب عليهم ليتوبوا إنّ اللّه هو التّوّاب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الّذين يأكلون الرّبا لا يقومون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الّذين يجتنبون كبائر الإثم والفواحش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الّذين يحملون العرش ومن حوله يسبّحون بحمد ربّهم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الّذين يلمزون المطّوّعين من المؤمنين في الصّدقات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فادخلوا أبواب جهنّم خالدين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فإن لم يكونا رجلين فرجل وامرأتان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فأمّا الّذين شقوا ففي النار لهم فيها زفير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فرح المخلّفون بمقعدهم خلاف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فلا يأمن مكر اللّه إلاّ القوم الخاسرون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فمن شاء فليؤمن ومن شاء فليكفر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فهل عسيتم إن تولّيتم أن تفسدوا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قل يا عبادي الّذين أسرفوا على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لا تجد قوما يؤمنون باللّه واليوم الآخر يوادّون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لقد تاب اللّه على النبي والمهاجرين والأنصار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اللّعنة ولهم سوء الدّار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ممّن ترضون من الشُّهداء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هل يستوي هو ومن يأمر بالعدل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هو أنشأكم من الأرض واستعمركم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واتّبعوا ما تتلوا الشّياطين على ملك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واستغفروا ربّكم ثمّ توبوا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والّذين كفروا أولياؤهم الطاغوت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والّذين لا يدعون مع اللّه إلها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والّذين يجتنبون كبائر الإثم والفواحش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والّذين يرمون المحصنات ثمّ لم يأتوا بأربعة شهداء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والّذين يكنزون الذهب والفضّة ولا ينفقونها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والّذين ينقضون عهد اللّه من بعد ميثاقه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والفتنة أشدّ من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وأمّا من خاف مقام ربّه ونهى النفس عن الهوى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وأنّ المسرفين هم أصحاب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وأنصتوا لعلّكم ترحمون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وتوبوا إلى اللّه جميعا أيّها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وخاب كلّ جبّار عنيد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وقد آتيناك من لدنّا ذكرا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ولا تركنوا إلى الّذين ظلموا فتمسّكم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ولا تيأسوا من روح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ولا يزنون ومن يفعل ذلك يلق أثاما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ولم يصرّوا على ما فعلوا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ومن الناس من يشتري لهو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ومن أظلم ممّن منع مساجد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ومن لم يحكم بما أنزل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ومن يُرد فيه بإلحاد بظلم نذقه من 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ومن يعص اللّه ورسوله ويتعدّ حدوده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ومن يقتل مؤمنا متعمّدا فجزاؤه جهنّم خالدا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ومن يولّهم يومئذٍ دبره إلاّ متحرفا 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ونريد أن نمنّ على الّذين استضعفوا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ويوم القيامة ترى الّذين كذبوا على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يا أيّها الّذين آمنوا استجيبوا للّه وللرسول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استعينوا بالصّبر والصّلاة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الّذين آمنوا توبوا إلى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يا أيّها الّذين آمنوا كونوا قوّامين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يؤمن باللّه ويؤمن للمؤمنين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8631_95113"/>
      <w:bookmarkStart w:id="373" w:name="pg8631_95113"/>
      <w:bookmarkEnd w:id="373"/>
    </w:p>
    <w:p>
      <w:pPr>
        <w:pStyle w:val="Heading2"/>
        <w:numPr>
          <w:ilvl w:val="1"/>
          <w:numId w:val="1"/>
        </w:numPr>
        <w:rPr/>
      </w:pPr>
      <w:bookmarkStart w:id="374" w:name="pg8631_95113"/>
      <w:bookmarkStart w:id="375" w:name="__RefHeading___Toc2193149_653776707"/>
      <w:bookmarkStart w:id="376" w:name="_Toc133"/>
      <w:bookmarkEnd w:id="374"/>
      <w:bookmarkEnd w:id="375"/>
      <w:r>
        <w:rPr>
          <w:rtl w:val="true"/>
        </w:rPr>
        <w:t>فهرس الأحاديث والروايات الشريفة</w:t>
      </w:r>
      <w:bookmarkEnd w:id="376"/>
    </w:p>
    <w:p>
      <w:pPr>
        <w:pStyle w:val="BookText"/>
        <w:rPr/>
      </w:pPr>
      <w:r>
        <w:rPr>
          <w:rFonts w:ascii="Amiri" w:hAnsi="Amiri" w:eastAsia="Amiri" w:cs="Amiri"/>
          <w:color w:val="111111"/>
          <w:sz w:val="28"/>
          <w:sz w:val="28"/>
          <w:szCs w:val="28"/>
          <w:rtl w:val="true"/>
          <w:lang w:bidi="ar-SA"/>
        </w:rPr>
        <w:t xml:space="preserve">أفضل أعمال أمّتي انتظار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أفضل العبادة العفاف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أمره بتقوى اللّه، وإيثار طاعته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إذا اجتمع أهل مصر على صيامه للرؤية فاقضه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إذا تاب العبد توبة نصوحا أحبّه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إذا كان الرجل لا تعرفه يؤمّ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إذا كان كذلك فصم لصيامهم وأفطر لفطرهم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إذا كانوا أربعة من المسلمين ليس يعرفون بشهادة الزور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إذا كنت خلف الإمام تولاّه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إذا كنّ مستورات من أهل البيوتات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الإصرار أن يذنب الذنب فلا يستغفر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أن تعرفوه بالستر والعفاف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أن يكون ساترا لجميع عيوبه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إنّ اللّه أعطى التائبين ثلاث 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إنّ اللّه تبارك وتعالى أشدّ فرحا بتوبة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عزّوجلّ يفرح بتوبة عبده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من أحبّ عباد اللّه إلى اللّه المفتن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إنّ من أشدّ الناس عذابا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إنّ من أعظم النّاس حسرة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إنّما بعثت لأتمم 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إنّه واللّه ما خرج عبد من ذنب بإصرار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أوثق عُرى الإيمان الحبّ في اللّه، والبغض في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أوّل عدله نفي الهوى عن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التائب من الذنب كمن لا ذنب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تصديق القلب وإضمار أن لا يعود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تظنّون أنّ الفتوّة بالفسق والفجور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تقبل شهادة المرأة والنسوة إذا كنّ مستورات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الّتي أوجب اللّه عليها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ثكلتك أمك أتدري ما الاستغفار؟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حتى يحرم على المسلمين ما وراء ذلك من عثراته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الحياء والإيمان مقرونان في قرن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خمسة أشياء يجب على الناس الأخذ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الذنوب كلّها شديدة، وأشدّها ما نبت عليه اللحم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سألت أبا عبد اللّه عليه السلام عن الرجل يقذف الرجل فيجلد 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سألت أبا عبد اللّه عليه السلام عن القاذف بعد ما يقام عليه الحدّ ما توبته؟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شهادة القابلة جائزة على أنّه استهلَّ أو برز ميّتا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صم حين يصوم الناس وافطر حين يفطر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للصابرين في غيبته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الظنين، والمتّهم، والخصم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العدل أحلى من الشهد وألين من الزبد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العدل أحلى من الماء يصيبه الظمآن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عدل ساعة خير من عبادة سبعين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عن رجل طلّق امرأته بعدما غشيها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فإذا سئل عنه في قبيلته ومحلته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فإذا كان ظاهر الرجل ظاهرا مأمونا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فإذا كان ظاهره ظاهرا مأمونا جازت شهادته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فمن لم تره بعينك يرتكب ذنبا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في قوم خرجوا من خراسان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قد سمّى اللّه المؤمنين بالعمل الصالح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كان رسول اللّه صلى الله عليه و آله إذا تخاصم إليه رجلان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الكبائر الّتي أوجب اللّه عزّوجلّ عليها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الكبائر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المؤمن متعمدا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الكبائر سبعة، منها قتل النفس متعمّدا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الكبائر من اجتنب ما وعد اللّه عليه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كذّب سمعك وبصرك عن أخيك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كفى بالندم 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كلّ ما أوعد اللّه عليه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كلّ من ولد على الفطرة وعُرف بالصلاح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لا إيمان لمن لا حياء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إذا كان لا يُعرف بفسق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بأس بشهادة الضيف إذا كان عفيفا صائنا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لا تحقّروا شيئا من الشر وإن صغر في أعينكم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لا تصلّ إلاّ خلف من تثق بدينه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لا تقبل شهادة سابق الحاجّ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لا تقرأ خلفه ما لم يكن عاقا قاطعا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لا دين لمن لا مروّة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لا صغيرة مع الإصرار، ولا كبيرة مع الاستغفار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لا يزني الزاني وهو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لو كان الأمر إلينا لأجزنا شهادة الرجل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اللّهم حصّن فرجي وأعفّه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ما أوعد اللّه عليه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ما عبد اللّه بشيء أفضل من عفة بطن وفرج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ما من عبد إلاّ وعليه أربعون 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ما من عبد أذنب ذنبا فندم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المروءة مروءتان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مروءة في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معرفة الإمام، واجتناب الكبائر الّتي أوجب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ممّن ترضون دينه وأمانته وصلاحه وعفّته وتيقّظه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من اجتنب الكبائر من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من اجتنب ما أوعد اللّه عليه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من أذنب ذنبا صغيرا كان أو كبيرا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من أذنب ذنبا فعلم أنّ اللّه مطّلع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صلّى خمس صلوات في اليوم والليلة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عامل الناس فلم يظلمهم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من عفّ بطنه وفرجه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الندامة 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هنّ خمس، وهنّ ممّا أوجب اللّه عليهنّ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واستغفر لذنبك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واعلم أنّ المسلمين عدول بعضهم على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واعلم أنّ مروءة المرء المسلم مروءتان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وأمّا محمّد بن شاذان بن نعيم فهو رجل من شيعتنا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والإصرار على الذنوب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والإصرار على صغائر الذنوب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والدلالة على ذلك 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والمصر لا يغفر له لأنّه غير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وترك الصلاة متعمدا أو شيئا ممّا فرض اللّه عزّوجلّ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ولا يسأل عن باطنه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ويعرف باجتناب الكبائر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ويكون منه التعاهد للصلوات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يا أبا أحمد ما من أحد يرتكب كبيرة من المعاصي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يا أبا أحمد ما من مؤمن يذنب ذنبا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يا أبا ذر، لا تنظر إلى صغر الخطيئة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يا بُنيّ اجعل نفسك ميزانا فيما بينك وبين غيرك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يا بني إن اللّه عزّوجلّ يقول في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جويرية إنّه لم يهلك هؤلاء الحمقى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طالب العلم إنّ العلم ذو فضائل كثيرة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يا عزير، إذا وقعت في معصية فلا تنظر إلى صغرها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يا علقمة، كلّ من كان على فطرة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يتوب العبد من الذنب ثمّ لا يعود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bookmarkStart w:id="377" w:name="pg8631_95119"/>
    </w:p>
    <w:p>
      <w:pPr>
        <w:pStyle w:val="Heading2"/>
        <w:numPr>
          <w:ilvl w:val="1"/>
          <w:numId w:val="1"/>
        </w:numPr>
        <w:rPr/>
      </w:pPr>
      <w:bookmarkStart w:id="378" w:name="__RefHeading___Toc2193151_653776707"/>
      <w:bookmarkStart w:id="379" w:name="_Toc134"/>
      <w:bookmarkEnd w:id="377"/>
      <w:bookmarkEnd w:id="378"/>
      <w:r>
        <w:rPr>
          <w:rtl w:val="true"/>
        </w:rPr>
        <w:t>فهرس مصادر التحقيق</w:t>
      </w:r>
      <w:bookmarkEnd w:id="3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شيخ الطائفة أبو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تحقيق الشيخ محمّد جواد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والانثروبولوجيا،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باقادر، الطبعة الأولى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الهادي،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الاذهان إلى أحكام الإيمان، العلاّمة الحلّي الحسن بن يوسف بن المطهّر الأسدى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تحقيق الشيخ فارس الحسون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اصباح الشيعة بمصباح الشريعة، قطب الدين الكيدري أبو الحسن محمّد بن الحسين بن الحسن البيهقي النيشابوري،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فقه الشيعة،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علم الرجال بين النظرية والتطبيق، محمّد علي علي صالح المعلم تقريرا لأبحاث آية اللّه الشيخ مسلم الداوري،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الكافي، ثقة الإسلام أبو جعفر محمّد بن يعقوب الكليني 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تحقيق الشيخ محمّد جواد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الاقتصاد والعدالة، الشهيد الثاني زين الدين بن علي بن أحمد</w:t>
      </w:r>
    </w:p>
    <w:p>
      <w:pPr>
        <w:pStyle w:val="BookText"/>
        <w:rPr/>
      </w:pPr>
      <w:r>
        <w:rPr>
          <w:rFonts w:ascii="Amiri" w:hAnsi="Amiri" w:eastAsia="Amiri" w:cs="Amiri"/>
          <w:color w:val="111111"/>
          <w:sz w:val="28"/>
          <w:sz w:val="28"/>
          <w:szCs w:val="28"/>
          <w:rtl w:val="true"/>
          <w:lang w:bidi="ar-SA"/>
        </w:rPr>
        <w:t xml:space="preserve">العاملي 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آية اللّه العظمى المرعشي النجفي،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تحقيق السيّد مهدي الرجائي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الشيخ الصدوق أبو جعفر محمّد بن علي بن الحسين بن موسى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البعثة،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الفوائد في شرح إشكالات القواعد، الفقيه الشيخ أبو طالب محمّد بن الحسن بن يوسف بن المطهر الحلّي، ت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اسماعيليان،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 تحقيق السيّد حسين الموسوي الكرماني، والشيخ علي پنان الاشتهاردي، والشيخ عبد الرحيم البروجردي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المولى الشيخ محمّد باقر المجلسي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في علم الأصول، المحقّق آية اللّه الشيخ محمّد حسين الاصفهاني 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مرتضى الزبيدي الحنفي، سنة الطبع </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تحقيق علي شيري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المتعلمين في أحكام الدين، العلاّمة الحلّي الحسن بن يوسف بن المطهّر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w:t>
      </w:r>
    </w:p>
    <w:p>
      <w:pPr>
        <w:pStyle w:val="BookText"/>
        <w:rPr/>
      </w:pPr>
      <w:r>
        <w:rPr>
          <w:rFonts w:ascii="Amiri" w:hAnsi="Amiri" w:eastAsia="Amiri" w:cs="Amiri"/>
          <w:color w:val="111111"/>
          <w:sz w:val="28"/>
          <w:sz w:val="28"/>
          <w:szCs w:val="28"/>
          <w:rtl w:val="true"/>
          <w:lang w:bidi="ar-SA"/>
        </w:rPr>
        <w:t xml:space="preserve">وزارة الثقافة والإرشاد،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تحقيق هادي اليوسفي الغروي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صلى الله عليه و آله ، الشيخ الثقة أبومحمّد الحسن بن علي بن الحسين بن شعبة الحرّاني من أعلام القرن الرابع، الطبعة السادسة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الشرعية على مذهب الإماميّة، العلاّمة الحلّي الحسن بن يوسف بن المطهّر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الإمام الصادق عليه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تحقيق الشيخ إبراهيم البهادري، إشراف آية اللّه جعفر السبحاني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في شرح العروة الوثقى، آية اللّه الشيخ علي الغروي تقريرا لأبحاث آية اللّه العظمى السيّد أبو القاسم الخوئي 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مؤسسة إحياء آثار الإمام الخوئي،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في شرح المقنعة للشيخ المفيد رضى الله عنه ، شيخ الطائفة أبو جعفر محمّد بن الحسن الطوسي 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تحقيق الشيخ محمّد جواد الفقيه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الشيخ الصدوق أبو جعفر محمّد بن علي بن الحسين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جامعة المدرسين في الحوزة العلمية،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تحقيق السيّد هاشم الحسيني الطهراني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إسماعيل المعزّيّ الملايري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تحت إشراف آية اللّه العظمى السيّد حسين الطباطبائي البروجردي،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مهر،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السعادات، الشيخ محمّد مهدي النراقي ت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السابعة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تحقيق السيّد محمّد كلانتر، تقديم العلاّمة الشيخ محمّد رضا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المحقّق الثاني الشيخ عليّ بن الحسين الكركي 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آل البيت عليهم السلام لإحياء التراث،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في شرح شرائع الإسلام، شيخ الفقهاء وإمام المحققين الشيخ محمّد حسين النجفي 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السابعة،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الفقيه المحدّث الشيخ يوسف البحراني 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تحقيق محمّد تقي الإيرواني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شيخ الطائفة أبو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الإماميّة، الشهيد الأوّل الشيخ محمّد بن جمال الدين بن مكي العاملي 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في شرح الارشاد، العلاّمة المحقّق ملا محمّد باقر السبزواري ت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الشهيد الأوّل محمّد بن جمال الدين بن مكي العاملي الجزيني 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عليهم السلام لإحياء التراث،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شيخ الطائفة أبو جعفر محمّد بن الحسن الطوسيت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تحقيق جواد القيومي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الشيخ الجليل أبو العباس أحمد بن عليّ بن أحمد بن العباس النجاشي الأسدي الكوفي 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السادسة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تحقيق السيّد موسى الشبيري الزنجاني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 شيخ الطائفة أبو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الطبع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جامعة المدرسين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 تحقيق واعظ زادة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رسائل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الأعظم مرتضى الأنصاري 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الفكر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اعداد لجنة تحقيق تراث الشيخ الأعظم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في شرح إرشاد الأذهان، الشهيد الثاني الشيخ زين الدين بن علي العاملي 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مركز الأبحاث والدراسات الإسلامية،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في شرح اللمعة الدمشقيّة، الشهيد الثاني زين الدين بن علي العاملي 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دار التفسير،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تصحيح حسن القاروبي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الكافي، ثقة الإسلام أبو جعفر محمّد بن يعقوب الكليني 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الشيخ محمّد جواد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في تحقيق الأحكام بالدلائل، الفقيه الأصولي السيّدعلي بن السيّد محمّد علي الطباطبائي 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عليهم السلام لإحياء التراث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السرائر الحاوي لتحرير الفتاوي، الشيخ الفقيه أبو جعفر محمّد بن منصور بن أحمد بن إدريس الحلّي 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الرابعة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المحقّق الحلّي نجم الدين جعفر بن الحسن 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انتشارات استقلال،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تعليق السيّد صادق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الحكيم الإلهي والفيلسوف الإسلامي صدر الدين الشيرازي ت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مكتبة المحمودي،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تاج اللّغة وصحاح العربيّة، إسماعيل بن حماد الجوهري، الطبعة 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العلم للملايين، تحقيق أحمد عبد الغفور عطّار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في أصول الفقه، شيخ الطائفة أبو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تحقيق محمّد رضا الأنصاري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آية اللّه العظمى السيّد محمّد كاظم الطباطبائي اليزدي ت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تعليقات عدّة من الفقهاء، الطبعة الثانية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الشيخ الصدوق أبو جعفر محمّد بن علي بنالحسين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العزيزية في الأحاديث الدينية، ابن أبي جمهور الإحسائي محمّد بن علي بن إبراهيم ت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مطبعة سيد الشهداء عليه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تقديم آية اللّه العظمى السيّد المرعشي النجفي، تحقيق الشيخ مجتبى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النشر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دار العالم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في شرح شرائع الإسلام، الفقيه المحقّق الشيخ مفلح الصيمري البحراني، من أعلام القرن التاسع الهجري،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الهادي،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تحقيق الشيخ جعفر الكوثراني العاملي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إلى علمي الأصول والفروع، الفقيه الأقدم السيّد حمزة بن علي بن زهرة الحلبي ت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الإمام </w:t>
      </w:r>
    </w:p>
    <w:p>
      <w:pPr>
        <w:pStyle w:val="BookText"/>
        <w:rPr/>
      </w:pPr>
      <w:r>
        <w:rPr>
          <w:rFonts w:ascii="Amiri" w:hAnsi="Amiri" w:eastAsia="Amiri" w:cs="Amiri"/>
          <w:color w:val="111111"/>
          <w:sz w:val="28"/>
          <w:sz w:val="28"/>
          <w:szCs w:val="28"/>
          <w:rtl w:val="true"/>
          <w:lang w:bidi="ar-SA"/>
        </w:rPr>
        <w:t xml:space="preserve">الصادق عليه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تحقيق الشيخ إبراهيم البهادري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للإمام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المؤتمر العالمي للإمام الرضا عليه السلام ، مشهد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تحقيق مؤسسة آل البيت عليهم السلام لإحياء التراث،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كتب الشيعة وأصولهم وأسماء المصنفين وأصحاب الأصول، شيخ الطائفة أبو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عليهم السلام لإحياء التراث،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 تحقيق السيّد عبد العزيز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الفيروز آبادي محمّد بن يعقوب 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السادسة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العلاّمة الحلّي أبو منصور الحسن بن يوسف بن المطهر الأسدي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والفوائد، الشهيد الأوّل أبو عبد اللّه محمّد بن مكي العاملي 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المفيد،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تحقيق الدكتور السيّد عبد الهادي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المرام في علم الكلام، ميثم بن علي بن ميثم البحراني ت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آية اللّه العظمى المرعشي</w:t>
      </w:r>
    </w:p>
    <w:p>
      <w:pPr>
        <w:pStyle w:val="BookText"/>
        <w:rPr/>
      </w:pPr>
      <w:r>
        <w:rPr>
          <w:rFonts w:ascii="Amiri" w:hAnsi="Amiri" w:eastAsia="Amiri" w:cs="Amiri"/>
          <w:color w:val="111111"/>
          <w:sz w:val="28"/>
          <w:sz w:val="28"/>
          <w:szCs w:val="28"/>
          <w:rtl w:val="true"/>
          <w:lang w:bidi="ar-SA"/>
        </w:rPr>
        <w:t xml:space="preserve">النجفي،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ثقة الإسلام أبو جعفر محمّد بن يعقوب الكليني 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تحقيق </w:t>
      </w:r>
    </w:p>
    <w:p>
      <w:pPr>
        <w:pStyle w:val="BookText"/>
        <w:rPr/>
      </w:pPr>
      <w:r>
        <w:rPr>
          <w:rFonts w:ascii="Amiri" w:hAnsi="Amiri" w:eastAsia="Amiri" w:cs="Amiri"/>
          <w:color w:val="111111"/>
          <w:sz w:val="28"/>
          <w:sz w:val="28"/>
          <w:szCs w:val="28"/>
          <w:rtl w:val="true"/>
          <w:lang w:bidi="ar-SA"/>
        </w:rPr>
        <w:t>الشيخ محمّد جواد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الاشراف، الشيخ المفيد أبو عبد اللّه محمّد بن محمّد بن النعمان العكبري البغدادي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ضمن مؤلفات الشيخ المفيد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دار المفيد،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الصلاة تقريرات بحث الاستاذ الأعظم الميرزا محمّد حسين الغروي النائيني، للشيخ محمّد تقي الاملي، مكتبة البوذر جمهري مصطفوي،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الصلاة، الشيخ الأعظم مرتضى الأنصاري 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الفكر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اعداد لجنة تحقيق تراث الشيخ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اللثام عن قواعد الأحكام، الشيخ بهاد الدين محمّد بن الحسن الاصفهاني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علي بن محمد الخزاز القمي، سنة النشر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بيدار للنشر،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الشيخ الجليل الأقدم أبو جعفر محمّد بن علي بن الحسين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العرفان في فقه القرآن، الشيخ الفاضل جمال الدين أبو عبد اللّه المقداد بن عبد اللّه السيوري ت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المجمع العالمي </w:t>
      </w:r>
    </w:p>
    <w:p>
      <w:pPr>
        <w:pStyle w:val="BookText"/>
        <w:rPr/>
      </w:pPr>
      <w:r>
        <w:rPr>
          <w:rFonts w:ascii="Amiri" w:hAnsi="Amiri" w:eastAsia="Amiri" w:cs="Amiri"/>
          <w:color w:val="111111"/>
          <w:sz w:val="28"/>
          <w:sz w:val="28"/>
          <w:szCs w:val="28"/>
          <w:rtl w:val="true"/>
          <w:lang w:bidi="ar-SA"/>
        </w:rPr>
        <w:t>للتقريب بين المذاهب الإسلامية، تحقيق السيّد محمّد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العلاّمة الفقيه الشيخ أبو الفتح محمّد بن علي بن عثمان الكراجكي الطرابلسي 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تحقيق الشيخ عبد اللّه 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العلاّمة أبو الفضل جمال الدين محمّد بن حكيم بن منظور الافريقي المصري، الطبعة الأولى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كلمة للإمام أمير المؤمنين علي بن أبي طالب عليه السلاموشرحها للعالم الرباني كمال الدين ميثم بن علي بن ميثم البحراني من أعلام القرن السادس الهجري،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تحقيق مير جلال الدين الحسيني الارموي المحدّث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في فقه الإماميّة، شيخ الطائفة أبو جعفر محمّد بن الحسن بن علي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المرتضوية لإحياء الآثار الجعفرية،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متشابه القرآن ومختلفه، الشيخ محمّد بن علي بن شهرآشوف المازندراني 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بيدار،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الشيخ فخر الدين الطريحي 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البعثة،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أمين الإسلام أبو علي الفضل بن الحسن الطبرسي، من أعلام القرن السادس الهجري،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تقديم السيّد محسن الأمين </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في شرح إرشاد الأذهان، المولى أحمد المقدس الأردبيلي 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المحقّق الحلّي نجم الدين جعفر بن الحسن 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السادسة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مؤسسة مطبوعات ديني،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 العلاّمة الحلّي الحسن بن يوسف بن المطهر ت</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مركز الأبحاث والدراسات الإسلامية التابع لمكتب الإعلام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في شرح شرائع الإسلام، الفقيه المحقّق السيّد محمّد بن علي الموسوي العاملي ت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عليهم السلام لإحياء التراث،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عليهم السلام ، المولى محمّد باقر المجلسي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الرابعة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دار الكتب الإسلامية،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تصحيح السيّد هاشم الرسولي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الافهام إلى تنقيح شرائع الإسلام، الشهيد الثاني زين الدين بن علي العاملي 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المعارف الإسلامية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ومستنبط المسائل، خاتمة المحدثين الحاج ميرزا حسين نوري الهمداني 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موسسة آل </w:t>
      </w:r>
    </w:p>
    <w:p>
      <w:pPr>
        <w:pStyle w:val="BookText"/>
        <w:rPr/>
      </w:pPr>
      <w:r>
        <w:rPr>
          <w:rFonts w:ascii="Amiri" w:hAnsi="Amiri" w:eastAsia="Amiri" w:cs="Amiri"/>
          <w:color w:val="111111"/>
          <w:sz w:val="28"/>
          <w:sz w:val="28"/>
          <w:szCs w:val="28"/>
          <w:rtl w:val="true"/>
          <w:lang w:bidi="ar-SA"/>
        </w:rPr>
        <w:t xml:space="preserve">البيت عليهم السلام لإحياء التراث،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الشيعة في أحكام الشريعة، العلاّمة الفقيه المولى أحمد بن محمّد مهدي النراقي ت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عليهم السلام لإحياء التراث،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الفقيه، الفقيه المحقّق الشيخ رضا بن محمّد هادي الهمداني 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الحجرية،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شيخ الطائفة أبو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الأعلميللمطبوعات،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العلاّمة أحمد بن علي المقري الفيومي 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شرح المختصر، المحقّق الحلّي نجم الدين أبو القاسم جعفر بن الحسن 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سيّد الشهداء عليه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وتفصيل طبقات الرواة، آية اللّه العظمى السيّد أبو القاسم الموسوي الخوئي، الطبعة الخامسة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الوسيط، مجمع اللغة العربية في القاهرة، دار الدعوة، استانبول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تركيا،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الشرائع، المحدث الفقيه المولى محمّد محسن الفيض الكاشاني 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الطبع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الذخائر الإسلامية،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p>
    <w:p>
      <w:pPr>
        <w:pStyle w:val="BookText"/>
        <w:rPr/>
      </w:pPr>
      <w:r>
        <w:rPr>
          <w:rFonts w:ascii="Amiri" w:hAnsi="Amiri" w:eastAsia="Amiri" w:cs="Amiri"/>
          <w:color w:val="111111"/>
          <w:sz w:val="28"/>
          <w:sz w:val="28"/>
          <w:szCs w:val="28"/>
          <w:rtl w:val="true"/>
          <w:lang w:bidi="ar-SA"/>
        </w:rPr>
        <w:t>تحقيق السيّد مهدي الرجائي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في شرح قواعد العلاّمة، المحقّق السيّد محمّد جواد الحسيني العاملي ت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المفردات في غريب القرآن، الراغب الاصفهاني، الطبعة الثانية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تحقيق خليل عيتاني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الشيخ المفيد محمّد بن النعمان العكبري البغدادي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ضمن مؤلفات الشيخ المفيد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دار المفيد،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رئيس المحدثين أبو جعفر الصدوق محمّد بن علي بن الحسين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تحقيق الشيخ محمّد جواد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التقرير في مباحث الصلاة، آية اللّه الشيخ محمّد الموحّدي الفاضل، تقريرا لأبحاث آية اللّه العظمى السيّد حسين الطباطبائي</w:t>
      </w:r>
    </w:p>
    <w:p>
      <w:pPr>
        <w:pStyle w:val="BookText"/>
        <w:rPr/>
      </w:pPr>
      <w:r>
        <w:rPr>
          <w:rFonts w:ascii="Amiri" w:hAnsi="Amiri" w:eastAsia="Amiri" w:cs="Amiri"/>
          <w:color w:val="111111"/>
          <w:sz w:val="28"/>
          <w:sz w:val="28"/>
          <w:szCs w:val="28"/>
          <w:rtl w:val="true"/>
          <w:lang w:bidi="ar-SA"/>
        </w:rPr>
        <w:t xml:space="preserve">البروجردي ت ،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الدراية شرح الوجيزة، الشيخ البهائي، السيّد حسن الصدر العاملي الكاظمي 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المشعر،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تحقيق الشيخ ماجد الغرباوي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ابن الأثير، أبو السعادات المبارك بن محمّد الجزري 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ونكتها، شيخ الطائفة أبو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مجموع ما اختاره الشريف أبو الحسن محمّد الرضي بن الحسن الموسوي من كلام أمير المؤمنين علي بن أبي طالب عليه السلام ، الطبعة الخامسة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دار الهجرة،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تحقيق صبحي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في الأصول والفروع، الشيخ الصدوق أبو جعفر محمّد بن علي بن الحسين بن موسى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الإمام المهدي عليه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الفقيه المحدث الشيخ محمّد بن الحسن الحر العاملي 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آل البيت عليهم السلام لإحياء التراث،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الفقيه عماد الدين محمّد بن علي بن حمزة الطوسي المشهدي، من أعلام القرن السادس الهجري، منشورات جمعية منتدى النشر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تحقيق عبد العظيم البكاء</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القربى، الشيخ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أسوة،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تحقيق السيد علي جمال أشرف الحسيني</w:t>
      </w:r>
      <w:r>
        <w:rPr>
          <w:rFonts w:eastAsia="Amiri" w:cs="Amiri" w:ascii="Amiri" w:hAnsi="Amiri"/>
          <w:color w:val="111111"/>
          <w:sz w:val="28"/>
          <w:szCs w:val="28"/>
          <w:rtl w:val="true"/>
          <w:lang w:bidi="ar-SA"/>
        </w:rPr>
        <w:t xml:space="preserve">. </w:t>
      </w:r>
      <w:bookmarkStart w:id="380" w:name="pg8631_95133"/>
    </w:p>
    <w:p>
      <w:pPr>
        <w:pStyle w:val="Heading2"/>
        <w:numPr>
          <w:ilvl w:val="1"/>
          <w:numId w:val="1"/>
        </w:numPr>
        <w:rPr/>
      </w:pPr>
      <w:bookmarkStart w:id="381" w:name="__RefHeading___Toc2193153_653776707"/>
      <w:bookmarkStart w:id="382" w:name="_Toc135"/>
      <w:bookmarkEnd w:id="380"/>
      <w:bookmarkEnd w:id="381"/>
      <w:r>
        <w:rPr>
          <w:rtl w:val="true"/>
        </w:rPr>
        <w:t>فهرس المحتويات</w:t>
      </w:r>
      <w:bookmarkEnd w:id="382"/>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كلمة سماحة الشيخ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العدالة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العدل والتوحيد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العدل والنبوة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العدل والإمامة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العدل والمجتمع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العدل والانتظار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العدالة أمر مرغوب ومندوب إليها شرعا وعقلاً بالأدلة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الموارد المشروطة بالعدالة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المقام الأوّل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مفهوم العدالة لغة، وعرفا، وشرعا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العدالة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العدالة عرفا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العدالة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أدلة الأقوال ومناقشتها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مناقشة القول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والقائل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المقام الثاني</w:t>
      </w:r>
    </w:p>
    <w:p>
      <w:pPr>
        <w:pStyle w:val="BookText"/>
        <w:rPr/>
      </w:pPr>
      <w:r>
        <w:rPr>
          <w:rFonts w:ascii="Amiri" w:hAnsi="Amiri" w:eastAsia="Amiri" w:cs="Amiri"/>
          <w:color w:val="111111"/>
          <w:sz w:val="28"/>
          <w:sz w:val="28"/>
          <w:szCs w:val="28"/>
          <w:rtl w:val="true"/>
          <w:lang w:bidi="ar-SA"/>
        </w:rPr>
        <w:t>شرائط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المعاصي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المعاصي الكبيرة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روايات الطائفة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روايات الطائفة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تعيين عدد الكبائر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الاجتناب عن الصغائر أو الإصرار</w:t>
      </w:r>
    </w:p>
    <w:p>
      <w:pPr>
        <w:pStyle w:val="BookText"/>
        <w:rPr/>
      </w:pPr>
      <w:r>
        <w:rPr>
          <w:rFonts w:ascii="Amiri" w:hAnsi="Amiri" w:eastAsia="Amiri" w:cs="Amiri"/>
          <w:color w:val="111111"/>
          <w:sz w:val="28"/>
          <w:sz w:val="28"/>
          <w:szCs w:val="28"/>
          <w:rtl w:val="true"/>
          <w:lang w:bidi="ar-SA"/>
        </w:rPr>
        <w:t>عليها في العدالة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الإصرار على الصغائر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الصغيرة قادح في العدالة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الإشكال على الوجه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الإشكال على 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الإشكال على الوجه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المروّة في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الإشكال على الوجه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الإشكال على الوجه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الإشكال على الوجه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المقام الثالث</w:t>
      </w:r>
    </w:p>
    <w:p>
      <w:pPr>
        <w:pStyle w:val="BookText"/>
        <w:rPr/>
      </w:pPr>
      <w:r>
        <w:rPr>
          <w:rFonts w:ascii="Amiri" w:hAnsi="Amiri" w:eastAsia="Amiri" w:cs="Amiri"/>
          <w:color w:val="111111"/>
          <w:sz w:val="28"/>
          <w:sz w:val="28"/>
          <w:szCs w:val="28"/>
          <w:rtl w:val="true"/>
          <w:lang w:bidi="ar-SA"/>
        </w:rPr>
        <w:t>التوبة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مراتب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المرتبة</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المرتبة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المرتبة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المرتبة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التوبة التكليفي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الوضعي للتوبة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المقام الرابع</w:t>
      </w:r>
    </w:p>
    <w:p>
      <w:pPr>
        <w:pStyle w:val="BookText"/>
        <w:rPr/>
      </w:pPr>
      <w:r>
        <w:rPr>
          <w:rFonts w:ascii="Amiri" w:hAnsi="Amiri" w:eastAsia="Amiri" w:cs="Amiri"/>
          <w:color w:val="111111"/>
          <w:sz w:val="28"/>
          <w:sz w:val="28"/>
          <w:szCs w:val="28"/>
          <w:rtl w:val="true"/>
          <w:lang w:bidi="ar-SA"/>
        </w:rPr>
        <w:t>طرق ثبوت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في اعتبار المعاشرة في حسن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الإشكال على الوجه الأوّل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الإشكال على 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كاشفية حسن الظاهر عن العدالة إفادته العلم أو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شهادة عادل واحد قولاً أو فعلاً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الموجب للظن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حجيّة الشياع في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مع عدم ظهور الفسق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الطريق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الظن بالعدالة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الفهارس الفنية</w:t>
      </w:r>
    </w:p>
    <w:p>
      <w:pPr>
        <w:pStyle w:val="BookText"/>
        <w:rPr/>
      </w:pPr>
      <w:r>
        <w:rPr>
          <w:rFonts w:ascii="Amiri" w:hAnsi="Amiri" w:eastAsia="Amiri" w:cs="Amiri"/>
          <w:color w:val="111111"/>
          <w:sz w:val="28"/>
          <w:sz w:val="28"/>
          <w:szCs w:val="28"/>
          <w:rtl w:val="true"/>
          <w:lang w:bidi="ar-SA"/>
        </w:rPr>
        <w:t>فهرس الآيات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فهرس الأحاديث والروايات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76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13142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العشرة، ح </w:t>
      </w:r>
      <w:r>
        <w:rPr>
          <w:rFonts w:eastAsia="IRNazanin" w:cs="IRNazanin"/>
          <w:b w:val="false"/>
          <w:bCs w:val="false"/>
          <w:i w:val="false"/>
          <w:iCs w:val="false"/>
          <w:color w:val="333333"/>
          <w:sz w:val="20"/>
          <w:szCs w:val="20"/>
        </w:rPr>
        <w:t>61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والانثروبولوجيا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المادة المطروحة هي خلاصة حوار شارك فيه كاتب السطور حول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والمهدوية، التاريخ، العقل،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لبعض العامّة في موقع هجر الثقافي على شبكة الانترنيت بتاريخ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ح </w:t>
      </w:r>
      <w:r>
        <w:rPr>
          <w:rFonts w:eastAsia="IRNazanin" w:cs="IRNazanin"/>
          <w:b w:val="false"/>
          <w:bCs w:val="false"/>
          <w:i w:val="false"/>
          <w:iCs w:val="false"/>
          <w:color w:val="333333"/>
          <w:sz w:val="20"/>
          <w:szCs w:val="20"/>
        </w:rPr>
        <w:t>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الجهاد ، ح </w:t>
      </w:r>
      <w:r>
        <w:rPr>
          <w:rFonts w:eastAsia="IRNazanin" w:cs="IRNazanin"/>
          <w:b w:val="false"/>
          <w:bCs w:val="false"/>
          <w:i w:val="false"/>
          <w:iCs w:val="false"/>
          <w:color w:val="333333"/>
          <w:sz w:val="20"/>
          <w:szCs w:val="20"/>
        </w:rPr>
        <w:t>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ح </w:t>
      </w:r>
      <w:r>
        <w:rPr>
          <w:rFonts w:eastAsia="IRNazanin" w:cs="IRNazanin"/>
          <w:b w:val="false"/>
          <w:bCs w:val="false"/>
          <w:i w:val="false"/>
          <w:iCs w:val="false"/>
          <w:color w:val="333333"/>
          <w:sz w:val="20"/>
          <w:szCs w:val="20"/>
        </w:rPr>
        <w:t>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النوادر ، ح </w:t>
      </w:r>
      <w:r>
        <w:rPr>
          <w:rFonts w:eastAsia="IRNazanin" w:cs="IRNazanin"/>
          <w:b w:val="false"/>
          <w:bCs w:val="false"/>
          <w:i w:val="false"/>
          <w:iCs w:val="false"/>
          <w:color w:val="333333"/>
          <w:sz w:val="20"/>
          <w:szCs w:val="20"/>
        </w:rPr>
        <w:t>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الاعتقادات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الاقتصاد والعدالة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في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العاملي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العاملي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والنجفي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وحكاه عنه النراقي في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العاملي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الشيخ الأنصاري إلى الظاهر من كلام والد الصدوق في رسالته إليه،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ومن كلام الصدوق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يعتبر في الشاهد من العدالة</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آداب القضاء، المسألة </w:t>
      </w:r>
      <w:r>
        <w:rPr>
          <w:rFonts w:eastAsia="IRNazanin" w:cs="IRNazanin"/>
          <w:b w:val="false"/>
          <w:bCs w:val="false"/>
          <w:i w:val="false"/>
          <w:iCs w:val="false"/>
          <w:color w:val="333333"/>
          <w:sz w:val="20"/>
          <w:szCs w:val="20"/>
        </w:rPr>
        <w:t>10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الشهادات</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والكتاب المطبوع اعتمد على نسخة تحتوي على قسم العبادات، وإلى نهاية كتاب الحجّ فقط والباقي مفقود، وللأسف</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والصفحة</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آداب القضاء، المسألة </w:t>
      </w:r>
      <w:r>
        <w:rPr>
          <w:rFonts w:eastAsia="IRNazanin" w:cs="IRNazanin"/>
          <w:b w:val="false"/>
          <w:bCs w:val="false"/>
          <w:i w:val="false"/>
          <w:iCs w:val="false"/>
          <w:color w:val="333333"/>
          <w:sz w:val="20"/>
          <w:szCs w:val="20"/>
        </w:rPr>
        <w:t>10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 ح </w:t>
      </w:r>
      <w:r>
        <w:rPr>
          <w:rFonts w:eastAsia="IRNazanin" w:cs="IRNazanin"/>
          <w:b w:val="false"/>
          <w:bCs w:val="false"/>
          <w:i w:val="false"/>
          <w:iCs w:val="false"/>
          <w:color w:val="333333"/>
          <w:sz w:val="20"/>
          <w:szCs w:val="20"/>
        </w:rPr>
        <w:t>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18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13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 ، ح</w:t>
      </w:r>
      <w:r>
        <w:rPr>
          <w:rFonts w:eastAsia="IRNazanin" w:cs="IRNazanin"/>
          <w:b w:val="false"/>
          <w:bCs w:val="false"/>
          <w:i w:val="false"/>
          <w:iCs w:val="false"/>
          <w:color w:val="333333"/>
          <w:sz w:val="20"/>
          <w:szCs w:val="20"/>
        </w:rPr>
        <w:t>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ذيل ح </w:t>
      </w:r>
      <w:r>
        <w:rPr>
          <w:rFonts w:eastAsia="IRNazanin" w:cs="IRNazanin"/>
          <w:b w:val="false"/>
          <w:bCs w:val="false"/>
          <w:i w:val="false"/>
          <w:iCs w:val="false"/>
          <w:color w:val="333333"/>
          <w:sz w:val="20"/>
          <w:szCs w:val="20"/>
        </w:rPr>
        <w:t>23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23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 ح </w:t>
      </w:r>
      <w:r>
        <w:rPr>
          <w:rFonts w:eastAsia="IRNazanin" w:cs="IRNazanin"/>
          <w:b w:val="false"/>
          <w:bCs w:val="false"/>
          <w:i w:val="false"/>
          <w:iCs w:val="false"/>
          <w:color w:val="333333"/>
          <w:sz w:val="20"/>
          <w:szCs w:val="20"/>
        </w:rPr>
        <w:t>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ونهاية الدراية،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10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38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12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10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العاملي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ذكره في موضعين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إدريس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خلف من لا يقتدى به ، ح </w:t>
      </w:r>
      <w:r>
        <w:rPr>
          <w:rFonts w:eastAsia="IRNazanin" w:cs="IRNazanin"/>
          <w:b w:val="false"/>
          <w:bCs w:val="false"/>
          <w:i w:val="false"/>
          <w:iCs w:val="false"/>
          <w:color w:val="333333"/>
          <w:sz w:val="20"/>
          <w:szCs w:val="20"/>
        </w:rPr>
        <w:t>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15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1118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 وفضلها</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البينات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العدالة المعتبرة في الشهادة ، ح </w:t>
      </w:r>
      <w:r>
        <w:rPr>
          <w:rFonts w:eastAsia="IRNazanin" w:cs="IRNazanin"/>
          <w:b w:val="false"/>
          <w:bCs w:val="false"/>
          <w:i w:val="false"/>
          <w:iCs w:val="false"/>
          <w:color w:val="333333"/>
          <w:sz w:val="20"/>
          <w:szCs w:val="20"/>
        </w:rPr>
        <w:t>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الأولى من الخاتمة،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 ثقة</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الجماعة، ح </w:t>
      </w:r>
      <w:r>
        <w:rPr>
          <w:rFonts w:eastAsia="IRNazanin" w:cs="IRNazanin"/>
          <w:b w:val="false"/>
          <w:bCs w:val="false"/>
          <w:i w:val="false"/>
          <w:iCs w:val="false"/>
          <w:color w:val="333333"/>
          <w:sz w:val="20"/>
          <w:szCs w:val="20"/>
        </w:rPr>
        <w:t>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بناءً على لزوم ملاحظة السند والطريق، ولكن بناءً على ما يظهر من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كتاب عبد اللَّه بن أبي يعفور رواه عدّة من أصحابنا وكان مشهوراً، فإذا كانت الرواية عن الكتاب فلا يحتاج إلى ملاحظة الطريق</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الشيخ النائيني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شرائط إمام الجماعة</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التقرير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الاقتصاد والعدالة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وشرح مائة كلمة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ح </w:t>
      </w:r>
      <w:r>
        <w:rPr>
          <w:rFonts w:eastAsia="IRNazanin" w:cs="IRNazanin"/>
          <w:b w:val="false"/>
          <w:bCs w:val="false"/>
          <w:i w:val="false"/>
          <w:iCs w:val="false"/>
          <w:color w:val="333333"/>
          <w:sz w:val="20"/>
          <w:szCs w:val="20"/>
        </w:rPr>
        <w:t>13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ستر</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ست</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ستر</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ستره</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عفف</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عفّ</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مادة عفّ</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عفف</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عفّ</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ح </w:t>
      </w:r>
      <w:r>
        <w:rPr>
          <w:rFonts w:eastAsia="IRNazanin" w:cs="IRNazanin"/>
          <w:b w:val="false"/>
          <w:bCs w:val="false"/>
          <w:i w:val="false"/>
          <w:iCs w:val="false"/>
          <w:color w:val="333333"/>
          <w:sz w:val="20"/>
          <w:szCs w:val="20"/>
        </w:rPr>
        <w:t>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ح </w:t>
      </w:r>
      <w:r>
        <w:rPr>
          <w:rFonts w:eastAsia="IRNazanin" w:cs="IRNazanin"/>
          <w:b w:val="false"/>
          <w:bCs w:val="false"/>
          <w:i w:val="false"/>
          <w:iCs w:val="false"/>
          <w:color w:val="333333"/>
          <w:sz w:val="20"/>
          <w:szCs w:val="20"/>
        </w:rPr>
        <w:t>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مادة عفّ</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حيى</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الحياء من اللَّه ومن الخلق، ذيل ح </w:t>
      </w:r>
      <w:r>
        <w:rPr>
          <w:rFonts w:eastAsia="IRNazanin" w:cs="IRNazanin"/>
          <w:b w:val="false"/>
          <w:bCs w:val="false"/>
          <w:i w:val="false"/>
          <w:iCs w:val="false"/>
          <w:color w:val="333333"/>
          <w:sz w:val="20"/>
          <w:szCs w:val="20"/>
        </w:rPr>
        <w:t>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15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20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المجلس التاسع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الجهاد ، ح </w:t>
      </w:r>
      <w:r>
        <w:rPr>
          <w:rFonts w:eastAsia="IRNazanin" w:cs="IRNazanin"/>
          <w:b w:val="false"/>
          <w:bCs w:val="false"/>
          <w:i w:val="false"/>
          <w:iCs w:val="false"/>
          <w:color w:val="333333"/>
          <w:sz w:val="20"/>
          <w:szCs w:val="20"/>
        </w:rPr>
        <w:t>14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ذيل ح </w:t>
      </w:r>
      <w:r>
        <w:rPr>
          <w:rFonts w:eastAsia="IRNazanin" w:cs="IRNazanin"/>
          <w:b w:val="false"/>
          <w:bCs w:val="false"/>
          <w:i w:val="false"/>
          <w:iCs w:val="false"/>
          <w:color w:val="333333"/>
          <w:sz w:val="20"/>
          <w:szCs w:val="20"/>
        </w:rPr>
        <w:t>35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32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16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18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32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21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28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37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الآية </w:t>
      </w:r>
      <w:r>
        <w:rPr>
          <w:rFonts w:eastAsia="IRNazanin" w:cs="IRNazanin"/>
          <w:b w:val="false"/>
          <w:bCs w:val="false"/>
          <w:i w:val="false"/>
          <w:iCs w:val="false"/>
          <w:color w:val="333333"/>
          <w:sz w:val="20"/>
          <w:szCs w:val="20"/>
        </w:rPr>
        <w:t>10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60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69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29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113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29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81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43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174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114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79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محمّدصلى الله عليه وآله،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19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23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77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32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106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على أقسام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25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20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عقاب من ظلم ح </w:t>
      </w:r>
      <w:r>
        <w:rPr>
          <w:rFonts w:eastAsia="IRNazanin" w:cs="IRNazanin"/>
          <w:b w:val="false"/>
          <w:bCs w:val="false"/>
          <w:i w:val="false"/>
          <w:iCs w:val="false"/>
          <w:color w:val="333333"/>
          <w:sz w:val="20"/>
          <w:szCs w:val="20"/>
        </w:rPr>
        <w:t>10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بقية أحاديث الباب</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ح </w:t>
      </w:r>
      <w:r>
        <w:rPr>
          <w:rFonts w:eastAsia="IRNazanin" w:cs="IRNazanin"/>
          <w:b w:val="false"/>
          <w:bCs w:val="false"/>
          <w:i w:val="false"/>
          <w:iCs w:val="false"/>
          <w:color w:val="333333"/>
          <w:sz w:val="20"/>
          <w:szCs w:val="20"/>
        </w:rPr>
        <w:t>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36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17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 ح </w:t>
      </w:r>
      <w:r>
        <w:rPr>
          <w:rFonts w:eastAsia="IRNazanin" w:cs="IRNazanin"/>
          <w:b w:val="false"/>
          <w:bCs w:val="false"/>
          <w:i w:val="false"/>
          <w:iCs w:val="false"/>
          <w:color w:val="333333"/>
          <w:sz w:val="20"/>
          <w:szCs w:val="20"/>
        </w:rPr>
        <w:t>22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ح </w:t>
      </w:r>
      <w:r>
        <w:rPr>
          <w:rFonts w:eastAsia="IRNazanin" w:cs="IRNazanin"/>
          <w:b w:val="false"/>
          <w:bCs w:val="false"/>
          <w:i w:val="false"/>
          <w:iCs w:val="false"/>
          <w:color w:val="333333"/>
          <w:sz w:val="20"/>
          <w:szCs w:val="20"/>
        </w:rPr>
        <w:t>11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ح </w:t>
      </w:r>
      <w:r>
        <w:rPr>
          <w:rFonts w:eastAsia="IRNazanin" w:cs="IRNazanin"/>
          <w:b w:val="false"/>
          <w:bCs w:val="false"/>
          <w:i w:val="false"/>
          <w:iCs w:val="false"/>
          <w:color w:val="333333"/>
          <w:sz w:val="20"/>
          <w:szCs w:val="20"/>
        </w:rPr>
        <w:t>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ح </w:t>
      </w:r>
      <w:r>
        <w:rPr>
          <w:rFonts w:eastAsia="IRNazanin" w:cs="IRNazanin"/>
          <w:b w:val="false"/>
          <w:bCs w:val="false"/>
          <w:i w:val="false"/>
          <w:iCs w:val="false"/>
          <w:color w:val="333333"/>
          <w:sz w:val="20"/>
          <w:szCs w:val="20"/>
        </w:rPr>
        <w:t>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ح </w:t>
      </w:r>
      <w:r>
        <w:rPr>
          <w:rFonts w:eastAsia="IRNazanin" w:cs="IRNazanin"/>
          <w:b w:val="false"/>
          <w:bCs w:val="false"/>
          <w:i w:val="false"/>
          <w:iCs w:val="false"/>
          <w:color w:val="333333"/>
          <w:sz w:val="20"/>
          <w:szCs w:val="20"/>
        </w:rPr>
        <w:t>36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ح </w:t>
      </w:r>
      <w:r>
        <w:rPr>
          <w:rFonts w:eastAsia="IRNazanin" w:cs="IRNazanin"/>
          <w:b w:val="false"/>
          <w:bCs w:val="false"/>
          <w:i w:val="false"/>
          <w:iCs w:val="false"/>
          <w:color w:val="333333"/>
          <w:sz w:val="20"/>
          <w:szCs w:val="20"/>
        </w:rPr>
        <w:t>33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التوقيعات الواردة عن القائم عليه السلام، ح </w:t>
      </w:r>
      <w:r>
        <w:rPr>
          <w:rFonts w:eastAsia="IRNazanin" w:cs="IRNazanin"/>
          <w:b w:val="false"/>
          <w:bCs w:val="false"/>
          <w:i w:val="false"/>
          <w:iCs w:val="false"/>
          <w:color w:val="333333"/>
          <w:sz w:val="20"/>
          <w:szCs w:val="20"/>
        </w:rPr>
        <w:t>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99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التقرير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135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135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والوعد والوعيد، ح </w:t>
      </w:r>
      <w:r>
        <w:rPr>
          <w:rFonts w:eastAsia="IRNazanin" w:cs="IRNazanin"/>
          <w:b w:val="false"/>
          <w:bCs w:val="false"/>
          <w:i w:val="false"/>
          <w:iCs w:val="false"/>
          <w:color w:val="333333"/>
          <w:sz w:val="20"/>
          <w:szCs w:val="20"/>
        </w:rPr>
        <w:t>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التقرير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التقرير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20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15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20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وفي ذخيرة المعاد نسبه إلى المتأخرين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وحكاه في كنز العرفان عن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والأردبيلي في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مختار صاحب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مرأ،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مرأ، وبحوث في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12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ح </w:t>
      </w:r>
      <w:r>
        <w:rPr>
          <w:rFonts w:eastAsia="IRNazanin" w:cs="IRNazanin"/>
          <w:b w:val="false"/>
          <w:bCs w:val="false"/>
          <w:i w:val="false"/>
          <w:iCs w:val="false"/>
          <w:color w:val="333333"/>
          <w:sz w:val="20"/>
          <w:szCs w:val="20"/>
        </w:rPr>
        <w:t>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ح </w:t>
      </w:r>
      <w:r>
        <w:rPr>
          <w:rFonts w:eastAsia="IRNazanin" w:cs="IRNazanin"/>
          <w:b w:val="false"/>
          <w:bCs w:val="false"/>
          <w:i w:val="false"/>
          <w:iCs w:val="false"/>
          <w:color w:val="333333"/>
          <w:sz w:val="20"/>
          <w:szCs w:val="20"/>
        </w:rPr>
        <w:t>12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ح </w:t>
      </w:r>
      <w:r>
        <w:rPr>
          <w:rFonts w:eastAsia="IRNazanin" w:cs="IRNazanin"/>
          <w:b w:val="false"/>
          <w:bCs w:val="false"/>
          <w:i w:val="false"/>
          <w:iCs w:val="false"/>
          <w:color w:val="333333"/>
          <w:sz w:val="20"/>
          <w:szCs w:val="20"/>
        </w:rPr>
        <w:t>15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توب،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توب</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6</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ح </w:t>
      </w:r>
      <w:r>
        <w:rPr>
          <w:rFonts w:eastAsia="IRNazanin" w:cs="IRNazanin"/>
          <w:b w:val="false"/>
          <w:bCs w:val="false"/>
          <w:i w:val="false"/>
          <w:iCs w:val="false"/>
          <w:color w:val="333333"/>
          <w:sz w:val="20"/>
          <w:szCs w:val="20"/>
        </w:rPr>
        <w:t>11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 </w:t>
      </w:r>
      <w:r>
        <w:rPr>
          <w:rFonts w:eastAsia="IRNazanin" w:cs="IRNazanin"/>
          <w:b w:val="false"/>
          <w:bCs w:val="false"/>
          <w:i w:val="false"/>
          <w:iCs w:val="false"/>
          <w:color w:val="333333"/>
          <w:sz w:val="20"/>
          <w:szCs w:val="20"/>
        </w:rPr>
        <w:t>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5</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5</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8</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 أمير المؤمنين عليه السلام، </w:t>
      </w:r>
      <w:r>
        <w:rPr>
          <w:rFonts w:eastAsia="IRNazanin" w:cs="IRNazanin"/>
          <w:b w:val="false"/>
          <w:bCs w:val="false"/>
          <w:i w:val="false"/>
          <w:iCs w:val="false"/>
          <w:color w:val="333333"/>
          <w:sz w:val="20"/>
          <w:szCs w:val="20"/>
        </w:rPr>
        <w:t>417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90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8</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61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90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53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من أبواب جهاد النفس</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الجهاد، ح </w:t>
      </w:r>
      <w:r>
        <w:rPr>
          <w:rFonts w:eastAsia="IRNazanin" w:cs="IRNazanin"/>
          <w:b w:val="false"/>
          <w:bCs w:val="false"/>
          <w:i w:val="false"/>
          <w:iCs w:val="false"/>
          <w:color w:val="333333"/>
          <w:sz w:val="20"/>
          <w:szCs w:val="20"/>
        </w:rPr>
        <w:t>10</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الجهاد، ح </w:t>
      </w:r>
      <w:r>
        <w:rPr>
          <w:rFonts w:eastAsia="IRNazanin" w:cs="IRNazanin"/>
          <w:b w:val="false"/>
          <w:bCs w:val="false"/>
          <w:i w:val="false"/>
          <w:iCs w:val="false"/>
          <w:color w:val="333333"/>
          <w:sz w:val="20"/>
          <w:szCs w:val="20"/>
        </w:rPr>
        <w:t>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ح </w:t>
      </w:r>
      <w:r>
        <w:rPr>
          <w:rFonts w:eastAsia="IRNazanin" w:cs="IRNazanin"/>
          <w:b w:val="false"/>
          <w:bCs w:val="false"/>
          <w:i w:val="false"/>
          <w:iCs w:val="false"/>
          <w:color w:val="333333"/>
          <w:sz w:val="20"/>
          <w:szCs w:val="20"/>
        </w:rPr>
        <w:t>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نسب عدم الخلاف فيه في الجملة</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لصدر المتألهين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الحديث الرابع عشر</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222</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حمزة اعتبر إصلاح العمل في الصادق والكاذب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الأظهر، راجع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20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15</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12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الطبعة الثانية</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13</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الإجتهاد والتقليد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والصفحة</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12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ح </w:t>
      </w:r>
      <w:r>
        <w:rPr>
          <w:rFonts w:eastAsia="IRNazanin" w:cs="IRNazanin"/>
          <w:b w:val="false"/>
          <w:bCs w:val="false"/>
          <w:i w:val="false"/>
          <w:iCs w:val="false"/>
          <w:color w:val="333333"/>
          <w:sz w:val="20"/>
          <w:szCs w:val="20"/>
        </w:rPr>
        <w:t>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38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13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والروضة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 الإجتهاد والتقليد</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ح </w:t>
      </w:r>
      <w:r>
        <w:rPr>
          <w:rFonts w:eastAsia="IRNazanin" w:cs="IRNazanin"/>
          <w:b w:val="false"/>
          <w:bCs w:val="false"/>
          <w:i w:val="false"/>
          <w:iCs w:val="false"/>
          <w:color w:val="333333"/>
          <w:sz w:val="20"/>
          <w:szCs w:val="20"/>
        </w:rPr>
        <w:t>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4</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وانظر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ح </w:t>
      </w:r>
      <w:r>
        <w:rPr>
          <w:rFonts w:eastAsia="IRNazanin" w:cs="IRNazanin"/>
          <w:b w:val="false"/>
          <w:bCs w:val="false"/>
          <w:i w:val="false"/>
          <w:iCs w:val="false"/>
          <w:color w:val="333333"/>
          <w:sz w:val="20"/>
          <w:szCs w:val="20"/>
        </w:rPr>
        <w:t>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وأحكام الدعوى، ح </w:t>
      </w:r>
      <w:r>
        <w:rPr>
          <w:rFonts w:eastAsia="IRNazanin" w:cs="IRNazanin"/>
          <w:b w:val="false"/>
          <w:bCs w:val="false"/>
          <w:i w:val="false"/>
          <w:iCs w:val="false"/>
          <w:color w:val="333333"/>
          <w:sz w:val="20"/>
          <w:szCs w:val="20"/>
        </w:rPr>
        <w:t>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18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ح </w:t>
      </w:r>
      <w:r>
        <w:rPr>
          <w:rFonts w:eastAsia="IRNazanin" w:cs="IRNazanin"/>
          <w:b w:val="false"/>
          <w:bCs w:val="false"/>
          <w:i w:val="false"/>
          <w:iCs w:val="false"/>
          <w:color w:val="333333"/>
          <w:sz w:val="20"/>
          <w:szCs w:val="20"/>
        </w:rPr>
        <w:t>13</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 ح </w:t>
      </w:r>
      <w:r>
        <w:rPr>
          <w:rFonts w:eastAsia="IRNazanin" w:cs="IRNazanin"/>
          <w:b w:val="false"/>
          <w:bCs w:val="false"/>
          <w:i w:val="false"/>
          <w:iCs w:val="false"/>
          <w:color w:val="333333"/>
          <w:sz w:val="20"/>
          <w:szCs w:val="20"/>
        </w:rPr>
        <w:t>4</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12</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image" Target="media/image6.jpeg"/><Relationship Id="rId45" Type="http://schemas.openxmlformats.org/officeDocument/2006/relationships/image" Target="media/image6.jpeg"/><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89.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44429</Words>
  <Characters>200427</Characters>
  <CharactersWithSpaces>242847</CharactersWithSpaces>
  <Paragraphs>2276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2026-08-20T02:44:10Z</dcterms:created>
  <dc:creator>ghaemiyeh.com</dc:creator>
  <dc:description/>
  <dc:language>en-US</dc:language>
  <cp:lastModifiedBy/>
  <dcterms:modified xsi:type="dcterms:W3CDTF">2026-08-20T06:14:19Z</dcterms:modified>
  <cp:revision>1</cp:revision>
  <dc:subject/>
  <dc:title>العدالة فی فقه أهل البیت علیهم السلام</dc:title>
</cp:coreProperties>
</file>

<file path=docProps/custom.xml><?xml version="1.0" encoding="utf-8"?>
<Properties xmlns="http://schemas.openxmlformats.org/officeDocument/2006/custom-properties" xmlns:vt="http://schemas.openxmlformats.org/officeDocument/2006/docPropsVTypes"/>
</file>