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 دیه انسان از دیدگاه قرآن و سنت و اجماع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273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1275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91277_237004111">
            <w:r>
              <w:rPr>
                <w:webHidden/>
                <w:rStyle w:val="IndexLink"/>
                <w:rtl w:val="true"/>
              </w:rPr>
              <w:t>تداعی عرفی شدن فقه</w:t>
            </w:r>
            <w:r>
              <w:rPr>
                <w:rStyle w:val="IndexLink"/>
                <w:rtl w:val="true"/>
              </w:rPr>
              <w:tab/>
            </w:r>
            <w:r>
              <w:rPr>
                <w:rStyle w:val="IndexLink"/>
              </w:rPr>
              <w:t>9</w:t>
            </w:r>
          </w:hyperlink>
        </w:p>
        <w:p>
          <w:pPr>
            <w:pStyle w:val="Contents3"/>
            <w:tabs>
              <w:tab w:val="clear" w:pos="8459"/>
              <w:tab w:val="right" w:pos="9026" w:leader="dot"/>
            </w:tabs>
            <w:rPr/>
          </w:pPr>
          <w:hyperlink w:anchor="__RefHeading___Toc1391279_23700411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391281_237004111">
            <w:r>
              <w:rPr>
                <w:webHidden/>
                <w:rStyle w:val="IndexLink"/>
              </w:rPr>
              <w:t>1</w:t>
            </w:r>
            <w:r>
              <w:rPr>
                <w:rStyle w:val="IndexLink"/>
                <w:rtl w:val="true"/>
              </w:rPr>
              <w:t xml:space="preserve">. </w:t>
            </w:r>
            <w:r>
              <w:rPr>
                <w:rStyle w:val="IndexLink"/>
                <w:rtl w:val="true"/>
              </w:rPr>
              <w:t>توحید در تشریع</w:t>
            </w:r>
            <w:r>
              <w:rPr>
                <w:rStyle w:val="IndexLink"/>
                <w:rtl w:val="true"/>
              </w:rPr>
              <w:tab/>
            </w:r>
            <w:r>
              <w:rPr>
                <w:rStyle w:val="IndexLink"/>
              </w:rPr>
              <w:t>18</w:t>
            </w:r>
          </w:hyperlink>
        </w:p>
        <w:p>
          <w:pPr>
            <w:pStyle w:val="Contents3"/>
            <w:tabs>
              <w:tab w:val="clear" w:pos="8459"/>
              <w:tab w:val="right" w:pos="9026" w:leader="dot"/>
            </w:tabs>
            <w:rPr/>
          </w:pPr>
          <w:hyperlink w:anchor="__RefHeading___Toc1391283_237004111">
            <w:r>
              <w:rPr>
                <w:webHidden/>
                <w:rStyle w:val="IndexLink"/>
              </w:rPr>
              <w:t>2</w:t>
            </w:r>
            <w:r>
              <w:rPr>
                <w:rStyle w:val="IndexLink"/>
                <w:rtl w:val="true"/>
              </w:rPr>
              <w:t xml:space="preserve">. </w:t>
            </w:r>
            <w:r>
              <w:rPr>
                <w:rStyle w:val="IndexLink"/>
                <w:rtl w:val="true"/>
              </w:rPr>
              <w:t>بازشناسی حکم الهی از حکم ولائی</w:t>
            </w:r>
            <w:r>
              <w:rPr>
                <w:rStyle w:val="IndexLink"/>
                <w:rtl w:val="true"/>
              </w:rPr>
              <w:tab/>
            </w:r>
            <w:r>
              <w:rPr>
                <w:rStyle w:val="IndexLink"/>
              </w:rPr>
              <w:t>19</w:t>
            </w:r>
          </w:hyperlink>
        </w:p>
        <w:p>
          <w:pPr>
            <w:pStyle w:val="Contents3"/>
            <w:tabs>
              <w:tab w:val="clear" w:pos="8459"/>
              <w:tab w:val="right" w:pos="9026" w:leader="dot"/>
            </w:tabs>
            <w:rPr/>
          </w:pPr>
          <w:hyperlink w:anchor="__RefHeading___Toc1391285_237004111">
            <w:r>
              <w:rPr>
                <w:webHidden/>
                <w:rStyle w:val="IndexLink"/>
              </w:rPr>
              <w:t>3</w:t>
            </w:r>
            <w:r>
              <w:rPr>
                <w:rStyle w:val="IndexLink"/>
                <w:rtl w:val="true"/>
              </w:rPr>
              <w:t xml:space="preserve">. </w:t>
            </w:r>
            <w:r>
              <w:rPr>
                <w:rStyle w:val="IndexLink"/>
                <w:rtl w:val="true"/>
              </w:rPr>
              <w:t>مکتوب پیامبر اسلام در انواع دیه</w:t>
            </w:r>
            <w:r>
              <w:rPr>
                <w:rStyle w:val="IndexLink"/>
                <w:rtl w:val="true"/>
              </w:rPr>
              <w:tab/>
            </w:r>
            <w:r>
              <w:rPr>
                <w:rStyle w:val="IndexLink"/>
              </w:rPr>
              <w:t>21</w:t>
            </w:r>
          </w:hyperlink>
        </w:p>
        <w:p>
          <w:pPr>
            <w:pStyle w:val="Contents3"/>
            <w:tabs>
              <w:tab w:val="clear" w:pos="8459"/>
              <w:tab w:val="right" w:pos="9026" w:leader="dot"/>
            </w:tabs>
            <w:rPr/>
          </w:pPr>
          <w:hyperlink w:anchor="__RefHeading___Toc1391287_237004111">
            <w:r>
              <w:rPr>
                <w:webHidden/>
                <w:rStyle w:val="IndexLink"/>
                <w:rtl w:val="true"/>
              </w:rPr>
              <w:t>نقد</w:t>
            </w:r>
            <w:r>
              <w:rPr>
                <w:rStyle w:val="IndexLink"/>
                <w:rtl w:val="true"/>
              </w:rPr>
              <w:t>:</w:t>
              <w:tab/>
            </w:r>
            <w:r>
              <w:rPr>
                <w:rStyle w:val="IndexLink"/>
              </w:rPr>
              <w:t>23</w:t>
            </w:r>
          </w:hyperlink>
        </w:p>
        <w:p>
          <w:pPr>
            <w:pStyle w:val="Contents3"/>
            <w:tabs>
              <w:tab w:val="clear" w:pos="8459"/>
              <w:tab w:val="right" w:pos="9026" w:leader="dot"/>
            </w:tabs>
            <w:rPr/>
          </w:pPr>
          <w:hyperlink w:anchor="__RefHeading___Toc1391289_237004111">
            <w:r>
              <w:rPr>
                <w:webHidden/>
                <w:rStyle w:val="IndexLink"/>
                <w:rtl w:val="true"/>
              </w:rPr>
              <w:t>ورود این واژه ها در احکام مسلّم الهی</w:t>
            </w:r>
            <w:r>
              <w:rPr>
                <w:rStyle w:val="IndexLink"/>
                <w:rtl w:val="true"/>
              </w:rPr>
              <w:tab/>
            </w:r>
            <w:r>
              <w:rPr>
                <w:rStyle w:val="IndexLink"/>
              </w:rPr>
              <w:t>25</w:t>
            </w:r>
          </w:hyperlink>
        </w:p>
        <w:p>
          <w:pPr>
            <w:pStyle w:val="Contents3"/>
            <w:tabs>
              <w:tab w:val="clear" w:pos="8459"/>
              <w:tab w:val="right" w:pos="9026" w:leader="dot"/>
            </w:tabs>
            <w:rPr/>
          </w:pPr>
          <w:hyperlink w:anchor="__RefHeading___Toc1391291_237004111">
            <w:r>
              <w:rPr>
                <w:webHidden/>
                <w:rStyle w:val="IndexLink"/>
                <w:rtl w:val="true"/>
              </w:rPr>
              <w:t>دیه زن و فقیهان اهل سنت</w:t>
            </w:r>
            <w:r>
              <w:rPr>
                <w:rStyle w:val="IndexLink"/>
                <w:rtl w:val="true"/>
              </w:rPr>
              <w:tab/>
            </w:r>
            <w:r>
              <w:rPr>
                <w:rStyle w:val="IndexLink"/>
              </w:rPr>
              <w:t>31</w:t>
            </w:r>
          </w:hyperlink>
        </w:p>
        <w:p>
          <w:pPr>
            <w:pStyle w:val="Contents3"/>
            <w:tabs>
              <w:tab w:val="clear" w:pos="8459"/>
              <w:tab w:val="right" w:pos="9026" w:leader="dot"/>
            </w:tabs>
            <w:rPr/>
          </w:pPr>
          <w:hyperlink w:anchor="__RefHeading___Toc1391293_237004111">
            <w:r>
              <w:rPr>
                <w:webHidden/>
                <w:rStyle w:val="IndexLink"/>
                <w:rtl w:val="true"/>
              </w:rPr>
              <w:t>دیه زن و فقیهان شیعه</w:t>
            </w:r>
            <w:r>
              <w:rPr>
                <w:rStyle w:val="IndexLink"/>
                <w:rtl w:val="true"/>
              </w:rPr>
              <w:tab/>
            </w:r>
            <w:r>
              <w:rPr>
                <w:rStyle w:val="IndexLink"/>
              </w:rPr>
              <w:t>32</w:t>
            </w:r>
          </w:hyperlink>
        </w:p>
        <w:p>
          <w:pPr>
            <w:pStyle w:val="Contents3"/>
            <w:tabs>
              <w:tab w:val="clear" w:pos="8459"/>
              <w:tab w:val="right" w:pos="9026" w:leader="dot"/>
            </w:tabs>
            <w:rPr/>
          </w:pPr>
          <w:hyperlink w:anchor="__RefHeading___Toc1391295_237004111">
            <w:r>
              <w:rPr>
                <w:webHidden/>
                <w:rStyle w:val="IndexLink"/>
                <w:rtl w:val="true"/>
              </w:rPr>
              <w:t>آیا تنصیف دیه زن اهانت به شرافت آدمی است؟</w:t>
            </w:r>
            <w:r>
              <w:rPr>
                <w:rStyle w:val="IndexLink"/>
                <w:rtl w:val="true"/>
              </w:rPr>
              <w:tab/>
            </w:r>
            <w:r>
              <w:rPr>
                <w:rStyle w:val="IndexLink"/>
              </w:rPr>
              <w:t>34</w:t>
            </w:r>
          </w:hyperlink>
        </w:p>
        <w:p>
          <w:pPr>
            <w:pStyle w:val="Contents3"/>
            <w:tabs>
              <w:tab w:val="clear" w:pos="8459"/>
              <w:tab w:val="right" w:pos="9026" w:leader="dot"/>
            </w:tabs>
            <w:rPr/>
          </w:pPr>
          <w:hyperlink w:anchor="__RefHeading___Toc1391297_237004111">
            <w:r>
              <w:rPr>
                <w:webHidden/>
                <w:rStyle w:val="IndexLink"/>
                <w:rtl w:val="true"/>
              </w:rPr>
              <w:t>ارزیابی دلیل اوّل</w:t>
            </w:r>
            <w:r>
              <w:rPr>
                <w:rStyle w:val="IndexLink"/>
                <w:rtl w:val="true"/>
              </w:rPr>
              <w:tab/>
            </w:r>
            <w:r>
              <w:rPr>
                <w:rStyle w:val="IndexLink"/>
              </w:rPr>
              <w:t>34</w:t>
            </w:r>
          </w:hyperlink>
        </w:p>
        <w:p>
          <w:pPr>
            <w:pStyle w:val="Contents3"/>
            <w:tabs>
              <w:tab w:val="clear" w:pos="8459"/>
              <w:tab w:val="right" w:pos="9026" w:leader="dot"/>
            </w:tabs>
            <w:rPr/>
          </w:pPr>
          <w:hyperlink w:anchor="__RefHeading___Toc1391299_237004111">
            <w:r>
              <w:rPr>
                <w:webHidden/>
                <w:rStyle w:val="IndexLink"/>
                <w:rtl w:val="true"/>
              </w:rPr>
              <w:t>شیوه زندگی غربی ملاک احکام اسلامی نیست</w:t>
            </w:r>
            <w:r>
              <w:rPr>
                <w:rStyle w:val="IndexLink"/>
                <w:rtl w:val="true"/>
              </w:rPr>
              <w:tab/>
            </w:r>
            <w:r>
              <w:rPr>
                <w:rStyle w:val="IndexLink"/>
              </w:rPr>
              <w:t>37</w:t>
            </w:r>
          </w:hyperlink>
        </w:p>
        <w:p>
          <w:pPr>
            <w:pStyle w:val="Contents3"/>
            <w:tabs>
              <w:tab w:val="clear" w:pos="8459"/>
              <w:tab w:val="right" w:pos="9026" w:leader="dot"/>
            </w:tabs>
            <w:rPr/>
          </w:pPr>
          <w:hyperlink w:anchor="__RefHeading___Toc1391301_237004111">
            <w:r>
              <w:rPr>
                <w:webHidden/>
                <w:rStyle w:val="IndexLink"/>
                <w:rtl w:val="true"/>
              </w:rPr>
              <w:t>نقد دلیل دوم</w:t>
            </w:r>
            <w:r>
              <w:rPr>
                <w:rStyle w:val="IndexLink"/>
                <w:rtl w:val="true"/>
              </w:rPr>
              <w:tab/>
            </w:r>
            <w:r>
              <w:rPr>
                <w:rStyle w:val="IndexLink"/>
              </w:rPr>
              <w:t>37</w:t>
            </w:r>
          </w:hyperlink>
        </w:p>
        <w:p>
          <w:pPr>
            <w:pStyle w:val="Contents3"/>
            <w:tabs>
              <w:tab w:val="clear" w:pos="8459"/>
              <w:tab w:val="right" w:pos="9026" w:leader="dot"/>
            </w:tabs>
            <w:rPr/>
          </w:pPr>
          <w:hyperlink w:anchor="__RefHeading___Toc1391303_237004111">
            <w:r>
              <w:rPr>
                <w:webHidden/>
                <w:rStyle w:val="IndexLink"/>
                <w:rtl w:val="true"/>
              </w:rPr>
              <w:t>تحلیل هر دو اصل</w:t>
            </w:r>
            <w:r>
              <w:rPr>
                <w:rStyle w:val="IndexLink"/>
                <w:rtl w:val="true"/>
              </w:rPr>
              <w:tab/>
            </w:r>
            <w:r>
              <w:rPr>
                <w:rStyle w:val="IndexLink"/>
              </w:rPr>
              <w:t>38</w:t>
            </w:r>
          </w:hyperlink>
        </w:p>
        <w:p>
          <w:pPr>
            <w:pStyle w:val="Contents3"/>
            <w:tabs>
              <w:tab w:val="clear" w:pos="8459"/>
              <w:tab w:val="right" w:pos="9026" w:leader="dot"/>
            </w:tabs>
            <w:rPr/>
          </w:pPr>
          <w:hyperlink w:anchor="__RefHeading___Toc1391305_237004111">
            <w:r>
              <w:rPr>
                <w:webHidden/>
                <w:rStyle w:val="IndexLink"/>
                <w:rtl w:val="true"/>
              </w:rPr>
              <w:t>نقد دلیل سوم</w:t>
            </w:r>
            <w:r>
              <w:rPr>
                <w:rStyle w:val="IndexLink"/>
                <w:rtl w:val="true"/>
              </w:rPr>
              <w:tab/>
            </w:r>
            <w:r>
              <w:rPr>
                <w:rStyle w:val="IndexLink"/>
              </w:rPr>
              <w:t>39</w:t>
            </w:r>
          </w:hyperlink>
        </w:p>
        <w:p>
          <w:pPr>
            <w:pStyle w:val="Contents3"/>
            <w:tabs>
              <w:tab w:val="clear" w:pos="8459"/>
              <w:tab w:val="right" w:pos="9026" w:leader="dot"/>
            </w:tabs>
            <w:rPr/>
          </w:pPr>
          <w:hyperlink w:anchor="__RefHeading___Toc1391307_237004111">
            <w:r>
              <w:rPr>
                <w:webHidden/>
                <w:rStyle w:val="IndexLink"/>
                <w:rtl w:val="true"/>
              </w:rPr>
              <w:t>دلیل چهارم نویسنده</w:t>
            </w:r>
            <w:r>
              <w:rPr>
                <w:rStyle w:val="IndexLink"/>
                <w:rtl w:val="true"/>
              </w:rPr>
              <w:tab/>
            </w:r>
            <w:r>
              <w:rPr>
                <w:rStyle w:val="IndexLink"/>
              </w:rPr>
              <w:t>39</w:t>
            </w:r>
          </w:hyperlink>
        </w:p>
        <w:p>
          <w:pPr>
            <w:pStyle w:val="Contents3"/>
            <w:tabs>
              <w:tab w:val="clear" w:pos="8459"/>
              <w:tab w:val="right" w:pos="9026" w:leader="dot"/>
            </w:tabs>
            <w:rPr/>
          </w:pPr>
          <w:hyperlink w:anchor="__RefHeading___Toc1391309_237004111">
            <w:r>
              <w:rPr>
                <w:webHidden/>
                <w:rStyle w:val="IndexLink"/>
                <w:rtl w:val="true"/>
              </w:rPr>
              <w:t>نقد اندیشه</w:t>
            </w:r>
            <w:r>
              <w:rPr>
                <w:rStyle w:val="IndexLink"/>
                <w:rtl w:val="true"/>
              </w:rPr>
              <w:tab/>
            </w:r>
            <w:r>
              <w:rPr>
                <w:rStyle w:val="IndexLink"/>
              </w:rPr>
              <w:t>41</w:t>
            </w:r>
          </w:hyperlink>
        </w:p>
        <w:p>
          <w:pPr>
            <w:pStyle w:val="Contents3"/>
            <w:tabs>
              <w:tab w:val="clear" w:pos="8459"/>
              <w:tab w:val="right" w:pos="9026" w:leader="dot"/>
            </w:tabs>
            <w:rPr/>
          </w:pPr>
          <w:hyperlink w:anchor="__RefHeading___Toc1391311_237004111">
            <w:r>
              <w:rPr>
                <w:webHidden/>
                <w:rStyle w:val="IndexLink"/>
              </w:rPr>
              <w:t>1</w:t>
            </w:r>
            <w:r>
              <w:rPr>
                <w:rStyle w:val="IndexLink"/>
                <w:rtl w:val="true"/>
              </w:rPr>
              <w:t xml:space="preserve">. </w:t>
            </w:r>
            <w:r>
              <w:rPr>
                <w:rStyle w:val="IndexLink"/>
                <w:rtl w:val="true"/>
              </w:rPr>
              <w:t>ویژگی های دیه بر عاقله 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1391313_237004111">
            <w:r>
              <w:rPr>
                <w:webHidden/>
                <w:rStyle w:val="IndexLink"/>
              </w:rPr>
              <w:t>4</w:t>
            </w:r>
            <w:r>
              <w:rPr>
                <w:rStyle w:val="IndexLink"/>
                <w:rtl w:val="true"/>
              </w:rPr>
              <w:t xml:space="preserve">. </w:t>
            </w:r>
            <w:r>
              <w:rPr>
                <w:rStyle w:val="IndexLink"/>
                <w:rtl w:val="true"/>
              </w:rPr>
              <w:t>دیه بر عاقله نوعی تعاون و مساعدت است</w:t>
            </w:r>
            <w:r>
              <w:rPr>
                <w:rStyle w:val="IndexLink"/>
                <w:rtl w:val="true"/>
              </w:rPr>
              <w:tab/>
            </w:r>
            <w:r>
              <w:rPr>
                <w:rStyle w:val="IndexLink"/>
              </w:rPr>
              <w:t>45</w:t>
            </w:r>
          </w:hyperlink>
        </w:p>
        <w:p>
          <w:pPr>
            <w:pStyle w:val="Contents3"/>
            <w:tabs>
              <w:tab w:val="clear" w:pos="8459"/>
              <w:tab w:val="right" w:pos="9026" w:leader="dot"/>
            </w:tabs>
            <w:rPr/>
          </w:pPr>
          <w:hyperlink w:anchor="__RefHeading___Toc1391315_237004111">
            <w:r>
              <w:rPr>
                <w:webHidden/>
                <w:rStyle w:val="IndexLink"/>
                <w:rtl w:val="true"/>
              </w:rPr>
              <w:t>آیا دیه بر عاقله بر خلاف آیه قرآنی است؟</w:t>
            </w:r>
            <w:r>
              <w:rPr>
                <w:rStyle w:val="IndexLink"/>
                <w:rtl w:val="true"/>
              </w:rPr>
              <w:tab/>
            </w:r>
            <w:r>
              <w:rPr>
                <w:rStyle w:val="IndexLink"/>
              </w:rPr>
              <w:t>47</w:t>
            </w:r>
          </w:hyperlink>
        </w:p>
        <w:p>
          <w:pPr>
            <w:pStyle w:val="Contents3"/>
            <w:tabs>
              <w:tab w:val="clear" w:pos="8459"/>
              <w:tab w:val="right" w:pos="9026" w:leader="dot"/>
            </w:tabs>
            <w:rPr/>
          </w:pPr>
          <w:hyperlink w:anchor="__RefHeading___Toc1391317_237004111">
            <w:r>
              <w:rPr>
                <w:webHidden/>
                <w:rStyle w:val="IndexLink"/>
                <w:rtl w:val="true"/>
              </w:rPr>
              <w:t>ارزش یکسانی مکان ها</w:t>
            </w:r>
            <w:r>
              <w:rPr>
                <w:rStyle w:val="IndexLink"/>
                <w:rtl w:val="true"/>
              </w:rPr>
              <w:tab/>
            </w:r>
            <w:r>
              <w:rPr>
                <w:rStyle w:val="IndexLink"/>
              </w:rPr>
              <w:t>51</w:t>
            </w:r>
          </w:hyperlink>
        </w:p>
        <w:p>
          <w:pPr>
            <w:pStyle w:val="Contents3"/>
            <w:tabs>
              <w:tab w:val="clear" w:pos="8459"/>
              <w:tab w:val="right" w:pos="9026" w:leader="dot"/>
            </w:tabs>
            <w:rPr/>
          </w:pPr>
          <w:hyperlink w:anchor="__RefHeading___Toc1391319_237004111">
            <w:r>
              <w:rPr>
                <w:webHidden/>
                <w:rStyle w:val="IndexLink"/>
                <w:rtl w:val="true"/>
              </w:rPr>
              <w:t>ارزش یکسانی زمان ها</w:t>
            </w:r>
            <w:r>
              <w:rPr>
                <w:rStyle w:val="IndexLink"/>
                <w:rtl w:val="true"/>
              </w:rPr>
              <w:tab/>
            </w:r>
            <w:r>
              <w:rPr>
                <w:rStyle w:val="IndexLink"/>
              </w:rPr>
              <w:t>52</w:t>
            </w:r>
          </w:hyperlink>
        </w:p>
        <w:p>
          <w:pPr>
            <w:pStyle w:val="Contents3"/>
            <w:tabs>
              <w:tab w:val="clear" w:pos="8459"/>
              <w:tab w:val="right" w:pos="9026" w:leader="dot"/>
            </w:tabs>
            <w:rPr/>
          </w:pPr>
          <w:hyperlink w:anchor="__RefHeading___Toc1391321_237004111">
            <w:r>
              <w:rPr>
                <w:webHidden/>
                <w:rStyle w:val="IndexLink"/>
                <w:rtl w:val="true"/>
              </w:rPr>
              <w:t>تغلیظ دیه قتل، در ماه های حرام</w:t>
            </w:r>
            <w:r>
              <w:rPr>
                <w:rStyle w:val="IndexLink"/>
                <w:rtl w:val="true"/>
              </w:rPr>
              <w:tab/>
            </w:r>
            <w:r>
              <w:rPr>
                <w:rStyle w:val="IndexLink"/>
              </w:rPr>
              <w:t>54</w:t>
            </w:r>
          </w:hyperlink>
        </w:p>
        <w:p>
          <w:pPr>
            <w:pStyle w:val="Contents4"/>
            <w:tabs>
              <w:tab w:val="clear" w:pos="8176"/>
              <w:tab w:val="right" w:pos="9026" w:leader="dot"/>
            </w:tabs>
            <w:rPr/>
          </w:pPr>
          <w:hyperlink w:anchor="__RefHeading___Toc1391323_23700411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91325_237004111">
            <w:r>
              <w:rPr>
                <w:webHidden/>
                <w:rStyle w:val="IndexLink"/>
              </w:rPr>
              <w:t>1</w:t>
            </w:r>
            <w:r>
              <w:rPr>
                <w:rStyle w:val="IndexLink"/>
                <w:rtl w:val="true"/>
              </w:rPr>
              <w:t xml:space="preserve">. </w:t>
            </w:r>
            <w:r>
              <w:rPr>
                <w:rStyle w:val="IndexLink"/>
                <w:rtl w:val="true"/>
              </w:rPr>
              <w:t>روایت صدوق به سند صحیح</w:t>
            </w:r>
            <w:r>
              <w:rPr>
                <w:rStyle w:val="IndexLink"/>
                <w:rtl w:val="true"/>
              </w:rPr>
              <w:tab/>
            </w:r>
            <w:r>
              <w:rPr>
                <w:rStyle w:val="IndexLink"/>
              </w:rPr>
              <w:t>58</w:t>
            </w:r>
          </w:hyperlink>
        </w:p>
        <w:p>
          <w:pPr>
            <w:pStyle w:val="Contents4"/>
            <w:tabs>
              <w:tab w:val="clear" w:pos="8176"/>
              <w:tab w:val="right" w:pos="9026" w:leader="dot"/>
            </w:tabs>
            <w:rPr/>
          </w:pPr>
          <w:hyperlink w:anchor="__RefHeading___Toc1391327_237004111">
            <w:r>
              <w:rPr>
                <w:webHidden/>
                <w:rStyle w:val="IndexLink"/>
              </w:rPr>
              <w:t>2</w:t>
            </w:r>
            <w:r>
              <w:rPr>
                <w:rStyle w:val="IndexLink"/>
                <w:rtl w:val="true"/>
              </w:rPr>
              <w:t xml:space="preserve">. </w:t>
            </w:r>
            <w:r>
              <w:rPr>
                <w:rStyle w:val="IndexLink"/>
                <w:rtl w:val="true"/>
              </w:rPr>
              <w:t>روایت کلینی به سند صحیح</w:t>
            </w:r>
            <w:r>
              <w:rPr>
                <w:rStyle w:val="IndexLink"/>
                <w:rtl w:val="true"/>
              </w:rPr>
              <w:tab/>
            </w:r>
            <w:r>
              <w:rPr>
                <w:rStyle w:val="IndexLink"/>
              </w:rPr>
              <w:t>58</w:t>
            </w:r>
          </w:hyperlink>
        </w:p>
        <w:p>
          <w:pPr>
            <w:pStyle w:val="Contents2"/>
            <w:tabs>
              <w:tab w:val="clear" w:pos="8743"/>
              <w:tab w:val="right" w:pos="9026" w:leader="dot"/>
            </w:tabs>
            <w:rPr/>
          </w:pPr>
          <w:hyperlink w:anchor="__RefHeading___Toc1391329_237004111">
            <w:r>
              <w:rPr>
                <w:webHidden/>
                <w:rStyle w:val="IndexLink"/>
                <w:rtl w:val="true"/>
              </w:rPr>
              <w:t>تغلیظ دیه قتل در حرم امن الهی</w:t>
            </w:r>
            <w:r>
              <w:rPr>
                <w:rStyle w:val="IndexLink"/>
                <w:rtl w:val="true"/>
              </w:rPr>
              <w:tab/>
            </w:r>
            <w:r>
              <w:rPr>
                <w:rStyle w:val="IndexLink"/>
              </w:rPr>
              <w:t>61</w:t>
            </w:r>
          </w:hyperlink>
        </w:p>
        <w:p>
          <w:pPr>
            <w:pStyle w:val="Contents3"/>
            <w:tabs>
              <w:tab w:val="clear" w:pos="8459"/>
              <w:tab w:val="right" w:pos="9026" w:leader="dot"/>
            </w:tabs>
            <w:rPr/>
          </w:pPr>
          <w:hyperlink w:anchor="__RefHeading___Toc1391331_23700411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391333_237004111">
            <w:r>
              <w:rPr>
                <w:webHidden/>
                <w:rStyle w:val="IndexLink"/>
                <w:rtl w:val="true"/>
              </w:rPr>
              <w:t>احکام ویژه حرم</w:t>
            </w:r>
            <w:r>
              <w:rPr>
                <w:rStyle w:val="IndexLink"/>
                <w:rtl w:val="true"/>
              </w:rPr>
              <w:tab/>
            </w:r>
            <w:r>
              <w:rPr>
                <w:rStyle w:val="IndexLink"/>
              </w:rPr>
              <w:t>62</w:t>
            </w:r>
          </w:hyperlink>
        </w:p>
        <w:p>
          <w:pPr>
            <w:pStyle w:val="Contents3"/>
            <w:tabs>
              <w:tab w:val="clear" w:pos="8459"/>
              <w:tab w:val="right" w:pos="9026" w:leader="dot"/>
            </w:tabs>
            <w:rPr/>
          </w:pPr>
          <w:hyperlink w:anchor="__RefHeading___Toc1391335_237004111">
            <w:r>
              <w:rPr>
                <w:webHidden/>
                <w:rStyle w:val="IndexLink"/>
                <w:rtl w:val="true"/>
              </w:rPr>
              <w:t>قتل در حرم و تغلیظ دیه</w:t>
            </w:r>
            <w:r>
              <w:rPr>
                <w:rStyle w:val="IndexLink"/>
                <w:rtl w:val="true"/>
              </w:rPr>
              <w:tab/>
            </w:r>
            <w:r>
              <w:rPr>
                <w:rStyle w:val="IndexLink"/>
              </w:rPr>
              <w:t>63</w:t>
            </w:r>
          </w:hyperlink>
        </w:p>
        <w:p>
          <w:pPr>
            <w:pStyle w:val="Contents3"/>
            <w:tabs>
              <w:tab w:val="clear" w:pos="8459"/>
              <w:tab w:val="right" w:pos="9026" w:leader="dot"/>
            </w:tabs>
            <w:rPr/>
          </w:pPr>
          <w:hyperlink w:anchor="__RefHeading___Toc1391337_237004111">
            <w:r>
              <w:rPr>
                <w:webHidden/>
                <w:rStyle w:val="IndexLink"/>
                <w:rtl w:val="true"/>
              </w:rPr>
              <w:t>دیدگاه فقیهان اهل سنت در قتل در حرم</w:t>
            </w:r>
            <w:r>
              <w:rPr>
                <w:rStyle w:val="IndexLink"/>
                <w:rtl w:val="true"/>
              </w:rPr>
              <w:tab/>
            </w:r>
            <w:r>
              <w:rPr>
                <w:rStyle w:val="IndexLink"/>
              </w:rPr>
              <w:t>63</w:t>
            </w:r>
          </w:hyperlink>
        </w:p>
        <w:p>
          <w:pPr>
            <w:pStyle w:val="Contents3"/>
            <w:tabs>
              <w:tab w:val="clear" w:pos="8459"/>
              <w:tab w:val="right" w:pos="9026" w:leader="dot"/>
            </w:tabs>
            <w:rPr/>
          </w:pPr>
          <w:hyperlink w:anchor="__RefHeading___Toc1391339_237004111">
            <w:r>
              <w:rPr>
                <w:webHidden/>
                <w:rStyle w:val="IndexLink"/>
                <w:rtl w:val="true"/>
              </w:rPr>
              <w:t>دیدگاه فقهای شیعه در قتل در حرم</w:t>
            </w:r>
            <w:r>
              <w:rPr>
                <w:rStyle w:val="IndexLink"/>
                <w:rtl w:val="true"/>
              </w:rPr>
              <w:tab/>
            </w:r>
            <w:r>
              <w:rPr>
                <w:rStyle w:val="IndexLink"/>
              </w:rPr>
              <w:t>64</w:t>
            </w:r>
          </w:hyperlink>
        </w:p>
        <w:p>
          <w:pPr>
            <w:pStyle w:val="Contents3"/>
            <w:tabs>
              <w:tab w:val="clear" w:pos="8459"/>
              <w:tab w:val="right" w:pos="9026" w:leader="dot"/>
            </w:tabs>
            <w:rPr/>
          </w:pPr>
          <w:hyperlink w:anchor="__RefHeading___Toc1391341_237004111">
            <w:r>
              <w:rPr>
                <w:webHidden/>
                <w:rStyle w:val="IndexLink"/>
                <w:rtl w:val="true"/>
              </w:rPr>
              <w:t>ارزش یابی نظر مخالف در نشست فقه پژوهشی</w:t>
            </w:r>
            <w:r>
              <w:rPr>
                <w:rStyle w:val="IndexLink"/>
                <w:rtl w:val="true"/>
              </w:rPr>
              <w:tab/>
            </w:r>
            <w:r>
              <w:rPr>
                <w:rStyle w:val="IndexLink"/>
              </w:rPr>
              <w:t>66</w:t>
            </w:r>
          </w:hyperlink>
        </w:p>
        <w:p>
          <w:pPr>
            <w:pStyle w:val="Contents3"/>
            <w:tabs>
              <w:tab w:val="clear" w:pos="8459"/>
              <w:tab w:val="right" w:pos="9026" w:leader="dot"/>
            </w:tabs>
            <w:rPr/>
          </w:pPr>
          <w:hyperlink w:anchor="__RefHeading___Toc1391343_237004111">
            <w:r>
              <w:rPr>
                <w:webHidden/>
                <w:rStyle w:val="IndexLink"/>
                <w:rtl w:val="true"/>
              </w:rPr>
              <w:t>نقد تضعیف روایات مربوط به قتل در ماه حرام و در حرم</w:t>
            </w:r>
            <w:r>
              <w:rPr>
                <w:rStyle w:val="IndexLink"/>
                <w:rtl w:val="true"/>
              </w:rPr>
              <w:tab/>
            </w:r>
            <w:r>
              <w:rPr>
                <w:rStyle w:val="IndexLink"/>
              </w:rPr>
              <w:t>68</w:t>
            </w:r>
          </w:hyperlink>
        </w:p>
        <w:p>
          <w:pPr>
            <w:pStyle w:val="Contents2"/>
            <w:tabs>
              <w:tab w:val="clear" w:pos="8743"/>
              <w:tab w:val="right" w:pos="9026" w:leader="dot"/>
            </w:tabs>
            <w:rPr/>
          </w:pPr>
          <w:hyperlink w:anchor="__RefHeading___Toc1391345_237004111">
            <w:r>
              <w:rPr>
                <w:webHidden/>
                <w:rStyle w:val="IndexLink"/>
                <w:rtl w:val="true"/>
              </w:rPr>
              <w:t>تحلیلی گسترده از دیه بر عاقله</w:t>
            </w:r>
            <w:r>
              <w:rPr>
                <w:rStyle w:val="IndexLink"/>
                <w:rtl w:val="true"/>
              </w:rPr>
              <w:tab/>
            </w:r>
            <w:r>
              <w:rPr>
                <w:rStyle w:val="IndexLink"/>
              </w:rPr>
              <w:t>70</w:t>
            </w:r>
          </w:hyperlink>
        </w:p>
        <w:p>
          <w:pPr>
            <w:pStyle w:val="Contents3"/>
            <w:tabs>
              <w:tab w:val="clear" w:pos="8459"/>
              <w:tab w:val="right" w:pos="9026" w:leader="dot"/>
            </w:tabs>
            <w:rPr/>
          </w:pPr>
          <w:hyperlink w:anchor="__RefHeading___Toc1391347_23700411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391349_237004111">
            <w:r>
              <w:rPr>
                <w:webHidden/>
                <w:rStyle w:val="IndexLink"/>
                <w:rtl w:val="true"/>
              </w:rPr>
              <w:t>ریشه های سؤال نخست</w:t>
            </w:r>
            <w:r>
              <w:rPr>
                <w:rStyle w:val="IndexLink"/>
                <w:rtl w:val="true"/>
              </w:rPr>
              <w:tab/>
            </w:r>
            <w:r>
              <w:rPr>
                <w:rStyle w:val="IndexLink"/>
              </w:rPr>
              <w:t>71</w:t>
            </w:r>
          </w:hyperlink>
        </w:p>
        <w:p>
          <w:pPr>
            <w:pStyle w:val="Contents3"/>
            <w:tabs>
              <w:tab w:val="clear" w:pos="8459"/>
              <w:tab w:val="right" w:pos="9026" w:leader="dot"/>
            </w:tabs>
            <w:rPr/>
          </w:pPr>
          <w:hyperlink w:anchor="__RefHeading___Toc1391351_237004111">
            <w:r>
              <w:rPr>
                <w:webHidden/>
                <w:rStyle w:val="IndexLink"/>
                <w:rtl w:val="true"/>
              </w:rPr>
              <w:t>دیه بر عاقله، ربطی به ساختار زندگی ندارد</w:t>
            </w:r>
            <w:r>
              <w:rPr>
                <w:rStyle w:val="IndexLink"/>
                <w:rtl w:val="true"/>
              </w:rPr>
              <w:tab/>
            </w:r>
            <w:r>
              <w:rPr>
                <w:rStyle w:val="IndexLink"/>
              </w:rPr>
              <w:t>73</w:t>
            </w:r>
          </w:hyperlink>
        </w:p>
        <w:p>
          <w:pPr>
            <w:pStyle w:val="Contents3"/>
            <w:tabs>
              <w:tab w:val="clear" w:pos="8459"/>
              <w:tab w:val="right" w:pos="9026" w:leader="dot"/>
            </w:tabs>
            <w:rPr/>
          </w:pPr>
          <w:hyperlink w:anchor="__RefHeading___Toc1391353_237004111">
            <w:r>
              <w:rPr>
                <w:webHidden/>
                <w:rStyle w:val="IndexLink"/>
                <w:rtl w:val="true"/>
              </w:rPr>
              <w:t>چگونه فرد غیر مسئول، پیامد دیگری می پذیرد</w:t>
            </w:r>
            <w:r>
              <w:rPr>
                <w:rStyle w:val="IndexLink"/>
                <w:rtl w:val="true"/>
              </w:rPr>
              <w:tab/>
            </w:r>
            <w:r>
              <w:rPr>
                <w:rStyle w:val="IndexLink"/>
              </w:rPr>
              <w:t>76</w:t>
            </w:r>
          </w:hyperlink>
        </w:p>
        <w:p>
          <w:pPr>
            <w:pStyle w:val="Contents3"/>
            <w:tabs>
              <w:tab w:val="clear" w:pos="8459"/>
              <w:tab w:val="right" w:pos="9026" w:leader="dot"/>
            </w:tabs>
            <w:rPr/>
          </w:pPr>
          <w:hyperlink w:anchor="__RefHeading___Toc1391355_237004111">
            <w:r>
              <w:rPr>
                <w:webHidden/>
                <w:rStyle w:val="IndexLink"/>
                <w:rtl w:val="true"/>
              </w:rPr>
              <w:t>پاسخ پرسش دوم</w:t>
            </w:r>
            <w:r>
              <w:rPr>
                <w:rStyle w:val="IndexLink"/>
                <w:rtl w:val="true"/>
              </w:rPr>
              <w:t>:</w:t>
              <w:tab/>
            </w:r>
            <w:r>
              <w:rPr>
                <w:rStyle w:val="IndexLink"/>
              </w:rPr>
              <w:t>78</w:t>
            </w:r>
          </w:hyperlink>
        </w:p>
        <w:p>
          <w:pPr>
            <w:pStyle w:val="Contents3"/>
            <w:tabs>
              <w:tab w:val="clear" w:pos="8459"/>
              <w:tab w:val="right" w:pos="9026" w:leader="dot"/>
            </w:tabs>
            <w:rPr/>
          </w:pPr>
          <w:hyperlink w:anchor="__RefHeading___Toc1391357_237004111">
            <w:r>
              <w:rPr>
                <w:webHidden/>
                <w:rStyle w:val="IndexLink"/>
                <w:rtl w:val="true"/>
              </w:rPr>
              <w:t>روایة ظریف فی الدیات</w:t>
            </w:r>
            <w:r>
              <w:rPr>
                <w:rStyle w:val="IndexLink"/>
                <w:rtl w:val="true"/>
              </w:rPr>
              <w:tab/>
            </w:r>
            <w:r>
              <w:rPr>
                <w:rStyle w:val="IndexLink"/>
              </w:rPr>
              <w:t>89</w:t>
            </w:r>
          </w:hyperlink>
        </w:p>
        <w:p>
          <w:pPr>
            <w:pStyle w:val="Contents2"/>
            <w:tabs>
              <w:tab w:val="clear" w:pos="8743"/>
              <w:tab w:val="right" w:pos="9026" w:leader="dot"/>
            </w:tabs>
            <w:rPr/>
          </w:pPr>
          <w:hyperlink w:anchor="__RefHeading___Toc1391359_237004111">
            <w:r>
              <w:rPr>
                <w:webHidden/>
                <w:rStyle w:val="IndexLink"/>
                <w:rtl w:val="true"/>
              </w:rPr>
              <w:t>فهرست آیات</w:t>
            </w:r>
            <w:r>
              <w:rPr>
                <w:rStyle w:val="IndexLink"/>
                <w:rtl w:val="true"/>
              </w:rPr>
              <w:tab/>
            </w:r>
            <w:r>
              <w:rPr>
                <w:rStyle w:val="IndexLink"/>
              </w:rPr>
              <w:t>119</w:t>
            </w:r>
          </w:hyperlink>
        </w:p>
        <w:p>
          <w:pPr>
            <w:pStyle w:val="Contents3"/>
            <w:tabs>
              <w:tab w:val="clear" w:pos="8459"/>
              <w:tab w:val="right" w:pos="9026" w:leader="dot"/>
            </w:tabs>
            <w:rPr/>
          </w:pPr>
          <w:hyperlink w:anchor="__RefHeading___Toc1391361_237004111">
            <w:r>
              <w:rPr>
                <w:webHidden/>
                <w:rStyle w:val="IndexLink"/>
                <w:rtl w:val="true"/>
              </w:rPr>
              <w:t>سوره بقره</w:t>
            </w:r>
            <w:r>
              <w:rPr>
                <w:rStyle w:val="IndexLink"/>
                <w:rtl w:val="true"/>
              </w:rPr>
              <w:tab/>
            </w:r>
            <w:r>
              <w:rPr>
                <w:rStyle w:val="IndexLink"/>
              </w:rPr>
              <w:t>119</w:t>
            </w:r>
          </w:hyperlink>
        </w:p>
        <w:p>
          <w:pPr>
            <w:pStyle w:val="Contents3"/>
            <w:tabs>
              <w:tab w:val="clear" w:pos="8459"/>
              <w:tab w:val="right" w:pos="9026" w:leader="dot"/>
            </w:tabs>
            <w:rPr/>
          </w:pPr>
          <w:hyperlink w:anchor="__RefHeading___Toc1391363_237004111">
            <w:r>
              <w:rPr>
                <w:webHidden/>
                <w:rStyle w:val="IndexLink"/>
                <w:rtl w:val="true"/>
              </w:rPr>
              <w:t>سوره نساء</w:t>
            </w:r>
            <w:r>
              <w:rPr>
                <w:rStyle w:val="IndexLink"/>
                <w:rtl w:val="true"/>
              </w:rPr>
              <w:tab/>
            </w:r>
            <w:r>
              <w:rPr>
                <w:rStyle w:val="IndexLink"/>
              </w:rPr>
              <w:t>119</w:t>
            </w:r>
          </w:hyperlink>
        </w:p>
        <w:p>
          <w:pPr>
            <w:pStyle w:val="Contents3"/>
            <w:tabs>
              <w:tab w:val="clear" w:pos="8459"/>
              <w:tab w:val="right" w:pos="9026" w:leader="dot"/>
            </w:tabs>
            <w:rPr/>
          </w:pPr>
          <w:hyperlink w:anchor="__RefHeading___Toc1391365_237004111">
            <w:r>
              <w:rPr>
                <w:webHidden/>
                <w:rStyle w:val="IndexLink"/>
                <w:rtl w:val="true"/>
              </w:rPr>
              <w:t>سوره مائده</w:t>
            </w:r>
            <w:r>
              <w:rPr>
                <w:rStyle w:val="IndexLink"/>
                <w:rtl w:val="true"/>
              </w:rPr>
              <w:tab/>
            </w:r>
            <w:r>
              <w:rPr>
                <w:rStyle w:val="IndexLink"/>
              </w:rPr>
              <w:t>119</w:t>
            </w:r>
          </w:hyperlink>
        </w:p>
        <w:p>
          <w:pPr>
            <w:pStyle w:val="Contents3"/>
            <w:tabs>
              <w:tab w:val="clear" w:pos="8459"/>
              <w:tab w:val="right" w:pos="9026" w:leader="dot"/>
            </w:tabs>
            <w:rPr/>
          </w:pPr>
          <w:hyperlink w:anchor="__RefHeading___Toc1391367_237004111">
            <w:r>
              <w:rPr>
                <w:webHidden/>
                <w:rStyle w:val="IndexLink"/>
                <w:rtl w:val="true"/>
              </w:rPr>
              <w:t>سوره توبه</w:t>
            </w:r>
            <w:r>
              <w:rPr>
                <w:rStyle w:val="IndexLink"/>
                <w:rtl w:val="true"/>
              </w:rPr>
              <w:tab/>
            </w:r>
            <w:r>
              <w:rPr>
                <w:rStyle w:val="IndexLink"/>
              </w:rPr>
              <w:t>119</w:t>
            </w:r>
          </w:hyperlink>
        </w:p>
        <w:p>
          <w:pPr>
            <w:pStyle w:val="Contents3"/>
            <w:tabs>
              <w:tab w:val="clear" w:pos="8459"/>
              <w:tab w:val="right" w:pos="9026" w:leader="dot"/>
            </w:tabs>
            <w:rPr/>
          </w:pPr>
          <w:hyperlink w:anchor="__RefHeading___Toc1391369_237004111">
            <w:r>
              <w:rPr>
                <w:webHidden/>
                <w:rStyle w:val="IndexLink"/>
                <w:rtl w:val="true"/>
              </w:rPr>
              <w:t>سوره یوسف</w:t>
            </w:r>
            <w:r>
              <w:rPr>
                <w:rStyle w:val="IndexLink"/>
                <w:rtl w:val="true"/>
              </w:rPr>
              <w:tab/>
            </w:r>
            <w:r>
              <w:rPr>
                <w:rStyle w:val="IndexLink"/>
              </w:rPr>
              <w:t>120</w:t>
            </w:r>
          </w:hyperlink>
        </w:p>
        <w:p>
          <w:pPr>
            <w:pStyle w:val="Contents3"/>
            <w:tabs>
              <w:tab w:val="clear" w:pos="8459"/>
              <w:tab w:val="right" w:pos="9026" w:leader="dot"/>
            </w:tabs>
            <w:rPr/>
          </w:pPr>
          <w:hyperlink w:anchor="__RefHeading___Toc1391371_237004111">
            <w:r>
              <w:rPr>
                <w:webHidden/>
                <w:rStyle w:val="IndexLink"/>
                <w:rtl w:val="true"/>
              </w:rPr>
              <w:t>سوره عنکبوت</w:t>
            </w:r>
            <w:r>
              <w:rPr>
                <w:rStyle w:val="IndexLink"/>
                <w:rtl w:val="true"/>
              </w:rPr>
              <w:tab/>
            </w:r>
            <w:r>
              <w:rPr>
                <w:rStyle w:val="IndexLink"/>
              </w:rPr>
              <w:t>120</w:t>
            </w:r>
          </w:hyperlink>
        </w:p>
        <w:p>
          <w:pPr>
            <w:pStyle w:val="Contents3"/>
            <w:tabs>
              <w:tab w:val="clear" w:pos="8459"/>
              <w:tab w:val="right" w:pos="9026" w:leader="dot"/>
            </w:tabs>
            <w:rPr/>
          </w:pPr>
          <w:hyperlink w:anchor="__RefHeading___Toc1391373_237004111">
            <w:r>
              <w:rPr>
                <w:webHidden/>
                <w:rStyle w:val="IndexLink"/>
                <w:rtl w:val="true"/>
              </w:rPr>
              <w:t>سوره روم</w:t>
            </w:r>
            <w:r>
              <w:rPr>
                <w:rStyle w:val="IndexLink"/>
                <w:rtl w:val="true"/>
              </w:rPr>
              <w:tab/>
            </w:r>
            <w:r>
              <w:rPr>
                <w:rStyle w:val="IndexLink"/>
              </w:rPr>
              <w:t>120</w:t>
            </w:r>
          </w:hyperlink>
        </w:p>
        <w:p>
          <w:pPr>
            <w:pStyle w:val="Contents3"/>
            <w:tabs>
              <w:tab w:val="clear" w:pos="8459"/>
              <w:tab w:val="right" w:pos="9026" w:leader="dot"/>
            </w:tabs>
            <w:rPr/>
          </w:pPr>
          <w:hyperlink w:anchor="__RefHeading___Toc1391375_237004111">
            <w:r>
              <w:rPr>
                <w:webHidden/>
                <w:rStyle w:val="IndexLink"/>
                <w:rtl w:val="true"/>
              </w:rPr>
              <w:t>سوره شوری</w:t>
            </w:r>
            <w:r>
              <w:rPr>
                <w:rStyle w:val="IndexLink"/>
                <w:rtl w:val="true"/>
              </w:rPr>
              <w:tab/>
            </w:r>
            <w:r>
              <w:rPr>
                <w:rStyle w:val="IndexLink"/>
              </w:rPr>
              <w:t>120</w:t>
            </w:r>
          </w:hyperlink>
        </w:p>
        <w:p>
          <w:pPr>
            <w:pStyle w:val="Contents3"/>
            <w:tabs>
              <w:tab w:val="clear" w:pos="8459"/>
              <w:tab w:val="right" w:pos="9026" w:leader="dot"/>
            </w:tabs>
            <w:rPr/>
          </w:pPr>
          <w:hyperlink w:anchor="__RefHeading___Toc1391377_237004111">
            <w:r>
              <w:rPr>
                <w:webHidden/>
                <w:rStyle w:val="IndexLink"/>
                <w:rtl w:val="true"/>
              </w:rPr>
              <w:t>سوره نجم</w:t>
            </w:r>
            <w:r>
              <w:rPr>
                <w:rStyle w:val="IndexLink"/>
                <w:rtl w:val="true"/>
              </w:rPr>
              <w:tab/>
            </w:r>
            <w:r>
              <w:rPr>
                <w:rStyle w:val="IndexLink"/>
              </w:rPr>
              <w:t>120</w:t>
            </w:r>
          </w:hyperlink>
        </w:p>
        <w:p>
          <w:pPr>
            <w:pStyle w:val="Contents3"/>
            <w:tabs>
              <w:tab w:val="clear" w:pos="8459"/>
              <w:tab w:val="right" w:pos="9026" w:leader="dot"/>
            </w:tabs>
            <w:rPr/>
          </w:pPr>
          <w:hyperlink w:anchor="__RefHeading___Toc1391379_237004111">
            <w:r>
              <w:rPr>
                <w:webHidden/>
                <w:rStyle w:val="IndexLink"/>
                <w:rtl w:val="true"/>
              </w:rPr>
              <w:t>سوره مجادله</w:t>
            </w:r>
            <w:r>
              <w:rPr>
                <w:rStyle w:val="IndexLink"/>
                <w:rtl w:val="true"/>
              </w:rPr>
              <w:tab/>
            </w:r>
            <w:r>
              <w:rPr>
                <w:rStyle w:val="IndexLink"/>
              </w:rPr>
              <w:t>120</w:t>
            </w:r>
          </w:hyperlink>
        </w:p>
        <w:p>
          <w:pPr>
            <w:pStyle w:val="Contents3"/>
            <w:tabs>
              <w:tab w:val="clear" w:pos="8459"/>
              <w:tab w:val="right" w:pos="9026" w:leader="dot"/>
            </w:tabs>
            <w:rPr/>
          </w:pPr>
          <w:hyperlink w:anchor="__RefHeading___Toc1391381_237004111">
            <w:r>
              <w:rPr>
                <w:webHidden/>
                <w:rStyle w:val="IndexLink"/>
                <w:rtl w:val="true"/>
              </w:rPr>
              <w:t>سوره قریش</w:t>
            </w:r>
            <w:r>
              <w:rPr>
                <w:rStyle w:val="IndexLink"/>
                <w:rtl w:val="true"/>
              </w:rPr>
              <w:tab/>
            </w:r>
            <w:r>
              <w:rPr>
                <w:rStyle w:val="IndexLink"/>
              </w:rPr>
              <w:t>120</w:t>
            </w:r>
          </w:hyperlink>
        </w:p>
        <w:p>
          <w:pPr>
            <w:pStyle w:val="Contents2"/>
            <w:tabs>
              <w:tab w:val="clear" w:pos="8743"/>
              <w:tab w:val="right" w:pos="9026" w:leader="dot"/>
            </w:tabs>
            <w:rPr/>
          </w:pPr>
          <w:hyperlink w:anchor="__RefHeading___Toc1391383_237004111">
            <w:r>
              <w:rPr>
                <w:webHidden/>
                <w:rStyle w:val="IndexLink"/>
                <w:rtl w:val="true"/>
              </w:rPr>
              <w:t>فهرست احادیث</w:t>
            </w:r>
            <w:r>
              <w:rPr>
                <w:rStyle w:val="IndexLink"/>
                <w:rtl w:val="true"/>
              </w:rPr>
              <w:tab/>
            </w:r>
            <w:r>
              <w:rPr>
                <w:rStyle w:val="IndexLink"/>
              </w:rPr>
              <w:t>121</w:t>
            </w:r>
          </w:hyperlink>
        </w:p>
        <w:p>
          <w:pPr>
            <w:pStyle w:val="Contents2"/>
            <w:tabs>
              <w:tab w:val="clear" w:pos="8743"/>
              <w:tab w:val="right" w:pos="9026" w:leader="dot"/>
            </w:tabs>
            <w:rPr/>
          </w:pPr>
          <w:hyperlink w:anchor="__RefHeading___Toc1391385_237004111">
            <w:r>
              <w:rPr>
                <w:webHidden/>
                <w:rStyle w:val="IndexLink"/>
                <w:rtl w:val="true"/>
              </w:rPr>
              <w:t>منابع و مآخذ</w:t>
            </w:r>
            <w:r>
              <w:rPr>
                <w:rStyle w:val="IndexLink"/>
                <w:rtl w:val="true"/>
              </w:rPr>
              <w:tab/>
            </w:r>
            <w:r>
              <w:rPr>
                <w:rStyle w:val="IndexLink"/>
              </w:rPr>
              <w:t>123</w:t>
            </w:r>
          </w:hyperlink>
        </w:p>
        <w:p>
          <w:pPr>
            <w:pStyle w:val="Contents2"/>
            <w:tabs>
              <w:tab w:val="clear" w:pos="8743"/>
              <w:tab w:val="right" w:pos="9026" w:leader="dot"/>
            </w:tabs>
            <w:rPr/>
          </w:pPr>
          <w:hyperlink w:anchor="__RefHeading___Toc1391387_237004111">
            <w:r>
              <w:rPr>
                <w:webHidden/>
                <w:rStyle w:val="IndexLink"/>
                <w:rtl w:val="true"/>
              </w:rPr>
              <w:t>فهرست موضوعات</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5_41970"/>
      <w:bookmarkStart w:id="1" w:name="pg6225_41970"/>
      <w:bookmarkEnd w:id="1"/>
    </w:p>
    <w:p>
      <w:pPr>
        <w:pStyle w:val="Heading2"/>
        <w:numPr>
          <w:ilvl w:val="1"/>
          <w:numId w:val="1"/>
        </w:numPr>
        <w:rPr/>
      </w:pPr>
      <w:bookmarkStart w:id="2" w:name="pg6225_41970"/>
      <w:bookmarkStart w:id="3" w:name="__RefHeading___Toc139127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دیه انسان از دیدگاه قرآن و سنت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جعفر سبحانی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27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 دیه انسان از دیدگاه قرآن و سنت و اجماع</w:t>
      </w:r>
    </w:p>
    <w:p>
      <w:pPr>
        <w:pStyle w:val="BookText"/>
        <w:rPr/>
      </w:pPr>
      <w:r>
        <w:rPr>
          <w:rFonts w:ascii="IRNazanin" w:hAnsi="IRNazanin" w:eastAsia="IRNazanin"/>
          <w:color w:val="111111"/>
          <w:sz w:val="28"/>
          <w:sz w:val="28"/>
          <w:szCs w:val="28"/>
          <w:rtl w:val="true"/>
          <w:lang w:bidi="fa-IR"/>
        </w:rPr>
        <w:t>پژوهشی در دیه انسان از دیدگاه قرآن و سنت و اجماع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جعفر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سبحانی تبریزی، جعفر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پژوهشی در دیه انسان از دیدگاه قرآن و سنت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جعفر سبحانی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978 - 600 - 93750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4/335</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دیه انسان از دیدگاه قرآن و سنت و اجماع</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جعفر سبحانی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قم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میدان شهدا، انتشارات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eastAsia="IRNazanin" w:cs="IRNazanin"/>
          <w:color w:val="111111"/>
          <w:sz w:val="28"/>
          <w:szCs w:val="28"/>
          <w:rtl w:val="true"/>
          <w:lang w:bidi="fa-IR"/>
        </w:rPr>
        <w:t xml:space="preserve"> ;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www.shia.ir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www.tohid.ir</w:t>
      </w:r>
      <w:bookmarkStart w:id="7" w:name="pg6225_41976"/>
    </w:p>
    <w:p>
      <w:pPr>
        <w:pStyle w:val="BookText"/>
        <w:rPr/>
      </w:pPr>
      <w:bookmarkEnd w:id="7"/>
      <w:r>
        <w:rPr>
          <w:rFonts w:ascii="IRNazanin" w:hAnsi="IRNazanin" w:eastAsia="IRNazanin"/>
          <w:color w:val="111111"/>
          <w:sz w:val="28"/>
          <w:sz w:val="28"/>
          <w:szCs w:val="28"/>
          <w:rtl w:val="true"/>
          <w:lang w:bidi="fa-IR"/>
        </w:rPr>
        <w:t>پژوهشی در دیه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گفتار</w:t>
      </w:r>
    </w:p>
    <w:p>
      <w:pPr>
        <w:pStyle w:val="Heading2"/>
        <w:numPr>
          <w:ilvl w:val="1"/>
          <w:numId w:val="1"/>
        </w:numPr>
        <w:rPr/>
      </w:pPr>
      <w:bookmarkStart w:id="8" w:name="__RefHeading___Toc1391277_237004111"/>
      <w:bookmarkStart w:id="9" w:name="_Toc3"/>
      <w:bookmarkEnd w:id="8"/>
      <w:r>
        <w:rPr>
          <w:rtl w:val="true"/>
        </w:rPr>
        <w:t>تداعی عرفی شدن فقه</w:t>
      </w:r>
      <w:bookmarkEnd w:id="9"/>
    </w:p>
    <w:p>
      <w:pPr>
        <w:pStyle w:val="Heading3"/>
        <w:numPr>
          <w:ilvl w:val="2"/>
          <w:numId w:val="1"/>
        </w:numPr>
        <w:rPr/>
      </w:pPr>
      <w:bookmarkStart w:id="10" w:name="__RefHeading___Toc1391279_237004111"/>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فقدان نظام سیاسی و اجتماعی در اناجیل چهارگانه، بلکه در اناجیل فزون از بیست انجیل، بستر مناسبی بر این شد که غربیان فقط در مسائل ماوراء طبیعت و به اصطلاح الهیات، به کتاب مقدس مراجعه کنند، ولی در مسائل زندگی اعم از سیاسی و اجتماعی و اقتصادی، مرجع، خِرَد جمعی و شورایی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عرفی شدن فقه، ایده خود را چنین تعریف می 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شدن فقه عبارت است از افتراق ساختاری میان ساخت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نهاد دین،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شدن فقه به این معنا است که نهاد دین که در اعصار گذشته دارای کارکردهای گوناگون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قضاوت و تدوین امور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پیچیده شدن مناسبات زندگی اجتماعی باید بسیاری از مسائل فقه به دیگر نهادها واگذار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بخواهیم این نظریه را به بیان ساده تر مطرح کنیم، باید بگوییم دین در گذشته در تمام زندگی بشر حاکم بود و برنامه ساختار زندگی بشر را دین تنظیم می کرد، و تمام مدیریت ها زیر نظر آن انجام وظیفه می کردند، این نوع ساخت سیاسی در اعصار گذشته که زندگی بسیط و ساده بود،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زندگی بشر پیچیده شده و علم و دانش مراحل تکامل یافته ای را در اختیار بشر نهاده است، باید حکومت دین در ساختار زندگی بشر جز در موارد محدودی، پایان پذیرد و زمام ساختار سیاسی و مدیریت در اختیار خود انسان قرار گیرد و دین در رابطه شخصی انسان با خدا محدود شود و این حقیقتی است که طرفداران این نظریه آن را به صورت نظریه عرفی شدن دین و یا فقه مطرح می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یادآور شدیم، بستر این نوع اندیشه ها کتاب مقدس بود که نمی توانست پاسخ گوی مسائل متنوع زندگی باشد، در حالی که قوانین اسلام که به وسیله قرآن و سنت تبیین شده، گوهری دارد و 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قوانین، تا روز رستاخیز ثابت و پایدار است، زیرا مطابق فطرت و آفرینش انسان است و تا انسان انسان است، این قوانین با زندگی او هماهنگ بوده و سعادت آفرین می باشد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به اقامه قسط و عدل، برنامه های زناشویی و تشکیل خانواده و کسب و کار، دفاع از محرومان و</w:t>
      </w:r>
    </w:p>
    <w:p>
      <w:pPr>
        <w:pStyle w:val="BookText"/>
        <w:rPr/>
      </w:pPr>
      <w:r>
        <w:rPr>
          <w:rFonts w:ascii="IRNazanin" w:hAnsi="IRNazanin" w:eastAsia="IRNazanin"/>
          <w:color w:val="111111"/>
          <w:sz w:val="28"/>
          <w:sz w:val="28"/>
          <w:szCs w:val="28"/>
          <w:rtl w:val="true"/>
          <w:lang w:bidi="fa-IR"/>
        </w:rPr>
        <w:t>مظلومان، جهاد در راه خدا برای برداشتن موانع تا پیام خدا به گوش مردم برسد، مسایل مربوط به تعلیم و تربیت و ده ها مسائل دیگر، که گوهر دین را تشکیل می دهند و مطابق آفرینش انسان است، و لذا دین را چنین تعریف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آیین راست خدا آر، آیینی که هماهنگ با آفرینش انسان است و او را با فطرت دین آفریده و به خاطر هماهنگی با آفرینش انسان، برای آن، دگرگونی نیست و این است آیین استوار و پایدار، هر چند بیشتر مردم از آن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لباس و به تعبیر دیگر صدف دین، تابع شرایط زمان و مکان است و پیچیدگی یا تکامل روابط انسانی، کوچک ترین لطمه ای بر گوهر دین وارد نمی کند و اگر عنصر زمان و مکان در استنباط احکام مؤثر است، مربوط به این بخش از احکام الهی می باشد، نه بخش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پیوسته عزت و عظمت و استقلال مسلمین را</w:t>
      </w:r>
    </w:p>
    <w:p>
      <w:pPr>
        <w:pStyle w:val="BookText"/>
        <w:rPr/>
      </w:pPr>
      <w:r>
        <w:rPr>
          <w:rFonts w:ascii="IRNazanin" w:hAnsi="IRNazanin" w:eastAsia="IRNazanin"/>
          <w:color w:val="111111"/>
          <w:sz w:val="28"/>
          <w:sz w:val="28"/>
          <w:szCs w:val="28"/>
          <w:rtl w:val="true"/>
          <w:lang w:bidi="fa-IR"/>
        </w:rPr>
        <w:t>خواهان است و این اصل در هیچ زمانی تغییرپذیر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حفظ این اصل، قالب ها و شکل های مختلفی دارد، گاهی به صورت برقراری روابط با دولت های کافر صورت می پذیرد و گاهی با گسستن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صلح و مسالمت صورت می پذیرد و احیاناً به صورت جهاد و دفاع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پیوسته خواهان سعادت انسان در سایه تعلیم و تربیت است، ولی ابزار تعلیم و تربیت،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قلم نی مقدس است و نه وسایل پیشرفته ای نظیر کامپیوتر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را این آیه تشکیل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وسیله تحصیل علم چه باشد، در این جا اسلام نظر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گروه، از عامل اجتهاد و تلاش فقیه برای پیاده کردن احکام بر طبق لباس ها و صدف های زمان، غافلند و تصور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فقط یک سلسله احکام ثابت و غیر متغیّر دارد که مسلماً در جامعه متغیر کارآمد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هرگز ثابت را از متغیر، پیوسته را از موقت، گوهر را از صدف جدا نمی سازند، محققان اسلامی در بحث های خاتمیت در این زمینه به صورت گسترده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آیین خاتم، با داشتن قوانین مولّد و زایا، و مقررات قابل انطباق بر تمام تمدن ها، جامعه را از هر نوع جایگزینی قوانین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بی نیاز ساخته است و فقط دست بشر را در برنامه ریزی، آن هم در پرتو قوانین ثابت و متغیر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شخصیت های حوزوی و دانشگاهی پیرامون دیه انسان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مقالات و سخنرانی ها پنج موضوع چشم گیر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مقادیر دیه ششگانه از جانب پیامبر تصویب و مقرر گردیده و مانند احکام حکومتی و ولایی است بدون این که از جانب خدا چنین مقادیر، به پیامبر وحی شده باشد، بنابراین،</w:t>
      </w:r>
    </w:p>
    <w:p>
      <w:pPr>
        <w:pStyle w:val="BookText"/>
        <w:rPr/>
      </w:pPr>
      <w:r>
        <w:rPr>
          <w:rFonts w:ascii="IRNazanin" w:hAnsi="IRNazanin" w:eastAsia="IRNazanin"/>
          <w:color w:val="111111"/>
          <w:sz w:val="28"/>
          <w:sz w:val="28"/>
          <w:szCs w:val="28"/>
          <w:rtl w:val="true"/>
          <w:lang w:bidi="fa-IR"/>
        </w:rPr>
        <w:t>می توان مقدار دیه را به نحو دیگری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تنصیف دیه زن، بر خلاف عدالت و نوعی اهانت به شخصیت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بر عاقله از مقوله تحمیل وزر کسی بر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دیه در ماه های حرام و یا حرم، دلیل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همایش، کوچک ترین نقدی براین گفته ها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بود، د رمجله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حساب شخصیت های حاضر در همایش از پیامدهای این اندیشه ها جدا است ولی در عین حال، این نوع اندیشه ها و داوری ها تداعی کننده جایگزین سازی فقه عرفی در مسائل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فقه قرآنی و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برای پیش گیری از چنین تداعی، به نقد موضوعات یاد شده پرداخته و با حفظ ادبِ نقد، افکار عزیزان را به آنچه که در این مکتوب آمده است، جلب می کنم و از خداوند متعال، ثبات قدم در پیمودن راه حق و حسن عاقبت برای همگان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1/4/1397</w:t>
      </w:r>
    </w:p>
    <w:p>
      <w:pPr>
        <w:pStyle w:val="BookText"/>
        <w:rPr/>
      </w:pPr>
      <w:r>
        <w:rPr>
          <w:rFonts w:ascii="IRNazanin" w:hAnsi="IRNazanin" w:eastAsia="IRNazanin"/>
          <w:color w:val="111111"/>
          <w:sz w:val="28"/>
          <w:sz w:val="28"/>
          <w:szCs w:val="28"/>
          <w:rtl w:val="true"/>
          <w:lang w:bidi="fa-IR"/>
        </w:rPr>
        <w:t>مقادیر دیه نفس در سنّت حکم وحیانی است نه حکم موقت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مقادیر دیه نفس در سنّت</w:t>
      </w:r>
    </w:p>
    <w:p>
      <w:pPr>
        <w:pStyle w:val="BookText"/>
        <w:rPr/>
      </w:pPr>
      <w:r>
        <w:rPr>
          <w:rFonts w:ascii="IRNazanin" w:hAnsi="IRNazanin" w:eastAsia="IRNazanin"/>
          <w:color w:val="111111"/>
          <w:sz w:val="28"/>
          <w:sz w:val="28"/>
          <w:szCs w:val="28"/>
          <w:rtl w:val="true"/>
          <w:lang w:bidi="fa-IR"/>
        </w:rPr>
        <w:t>حکم وحیانی است نه حکم موقت</w:t>
      </w:r>
    </w:p>
    <w:p>
      <w:pPr>
        <w:pStyle w:val="BookText"/>
        <w:rPr/>
      </w:pPr>
      <w:r>
        <w:rPr>
          <w:rFonts w:ascii="IRNazanin" w:hAnsi="IRNazanin" w:eastAsia="IRNazanin"/>
          <w:color w:val="111111"/>
          <w:sz w:val="28"/>
          <w:sz w:val="28"/>
          <w:szCs w:val="28"/>
          <w:rtl w:val="true"/>
          <w:lang w:bidi="fa-IR"/>
        </w:rPr>
        <w:t xml:space="preserve">اخیراً در نشستی پیرامون مقادیر دیه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مطرح شد و حاصل آن این که، این مقادیر احتمالاً حکم موقت بوده و می توان مقدار دیه را به صورت دیگر نیز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رساله به نقد این نظریه یا فرضیه پرداخته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علمی و گرایش بر نوآوری یکی از ابعاد چهارگانه روان انسان را تشکیل می دهد، و دانش های بشری در سایه چنین گرایش از صفر آغاز شده و تا به امروز راه کمال را پیموده است، و تمدن های هفده گانه را پی ریزی نموده و انسان نام</w:t>
      </w:r>
    </w:p>
    <w:p>
      <w:pPr>
        <w:pStyle w:val="BookText"/>
        <w:rPr/>
      </w:pPr>
      <w:r>
        <w:rPr>
          <w:rFonts w:ascii="IRNazanin" w:hAnsi="IRNazanin" w:eastAsia="IRNazanin"/>
          <w:color w:val="111111"/>
          <w:sz w:val="28"/>
          <w:sz w:val="28"/>
          <w:szCs w:val="28"/>
          <w:rtl w:val="true"/>
          <w:lang w:bidi="fa-IR"/>
        </w:rPr>
        <w:t>خلیفة الله را در روی زمین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های بشری، برای تلاش گران و پی افکنان علوم، خط قرمزی وجود ندارد، سر و کار آنان با طبیعت و آثار آن است، تا آنجا که امکان دارد کوشش می کنند پرده از چهره حقایق کون و مکان بردارند فرضیه های آنان در شناخت جهان فقط یک شرط بیش ندارد، و آن این که نباید با بدیهیات عقلی مانند امتناع اجتماع نقیضین، در تقابل باشد، اگر از این شرط بگذریم مجال برای نوآوری به روی آنان باز است و این مطلب نیاز به مثال ندارد، کافی است که داده های هیئت جدید غربی را که به همت چهار دانشمند پی ریزی شده با هیئت بطلمیوسی یونانی مقایسه کنیم، اندیشه های گالیله و همفکران او، فرضیه های یونانی را از بیخ و بن کند، و اثر کوچکی از آن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علوم دینی که به وسیله پیامبران معصوم به دست ما رسیده است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منصوص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مُستَنبَط</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ایجاد تردید و شک و یا فکر دگرگونی در</w:t>
      </w:r>
    </w:p>
    <w:p>
      <w:pPr>
        <w:pStyle w:val="BookText"/>
        <w:rPr/>
      </w:pPr>
      <w:r>
        <w:rPr>
          <w:rFonts w:ascii="IRNazanin" w:hAnsi="IRNazanin" w:eastAsia="IRNazanin"/>
          <w:color w:val="111111"/>
          <w:sz w:val="28"/>
          <w:sz w:val="28"/>
          <w:szCs w:val="28"/>
          <w:rtl w:val="true"/>
          <w:lang w:bidi="fa-IR"/>
        </w:rPr>
        <w:t>آنها روا نیست، زیرا یک نوع مقابله با وحی الهی است که مصون از خطا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 وَلِلنِّسَاءِ نَصِیبٌ مِمَّا اکْتَسَبْنَ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نظیر آنها از قوانین مستحکم اسلام است که هیچ مسلمان معتقد به وحی و نبوت خاتم پیامبران در ثبات و پایداری آنها شک و تردید نمی کند و در غیر این صورت وحی الهی را نادیده گرفته و با آن به تقابل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که جنبه استنباطی دارد راه برای نوآوری کاملاً باز است زیرا استنباط در یک تفسیر ساده</w:t>
      </w:r>
      <w:r>
        <w:rPr>
          <w:rStyle w:val="FootnoteAnchor"/>
          <w:rtl w:val="true"/>
        </w:rPr>
        <w:footnoteReference w:id="6"/>
      </w:r>
      <w:r>
        <w:rPr>
          <w:rFonts w:ascii="IRNazanin" w:hAnsi="IRNazanin" w:eastAsia="IRNazanin"/>
          <w:color w:val="111111"/>
          <w:sz w:val="28"/>
          <w:sz w:val="28"/>
          <w:szCs w:val="28"/>
          <w:rtl w:val="true"/>
          <w:lang w:bidi="fa-IR"/>
        </w:rPr>
        <w:t>تطبیق کلیات بر موارد جزئی است و اختلاف در این مورد اجتناب ناپذیر است و این حقیقت بر کسانی که اهل استنباط هستند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صفیر حیات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بررسی موضوع دیه انسان، اختصاص یافته است در مقاله ای و یا سخنرانی چنین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این است که اصل دیه حکم شرعی است و مورد پذیرش همگانی ولی تقدیر آن جنبه شرعی ندارد یعنی حکم الهی</w:t>
      </w:r>
      <w:bookmarkStart w:id="12" w:name="pg6225_41985"/>
    </w:p>
    <w:p>
      <w:pPr>
        <w:pStyle w:val="BookText"/>
        <w:rPr/>
      </w:pPr>
      <w:bookmarkEnd w:id="12"/>
      <w:r>
        <w:rPr>
          <w:rFonts w:ascii="IRNazanin" w:hAnsi="IRNazanin" w:eastAsia="IRNazanin"/>
          <w:color w:val="111111"/>
          <w:sz w:val="28"/>
          <w:sz w:val="28"/>
          <w:szCs w:val="28"/>
          <w:rtl w:val="true"/>
          <w:lang w:bidi="fa-IR"/>
        </w:rPr>
        <w:t>نیست، تقدیراتی است که پیامبر و یا امیرالمؤمنین جعل و 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آنگاه بر این فرضیه و گزینش چنین استدلال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در جاهلیت صد شتر بود، پیامبر آن را امضاء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باب دیه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وَضَعَ، قضی، فرض آمده است که حاکی است که این تقدیر، از آن پیامبر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ابتداء درهم و دینار در بین مردم نبود، دیه همان صد شتر بود، ولی بعد که سکه رایج شده قَسّمها أمیرُ المؤمنین علی الورقِ،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درهم و دینار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دلایل سه گانه اموری را یادآور می شویم</w:t>
      </w:r>
      <w:r>
        <w:rPr>
          <w:rFonts w:eastAsia="IRNazanin" w:cs="IRNazanin"/>
          <w:color w:val="111111"/>
          <w:sz w:val="28"/>
          <w:szCs w:val="28"/>
          <w:rtl w:val="true"/>
          <w:lang w:bidi="fa-IR"/>
        </w:rPr>
        <w:t>:</w:t>
      </w:r>
    </w:p>
    <w:p>
      <w:pPr>
        <w:pStyle w:val="Heading3"/>
        <w:numPr>
          <w:ilvl w:val="2"/>
          <w:numId w:val="1"/>
        </w:numPr>
        <w:rPr/>
      </w:pPr>
      <w:bookmarkStart w:id="13" w:name="__RefHeading___Toc1391281_237004111"/>
      <w:bookmarkStart w:id="14" w:name="_Toc5"/>
      <w:bookmarkEnd w:id="13"/>
      <w:r>
        <w:rPr/>
        <w:t>1</w:t>
      </w:r>
      <w:r>
        <w:rPr>
          <w:rtl w:val="true"/>
        </w:rPr>
        <w:t xml:space="preserve">. </w:t>
      </w:r>
      <w:r>
        <w:rPr>
          <w:rtl w:val="true"/>
        </w:rPr>
        <w:t>توحید در تشریع</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در تشریع و تقنین است، یعنی زمام تشریع و وضع قانون در دست خدا است و لذا می فرماید</w:t>
      </w:r>
      <w:r>
        <w:rPr>
          <w:rFonts w:eastAsia="IRNazanin" w:cs="IRNazanin"/>
          <w:color w:val="111111"/>
          <w:sz w:val="28"/>
          <w:szCs w:val="28"/>
          <w:rtl w:val="true"/>
          <w:lang w:bidi="fa-IR"/>
        </w:rPr>
        <w:t>:</w:t>
      </w:r>
      <w:bookmarkStart w:id="15" w:name="pg6225_41986"/>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که غیر از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توصیف پیامبر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غلو می داند، زیرا کار پیامبران دریافت احکام و تبیین آنها به امت اسلامی است نه جعل قانون و وضع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قرآنی در این مورد بیش از آن است که در این جا به آنها اشاره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تعبیری روشن تر از 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هرکدام از شما، آیین و طریقه روشنی قرار دادیم</w:t>
      </w:r>
      <w:r>
        <w:rPr>
          <w:rFonts w:eastAsia="IRNazanin" w:cs="IRNazanin"/>
          <w:color w:val="111111"/>
          <w:sz w:val="28"/>
          <w:szCs w:val="28"/>
          <w:rtl w:val="true"/>
          <w:lang w:bidi="fa-IR"/>
        </w:rPr>
        <w:t>».</w:t>
      </w:r>
    </w:p>
    <w:p>
      <w:pPr>
        <w:pStyle w:val="Heading3"/>
        <w:numPr>
          <w:ilvl w:val="2"/>
          <w:numId w:val="1"/>
        </w:numPr>
        <w:rPr/>
      </w:pPr>
      <w:bookmarkStart w:id="16" w:name="__RefHeading___Toc1391283_237004111"/>
      <w:bookmarkStart w:id="17" w:name="_Toc6"/>
      <w:bookmarkEnd w:id="16"/>
      <w:r>
        <w:rPr/>
        <w:t>2</w:t>
      </w:r>
      <w:r>
        <w:rPr>
          <w:rtl w:val="true"/>
        </w:rPr>
        <w:t xml:space="preserve">. </w:t>
      </w:r>
      <w:r>
        <w:rPr>
          <w:rtl w:val="true"/>
        </w:rPr>
        <w:t>بازشناسی حکم الهی از حکم ولائی</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به حکم این که رئیس مطلق امت اسلامی و از جانب خدا دارای ولایت خاصی است در موارد خاصّی، برای گره گشایی، احکام قضایی و به تعبیر صحیح تر احکام ولائی صادر</w:t>
      </w:r>
    </w:p>
    <w:p>
      <w:pPr>
        <w:pStyle w:val="BookText"/>
        <w:rPr/>
      </w:pPr>
      <w:r>
        <w:rPr>
          <w:rFonts w:ascii="IRNazanin" w:hAnsi="IRNazanin" w:eastAsia="IRNazanin"/>
          <w:color w:val="111111"/>
          <w:sz w:val="28"/>
          <w:sz w:val="28"/>
          <w:szCs w:val="28"/>
          <w:rtl w:val="true"/>
          <w:lang w:bidi="fa-IR"/>
        </w:rPr>
        <w:t>می نمود تا مشکل برطرف شود، این گونه احکام به طور غالب دو ویژگی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اختلافی رخ داده و نزاع درگرفته،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امت اسلامی ولایت دارد، از مقام ولایت بهره گرفته حکمی را صادر می نمود مثلاً به رجل انصاری دستور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 سمرة بن جندب را از بیخ و بن بکن و به سوی او بیاندازد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کندن درخت حکم ولائی است، ولی مدلل با یک حکم شرعی آسمانی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پشتوانه قرآنی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ولائی محدود به زمان و مکان خاص است، ونمی توان آن را حکم الهی کلی تلقی کرد و در طول زمان بر آن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حکم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تحریم تنباکو را در نظر بگیرید، او برای کوتاه کردن دست استعمارگران از اقتصاد ایران قریب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تنباکو، بأی نحو کان به حکم محاربه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احکام حسبیه، موردی و کاملاً جزئی بوده و به</w:t>
      </w:r>
      <w:bookmarkStart w:id="18" w:name="pg6225_41988"/>
    </w:p>
    <w:p>
      <w:pPr>
        <w:pStyle w:val="BookText"/>
        <w:rPr/>
      </w:pPr>
      <w:bookmarkEnd w:id="18"/>
      <w:r>
        <w:rPr>
          <w:rFonts w:ascii="IRNazanin" w:hAnsi="IRNazanin" w:eastAsia="IRNazanin"/>
          <w:color w:val="111111"/>
          <w:sz w:val="28"/>
          <w:sz w:val="28"/>
          <w:szCs w:val="28"/>
          <w:rtl w:val="true"/>
          <w:lang w:bidi="fa-IR"/>
        </w:rPr>
        <w:t>صورت حکم کلی تلقی نمی شود و با عوض شدن شرایط حکم اوّلی تنباکو به جای خود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ولایی و سلطانی پیامبر را می توان در دستورات جهادی آن حضرت دریافت کرد، که در شرایط خاصی صادر شده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توجه به آنچه در باره تمایز احکام شرعی از احکام ولایی گفته شد می توان درباره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قضاوت نمود</w:t>
      </w:r>
      <w:r>
        <w:rPr>
          <w:rFonts w:eastAsia="IRNazanin" w:cs="IRNazanin"/>
          <w:color w:val="111111"/>
          <w:sz w:val="28"/>
          <w:szCs w:val="28"/>
          <w:rtl w:val="true"/>
          <w:lang w:bidi="fa-IR"/>
        </w:rPr>
        <w:t>.</w:t>
      </w:r>
    </w:p>
    <w:p>
      <w:pPr>
        <w:pStyle w:val="Heading3"/>
        <w:numPr>
          <w:ilvl w:val="2"/>
          <w:numId w:val="1"/>
        </w:numPr>
        <w:rPr/>
      </w:pPr>
      <w:bookmarkStart w:id="19" w:name="__RefHeading___Toc1391285_237004111"/>
      <w:bookmarkStart w:id="20" w:name="_Toc7"/>
      <w:bookmarkEnd w:id="19"/>
      <w:r>
        <w:rPr/>
        <w:t>3</w:t>
      </w:r>
      <w:r>
        <w:rPr>
          <w:rtl w:val="true"/>
        </w:rPr>
        <w:t xml:space="preserve">. </w:t>
      </w:r>
      <w:r>
        <w:rPr>
          <w:rtl w:val="true"/>
        </w:rPr>
        <w:t>مکتوب پیامبر اسلام در انواع دیه</w:t>
      </w:r>
      <w:bookmarkEnd w:id="20"/>
    </w:p>
    <w:p>
      <w:pPr>
        <w:pStyle w:val="BookText"/>
        <w:rPr/>
      </w:pPr>
      <w:r>
        <w:rPr>
          <w:rFonts w:ascii="IRNazanin" w:hAnsi="IRNazanin" w:eastAsia="IRNazanin"/>
          <w:color w:val="111111"/>
          <w:sz w:val="28"/>
          <w:sz w:val="28"/>
          <w:szCs w:val="28"/>
          <w:rtl w:val="true"/>
          <w:lang w:bidi="fa-IR"/>
        </w:rPr>
        <w:t>پس از انتشار اسلام در سرزمین شبه جزیره و درخواست حکم دیه، رسول گرامی ضمن نامه ای که به املای آن حضرت، و نگارش یارانش بود، اقدام به بیان احکام متنوع و گسترده دیه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مقدمه کوتاه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فی النفس الدیة مائة 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دیه قتل نفس صد شتر است، سپس به بیان دیه بینی، و زبان و آلت مرد، و کمر و دو چشم، یک پا و بخشی از جراحات وارد بر سر پرداخته و در پایان حدیث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الرجل یُقتل بالمرأة وعلی أهل الذهب ألف دینار، وفی الید الواحدة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در برابر کشتن زن، قصاص می شود، کسانی که از طلا برخوردارند، دیه در این مورد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 جنایت بر یک</w:t>
      </w:r>
    </w:p>
    <w:p>
      <w:pPr>
        <w:pStyle w:val="BookText"/>
        <w:rPr/>
      </w:pPr>
      <w:r>
        <w:rPr>
          <w:rFonts w:ascii="IRNazanin" w:hAnsi="IRNazanin" w:eastAsia="IRNazanin"/>
          <w:color w:val="111111"/>
          <w:sz w:val="28"/>
          <w:sz w:val="28"/>
          <w:szCs w:val="28"/>
          <w:rtl w:val="true"/>
          <w:lang w:bidi="fa-IR"/>
        </w:rPr>
        <w:t>دست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یاد شده را نسائی در سنن نسائی</w:t>
      </w:r>
      <w:r>
        <w:rPr>
          <w:rStyle w:val="FootnoteAnchor"/>
          <w:rtl w:val="true"/>
        </w:rPr>
        <w:footnoteReference w:id="11"/>
      </w:r>
      <w:r>
        <w:rPr>
          <w:rFonts w:ascii="IRNazanin" w:hAnsi="IRNazanin" w:eastAsia="IRNazanin"/>
          <w:color w:val="111111"/>
          <w:sz w:val="28"/>
          <w:sz w:val="28"/>
          <w:szCs w:val="28"/>
          <w:rtl w:val="true"/>
          <w:lang w:bidi="fa-IR"/>
        </w:rPr>
        <w:t>نقل نموده و ابن حجر آن را در تلخیص</w:t>
      </w:r>
      <w:r>
        <w:rPr>
          <w:rStyle w:val="FootnoteAnchor"/>
          <w:rtl w:val="true"/>
        </w:rPr>
        <w:footnoteReference w:id="12"/>
      </w:r>
      <w:r>
        <w:rPr>
          <w:rFonts w:ascii="IRNazanin" w:hAnsi="IRNazanin" w:eastAsia="IRNazanin"/>
          <w:color w:val="111111"/>
          <w:sz w:val="28"/>
          <w:sz w:val="28"/>
          <w:szCs w:val="28"/>
          <w:rtl w:val="true"/>
          <w:lang w:bidi="fa-IR"/>
        </w:rPr>
        <w:t>آورده و نقادان علم حدیث به تصحیح سند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مضمون حدیث و تشقیق شقوق و بیان اقسام دیه از دیه نفس گرفته تا دیه اعضاء، و جراحات وارده بر سر، حاکی است که حضرتش در مقام بیان حکم الهی مستمر است نه حکم ولایی موقت، و لذا فقیهان اسلام همگان آن را حکم الهی تلقی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دقت این جا است که تعیین مقدار دیه از نظر دینار طبق این حدیث به وسیله خود حضرت رسول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برخی از روایات به امیرمؤمنان نسبت داده شده است</w:t>
      </w:r>
      <w:r>
        <w:rPr>
          <w:rStyle w:val="FootnoteAnchor"/>
          <w:rtl w:val="true"/>
        </w:rPr>
        <w:footnoteReference w:id="13"/>
      </w:r>
      <w:r>
        <w:rPr>
          <w:rFonts w:ascii="IRNazanin" w:hAnsi="IRNazanin" w:eastAsia="IRNazanin"/>
          <w:color w:val="111111"/>
          <w:sz w:val="28"/>
          <w:sz w:val="28"/>
          <w:szCs w:val="28"/>
          <w:rtl w:val="true"/>
          <w:lang w:bidi="fa-IR"/>
        </w:rPr>
        <w:t>، مقصود جنبه عملی آن حضرت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مکتوب آمده است و محدثان اهل سنت نقل کرده اند، در احادیث ما نیز وارد شده که بعداً به آن اشاره خواهد شد و حاکی از یک نوع اتفاق و اجماع در مقدار دیه است</w:t>
      </w:r>
      <w:r>
        <w:rPr>
          <w:rFonts w:eastAsia="IRNazanin" w:cs="IRNazanin"/>
          <w:color w:val="111111"/>
          <w:sz w:val="28"/>
          <w:szCs w:val="28"/>
          <w:rtl w:val="true"/>
          <w:lang w:bidi="fa-IR"/>
        </w:rPr>
        <w:t>.</w:t>
      </w:r>
      <w:bookmarkStart w:id="21" w:name="pg6225_41990"/>
    </w:p>
    <w:p>
      <w:pPr>
        <w:pStyle w:val="BookText"/>
        <w:rPr/>
      </w:pPr>
      <w:bookmarkEnd w:id="21"/>
      <w:r>
        <w:rPr>
          <w:rFonts w:ascii="IRNazanin" w:hAnsi="IRNazanin" w:eastAsia="IRNazanin"/>
          <w:color w:val="111111"/>
          <w:sz w:val="28"/>
          <w:sz w:val="28"/>
          <w:szCs w:val="28"/>
          <w:rtl w:val="true"/>
          <w:lang w:bidi="fa-IR"/>
        </w:rPr>
        <w:t>اکنون به نقد دلایل فرضه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چشم گیر صاحب فرضیه مطلب یاد شده در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در جاهلیت صد شتر بود فأقرها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آن را تثبیت کرد</w:t>
      </w:r>
      <w:r>
        <w:rPr>
          <w:rFonts w:eastAsia="IRNazanin" w:cs="IRNazanin"/>
          <w:color w:val="111111"/>
          <w:sz w:val="28"/>
          <w:szCs w:val="28"/>
          <w:rtl w:val="true"/>
          <w:lang w:bidi="fa-IR"/>
        </w:rPr>
        <w:t>».</w:t>
      </w:r>
    </w:p>
    <w:p>
      <w:pPr>
        <w:pStyle w:val="Heading3"/>
        <w:numPr>
          <w:ilvl w:val="2"/>
          <w:numId w:val="1"/>
        </w:numPr>
        <w:rPr/>
      </w:pPr>
      <w:bookmarkStart w:id="22" w:name="__RefHeading___Toc1391287_237004111"/>
      <w:bookmarkStart w:id="23" w:name="_Toc8"/>
      <w:bookmarkEnd w:id="22"/>
      <w:r>
        <w:rPr>
          <w:rtl w:val="true"/>
        </w:rPr>
        <w:t>نقد</w:t>
      </w:r>
      <w:r>
        <w:rPr>
          <w:rtl w:val="true"/>
        </w:rPr>
        <w:t>:</w:t>
      </w:r>
      <w:bookmarkEnd w:id="2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کلام معصوم نیست</w:t>
      </w:r>
    </w:p>
    <w:p>
      <w:pPr>
        <w:pStyle w:val="BookText"/>
        <w:rPr/>
      </w:pPr>
      <w:r>
        <w:rPr>
          <w:rFonts w:ascii="IRNazanin" w:hAnsi="IRNazanin" w:eastAsia="IRNazanin"/>
          <w:color w:val="111111"/>
          <w:sz w:val="28"/>
          <w:sz w:val="28"/>
          <w:szCs w:val="28"/>
          <w:rtl w:val="true"/>
          <w:lang w:bidi="fa-IR"/>
        </w:rPr>
        <w:t>یادآور می شویم که واژه های مزبور گفتار معصوم نیست تا بر آن تکیه شود بلکه گفتار ابن ابی 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ابن ابی لیلی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الدیة فی الجاهلیة مائة من الإبل فأقرها رسول الله ثم انّه فرض علی أهل البقر مائتی بقرة وعلی أهل الشاة ألف شاة 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عبدالرحمن بن حجاج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از ابن ابی لیلی شنیده بودم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درباره گفتار او سکوت کرد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وقیمة الدینار عشرة دراهم</w:t>
      </w:r>
      <w:r>
        <w:rPr>
          <w:rStyle w:val="FootnoteAnchor"/>
          <w:rtl w:val="true"/>
        </w:rPr>
        <w:footnoteReference w:id="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هزار دینار و هر دینار ده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ابی 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علی أهل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 علی أهل الشاة ألف شاة 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کلام ابن ابی لیلی است چگونه می توان با جمله هایی که در گفتار یک فقیه آمده است بر یک مسأله بنیادی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صدوق آن را از وصایای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حاکی است که خدا سنتِ عبدالمطلب را تصویب کرد،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 عبد المطلب سنّ فی الجاهلیة خمس سنن اجراه الله ذلک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فی القتل مائة من الإبل فأجری الله ذلک فی الإسلام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پنج قانون در جاهلیت تصویب کرد، خدا همه را به اجراء گذاشت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در قتل نفس صد شتر را تصویب کرد و خداوند آن را در اسلام هم اجراء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فرضیه، نادیده گرفتن صدها حدیث در ابواب دیه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روایات چهارده گانه ای که فقط در وسائل الشیعه در</w:t>
      </w:r>
      <w:bookmarkStart w:id="24" w:name="pg6225_41992"/>
    </w:p>
    <w:p>
      <w:pPr>
        <w:pStyle w:val="BookText"/>
        <w:rPr/>
      </w:pPr>
      <w:bookmarkEnd w:id="24"/>
      <w:r>
        <w:rPr>
          <w:rFonts w:ascii="IRNazanin" w:hAnsi="IRNazanin" w:eastAsia="IRNazanin"/>
          <w:color w:val="111111"/>
          <w:sz w:val="28"/>
          <w:sz w:val="28"/>
          <w:szCs w:val="28"/>
          <w:rtl w:val="true"/>
          <w:lang w:bidi="fa-IR"/>
        </w:rPr>
        <w:t>مورد مقادیر دیه انسان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آنچه در مستدرک الوسائل یا جامع احادیث الشیعه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حکم ولایی و موقت بدانیم در این صورت باید صدها حدیث دیگر را که در وسائل الشیعه در مورد دیه اعضاء و دیات منافع و دیات شجاج و جراح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همه را دیه نفس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ولایی و قضایی و موقت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روایات انبوه خداحافظی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فقیه ملتزم به اصول استنباط و تسلیم در برابر احکام الهی چنین جرأت پیدا می کند که همه را کنار بگذارد و بعداً بنشیند و روی مصالح و مفاسد تنگ نظرانه انسان غیر معصوم، قانون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فقهای اسلام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همین روایات تکیه کرده اند و فتوا داده اند و هرگز در اذهان آنان این مطلب نبود که شاید اینها احکام موقت و ولایی باشند</w:t>
      </w:r>
      <w:r>
        <w:rPr>
          <w:rFonts w:eastAsia="IRNazanin" w:cs="IRNazanin"/>
          <w:color w:val="111111"/>
          <w:sz w:val="28"/>
          <w:szCs w:val="28"/>
          <w:rtl w:val="true"/>
          <w:lang w:bidi="fa-IR"/>
        </w:rPr>
        <w:t>.</w:t>
      </w:r>
    </w:p>
    <w:p>
      <w:pPr>
        <w:pStyle w:val="Heading3"/>
        <w:numPr>
          <w:ilvl w:val="2"/>
          <w:numId w:val="1"/>
        </w:numPr>
        <w:rPr/>
      </w:pPr>
      <w:bookmarkStart w:id="25" w:name="__RefHeading___Toc1391289_237004111"/>
      <w:bookmarkStart w:id="26" w:name="_Toc9"/>
      <w:bookmarkEnd w:id="25"/>
      <w:r>
        <w:rPr>
          <w:rtl w:val="true"/>
        </w:rPr>
        <w:t>ورود این واژه ها در احکام مسلّم الهی</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مستدل ورود کلمه امر، جعل و امثال آن در مورد دیه سگ و غیره در برخی از روایات معصومین است</w:t>
      </w:r>
      <w:r>
        <w:rPr>
          <w:rStyle w:val="FootnoteAnchor"/>
          <w:rtl w:val="true"/>
        </w:rPr>
        <w:footnoteReference w:id="16"/>
      </w:r>
      <w:r>
        <w:rPr>
          <w:rFonts w:ascii="IRNazanin" w:hAnsi="IRNazanin" w:eastAsia="IRNazanin"/>
          <w:color w:val="111111"/>
          <w:sz w:val="28"/>
          <w:sz w:val="28"/>
          <w:szCs w:val="28"/>
          <w:rtl w:val="true"/>
          <w:lang w:bidi="fa-IR"/>
        </w:rPr>
        <w:t>، در این جا</w:t>
      </w:r>
    </w:p>
    <w:p>
      <w:pPr>
        <w:pStyle w:val="BookText"/>
        <w:rPr/>
      </w:pPr>
      <w:r>
        <w:rPr>
          <w:rFonts w:ascii="IRNazanin" w:hAnsi="IRNazanin" w:eastAsia="IRNazanin"/>
          <w:color w:val="111111"/>
          <w:sz w:val="28"/>
          <w:sz w:val="28"/>
          <w:szCs w:val="28"/>
          <w:rtl w:val="true"/>
          <w:lang w:bidi="fa-IR"/>
        </w:rPr>
        <w:t>نظر ایشان را به دو مطلب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تعبیرها در احکام مسلم اسلامی نیز آمده است، آیا همه را باید حکم موقت بدانیم، اینک متن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فرض الصلاة رکعتین رکعتین یکون المجموع عشر رکعات فأضاف رسول الله إلی الرکعتین رکعتین وإلی المغرب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نمازها دو رکعت بود، و مجموع به ده رکعت می رسید، پیامبر بر چهار نماز دو رکعت و بر نماز مغرب یک رکعت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فرض فی السنة صوم شهر رمضان وسنّ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وثلاثة 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ماه رمضان الزامی بود، پیامبر روزه ماه شعبان و سه روز از اوّل هر ماه به صورت مستحب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حرّم الخمر بعینها وحرم رسول الله المسکر من کلّ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شراب را تحریم کرد، پیامبر هر مایع مست کننده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فرض الفرائض فی الإرث ولم یقسم للجد شیئاً ولکن رسول الله اطعمه السدس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ارث برای جد سهمی معین نکرد، پیامبر یک ششم</w:t>
      </w:r>
    </w:p>
    <w:p>
      <w:pPr>
        <w:pStyle w:val="BookText"/>
        <w:rPr/>
      </w:pPr>
      <w:r>
        <w:rPr>
          <w:rFonts w:ascii="IRNazanin" w:hAnsi="IRNazanin" w:eastAsia="IRNazanin"/>
          <w:color w:val="111111"/>
          <w:sz w:val="28"/>
          <w:sz w:val="28"/>
          <w:szCs w:val="28"/>
          <w:rtl w:val="true"/>
          <w:lang w:bidi="fa-IR"/>
        </w:rPr>
        <w:t>برای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 و فرض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حکم ولایی و موقت باشد پس باید با این احکام نورانی اسلام خداحافظی کرد و نماز را دو رکعت خواند و گفت خدا فقط خمر را تحریم کرد نه دیگر مسکرات را و به جدّ چیزی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علاقمندانی که گمان می کنند بر کرسی نوآوری نشسته اند یادآور می شوم اجتهاد و استنباط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باب انسداد باب 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الاجتهاد فانّه أشدّ من طول الجهاد، بنابراین نباید با یک سطحی نگری و مجرد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فرضیه ای را مطرح کرد و ذهن جوانان را نسبت به احکام نورانی اسلام متزلزل ساخت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نظر صاحب فرضیه را به روایتی که صدوق در فقیه و کلینی در کافی و یحیی بن سعید حلی در جامع الشرایع با سند بسیار عالی نقل کرده اند،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معروف به روایت ظریف در دیه است، امیرمؤمنان در منشوری بسیار مفصل و گسترده مقدار دیه اعضاء و منافع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این منشور را در کنار نامه ای که به مالک نوشته قرار داد، آنگاه درباره دانش امام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منشور در کتاب جامع</w:t>
      </w:r>
    </w:p>
    <w:p>
      <w:pPr>
        <w:pStyle w:val="BookText"/>
        <w:rPr/>
      </w:pPr>
      <w:r>
        <w:rPr>
          <w:rFonts w:ascii="IRNazanin" w:hAnsi="IRNazanin" w:eastAsia="IRNazanin"/>
          <w:color w:val="111111"/>
          <w:sz w:val="28"/>
          <w:sz w:val="28"/>
          <w:szCs w:val="28"/>
          <w:rtl w:val="true"/>
          <w:lang w:bidi="fa-IR"/>
        </w:rPr>
        <w:t>الشرائع هفده صفحه را دربرگرفته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این همه موشکافی و گسترده گویی را احکام موقت دانست و آنگاه فقه وضعی و خرد بشری را، جایگزین وحی و فقه اسلامی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پیامدهای سوء تک نگری به قانون دیه</w:t>
      </w:r>
    </w:p>
    <w:p>
      <w:pPr>
        <w:pStyle w:val="BookText"/>
        <w:rPr/>
      </w:pPr>
      <w:r>
        <w:rPr>
          <w:rFonts w:ascii="IRNazanin" w:hAnsi="IRNazanin" w:eastAsia="IRNazanin"/>
          <w:color w:val="111111"/>
          <w:sz w:val="28"/>
          <w:sz w:val="28"/>
          <w:szCs w:val="28"/>
          <w:rtl w:val="true"/>
          <w:lang w:bidi="fa-IR"/>
        </w:rPr>
        <w:t>پیامدهای سوء تک نگری به قانون دیه</w:t>
      </w:r>
    </w:p>
    <w:p>
      <w:pPr>
        <w:pStyle w:val="BookText"/>
        <w:rPr/>
      </w:pPr>
      <w:r>
        <w:rPr>
          <w:rFonts w:ascii="IRNazanin" w:hAnsi="IRNazanin" w:eastAsia="IRNazanin"/>
          <w:color w:val="111111"/>
          <w:sz w:val="28"/>
          <w:sz w:val="28"/>
          <w:szCs w:val="28"/>
          <w:rtl w:val="true"/>
          <w:lang w:bidi="fa-IR"/>
        </w:rPr>
        <w:t>و راز تنصیف دیه زن</w:t>
      </w:r>
    </w:p>
    <w:p>
      <w:pPr>
        <w:pStyle w:val="BookText"/>
        <w:rPr/>
      </w:pPr>
      <w:r>
        <w:rPr>
          <w:rFonts w:ascii="IRNazanin" w:hAnsi="IRNazanin" w:eastAsia="IRNazanin"/>
          <w:color w:val="111111"/>
          <w:sz w:val="28"/>
          <w:sz w:val="28"/>
          <w:szCs w:val="28"/>
          <w:rtl w:val="true"/>
          <w:lang w:bidi="fa-IR"/>
        </w:rPr>
        <w:t>ره آورد وحی از طریق آموزگاران آسمانی، در بخش فرهنگی، اقتصادی و کیفری، یک رشته اصول به هم پیوسته است که در همدیگر تأثیر متقابل دارند، و در این مسائل، داوری موردی، به صورت ناپیوسته و جدا از همدیگر، قضاوت صحیح را همراه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 بررسی این اصل مسلم در فقه اسلامی، جدا از قوانین حاکم بر خانواده، شاید مایه شگفت زدگی برخی شود و رنگ تبعیض به خود گیرد، ولی اگر آن را همراه با دیگر قوانین حاکم بر خانواده، بررسی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تعجب برطرف شده و یک نوع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بینانه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نقد دلایل مخالف</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 پژوهشگران توصیه می 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حاکم بر خانواده یا دیگر موضوعات خودداری کنند، و از آن کاملاً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طواف دور خانه خدا، و یا سعی میان صفا و مروه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حج با احرام محرم از یکی از مواقیت ششگانه آغاز می شود و در روز دوازدهم با رمی جمرات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منظومه عبادی، تنها سراغ طواف دور خانه خدا و یا سعی بین صفا و مروه برویم، چندان تفاوتی با عمل مشرکان در عصر جاهلیت نخواهد داشت، زیرا مردم عصر جاهلی نیز دور این خانه می گشتند، و میان دو کوه سعی می کردند، لذا چه بسا افراد ناآگاه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و دیدن این منظره، مؤمن به حج رفته و شک زده برمی گردند در حالی که فریضه حج و یا عمره، حالت منظومه ای دارد و قضاوت درباره آن باید به صورت جمعی انجام گیرد نه به شیوه تکی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جمعی خواهیم دید که اعمال حج، ترسیم زندگی انسان والایی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پیوسته سر به فرمان خدا بوده و جز تسلیم و رضا چیزی بر روح و روان او حاکم نبوده است، چه آن</w:t>
      </w:r>
      <w:bookmarkStart w:id="27" w:name="pg6225_41998"/>
    </w:p>
    <w:p>
      <w:pPr>
        <w:pStyle w:val="BookText"/>
        <w:rPr/>
      </w:pPr>
      <w:bookmarkEnd w:id="27"/>
      <w:r>
        <w:rPr>
          <w:rFonts w:ascii="IRNazanin" w:hAnsi="IRNazanin" w:eastAsia="IRNazanin"/>
          <w:color w:val="111111"/>
          <w:sz w:val="28"/>
          <w:sz w:val="28"/>
          <w:szCs w:val="28"/>
          <w:rtl w:val="true"/>
          <w:lang w:bidi="fa-IR"/>
        </w:rPr>
        <w:t>زمانی که روی منجنیق نشست تا بر آتش برافروخته پرتاب شود، و یا آنگاه که به فرمان خدا کارد به دست گرفت تا رگهای فرزند دلبند خود را بزند، شناخت چنین انسان سراسر رضا و اخلاص،</w:t>
      </w:r>
    </w:p>
    <w:p>
      <w:pPr>
        <w:pStyle w:val="BookText"/>
        <w:rPr/>
      </w:pPr>
      <w:r>
        <w:rPr>
          <w:rFonts w:ascii="IRNazanin" w:hAnsi="IRNazanin" w:eastAsia="IRNazanin"/>
          <w:color w:val="111111"/>
          <w:sz w:val="28"/>
          <w:sz w:val="28"/>
          <w:szCs w:val="28"/>
          <w:rtl w:val="true"/>
          <w:lang w:bidi="fa-IR"/>
        </w:rPr>
        <w:t>که در اعمال حج مجسم است تأثیر بسزایی در روح و روان زائر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تنصیف دیه در مورد زن یک اصل مسلم اسلامی است که در طول چهارده قرن هیچ فقیه نامداری از سنی و شیعه با آن مخالفت نکرده و همگان از صمیم دل آن را پذیرفته اند و طبق آن فتوا داده اند، از آنجا که مقاله گنجایش ذکر اسامی فقیهان را ندارد فقط از دو مدرک فقهی، اتفاق و اجماع فقیهان اسلامی را نقل می کنیم</w:t>
      </w:r>
      <w:r>
        <w:rPr>
          <w:rFonts w:eastAsia="IRNazanin" w:cs="IRNazanin"/>
          <w:color w:val="111111"/>
          <w:sz w:val="28"/>
          <w:szCs w:val="28"/>
          <w:rtl w:val="true"/>
          <w:lang w:bidi="fa-IR"/>
        </w:rPr>
        <w:t>:</w:t>
      </w:r>
    </w:p>
    <w:p>
      <w:pPr>
        <w:pStyle w:val="Heading3"/>
        <w:numPr>
          <w:ilvl w:val="2"/>
          <w:numId w:val="1"/>
        </w:numPr>
        <w:rPr/>
      </w:pPr>
      <w:bookmarkStart w:id="28" w:name="__RefHeading___Toc1391291_237004111"/>
      <w:bookmarkStart w:id="29" w:name="_Toc10"/>
      <w:bookmarkEnd w:id="28"/>
      <w:r>
        <w:rPr>
          <w:rtl w:val="true"/>
        </w:rPr>
        <w:t>دیه زن و فقیهان اهل سنت</w:t>
      </w:r>
      <w:bookmarkEnd w:id="29"/>
    </w:p>
    <w:p>
      <w:pPr>
        <w:pStyle w:val="BookText"/>
        <w:rPr/>
      </w:pPr>
      <w:r>
        <w:rPr>
          <w:rFonts w:ascii="IRNazanin" w:hAnsi="IRNazanin" w:eastAsia="IRNazanin"/>
          <w:color w:val="111111"/>
          <w:sz w:val="28"/>
          <w:sz w:val="28"/>
          <w:szCs w:val="28"/>
          <w:rtl w:val="true"/>
          <w:lang w:bidi="fa-IR"/>
        </w:rPr>
        <w:t>در دانشنامه فقه اسلامی که زیر نظر فقیهان چهار مذهب تنظیم شده است چنین می 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الفقهاء إلی انّ دیة الانثی الحرة المسلمة، هی نصف دیة الذکر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انّ دیة المرأة نصف دیة الرجل لما روی معاذ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علی النصف من دیة الرجل</w:t>
      </w:r>
      <w:bookmarkStart w:id="30" w:name="pg6225_41999"/>
    </w:p>
    <w:p>
      <w:pPr>
        <w:pStyle w:val="BookText"/>
        <w:rPr/>
      </w:pPr>
      <w:bookmarkEnd w:id="30"/>
      <w:r>
        <w:rPr>
          <w:rFonts w:ascii="IRNazanin" w:hAnsi="IRNazanin" w:eastAsia="IRNazanin"/>
          <w:color w:val="111111"/>
          <w:sz w:val="28"/>
          <w:sz w:val="28"/>
          <w:szCs w:val="28"/>
          <w:rtl w:val="true"/>
          <w:lang w:bidi="fa-IR"/>
        </w:rPr>
        <w:t>ولأنّها فی الشهادة والمیراث علی النصف فکذلک</w:t>
      </w:r>
    </w:p>
    <w:p>
      <w:pPr>
        <w:pStyle w:val="BookText"/>
        <w:rPr/>
      </w:pPr>
      <w:r>
        <w:rPr>
          <w:rFonts w:ascii="IRNazanin" w:hAnsi="IRNazanin" w:eastAsia="IRNazanin"/>
          <w:color w:val="111111"/>
          <w:sz w:val="28"/>
          <w:sz w:val="28"/>
          <w:szCs w:val="28"/>
          <w:rtl w:val="true"/>
          <w:lang w:bidi="fa-IR"/>
        </w:rPr>
        <w:t>فی الدیة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 آزاد و مسلمان، نصف دیه مرد مسلمان است و بر این مطلب فقهاء اتفاق نظر دارند،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که دیه زن نیمی از دیه مرد است اجماع کرده اند، زیرا معاذ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 زیرا شهادت دو زن، نیز برابر شهادت یک مرد است، و نیز میراث زن، نصف میراث مرد می باشد</w:t>
      </w:r>
      <w:r>
        <w:rPr>
          <w:rFonts w:eastAsia="IRNazanin" w:cs="IRNazanin"/>
          <w:color w:val="111111"/>
          <w:sz w:val="28"/>
          <w:szCs w:val="28"/>
          <w:rtl w:val="true"/>
          <w:lang w:bidi="fa-IR"/>
        </w:rPr>
        <w:t>».</w:t>
      </w:r>
    </w:p>
    <w:p>
      <w:pPr>
        <w:pStyle w:val="Heading3"/>
        <w:numPr>
          <w:ilvl w:val="2"/>
          <w:numId w:val="1"/>
        </w:numPr>
        <w:rPr/>
      </w:pPr>
      <w:bookmarkStart w:id="31" w:name="__RefHeading___Toc1391293_237004111"/>
      <w:bookmarkStart w:id="32" w:name="_Toc11"/>
      <w:bookmarkEnd w:id="31"/>
      <w:r>
        <w:rPr>
          <w:rtl w:val="true"/>
        </w:rPr>
        <w:t>دیه زن و فقیهان شیعه</w:t>
      </w:r>
      <w:bookmarkEnd w:id="32"/>
    </w:p>
    <w:p>
      <w:pPr>
        <w:pStyle w:val="BookText"/>
        <w:rPr/>
      </w:pPr>
      <w:r>
        <w:rPr>
          <w:rFonts w:ascii="IRNazanin" w:hAnsi="IRNazanin" w:eastAsia="IRNazanin"/>
          <w:color w:val="111111"/>
          <w:sz w:val="28"/>
          <w:sz w:val="28"/>
          <w:szCs w:val="28"/>
          <w:rtl w:val="true"/>
          <w:lang w:bidi="fa-IR"/>
        </w:rPr>
        <w:t>فتوای فقیهان شیعه با فتوای فقهای سایر مذاهب کاملاً یکسان است و کوچکترین اختلافی وجود ندارد و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علی النصف من جمیع الأجناس</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 از همه اجناس مختلف دیه از طلا و نقره و</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فقه و فقاهت، مؤلف کتاب ارزشمند جواهر الکلام در</w:t>
      </w:r>
    </w:p>
    <w:p>
      <w:pPr>
        <w:pStyle w:val="BookText"/>
        <w:rPr/>
      </w:pPr>
      <w:r>
        <w:rPr>
          <w:rFonts w:ascii="IRNazanin" w:hAnsi="IRNazanin" w:eastAsia="IRNazanin"/>
          <w:color w:val="111111"/>
          <w:sz w:val="28"/>
          <w:sz w:val="28"/>
          <w:szCs w:val="28"/>
          <w:rtl w:val="true"/>
          <w:lang w:bidi="fa-IR"/>
        </w:rPr>
        <w:t>شرح عبارت محقق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الإجماع بقسمیه علیه وبل المحکی منهما مستفیض أو متواتر کالنصوص</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 اجماع محصل و اجماع منقول بر این حکم گواهی می دهد و بلکه هر دو اجماع به صورت متواتر و مستفیض نقل شده است، بسان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یاد شده حاکی است که این فقیه بزرگوار روایات دال بر این حکم را بسان اجماع، متواتر و یا مستفیض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اگر بخواهند از مجموع روایات آگاه شوند می توانند به آدرس یاد شده در زیر مراجعه کنند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اتفاق فقیهان عالی مقام سنی و شیعه، و روایات مستفیض و یا متواتر چگونه می توان این دلایل محکم و پابرجا را نادیده گرفت و با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علیه و أصم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اهل سنت که حتّی پایگاهی در فقه مذهب خود ندارند هماهنگ شد</w:t>
      </w:r>
      <w:r>
        <w:rPr>
          <w:rFonts w:eastAsia="IRNazanin" w:cs="IRNazanin"/>
          <w:color w:val="111111"/>
          <w:sz w:val="28"/>
          <w:szCs w:val="28"/>
          <w:rtl w:val="true"/>
          <w:lang w:bidi="fa-IR"/>
        </w:rPr>
        <w:t>.</w:t>
      </w:r>
      <w:bookmarkStart w:id="33" w:name="pg6225_42001"/>
    </w:p>
    <w:p>
      <w:pPr>
        <w:pStyle w:val="Heading3"/>
        <w:numPr>
          <w:ilvl w:val="2"/>
          <w:numId w:val="1"/>
        </w:numPr>
        <w:rPr/>
      </w:pPr>
      <w:bookmarkStart w:id="34" w:name="__RefHeading___Toc1391295_237004111"/>
      <w:bookmarkStart w:id="35" w:name="_Toc12"/>
      <w:bookmarkEnd w:id="33"/>
      <w:bookmarkEnd w:id="34"/>
      <w:r>
        <w:rPr>
          <w:rtl w:val="true"/>
        </w:rPr>
        <w:t>آیا تنصیف دیه زن اهانت به شرافت آدمی است؟</w:t>
      </w:r>
      <w:bookmarkEnd w:id="35"/>
    </w:p>
    <w:p>
      <w:pPr>
        <w:pStyle w:val="BookText"/>
        <w:rPr/>
      </w:pPr>
      <w:r>
        <w:rPr>
          <w:rFonts w:ascii="IRNazanin" w:hAnsi="IRNazanin" w:eastAsia="IRNazanin"/>
          <w:color w:val="111111"/>
          <w:sz w:val="28"/>
          <w:sz w:val="28"/>
          <w:szCs w:val="28"/>
          <w:rtl w:val="true"/>
          <w:lang w:bidi="fa-IR"/>
        </w:rPr>
        <w:t>اخیراً در نشریه فقه پژوهی مسأله تنصیف دیه زن به چالش کشیده شده و درباره آن چنین داوری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تنصیف دیه توهین به شرافت آدمی و اجتهاد جمهوری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تنصیف دیه بر خلاف نص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جمهوری اسلامی ایران برای زنان حق رأی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نیمی از وکلای دادگستری ایران بانوان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بگوییم چگونه دیه زن نصف دیه مرد است، این واقعاً با کدام منطق تطبیق می کند</w:t>
      </w:r>
      <w:r>
        <w:rPr>
          <w:rFonts w:eastAsia="IRNazanin" w:cs="IRNazanin"/>
          <w:color w:val="111111"/>
          <w:sz w:val="28"/>
          <w:szCs w:val="28"/>
          <w:rtl w:val="true"/>
          <w:lang w:bidi="fa-IR"/>
        </w:rPr>
        <w:t>!</w:t>
      </w:r>
    </w:p>
    <w:p>
      <w:pPr>
        <w:pStyle w:val="Heading3"/>
        <w:numPr>
          <w:ilvl w:val="2"/>
          <w:numId w:val="1"/>
        </w:numPr>
        <w:rPr/>
      </w:pPr>
      <w:bookmarkStart w:id="36" w:name="__RefHeading___Toc1391297_237004111"/>
      <w:bookmarkStart w:id="37" w:name="_Toc13"/>
      <w:bookmarkEnd w:id="36"/>
      <w:r>
        <w:rPr>
          <w:rtl w:val="true"/>
        </w:rPr>
        <w:t>ارزیابی دلیل اوّل</w:t>
      </w:r>
      <w:bookmarkEnd w:id="37"/>
    </w:p>
    <w:p>
      <w:pPr>
        <w:pStyle w:val="BookText"/>
        <w:rPr/>
      </w:pPr>
      <w:r>
        <w:rPr>
          <w:rFonts w:ascii="IRNazanin" w:hAnsi="IRNazanin" w:eastAsia="IRNazanin"/>
          <w:color w:val="111111"/>
          <w:sz w:val="28"/>
          <w:sz w:val="28"/>
          <w:szCs w:val="28"/>
          <w:rtl w:val="true"/>
          <w:lang w:bidi="fa-IR"/>
        </w:rPr>
        <w:t>اندیشه اهانت به شرافت زن، حاکی از تک نگری صاحب نظریه است، و چنان که گفته شد اگر این اصل را همراه با دیگر اصول حاکم بر خانواده بررسی می کرد طبعاً تنصیف دیه را اهانت به شرافت زن تلقی نمی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تصور کرده که زن و مرد، هر دو کالایی است که در مقام</w:t>
      </w:r>
    </w:p>
    <w:p>
      <w:pPr>
        <w:pStyle w:val="BookText"/>
        <w:rPr/>
      </w:pPr>
      <w:r>
        <w:rPr>
          <w:rFonts w:ascii="IRNazanin" w:hAnsi="IRNazanin" w:eastAsia="IRNazanin"/>
          <w:color w:val="111111"/>
          <w:sz w:val="28"/>
          <w:sz w:val="28"/>
          <w:szCs w:val="28"/>
          <w:rtl w:val="true"/>
          <w:lang w:bidi="fa-IR"/>
        </w:rPr>
        <w:t>ارزش گذاری باید ارزش یکسان داشته باشند و ارزش گذاری به صورت تنصیف، نوعی اهانت به او است، در حالی که زن و مرد از نظر انسانیت یکسان می باشند، و آیات قرآنی و احادیث اسلامی بر این گواهی می دهند، و حتی سوره کاملی به نام سوره نساء درباره او نازل شده</w:t>
      </w:r>
    </w:p>
    <w:p>
      <w:pPr>
        <w:pStyle w:val="BookText"/>
        <w:rPr/>
      </w:pPr>
      <w:r>
        <w:rPr>
          <w:rFonts w:ascii="IRNazanin" w:hAnsi="IRNazanin" w:eastAsia="IRNazanin"/>
          <w:color w:val="111111"/>
          <w:sz w:val="28"/>
          <w:sz w:val="28"/>
          <w:szCs w:val="28"/>
          <w:rtl w:val="true"/>
          <w:lang w:bidi="fa-IR"/>
        </w:rPr>
        <w:t>است، بنابراین دیه، بیانگر ارزش کالای از دست رفته نیست، بلکه جبرانگر خسارت اقتصادی است که بر خانواده وارد شده است و در نظام اسلامی هزینه زندگی بر دوش شوهر سنگینی می کند، و با از بین رفتن او، خسارت اقتصادی بیشتری بر زندگی خانواده وارد می شود، تا با از رفتن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مرد برون سالار است و باید تلاش کند تا وسیله زندگانی خانواده را فراهم سازد و زن، خانه سالار است که باید به تنظیم امور داخلی بپردازد تا با هماهنگی این دو نیرو، صمیمت بر خانواده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با مرگ و یا قتل کدام یکی از این دو خسارت اقتصادی بیشتری بر بازماندگان وارد می شود تا با تشریع مقدار دیه، این خسارت به گونه ای جبران گردد؟ ناگفته پیداست با از بین رفتن مرد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قوانین حاکم بر خانواده به صورت یک مجموعه و منظومه مورد مطالعه قرار گیرد، نه به صورت فردی و</w:t>
      </w:r>
    </w:p>
    <w:p>
      <w:pPr>
        <w:pStyle w:val="BookText"/>
        <w:rPr/>
      </w:pPr>
      <w:r>
        <w:rPr>
          <w:rFonts w:ascii="IRNazanin" w:hAnsi="IRNazanin" w:eastAsia="IRNazanin"/>
          <w:color w:val="111111"/>
          <w:sz w:val="28"/>
          <w:sz w:val="28"/>
          <w:szCs w:val="28"/>
          <w:rtl w:val="true"/>
          <w:lang w:bidi="fa-IR"/>
        </w:rPr>
        <w:t>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تنصیف دیه در مورد زن، مایه تحقیر است، پس دیگر احکام نورانی قرانی را که پا برجا است و منسوخ نیست چگونه توجیه می کنید زیرا همین امر تنصیف در مورد ارث زن و شهادت او نیز حاکم است، آنجا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مرد دو برابر سهم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مرد از همسر خود در صورت نبودن فرزند برای همسر، نصف و در غیر این صورت ربع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ارثیه زن در صورت نبودن فرزند برای شوهر، ربع و در غیر این صورت یک هشتم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دو زن به جای یک مرد پذیرفته می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فقه اسلامی تفاوت های فراوانی میان احکام زن و مرد هست که در این مورد، رساله ها نوشته و منتشر شده است، اختلاف در احکام، با توجه به دیگر احکام حاکم بر خانواده، کاملاً منطقی بوده و هرگز جنبه تبعیضی ندارد، بلکه</w:t>
      </w:r>
      <w:bookmarkStart w:id="38" w:name="pg6225_42004"/>
    </w:p>
    <w:p>
      <w:pPr>
        <w:pStyle w:val="BookText"/>
        <w:rPr/>
      </w:pPr>
      <w:bookmarkEnd w:id="38"/>
      <w:r>
        <w:rPr>
          <w:rFonts w:ascii="IRNazanin" w:hAnsi="IRNazanin" w:eastAsia="IRNazanin"/>
          <w:color w:val="111111"/>
          <w:sz w:val="28"/>
          <w:sz w:val="28"/>
          <w:szCs w:val="28"/>
          <w:rtl w:val="true"/>
          <w:lang w:bidi="fa-IR"/>
        </w:rPr>
        <w:t>یک قضاوت کاملاً منطقی است</w:t>
      </w:r>
      <w:r>
        <w:rPr>
          <w:rFonts w:eastAsia="IRNazanin" w:cs="IRNazanin"/>
          <w:color w:val="111111"/>
          <w:sz w:val="28"/>
          <w:szCs w:val="28"/>
          <w:rtl w:val="true"/>
          <w:lang w:bidi="fa-IR"/>
        </w:rPr>
        <w:t>.</w:t>
      </w:r>
    </w:p>
    <w:p>
      <w:pPr>
        <w:pStyle w:val="Heading3"/>
        <w:numPr>
          <w:ilvl w:val="2"/>
          <w:numId w:val="1"/>
        </w:numPr>
        <w:rPr/>
      </w:pPr>
      <w:bookmarkStart w:id="39" w:name="__RefHeading___Toc1391299_237004111"/>
      <w:bookmarkStart w:id="40" w:name="_Toc14"/>
      <w:bookmarkEnd w:id="39"/>
      <w:r>
        <w:rPr>
          <w:rtl w:val="true"/>
        </w:rPr>
        <w:t>شیوه زندگی غربی ملاک احکام اسلامی نیست</w:t>
      </w:r>
      <w:bookmarkEnd w:id="40"/>
    </w:p>
    <w:p>
      <w:pPr>
        <w:pStyle w:val="BookText"/>
        <w:rPr/>
      </w:pPr>
      <w:r>
        <w:rPr>
          <w:rFonts w:ascii="IRNazanin" w:hAnsi="IRNazanin" w:eastAsia="IRNazanin"/>
          <w:color w:val="111111"/>
          <w:sz w:val="28"/>
          <w:sz w:val="28"/>
          <w:szCs w:val="28"/>
          <w:rtl w:val="true"/>
          <w:lang w:bidi="fa-IR"/>
        </w:rPr>
        <w:t>در محیط غرب، زن و مرد همراه هم در خارج از خانه کار می کنند، و هزینه زندگی بر دوش هر دو سنگینی می کند، در این صورت، با از بین رفتن هر یک خسارت مساوی بر خانواده وارد می شود، ولی در محیط اسلامی زنان غالباً خانه سالار هستند، هزینه زندگی را مرد می پردازد، تربیت فرزندان و تنظیم امور داخلی که از اهمیت بالایی برخوردار است، برعهده کدبانوی خانه است، لذا به یقین خسارت ها در صورت فقدان هر یک، یکسان نیست</w:t>
      </w:r>
      <w:r>
        <w:rPr>
          <w:rFonts w:eastAsia="IRNazanin" w:cs="IRNazanin"/>
          <w:color w:val="111111"/>
          <w:sz w:val="28"/>
          <w:szCs w:val="28"/>
          <w:rtl w:val="true"/>
          <w:lang w:bidi="fa-IR"/>
        </w:rPr>
        <w:t>.</w:t>
      </w:r>
    </w:p>
    <w:p>
      <w:pPr>
        <w:pStyle w:val="Heading3"/>
        <w:numPr>
          <w:ilvl w:val="2"/>
          <w:numId w:val="1"/>
        </w:numPr>
        <w:rPr/>
      </w:pPr>
      <w:bookmarkStart w:id="41" w:name="__RefHeading___Toc1391301_237004111"/>
      <w:bookmarkStart w:id="42" w:name="_Toc15"/>
      <w:bookmarkEnd w:id="41"/>
      <w:r>
        <w:rPr>
          <w:rtl w:val="true"/>
        </w:rPr>
        <w:t>نقد دلیل دوم</w:t>
      </w:r>
      <w:bookmarkEnd w:id="42"/>
    </w:p>
    <w:p>
      <w:pPr>
        <w:pStyle w:val="BookText"/>
        <w:rPr/>
      </w:pPr>
      <w:r>
        <w:rPr>
          <w:rFonts w:ascii="IRNazanin" w:hAnsi="IRNazanin" w:eastAsia="IRNazanin"/>
          <w:color w:val="111111"/>
          <w:sz w:val="28"/>
          <w:sz w:val="28"/>
          <w:szCs w:val="28"/>
          <w:rtl w:val="true"/>
          <w:lang w:bidi="fa-IR"/>
        </w:rPr>
        <w:t>در این جا تحلیل نخستین دلیل صاحب نظریه به پایان رسید، اکنون به تحلیل دلیل دوم ایشان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تنصیف دیه بر خلاف نص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اینک ما متن هر دو اصل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هر قوم و قبیله ای از حقوق مساوی برخوردارند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ملّت اعم از زن و مرد یکسان در حمایت</w:t>
      </w:r>
      <w:bookmarkStart w:id="43" w:name="pg6225_42005"/>
    </w:p>
    <w:p>
      <w:pPr>
        <w:pStyle w:val="BookText"/>
        <w:rPr/>
      </w:pPr>
      <w:bookmarkEnd w:id="43"/>
      <w:r>
        <w:rPr>
          <w:rFonts w:ascii="IRNazanin" w:hAnsi="IRNazanin" w:eastAsia="IRNazanin"/>
          <w:color w:val="111111"/>
          <w:sz w:val="28"/>
          <w:sz w:val="28"/>
          <w:szCs w:val="28"/>
          <w:rtl w:val="true"/>
          <w:lang w:bidi="fa-IR"/>
        </w:rPr>
        <w:t>قانون قرار دارند و از همه حقوق انسانی، سیاسی، اقتصادی، اجتماعی، فرهنگی با رعایت موازین اسلامی برخوردارند</w:t>
      </w:r>
      <w:r>
        <w:rPr>
          <w:rFonts w:eastAsia="IRNazanin" w:cs="IRNazanin"/>
          <w:color w:val="111111"/>
          <w:sz w:val="28"/>
          <w:szCs w:val="28"/>
          <w:rtl w:val="true"/>
          <w:lang w:bidi="fa-IR"/>
        </w:rPr>
        <w:t>.</w:t>
      </w:r>
    </w:p>
    <w:p>
      <w:pPr>
        <w:pStyle w:val="Heading3"/>
        <w:numPr>
          <w:ilvl w:val="2"/>
          <w:numId w:val="1"/>
        </w:numPr>
        <w:rPr/>
      </w:pPr>
      <w:bookmarkStart w:id="44" w:name="__RefHeading___Toc1391303_237004111"/>
      <w:bookmarkStart w:id="45" w:name="_Toc16"/>
      <w:bookmarkEnd w:id="44"/>
      <w:r>
        <w:rPr>
          <w:rtl w:val="true"/>
        </w:rPr>
        <w:t>تحلیل هر دو اصل</w:t>
      </w:r>
      <w:bookmarkEnd w:id="45"/>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مساوات همه اقوام و قبایل است نه زن و مرد، از آنجا که جمعیت ایران را اقوام مختلف تشکیل می دهد اصل مزبور بر یکسان بودن همه اقوام تصریح می کند، یعنی فارس و ترک، عرب و کرد همگی حقوق یکسان دارند و ارتباطی به تساوی حقوق زن و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تساوی در همه حقوق را مقید به رعایت موازین اسلامی می نماید و تساوی زن و مرد در دیه بر خلاف موازین اسلامی است بلکه حتی بر خلاف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و مقررات مدنی، جزائی، مالی، اقتصادی، فرهنگی، نظامی، سیاسی و غیر اینها باید بر 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اطلاق یا عموم همه اصول قانون اساسی و قوانین و مقررات دیگر حاکم است، و تشخیص این امر برعهده فقهای شورای نگهبان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اصل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موازین اجتهادی تفسیر کنیم به یقین اصل یاد شده در مقام بیان اصل تشریع تساوی در حقوق است نه</w:t>
      </w:r>
      <w:bookmarkStart w:id="46" w:name="pg6225_42006"/>
    </w:p>
    <w:p>
      <w:pPr>
        <w:pStyle w:val="BookText"/>
        <w:rPr/>
      </w:pPr>
      <w:bookmarkEnd w:id="46"/>
      <w:r>
        <w:rPr>
          <w:rFonts w:ascii="IRNazanin" w:hAnsi="IRNazanin" w:eastAsia="IRNazanin"/>
          <w:color w:val="111111"/>
          <w:sz w:val="28"/>
          <w:sz w:val="28"/>
          <w:szCs w:val="28"/>
          <w:rtl w:val="true"/>
          <w:lang w:bidi="fa-IR"/>
        </w:rPr>
        <w:t>خصوصیات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علما اصول در مقام بیان اصل حکم است نه جزئیات آن، بلکه جزئیات و خصوصیات را قانون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 و مرد در برابر قانون میراث مساوی هستند یعنی هر دو ارث می برند نه این که یکی ارث می برد و دیگری محروم می شود، و امّا کیفیت تقسیم ترکه برعهده قوانین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در میان وارثان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خود در خبرگان نخست در جریان این نوع قوانین و اصول بودم شهادت می دهم که مقصود از این اصل همان است که یادآور شدم</w:t>
      </w:r>
      <w:r>
        <w:rPr>
          <w:rFonts w:eastAsia="IRNazanin" w:cs="IRNazanin"/>
          <w:color w:val="111111"/>
          <w:sz w:val="28"/>
          <w:szCs w:val="28"/>
          <w:rtl w:val="true"/>
          <w:lang w:bidi="fa-IR"/>
        </w:rPr>
        <w:t>.</w:t>
      </w:r>
    </w:p>
    <w:p>
      <w:pPr>
        <w:pStyle w:val="Heading3"/>
        <w:numPr>
          <w:ilvl w:val="2"/>
          <w:numId w:val="1"/>
        </w:numPr>
        <w:rPr/>
      </w:pPr>
      <w:bookmarkStart w:id="47" w:name="__RefHeading___Toc1391305_237004111"/>
      <w:bookmarkStart w:id="48" w:name="_Toc17"/>
      <w:bookmarkEnd w:id="47"/>
      <w:r>
        <w:rPr>
          <w:rtl w:val="true"/>
        </w:rPr>
        <w:t>نقد دلیل سوم</w:t>
      </w:r>
      <w:bookmarkEnd w:id="48"/>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برای زنان حق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چه ارتباطی به تساوی زن و مرد در دیه دارد، و چه قیاس مع الفارقی است</w:t>
      </w:r>
      <w:r>
        <w:rPr>
          <w:rFonts w:eastAsia="IRNazanin" w:cs="IRNazanin"/>
          <w:color w:val="111111"/>
          <w:sz w:val="28"/>
          <w:szCs w:val="28"/>
          <w:rtl w:val="true"/>
          <w:lang w:bidi="fa-IR"/>
        </w:rPr>
        <w:t>.</w:t>
      </w:r>
    </w:p>
    <w:p>
      <w:pPr>
        <w:pStyle w:val="Heading3"/>
        <w:numPr>
          <w:ilvl w:val="2"/>
          <w:numId w:val="1"/>
        </w:numPr>
        <w:rPr/>
      </w:pPr>
      <w:bookmarkStart w:id="49" w:name="__RefHeading___Toc1391307_237004111"/>
      <w:bookmarkStart w:id="50" w:name="_Toc18"/>
      <w:bookmarkEnd w:id="49"/>
      <w:r>
        <w:rPr>
          <w:rtl w:val="true"/>
        </w:rPr>
        <w:t>دلیل چهارم نویسنده</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وکلای دادگستری ایران، بانوان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دلیل همان است که درباره دلیل سوم یادآور شدیم، شایسته است انسانی که در یک همایش علمی و فقهی سخن می گوید دلایل خود را با مدعا بسنجد</w:t>
      </w:r>
      <w:r>
        <w:rPr>
          <w:rFonts w:eastAsia="IRNazanin" w:cs="IRNazanin"/>
          <w:color w:val="111111"/>
          <w:sz w:val="28"/>
          <w:szCs w:val="28"/>
          <w:rtl w:val="true"/>
          <w:lang w:bidi="fa-IR"/>
        </w:rPr>
        <w:t>.</w:t>
      </w:r>
      <w:bookmarkStart w:id="51" w:name="pg6225_42008"/>
    </w:p>
    <w:p>
      <w:pPr>
        <w:pStyle w:val="BookText"/>
        <w:rPr/>
      </w:pPr>
      <w:bookmarkEnd w:id="51"/>
      <w:r>
        <w:rPr>
          <w:rFonts w:ascii="IRNazanin" w:hAnsi="IRNazanin" w:eastAsia="IRNazanin"/>
          <w:color w:val="111111"/>
          <w:sz w:val="28"/>
          <w:sz w:val="28"/>
          <w:szCs w:val="28"/>
          <w:rtl w:val="true"/>
          <w:lang w:bidi="fa-IR"/>
        </w:rPr>
        <w:t>دیه بر عاقله یک رسم رحمانی و انسانی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w:t>
      </w:r>
    </w:p>
    <w:p>
      <w:pPr>
        <w:pStyle w:val="BookText"/>
        <w:rPr/>
      </w:pPr>
      <w:r>
        <w:rPr>
          <w:rFonts w:ascii="IRNazanin" w:hAnsi="IRNazanin" w:eastAsia="IRNazanin"/>
          <w:color w:val="111111"/>
          <w:sz w:val="28"/>
          <w:sz w:val="28"/>
          <w:szCs w:val="28"/>
          <w:rtl w:val="true"/>
          <w:lang w:bidi="fa-IR"/>
        </w:rPr>
        <w:t>یک رسم رحمانی و انسانی است</w:t>
      </w:r>
    </w:p>
    <w:p>
      <w:pPr>
        <w:pStyle w:val="BookText"/>
        <w:rPr/>
      </w:pPr>
      <w:r>
        <w:rPr>
          <w:rFonts w:ascii="IRNazanin" w:hAnsi="IRNazanin" w:eastAsia="IRNazanin"/>
          <w:color w:val="111111"/>
          <w:sz w:val="28"/>
          <w:sz w:val="28"/>
          <w:szCs w:val="28"/>
          <w:rtl w:val="true"/>
          <w:lang w:bidi="fa-IR"/>
        </w:rPr>
        <w:t xml:space="preserve">صاحب نظریه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تنصیف دیه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دیه بر عاقله نیز، اندیشه یکسان با مسئله قبلی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 های جاهلیت می داند</w:t>
      </w:r>
      <w:r>
        <w:rPr>
          <w:rFonts w:eastAsia="IRNazanin" w:cs="IRNazanin"/>
          <w:color w:val="111111"/>
          <w:sz w:val="28"/>
          <w:szCs w:val="28"/>
          <w:rtl w:val="true"/>
          <w:lang w:bidi="fa-IR"/>
        </w:rPr>
        <w:t>»!!</w:t>
      </w:r>
    </w:p>
    <w:p>
      <w:pPr>
        <w:pStyle w:val="Heading3"/>
        <w:numPr>
          <w:ilvl w:val="2"/>
          <w:numId w:val="1"/>
        </w:numPr>
        <w:rPr/>
      </w:pPr>
      <w:bookmarkStart w:id="52" w:name="__RefHeading___Toc1391309_237004111"/>
      <w:bookmarkStart w:id="53" w:name="_Toc19"/>
      <w:bookmarkEnd w:id="52"/>
      <w:r>
        <w:rPr>
          <w:rtl w:val="true"/>
        </w:rPr>
        <w:t>نقد اندیشه</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از قوانین مجازاتی اسلام، برگرفته از عادات جاهلی است، این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 در اسلام، دیه بر عاقله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گرفته اند در حالی که میان این دو فاصله زیادی هست و دیه بر عاقله در اسلام شرایط و خصوصیاتی دارد که این دو را از هم جدا می سازد، اینک به برخی از آنها اشاره می شود</w:t>
      </w:r>
      <w:r>
        <w:rPr>
          <w:rFonts w:eastAsia="IRNazanin" w:cs="IRNazanin"/>
          <w:color w:val="111111"/>
          <w:sz w:val="28"/>
          <w:szCs w:val="28"/>
          <w:rtl w:val="true"/>
          <w:lang w:bidi="fa-IR"/>
        </w:rPr>
        <w:t>:</w:t>
      </w:r>
      <w:bookmarkStart w:id="54" w:name="pg6225_42009"/>
    </w:p>
    <w:p>
      <w:pPr>
        <w:pStyle w:val="Heading3"/>
        <w:numPr>
          <w:ilvl w:val="2"/>
          <w:numId w:val="1"/>
        </w:numPr>
        <w:rPr/>
      </w:pPr>
      <w:bookmarkStart w:id="55" w:name="__RefHeading___Toc1391311_237004111"/>
      <w:bookmarkStart w:id="56" w:name="_Toc20"/>
      <w:bookmarkEnd w:id="54"/>
      <w:bookmarkEnd w:id="55"/>
      <w:r>
        <w:rPr/>
        <w:t>1</w:t>
      </w:r>
      <w:r>
        <w:rPr>
          <w:rtl w:val="true"/>
        </w:rPr>
        <w:t xml:space="preserve">. </w:t>
      </w:r>
      <w:r>
        <w:rPr>
          <w:rtl w:val="true"/>
        </w:rPr>
        <w:t>ویژگی های دیه بر عاقله در اسلام</w:t>
      </w:r>
      <w:bookmarkEnd w:id="56"/>
    </w:p>
    <w:p>
      <w:pPr>
        <w:pStyle w:val="BookText"/>
        <w:rPr/>
      </w:pPr>
      <w:r>
        <w:rPr>
          <w:rFonts w:ascii="IRNazanin" w:hAnsi="IRNazanin" w:eastAsia="IRNazanin"/>
          <w:color w:val="111111"/>
          <w:sz w:val="28"/>
          <w:sz w:val="28"/>
          <w:szCs w:val="28"/>
          <w:rtl w:val="true"/>
          <w:lang w:bidi="fa-IR"/>
        </w:rPr>
        <w:t>در فقه اسلامی همه جا دیه بر عاقله نیست بلکه در مواردی است که ذیلاً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عمدی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خطای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از طریق بیّنه ثابت شود نه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به نفس یا اعضای بدن باشد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قتل با بینه ثابت شد ولی اولیای دم، دیه را با چیزی مصالحه کنند دیه برعهده خود جانی است نه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دیه را می پردازند که اگر کسی قاتل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 از دیه او ارث می بردند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دیه بر عاقله بسان دیگر احکام تا آنجا است که مایه عسر و حرج نباشد، در غیر این صورت عاقله محکوم به حکمی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در جاهلیت بر تمام افراد قبیله پخش می شد و چه بسا هر فردی به پرداخت یک دینار محکوم می گشت و اگر روح حکم اسلام، همان روح قبیله ای بود، اسلام باید آن را بر تمام افراد قبیله پخش کند، و همه را مکلف به پرداخت جزیی از دیه</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اسلام دیه بر خصوص عاقله است و عاقله در لسان اسلام غیر از عاقله در عصر جاهلی است و مقصود از آن در اسلام عصبه و نزدیکان قاتل از طریق پدر مانند برادر، عمو و فرزندان ذکور آنان می باشد نه دیگر بستگان و نه مجموع قبایل با تیره و تبارهای مختلف، بنابراین نباید این حکم را برگردان حکم جاهلی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دیه بر عاقله مورد اتفاق همه فقهای اسلام است و ما فقط از دو مدرک، اجماعی بودن مسئله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موسوعه فقهیه که زیر نظر فقیهان چهار مذهب تألیف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انّ الدیة إذا کان موجبها الفعل الخطأ أو شبه العمد ولم تکن أقلّ من الثلث تتحملها</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در موجبات دیه این است که به صورت خطا و یا شبه عمد انجام گیرد و کمتر از یک سوم دیه نباشد در این صورت عاقله قاتل آن را می پردازد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حکمت جعل دیه بر عاقله می پردازد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ایجابها علی العاقلة علی سبیل المواساة للقاتل والاعانة له</w:t>
      </w:r>
    </w:p>
    <w:p>
      <w:pPr>
        <w:pStyle w:val="BookText"/>
        <w:rPr/>
      </w:pPr>
      <w:r>
        <w:rPr>
          <w:rFonts w:ascii="Amiri" w:hAnsi="Amiri" w:eastAsia="Amiri" w:cs="Amiri"/>
          <w:color w:val="111111"/>
          <w:sz w:val="28"/>
          <w:sz w:val="28"/>
          <w:szCs w:val="28"/>
          <w:rtl w:val="true"/>
          <w:lang w:bidi="ar-SA"/>
        </w:rPr>
        <w:t>تخفیفاً</w:t>
      </w:r>
      <w:r>
        <w:rPr>
          <w:rStyle w:val="FootnoteAnchor"/>
          <w:rtl w:val="true"/>
        </w:rPr>
        <w:footnoteReference w:id="28"/>
      </w:r>
      <w:r>
        <w:rPr>
          <w:rFonts w:ascii="IRNazanin" w:hAnsi="IRNazanin" w:eastAsia="IRNazanin"/>
          <w:color w:val="111111"/>
          <w:sz w:val="28"/>
          <w:sz w:val="28"/>
          <w:szCs w:val="28"/>
          <w:rtl w:val="true"/>
          <w:lang w:bidi="fa-IR"/>
        </w:rPr>
        <w:t>، ایجاب آن بر عاقله یک نوع مساعدت به جانی و کم کردن بار بر دوش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نامدار شیعی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علی العاقلة فی الخطأ المحض نصاً وإجماعاً بقسیمه ولعلّه من المسلمین إلاّ من الأصم والخوارج وقد سبقهم الإجماع ولحقهم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دیه بر عاقله فقط در جنایت خطایی است و این مسئله علاوه بر روایات، مورد اجماع فقهای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قسم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مورد اجماع همه مسلمانان است، فقط فردی به نام اصم و گروه خوارج با این حکم مخالفت کردند و قبل از آنها و پس از آنها اجماع منعقد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مخالفت آنها مضر به اجماع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وسائل الشیعه روایات دیه بر عاقله را در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عاقله آورده است که علاقمندان می توانند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روایات مستفیض و یا متواتر چگونه می توان آنها را نادیده گرفت و به فقه وضعی بشری</w:t>
      </w:r>
      <w:bookmarkStart w:id="57" w:name="pg6225_42012"/>
    </w:p>
    <w:p>
      <w:pPr>
        <w:pStyle w:val="BookText"/>
        <w:rPr/>
      </w:pPr>
      <w:bookmarkEnd w:id="57"/>
      <w:r>
        <w:rPr>
          <w:rFonts w:ascii="IRNazanin" w:hAnsi="IRNazanin" w:eastAsia="IRNazanin"/>
          <w:color w:val="111111"/>
          <w:sz w:val="28"/>
          <w:sz w:val="28"/>
          <w:szCs w:val="28"/>
          <w:rtl w:val="true"/>
          <w:lang w:bidi="fa-IR"/>
        </w:rPr>
        <w:t>خطاپذیر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بر اصالت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مورد آن، قتل خطایی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شرع مقدس، دیه جنایت کودکان نابالغ نیز بر عاقله آنها است، زیرا عمد کودک نابالغ، حکم خطا دارد، و لذا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عمدی کودکان خطاء محسوب می شود، دیه آن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دیه انسان های کم خرد و ناقص العقل هر چند عمدی باشد بر عاقله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 وجود چنین احادیث مستفیض، چگونه می توان با آنها وداع کرد و حکم وضعی بشری را جایگزین حکم الهی ساخت، چیزی که چهارده قرن مورد پذیرش فقیهان بوده و بر وفق آن فتوا داده اند، باز خاطرنشان می سازیم، این نوع مساعدت بسان تمام احکام شرع محدود به این است که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3"/>
        <w:numPr>
          <w:ilvl w:val="2"/>
          <w:numId w:val="1"/>
        </w:numPr>
        <w:rPr/>
      </w:pPr>
      <w:bookmarkStart w:id="58" w:name="__RefHeading___Toc1391313_237004111"/>
      <w:bookmarkStart w:id="59" w:name="_Toc21"/>
      <w:bookmarkEnd w:id="58"/>
      <w:r>
        <w:rPr/>
        <w:t>4</w:t>
      </w:r>
      <w:r>
        <w:rPr>
          <w:rtl w:val="true"/>
        </w:rPr>
        <w:t xml:space="preserve">. </w:t>
      </w:r>
      <w:r>
        <w:rPr>
          <w:rtl w:val="true"/>
        </w:rPr>
        <w:t>دیه بر عاقله نوعی تعاون و مساعدت است</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 به عنوان یک نوع تعاون و کمک به ارحام، تشریع</w:t>
      </w:r>
    </w:p>
    <w:p>
      <w:pPr>
        <w:pStyle w:val="BookText"/>
        <w:rPr/>
      </w:pPr>
      <w:r>
        <w:rPr>
          <w:rFonts w:ascii="IRNazanin" w:hAnsi="IRNazanin" w:eastAsia="IRNazanin"/>
          <w:color w:val="111111"/>
          <w:sz w:val="28"/>
          <w:sz w:val="28"/>
          <w:szCs w:val="28"/>
          <w:rtl w:val="true"/>
          <w:lang w:bidi="fa-IR"/>
        </w:rPr>
        <w:t>شده است، از آنجا که دیه انسان، دیه سنگینی است و چه بسا فرد قادر به پرداخت آن نمی باشد، و فرض این است عمدی در کار نبوده، اسلام از طریق این قانون، خون بهای او را در میان خویشان نزدیک ارث بر، که غالباً متعددند پخش می کند تا از این راه به این فرد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قاتل نیز بر پرداخت کفاره که در سوره نساء،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مکلف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ها فراوان است و الزام جانی به پرداخت آن، چه بسا خارج از توان او باشد، حکمت الهی ایجاب کرد که آن را بر دوش عاقله بگذارد آن هم به عنوان مواسات با قاتل، آنجا که معذور باشد، قاتل تنها مکلف به پرداخت کفاره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شهید ثانی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دیه قاتل توسط عاقله، یک نوع کمک بستگان به فردی از بستگان است که نظیر آن در غیر اقارب نیز وجود دارد، مثلاً انسانی، زکات مال خود را در راه اصلاح دو مسلمان مصرف می 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نوع تعاون و دفع غرامت، مسئله ضمان جریره است که در فقه برای خود بابی دارد و حاصل آن این است که گاهی</w:t>
      </w:r>
      <w:bookmarkStart w:id="60" w:name="pg6225_42014"/>
    </w:p>
    <w:p>
      <w:pPr>
        <w:pStyle w:val="BookText"/>
        <w:rPr/>
      </w:pPr>
      <w:bookmarkEnd w:id="60"/>
      <w:r>
        <w:rPr>
          <w:rFonts w:ascii="IRNazanin" w:hAnsi="IRNazanin" w:eastAsia="IRNazanin"/>
          <w:color w:val="111111"/>
          <w:sz w:val="28"/>
          <w:sz w:val="28"/>
          <w:szCs w:val="28"/>
          <w:rtl w:val="true"/>
          <w:lang w:bidi="fa-IR"/>
        </w:rPr>
        <w:t>فردی با فرد دیگری قراردادی به این نحو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قرار می بندم که مرا یاری کنی و از من دفاع کنی و دیه مرا بپردازی، و در مقابل از من ارث ببری، و طرف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قرارداد می بندم که تو نیز مرا کمک کنی، و من تو را کمک کنم و تو دیه مرا بپردازی و من دیه تو را بپردازم، از من ارث ببری و من از تو ارث ببرم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قوانین ارث اسلامی این نوع پیمان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دو فرد مذکور در شرایط خاصی از هم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کمک به بستگان چه در شادی و چه در غم یک رسم رحمانی و انسانی است و لذا در بسیاری از استان ها، موقع ازدواج یک جوان، بستگان کمک های نقدی و جنسی می کنند و این نوع تعاون در مورد گرفتاری ها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جوان این خانواده کمک می شود و فردا به جوانهای دیگران</w:t>
      </w:r>
      <w:r>
        <w:rPr>
          <w:rFonts w:eastAsia="IRNazanin" w:cs="IRNazanin"/>
          <w:color w:val="111111"/>
          <w:sz w:val="28"/>
          <w:szCs w:val="28"/>
          <w:rtl w:val="true"/>
          <w:lang w:bidi="fa-IR"/>
        </w:rPr>
        <w:t>.</w:t>
      </w:r>
    </w:p>
    <w:p>
      <w:pPr>
        <w:pStyle w:val="Heading3"/>
        <w:numPr>
          <w:ilvl w:val="2"/>
          <w:numId w:val="1"/>
        </w:numPr>
        <w:rPr/>
      </w:pPr>
      <w:bookmarkStart w:id="61" w:name="__RefHeading___Toc1391315_237004111"/>
      <w:bookmarkStart w:id="62" w:name="_Toc22"/>
      <w:bookmarkEnd w:id="61"/>
      <w:r>
        <w:rPr>
          <w:rtl w:val="true"/>
        </w:rPr>
        <w:t>آیا دیه بر عاقله بر خلاف آیه قرآنی است؟</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حاضران در همایش از طریق دیگر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اظهار داشته اند که این حکم فقهی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تَزِرُ</w:t>
      </w:r>
    </w:p>
    <w:p>
      <w:pPr>
        <w:pStyle w:val="BookText"/>
        <w:rPr/>
      </w:pPr>
      <w:r>
        <w:rPr>
          <w:rFonts w:ascii="Amiri" w:hAnsi="Amiri" w:eastAsia="Amiri" w:cs="Amiri"/>
          <w:color w:val="111111"/>
          <w:sz w:val="28"/>
          <w:sz w:val="28"/>
          <w:szCs w:val="28"/>
          <w:rtl w:val="true"/>
          <w:lang w:bidi="ar-SA"/>
        </w:rPr>
        <w:t>وَازِرَةٌ وِزْرَ أُخْری</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استدلالی از یک نوع شتابزدگی سرچشمه گرفته بدون این که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سپس مقصود از آن در آیه را بررسی کنند، اگر این دو کار انجام می گرفت هرگز این حکم نورانی اسلام را با آیه قرآنی معارض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در لغت هر چند به معنی ثقل و سنگینی و گناه نیز آمده است امّا مقصود آن در آیه همان عقوبت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حاکی از آن است که مفاد این فقره در صحیفه های حضرت ابراهیم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است بوده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آنچه در کتب موسی نازل گردیده با خبر نشده و در کتب ابراهیم همان کسی که وظیفه خود را به طور کامل ادا کرد که هیچ کس بار گناه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فقره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بهره ای جز سعی و کوشش او نیست و این که تلاش او به زودی دیده می شود، سپس به او جزای کافی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قبل و بعد حاکی از آن است که این آیه درباره عقوبت و آثار منفی گناهان سخن می گوید و ارتباطی به این که کسی دین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عقوبت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نمی گیرد،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ماقبل سخن از اثم و گناه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یَجْتَنِبُونَ کَبَائِرَ الإِثْمِ وَالْفَوَاحِشَ</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اعمال زشت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تعاون در میان اهل یک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 شود نباید ماهیت تعاون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حکم مساعدت بستگان به فرد مبتلا به دین شایسته است کسانی که با کلام الله مجید بر اندیشه خود استدلال می کنند شرایط تفسیر را رعایت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مسائل مربوط به دیه بر عاقله گسترده تر از آن است که در</w:t>
      </w:r>
    </w:p>
    <w:p>
      <w:pPr>
        <w:pStyle w:val="BookText"/>
        <w:rPr/>
      </w:pPr>
      <w:r>
        <w:rPr>
          <w:rFonts w:ascii="IRNazanin" w:hAnsi="IRNazanin" w:eastAsia="IRNazanin"/>
          <w:color w:val="111111"/>
          <w:sz w:val="28"/>
          <w:sz w:val="28"/>
          <w:szCs w:val="28"/>
          <w:rtl w:val="true"/>
          <w:lang w:bidi="fa-IR"/>
        </w:rPr>
        <w:t xml:space="preserve">این مقاله بیان شود علاقه مندان در این مورد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الدیات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هر دو از این قلم مراجعه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ذیل این رساله، بحث گسترده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قلم می خوانید، این بحث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پاسخ پرسش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یافته است</w:t>
      </w:r>
      <w:r>
        <w:rPr>
          <w:rFonts w:eastAsia="IRNazanin" w:cs="IRNazanin"/>
          <w:color w:val="111111"/>
          <w:sz w:val="28"/>
          <w:szCs w:val="28"/>
          <w:rtl w:val="true"/>
          <w:lang w:bidi="fa-IR"/>
        </w:rPr>
        <w:t>.</w:t>
      </w:r>
      <w:bookmarkStart w:id="63" w:name="pg6225_42018"/>
    </w:p>
    <w:p>
      <w:pPr>
        <w:pStyle w:val="BookText"/>
        <w:rPr/>
      </w:pPr>
      <w:bookmarkEnd w:id="6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دیه قتل در ماه های حرام</w:t>
      </w:r>
    </w:p>
    <w:p>
      <w:pPr>
        <w:pStyle w:val="BookText"/>
        <w:rPr/>
      </w:pPr>
      <w:r>
        <w:rPr>
          <w:rFonts w:ascii="IRNazanin" w:hAnsi="IRNazanin" w:eastAsia="IRNazanin"/>
          <w:color w:val="111111"/>
          <w:sz w:val="28"/>
          <w:sz w:val="28"/>
          <w:szCs w:val="28"/>
          <w:rtl w:val="true"/>
          <w:lang w:bidi="fa-IR"/>
        </w:rPr>
        <w:t>ارزش یکسانی مکان ها و زمان ها، مانع از آن نیست که برخی از آنها از شرافت عرضی و معنوی برخوردار گردد و در نتیجه دیه قتل در آنها تغلیظ یابد، و ضمناً نقطه نظرهای مخالف بررسی شده است</w:t>
      </w:r>
      <w:r>
        <w:rPr>
          <w:rFonts w:eastAsia="IRNazanin" w:cs="IRNazanin"/>
          <w:color w:val="111111"/>
          <w:sz w:val="28"/>
          <w:szCs w:val="28"/>
          <w:rtl w:val="true"/>
          <w:lang w:bidi="fa-IR"/>
        </w:rPr>
        <w:t>.</w:t>
      </w:r>
    </w:p>
    <w:p>
      <w:pPr>
        <w:pStyle w:val="Heading3"/>
        <w:numPr>
          <w:ilvl w:val="2"/>
          <w:numId w:val="1"/>
        </w:numPr>
        <w:rPr/>
      </w:pPr>
      <w:bookmarkStart w:id="64" w:name="__RefHeading___Toc1391317_237004111"/>
      <w:bookmarkStart w:id="65" w:name="_Toc23"/>
      <w:bookmarkEnd w:id="64"/>
      <w:r>
        <w:rPr>
          <w:rtl w:val="true"/>
        </w:rPr>
        <w:t>ارزش یکسانی مکان ها</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ما در آن زندگی می کنیم روز نخست ارزش یکسانی داشت، و هیچ نقطه ای بر نقطه دیگر برتر شمرده نمی شد، زیرا همه نقاط آن مخلوق خالقِ یکتا بوده و می باشد ولی یکسان بودن ارزش ذاتی، مانع از آن نیست که برخی از نقاط آن به خاطر یک رشته پدیده ها ارزش والایی پیدا کند</w:t>
      </w:r>
      <w:r>
        <w:rPr>
          <w:rFonts w:eastAsia="IRNazanin" w:cs="IRNazanin"/>
          <w:color w:val="111111"/>
          <w:sz w:val="28"/>
          <w:szCs w:val="28"/>
          <w:rtl w:val="true"/>
          <w:lang w:bidi="fa-IR"/>
        </w:rPr>
        <w:t>.</w:t>
      </w:r>
      <w:bookmarkStart w:id="66" w:name="pg6225_42019"/>
    </w:p>
    <w:p>
      <w:pPr>
        <w:pStyle w:val="BookText"/>
        <w:rPr/>
      </w:pPr>
      <w:bookmarkEnd w:id="66"/>
      <w:r>
        <w:rPr>
          <w:rFonts w:ascii="IRNazanin" w:hAnsi="IRNazanin" w:eastAsia="IRNazanin"/>
          <w:color w:val="111111"/>
          <w:sz w:val="28"/>
          <w:sz w:val="28"/>
          <w:szCs w:val="28"/>
          <w:rtl w:val="true"/>
          <w:lang w:bidi="fa-IR"/>
        </w:rPr>
        <w:t>سرزمین مکه که مسجدالحرام در آنجا بنا شده هر چند از نظر ارزش ذاتی با دیگر سرزمین ها ظاهراً یکسان است اما به خاطر این که کعبه را که قبله اهل توحید است در دل خود جای داده است ارزش معنوی فوق العاده پیدا کرده تا آنجا که ثواب یک نماز در مسجدالحرام معادل با ثواب صد هزار نماز در دیگر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سرزمین انسان های آزاده است که برای اعتلای کلمة الله آن سرزمین را با خون خود رنگین کرده اند و از این جهت از ارزش والایی برخوردار گشته است و همچنین است برخی از نقاط زمین که بر اثر یک رشته رویدادها از شرافت عرفی و معنوی برخوردارند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7" w:name="__RefHeading___Toc1391319_237004111"/>
      <w:bookmarkStart w:id="68" w:name="_Toc24"/>
      <w:bookmarkEnd w:id="67"/>
      <w:r>
        <w:rPr>
          <w:rtl w:val="true"/>
        </w:rPr>
        <w:t>ارزش یکسانی زمان ها</w:t>
      </w:r>
      <w:bookmarkEnd w:id="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شب جز سایه زمین چیز دیگری نیست زیرا آنگاه که یک طرف زمین رو به خورشید است طرف دیگر آن تاریک است که در حقیقت سایه زمین است و شب های هر سال، بالذات ارزش یکسان دارند و هرگز نمی توان شبی را بر شب دیگر برتر شمرد ولی گاهی به خاطر یک رشته پدیده ها برخی از شب ها ارزش</w:t>
      </w:r>
    </w:p>
    <w:p>
      <w:pPr>
        <w:pStyle w:val="BookText"/>
        <w:rPr/>
      </w:pPr>
      <w:r>
        <w:rPr>
          <w:rFonts w:ascii="IRNazanin" w:hAnsi="IRNazanin" w:eastAsia="IRNazanin"/>
          <w:color w:val="111111"/>
          <w:sz w:val="28"/>
          <w:sz w:val="28"/>
          <w:szCs w:val="28"/>
          <w:rtl w:val="true"/>
          <w:lang w:bidi="fa-IR"/>
        </w:rPr>
        <w:t>فوق العاده ای پیدا می کند و لذا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ارزش به خاطر نزول قرآن در آن شب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می توان موضوع معصیت و مخالفت با امر خدا را به همین شیوه بررسی نمود، هرگاه انسانی گناهی را در چهاردیواری خانه خود انجام دهد مسلماً کیفر دارد امّا اگر همان را بیرون خانه و در برابر دیدگاه جوانان پاک انجام دهد ضررش بیشتر و کیفر آن شدیدتر است،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المعصیة إذا عمل بها العبد سرّاً لم یضرّ إلاّ عاملها، فإذا عمل بها علانیة ولم یُغیّرها بشیء اضرّت بالعامة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 کار خلافی را در پنهانی انجام دهد ضرر آن متوجه خود او می شود ولی اگر آن را آشکارا انجام دهد و از آن جلوگیری نشود بر همگان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عمل جنسی با نامحرم گناه بزرگی است ولی اگر خدا نکرده این گناه را در مکان مقدس انجام دهد مسلماً کیفر سنگینی 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مراتب شدت و ضعف گناه را رقم زد</w:t>
      </w:r>
      <w:r>
        <w:rPr>
          <w:rFonts w:eastAsia="IRNazanin" w:cs="IRNazanin"/>
          <w:color w:val="111111"/>
          <w:sz w:val="28"/>
          <w:szCs w:val="28"/>
          <w:rtl w:val="true"/>
          <w:lang w:bidi="fa-IR"/>
        </w:rPr>
        <w:t>.</w:t>
      </w:r>
      <w:bookmarkStart w:id="69" w:name="pg6225_42021"/>
    </w:p>
    <w:p>
      <w:pPr>
        <w:pStyle w:val="Heading3"/>
        <w:numPr>
          <w:ilvl w:val="2"/>
          <w:numId w:val="1"/>
        </w:numPr>
        <w:rPr/>
      </w:pPr>
      <w:bookmarkStart w:id="70" w:name="__RefHeading___Toc1391321_237004111"/>
      <w:bookmarkStart w:id="71" w:name="_Toc25"/>
      <w:bookmarkEnd w:id="69"/>
      <w:bookmarkEnd w:id="70"/>
      <w:r>
        <w:rPr>
          <w:rtl w:val="true"/>
        </w:rPr>
        <w:t>تغلیظ دیه قتل، در ماه های حرام</w:t>
      </w:r>
      <w:bookmarkEnd w:id="71"/>
    </w:p>
    <w:p>
      <w:pPr>
        <w:pStyle w:val="Heading4"/>
        <w:numPr>
          <w:ilvl w:val="3"/>
          <w:numId w:val="1"/>
        </w:numPr>
        <w:rPr/>
      </w:pPr>
      <w:bookmarkStart w:id="72" w:name="__RefHeading___Toc1391323_237004111"/>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یکی از مسائل مورد اتفاق بسیاری از فقیهان تغلیظ دیه در برخی از زمان ها و مکان ها است اینک به بیان هر دو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کارشناسی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مسئله تغلیظ دیه در ماه های حرام را مطرح کرده و به نقد آن پرداخته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 در ماه های حرام باعث تغلیظ دیه می شود و این در حقیقت از اوضاع و احوال قبیله ای عربستان سرچشمه گرفته است که آن ها در جنگ بودند</w:t>
      </w:r>
    </w:p>
    <w:p>
      <w:pPr>
        <w:pStyle w:val="BookText"/>
        <w:rPr/>
      </w:pPr>
      <w:r>
        <w:rPr>
          <w:rFonts w:ascii="IRNazanin" w:hAnsi="IRNazanin" w:eastAsia="IRNazanin"/>
          <w:color w:val="111111"/>
          <w:sz w:val="28"/>
          <w:sz w:val="28"/>
          <w:szCs w:val="28"/>
          <w:rtl w:val="true"/>
          <w:lang w:bidi="fa-IR"/>
        </w:rPr>
        <w:t>و لذا گفته اند در ماه های حج این جنگ و جدال و قتل متوقف شود در حالی که در کشوری مثل ایران از اول فروردین تا پایان اسفند خشونت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گفتار ایشان را یک خبر مشهور تشکیل می دهد که می رساند تحریم جنگ در ماه های حرام از آنِ عرب جاهلیت است در حالی که این اندیشه بر خلاف آیه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ماه نزد خدا از روزی که آسمان ها و زمین را آفرید دوازده ماه است از آن ها چهار ماهش حرام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آیین ثابت و پا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اشاره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می رساند که حرمت این ماه های حرام جزء آیین ثابت و پابرجای خدا بوده و هست و این تشریع در زمانی انجام گرفته که خدا آسمان 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پاره ای از روایات استفاده می شود که تحریم جنگ در این ماه ها علاوه بر آیین ابراهیم، در آیین یهود و مسیح و سایر شرایع آسمانی نیز بوده است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باشد که از روز نخست در همه شرایع به صورت قانون ثابت وجود داشته است، بنابراین نظریه نویسنده که اساس آن را یک خبر مشهور تشکیل می دهد،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پژوهشگران به قرآن مراجعه می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ماه های حرام همین کافی است که کسی که در ماه رمضان شراب بخورد افزون بر هشتاد تازیانه، بیست تازیانه دیگر نیز بر او زده می شود زیرا با کار خود احترام ماه رمضان را خدشه دار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عصر امیرمؤمنان در ماه رمضان شراب نوشید، امام بر او هشتاد تازیانه زد سپس او را بازداشت کرد و فردای آن روز او را خواست و بیست تازیانه دیگر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افزایش حد شراب خواری پرسید، امام در پاسخ</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لتجرّئک علی شُربِ الخَمرِ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به خاطر این است که جرأت پیدا کردی و در ماه رمضان شراب نوشیدی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حرمت واحترام فوق العاده این ماه ها کافی است که برخی از متولیان کعبه گاهی در جایگاه این ماه ها دستکاری می کردند مثلاً محرم را ماه حلال، و صفر را ماه حرام معرفی می کردند، البته این مطلب به خاطر اخذ رشوه از برخی از سران عشایر بود که جنگ در محرم به نفع آنان تمام می شد،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کردن ماه های حرام افزایش</w:t>
      </w:r>
    </w:p>
    <w:p>
      <w:pPr>
        <w:pStyle w:val="BookText"/>
        <w:rPr/>
      </w:pPr>
      <w:r>
        <w:rPr>
          <w:rFonts w:ascii="IRNazanin" w:hAnsi="IRNazanin" w:eastAsia="IRNazanin"/>
          <w:color w:val="111111"/>
          <w:sz w:val="28"/>
          <w:sz w:val="28"/>
          <w:szCs w:val="28"/>
          <w:rtl w:val="true"/>
          <w:lang w:bidi="fa-IR"/>
        </w:rPr>
        <w:t>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تعجب کرد که اگر کسی در ماه های حرام قتلی را مرتکب شد دیه او تغلیظ می شود یعنی علاوه بر دیه نفس، یک سوم دیه را نیز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انظار فقیهان اسلام اقوال علماء را در این مورد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تغلیظ دیه قتل در ماه های حرام از نظر اهل سنت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مذاهب چهارگانه اهل سنت در مورد تغلیظ دیه در</w:t>
      </w:r>
    </w:p>
    <w:p>
      <w:pPr>
        <w:pStyle w:val="BookText"/>
        <w:rPr/>
      </w:pPr>
      <w:r>
        <w:rPr>
          <w:rFonts w:ascii="IRNazanin" w:hAnsi="IRNazanin" w:eastAsia="IRNazanin"/>
          <w:color w:val="111111"/>
          <w:sz w:val="28"/>
          <w:sz w:val="28"/>
          <w:szCs w:val="28"/>
          <w:rtl w:val="true"/>
          <w:lang w:bidi="fa-IR"/>
        </w:rPr>
        <w:t>ماه های حرام به دو گروه تقسیم می شوند، فقیهان شافعی و حنبلی بر وجود تغلیظ دیه تأکید دارند در حالی که حنفی ها و مالکی ها چنین نظری ندارند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ابن قدامه در مغنی</w:t>
      </w:r>
      <w:r>
        <w:rPr>
          <w:rStyle w:val="FootnoteAnchor"/>
          <w:rtl w:val="true"/>
        </w:rPr>
        <w:footnoteReference w:id="44"/>
      </w:r>
      <w:r>
        <w:rPr>
          <w:rFonts w:ascii="IRNazanin" w:hAnsi="IRNazanin" w:eastAsia="IRNazanin"/>
          <w:color w:val="111111"/>
          <w:sz w:val="28"/>
          <w:sz w:val="28"/>
          <w:szCs w:val="28"/>
          <w:rtl w:val="true"/>
          <w:lang w:bidi="fa-IR"/>
        </w:rPr>
        <w:t>بحث گسترده ای در این مورد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فقهای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اتفاق نظر بر تغلیظ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شهر حرام فردی را بکشد علاوه بر دیه، باید یک سوم دیه را نیز بپردازد و این مسئله اجماعی است، هم اجماع محصل و هم اجماع منقول</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فی الشهرِ الحرامِ أو الحرم، اُلزِمَ دیةً وثلثا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ماه حرام و یا حرم مرتکب قتل شود محکوم به پرداخت دیه و یک سوم آن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مفتاح الکرامة، مضمون گفتار علاّمه را از گروهی از فقیهان نامدار نقل می 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طور مسلم مدرک این اتفاق نظرها در مسئله، روایاتی است که وارد شده اند، اینک ما به برخی از این روایات اشاره</w:t>
      </w:r>
      <w:bookmarkStart w:id="74" w:name="pg6225_42025"/>
    </w:p>
    <w:p>
      <w:pPr>
        <w:pStyle w:val="BookText"/>
        <w:rPr/>
      </w:pPr>
      <w:bookmarkEnd w:id="74"/>
      <w:r>
        <w:rPr>
          <w:rFonts w:ascii="IRNazanin" w:hAnsi="IRNazanin" w:eastAsia="IRNazanin"/>
          <w:color w:val="111111"/>
          <w:sz w:val="28"/>
          <w:sz w:val="28"/>
          <w:szCs w:val="28"/>
          <w:rtl w:val="true"/>
          <w:lang w:bidi="fa-IR"/>
        </w:rPr>
        <w:t>می کنیم که همگی صحیح و قابل اعتماد است</w:t>
      </w:r>
      <w:r>
        <w:rPr>
          <w:rFonts w:eastAsia="IRNazanin" w:cs="IRNazanin"/>
          <w:color w:val="111111"/>
          <w:sz w:val="28"/>
          <w:szCs w:val="28"/>
          <w:rtl w:val="true"/>
          <w:lang w:bidi="fa-IR"/>
        </w:rPr>
        <w:t>:</w:t>
      </w:r>
    </w:p>
    <w:p>
      <w:pPr>
        <w:pStyle w:val="Heading4"/>
        <w:numPr>
          <w:ilvl w:val="3"/>
          <w:numId w:val="1"/>
        </w:numPr>
        <w:rPr/>
      </w:pPr>
      <w:bookmarkStart w:id="75" w:name="__RefHeading___Toc1391325_237004111"/>
      <w:bookmarkStart w:id="76" w:name="_Toc27"/>
      <w:bookmarkEnd w:id="75"/>
      <w:r>
        <w:rPr/>
        <w:t>1</w:t>
      </w:r>
      <w:r>
        <w:rPr>
          <w:rtl w:val="true"/>
        </w:rPr>
        <w:t xml:space="preserve">. </w:t>
      </w:r>
      <w:r>
        <w:rPr>
          <w:rtl w:val="true"/>
        </w:rPr>
        <w:t>روایت صدوق به سند صحیح</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روایت علی بن رئاب از زراره را در مورد قتل در ماه های حرام نقل می کند، و در آن به دو ماه روزه اشاره شده است،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أبان عن زرارة علیه دیة وثلث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یعنی در روایت ابان در همین موضوع از زراره چنین آمده است که بر او است یک دیه و یک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صدوق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4"/>
        <w:numPr>
          <w:ilvl w:val="3"/>
          <w:numId w:val="1"/>
        </w:numPr>
        <w:rPr/>
      </w:pPr>
      <w:bookmarkStart w:id="77" w:name="__RefHeading___Toc1391327_237004111"/>
      <w:bookmarkStart w:id="78" w:name="_Toc28"/>
      <w:bookmarkEnd w:id="77"/>
      <w:r>
        <w:rPr/>
        <w:t>2</w:t>
      </w:r>
      <w:r>
        <w:rPr>
          <w:rtl w:val="true"/>
        </w:rPr>
        <w:t xml:space="preserve">. </w:t>
      </w:r>
      <w:r>
        <w:rPr>
          <w:rtl w:val="true"/>
        </w:rPr>
        <w:t>روایت کلینی به سند صحیح</w:t>
      </w:r>
      <w:bookmarkEnd w:id="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کلینی به سند صحیح از کلیب اسدی به این صورت نقل می کند که 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دیه کسی که در ماه های حرام کسی را کشته است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ثلث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همین روایت را از کلیب بن معاویه</w:t>
      </w:r>
      <w:r>
        <w:rPr>
          <w:rStyle w:val="FootnoteAnchor"/>
          <w:rtl w:val="true"/>
        </w:rPr>
        <w:footnoteReference w:id="47"/>
      </w: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و مسلماً هر دو یک روایت است و کلیب اسدی همان</w:t>
      </w:r>
    </w:p>
    <w:p>
      <w:pPr>
        <w:pStyle w:val="BookText"/>
        <w:rPr/>
      </w:pPr>
      <w:r>
        <w:rPr>
          <w:rFonts w:ascii="IRNazanin" w:hAnsi="IRNazanin" w:eastAsia="IRNazanin"/>
          <w:color w:val="111111"/>
          <w:sz w:val="28"/>
          <w:sz w:val="28"/>
          <w:szCs w:val="28"/>
          <w:rtl w:val="true"/>
          <w:lang w:bidi="fa-IR"/>
        </w:rPr>
        <w:t>کلیب بن معاویه است و وثاقت کلیب از دو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بزرگی مانند صفوان و ابن ابی عمیر که فقط از اشخاص ثقه نقل می کنند در این مورد از کلیب نقل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کلینی به سند صحیح روایاتی نقل کرده اند که حاکی از وثاقت کلیب است که ما فقط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می شود انسانی، شخصی</w:t>
      </w:r>
    </w:p>
    <w:p>
      <w:pPr>
        <w:pStyle w:val="BookText"/>
        <w:rPr/>
      </w:pPr>
      <w:r>
        <w:rPr>
          <w:rFonts w:ascii="IRNazanin" w:hAnsi="IRNazanin" w:eastAsia="IRNazanin"/>
          <w:color w:val="111111"/>
          <w:sz w:val="28"/>
          <w:sz w:val="28"/>
          <w:szCs w:val="28"/>
          <w:rtl w:val="true"/>
          <w:lang w:bidi="fa-IR"/>
        </w:rPr>
        <w:t>را دوست بدارد در حالی که او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هستم زیرا کلیب صیداوی را دوست دارم، در حالی که او را ندیده 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بعدها کلیب صیداوی خدمت امام رسیده و خواسته هایی داشت و حضرت اجابت نمود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به تغلیظ دیه اشاره شده اما کیفیت تغلیظ در آن نیامده است، کلینی به سند صحیح از زراره، و او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می کند که مردی از وی سؤال کرد شخصی در</w:t>
      </w:r>
    </w:p>
    <w:p>
      <w:pPr>
        <w:pStyle w:val="BookText"/>
        <w:rPr/>
      </w:pPr>
      <w:r>
        <w:rPr>
          <w:rFonts w:ascii="IRNazanin" w:hAnsi="IRNazanin" w:eastAsia="IRNazanin"/>
          <w:color w:val="111111"/>
          <w:sz w:val="28"/>
          <w:sz w:val="28"/>
          <w:szCs w:val="28"/>
          <w:rtl w:val="true"/>
          <w:lang w:bidi="fa-IR"/>
        </w:rPr>
        <w:t>ماه های حرام از روی خطا کسی را بکشد دیه او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 الدیة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سه روایت در اثبات حکم شرعی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نیاز به بحث گسترده تر ندارد، با نظر به همین سه روایت و با توجه به فتاوای فقهای سنی و شیعه و دیگر قرائن می توان مسئله را قطعی تلقی کرد، این که صاحب نظریه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جنگ و جدال در ماه های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به حکم شرعی که جنبه جهانی دارد، ندارد، این سخن می نماید که اسلام گویا فقط برای ایران و ایرانیان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ایران در این ماه ها جنگ و جدال نیست، پس این حکم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باید به خاطر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با ما در ماه های حرام آغاز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تغلیظ دیه در ماه های حرام، به پایان رسید، اکنون وقت آن رسیده است که موضوع تغلیظ دیه در قتل در حرم را مورد بررسی قرار دهیم</w:t>
      </w:r>
      <w:r>
        <w:rPr>
          <w:rFonts w:eastAsia="IRNazanin" w:cs="IRNazanin"/>
          <w:color w:val="111111"/>
          <w:sz w:val="28"/>
          <w:szCs w:val="28"/>
          <w:rtl w:val="true"/>
          <w:lang w:bidi="fa-IR"/>
        </w:rPr>
        <w:t>.</w:t>
      </w:r>
      <w:bookmarkStart w:id="79" w:name="pg6225_42028"/>
    </w:p>
    <w:p>
      <w:pPr>
        <w:pStyle w:val="BookText"/>
        <w:rPr/>
      </w:pPr>
      <w:bookmarkEnd w:id="79"/>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80" w:name="__RefHeading___Toc1391329_237004111"/>
      <w:bookmarkStart w:id="81" w:name="_Toc29"/>
      <w:bookmarkEnd w:id="80"/>
      <w:r>
        <w:rPr>
          <w:rtl w:val="true"/>
        </w:rPr>
        <w:t>تغلیظ دیه قتل در حرم امن الهی</w:t>
      </w:r>
      <w:bookmarkEnd w:id="81"/>
    </w:p>
    <w:p>
      <w:pPr>
        <w:pStyle w:val="Heading3"/>
        <w:numPr>
          <w:ilvl w:val="2"/>
          <w:numId w:val="1"/>
        </w:numPr>
        <w:rPr/>
      </w:pPr>
      <w:bookmarkStart w:id="82" w:name="__RefHeading___Toc1391331_237004111"/>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به مکه و اطراف چهارگانه آن تا مساحت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خدا در قرآن آن را محل امن توصیف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یَرَوْا أَنَّا جَعَلْنَا حَرَمًا آمِنًا</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و نیز بر قریش منت می نهد 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وَآمَنَهُمْ مِنْ خَوْف</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آنها را از ترس و ناامنی، ایمن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حرم، کعبه یا حجرالاسود است و مساحت آن از چهار طرف یکسان نیست و شکل هندسی آن شبیه بیضی است و نزدیک ترین نقطه به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فاصله سه میلی کعبه است، در حالی که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شروع حرم از طرف جده است با مکه نُه میل است و همچنین است دیگر اطراف که با کعبه فاصله های مختلف دارند</w:t>
      </w:r>
      <w:r>
        <w:rPr>
          <w:rFonts w:eastAsia="IRNazanin" w:cs="IRNazanin"/>
          <w:color w:val="111111"/>
          <w:sz w:val="28"/>
          <w:szCs w:val="28"/>
          <w:rtl w:val="true"/>
          <w:lang w:bidi="fa-IR"/>
        </w:rPr>
        <w:t>.</w:t>
      </w:r>
      <w:bookmarkStart w:id="84" w:name="pg6225_42029"/>
    </w:p>
    <w:p>
      <w:pPr>
        <w:pStyle w:val="Heading3"/>
        <w:numPr>
          <w:ilvl w:val="2"/>
          <w:numId w:val="1"/>
        </w:numPr>
        <w:rPr/>
      </w:pPr>
      <w:bookmarkStart w:id="85" w:name="__RefHeading___Toc1391333_237004111"/>
      <w:bookmarkStart w:id="86" w:name="_Toc31"/>
      <w:bookmarkEnd w:id="84"/>
      <w:bookmarkEnd w:id="85"/>
      <w:r>
        <w:rPr>
          <w:rtl w:val="true"/>
        </w:rPr>
        <w:t>احکام ویژه حرم</w:t>
      </w:r>
      <w:bookmarkEnd w:id="86"/>
    </w:p>
    <w:p>
      <w:pPr>
        <w:pStyle w:val="BookText"/>
        <w:rPr/>
      </w:pPr>
      <w:r>
        <w:rPr>
          <w:rFonts w:ascii="IRNazanin" w:hAnsi="IRNazanin" w:eastAsia="IRNazanin"/>
          <w:color w:val="111111"/>
          <w:sz w:val="28"/>
          <w:sz w:val="28"/>
          <w:szCs w:val="28"/>
          <w:rtl w:val="true"/>
          <w:lang w:bidi="fa-IR"/>
        </w:rPr>
        <w:t xml:space="preserve">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ویژه ای دارد که در کتب حج به صورت مفصل بیان شده است و ما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 خواهند وارد حرم و یا مکه شوند باید از یکی از مواقیت محرم شوند و ورود به حرم و یا مکه بدون احرام جایز نیست، مگر گروهی که کارشان رفع نیازمندی های روزانه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مشرکان به حرم به نص آیه قرآنی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ناپاک پس نباید بعد از امسال نزدیک مسجدالحرام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کنایه از 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قتال در حرم ممنوع است مگر این که دشمن شروع کننده جنگ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تُقَاتِلُوهُمْ عِنْدَ الْمَسْجِدِ الْحَرَامِ حَتَّی یُقَاتِلُوکُمْ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نجنگید مگر آن ها آغازگر جنگ باشند</w:t>
      </w:r>
      <w:r>
        <w:rPr>
          <w:rFonts w:eastAsia="IRNazanin" w:cs="IRNazanin"/>
          <w:color w:val="111111"/>
          <w:sz w:val="28"/>
          <w:szCs w:val="28"/>
          <w:rtl w:val="true"/>
          <w:lang w:bidi="fa-IR"/>
        </w:rPr>
        <w:t>».</w:t>
      </w:r>
      <w:bookmarkStart w:id="87" w:name="pg6225_42030"/>
    </w:p>
    <w:p>
      <w:pPr>
        <w:pStyle w:val="BookText"/>
        <w:rPr/>
      </w:pPr>
      <w:bookmarkEnd w:id="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درختان حرم و چیدن گیاهان آن حرام است ولی جلوگیری از چریدن حیوانات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سبزیکاری ممنوع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در خشکی زندگی می کند شکار آن در حرم مطلقاً ممنوع است خواه برای محرِم و خواه برای غیر محرم و تکرار آن نیز از گناهان کبیره است</w:t>
      </w:r>
      <w:r>
        <w:rPr>
          <w:rFonts w:eastAsia="IRNazanin" w:cs="IRNazanin"/>
          <w:color w:val="111111"/>
          <w:sz w:val="28"/>
          <w:szCs w:val="28"/>
          <w:rtl w:val="true"/>
          <w:lang w:bidi="fa-IR"/>
        </w:rPr>
        <w:t>.</w:t>
      </w:r>
    </w:p>
    <w:p>
      <w:pPr>
        <w:pStyle w:val="Heading3"/>
        <w:numPr>
          <w:ilvl w:val="2"/>
          <w:numId w:val="1"/>
        </w:numPr>
        <w:rPr/>
      </w:pPr>
      <w:bookmarkStart w:id="88" w:name="__RefHeading___Toc1391335_237004111"/>
      <w:bookmarkStart w:id="89" w:name="_Toc32"/>
      <w:bookmarkEnd w:id="88"/>
      <w:r>
        <w:rPr>
          <w:rtl w:val="true"/>
        </w:rPr>
        <w:t>قتل در حرم و تغلیظ دیه</w:t>
      </w:r>
      <w:bookmarkEnd w:id="89"/>
    </w:p>
    <w:p>
      <w:pPr>
        <w:pStyle w:val="BookText"/>
        <w:rPr/>
      </w:pPr>
      <w:r>
        <w:rPr>
          <w:rFonts w:ascii="IRNazanin" w:hAnsi="IRNazanin" w:eastAsia="IRNazanin"/>
          <w:color w:val="111111"/>
          <w:sz w:val="28"/>
          <w:sz w:val="28"/>
          <w:szCs w:val="28"/>
          <w:rtl w:val="true"/>
          <w:lang w:bidi="fa-IR"/>
        </w:rPr>
        <w:t>با توجه به احترام خاصی که حرم امن الهی از آن برخوردار است اگر شخصی، کسی را در حرم بکشند دیه پرداختی او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دیه نفس، باید ثلث دیه را نیز بپردازد</w:t>
      </w:r>
      <w:r>
        <w:rPr>
          <w:rFonts w:eastAsia="IRNazanin" w:cs="IRNazanin"/>
          <w:color w:val="111111"/>
          <w:sz w:val="28"/>
          <w:szCs w:val="28"/>
          <w:rtl w:val="true"/>
          <w:lang w:bidi="fa-IR"/>
        </w:rPr>
        <w:t>.</w:t>
      </w:r>
    </w:p>
    <w:p>
      <w:pPr>
        <w:pStyle w:val="Heading3"/>
        <w:numPr>
          <w:ilvl w:val="2"/>
          <w:numId w:val="1"/>
        </w:numPr>
        <w:rPr/>
      </w:pPr>
      <w:bookmarkStart w:id="90" w:name="__RefHeading___Toc1391337_237004111"/>
      <w:bookmarkStart w:id="91" w:name="_Toc33"/>
      <w:bookmarkEnd w:id="90"/>
      <w:r>
        <w:rPr>
          <w:rtl w:val="true"/>
        </w:rPr>
        <w:t>دیدگاه فقیهان اهل سنت در قتل در حرم</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خلاف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خطا در ماه های حرام و در حرم تغلیظ می شود، حتی شافعی افزون بر این دو مورد، مورد سومی را نیز گفته است و آن این که محرمی، رحمی را در خارج از حرم بکشد در آن صورت نیز دیه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ابوحنیفه و مالک نقل می کند که آن ها با این نظر مخالفند</w:t>
      </w:r>
      <w:r>
        <w:rPr>
          <w:rFonts w:eastAsia="IRNazanin" w:cs="IRNazanin"/>
          <w:color w:val="111111"/>
          <w:sz w:val="28"/>
          <w:szCs w:val="28"/>
          <w:rtl w:val="true"/>
          <w:lang w:bidi="fa-IR"/>
        </w:rPr>
        <w:t>.</w:t>
      </w:r>
      <w:r>
        <w:rPr>
          <w:rStyle w:val="FootnoteAnchor"/>
          <w:rtl w:val="true"/>
        </w:rPr>
        <w:footnoteReference w:id="55"/>
      </w:r>
      <w:bookmarkStart w:id="92" w:name="pg6225_42031"/>
    </w:p>
    <w:p>
      <w:pPr>
        <w:pStyle w:val="BookText"/>
        <w:rPr/>
      </w:pPr>
      <w:bookmarkEnd w:id="92"/>
      <w:r>
        <w:rPr>
          <w:rFonts w:ascii="IRNazanin" w:hAnsi="IRNazanin" w:eastAsia="IRNazanin"/>
          <w:color w:val="111111"/>
          <w:sz w:val="28"/>
          <w:sz w:val="28"/>
          <w:szCs w:val="28"/>
          <w:rtl w:val="true"/>
          <w:lang w:bidi="fa-IR"/>
        </w:rPr>
        <w:t>ابن قدامه نیز در مغنی نافی تغلیظ دیه است</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به دلیل این که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وَدِیَةٌ مُسَلَّمَةٌ إِلَی أَهْلِهِ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سخنی از تغلیظ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صحیح نیست زیرا اطلاق آیه تا آن جا حجت است که دلیلی بر تقیید اطلاق در سنّت وارد نشده باشد در حالی که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وارد شده و اطلاق قرآن را مقید کرده است</w:t>
      </w:r>
      <w:r>
        <w:rPr>
          <w:rFonts w:eastAsia="IRNazanin" w:cs="IRNazanin"/>
          <w:color w:val="111111"/>
          <w:sz w:val="28"/>
          <w:szCs w:val="28"/>
          <w:rtl w:val="true"/>
          <w:lang w:bidi="fa-IR"/>
        </w:rPr>
        <w:t>.</w:t>
      </w:r>
    </w:p>
    <w:p>
      <w:pPr>
        <w:pStyle w:val="Heading3"/>
        <w:numPr>
          <w:ilvl w:val="2"/>
          <w:numId w:val="1"/>
        </w:numPr>
        <w:rPr/>
      </w:pPr>
      <w:bookmarkStart w:id="93" w:name="__RefHeading___Toc1391339_237004111"/>
      <w:bookmarkStart w:id="94" w:name="_Toc34"/>
      <w:bookmarkEnd w:id="93"/>
      <w:r>
        <w:rPr>
          <w:rtl w:val="true"/>
        </w:rPr>
        <w:t>دیدگاه فقهای شیعه در قتل در حرم</w:t>
      </w:r>
      <w:bookmarkEnd w:id="94"/>
    </w:p>
    <w:p>
      <w:pPr>
        <w:pStyle w:val="BookText"/>
        <w:rPr/>
      </w:pPr>
      <w:r>
        <w:rPr>
          <w:rFonts w:ascii="IRNazanin" w:hAnsi="IRNazanin" w:eastAsia="IRNazanin"/>
          <w:color w:val="111111"/>
          <w:sz w:val="28"/>
          <w:sz w:val="28"/>
          <w:szCs w:val="28"/>
          <w:rtl w:val="true"/>
          <w:lang w:bidi="fa-IR"/>
        </w:rPr>
        <w:t>مشهور در میان فقهای شیعه تغلیظ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عنوان مسئله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اجماع الفرقة وأخبارهم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دلیل ما اتفاق فقهاء شیعه و روایات آن ها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جواهر الکلام تغلیظ دیه را از فقیهان نامداری مانند ابن حمزه و ابن زهره و ابن ادریس، علاّمه در قواعد و ارشاد و شهید در لمعه نقل کرده، حتی می گوید فاضل هندی در کشف اللثام آن را برگزیده بسیاری از علماء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مشهور نسبت می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میان فقیهان پیشین می توان دو نفر را نام برد که این فتوا را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آنها در برخی از اسناد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ظاهراً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فقهای بزرگ قرن دوم و سوم اسلامی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ها بگذریم شیخ مفید در مقنعه</w:t>
      </w:r>
      <w:r>
        <w:rPr>
          <w:rStyle w:val="FootnoteAnchor"/>
          <w:rtl w:val="true"/>
        </w:rPr>
        <w:footnoteReference w:id="59"/>
      </w:r>
      <w:r>
        <w:rPr>
          <w:rFonts w:ascii="IRNazanin" w:hAnsi="IRNazanin" w:eastAsia="IRNazanin"/>
          <w:color w:val="111111"/>
          <w:sz w:val="28"/>
          <w:sz w:val="28"/>
          <w:szCs w:val="28"/>
          <w:rtl w:val="true"/>
          <w:lang w:bidi="fa-IR"/>
        </w:rPr>
        <w:t>و شیخ طوسی در نهایه</w:t>
      </w:r>
      <w:r>
        <w:rPr>
          <w:rStyle w:val="FootnoteAnchor"/>
          <w:rtl w:val="true"/>
        </w:rPr>
        <w:footnoteReference w:id="60"/>
      </w:r>
      <w:r>
        <w:rPr>
          <w:rFonts w:ascii="IRNazanin" w:hAnsi="IRNazanin" w:eastAsia="IRNazanin"/>
          <w:color w:val="111111"/>
          <w:sz w:val="28"/>
          <w:sz w:val="28"/>
          <w:szCs w:val="28"/>
          <w:rtl w:val="true"/>
          <w:lang w:bidi="fa-IR"/>
        </w:rPr>
        <w:t>فتوی بر تغلیظ دیه داده اند حتی فلسفه تغلیظ را هتک حرمت حرم می دانند، علاّمه در قواعد به صورت قاطعانه بر این مطلب فتوا داده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فقیه نامور سید محمد جواد عاملی مسئله را روی دایره تحقیق ریخته و به کسانی که تصور می کنند که در مسئله نصی وارد نشده است اعتراض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که چگونه برخی افراد با وجود نص معتبر از نظر سند و دلالت که مؤید اجماع است چنین فکر می کنند</w:t>
      </w:r>
      <w:r>
        <w:rPr>
          <w:rFonts w:eastAsia="IRNazanin" w:cs="IRNazanin"/>
          <w:color w:val="111111"/>
          <w:sz w:val="28"/>
          <w:szCs w:val="28"/>
          <w:rtl w:val="true"/>
          <w:lang w:bidi="fa-IR"/>
        </w:rPr>
        <w:t>.</w:t>
      </w:r>
      <w:r>
        <w:rPr>
          <w:rStyle w:val="FootnoteAnchor"/>
          <w:rtl w:val="true"/>
        </w:rPr>
        <w:footnoteReference w:id="62"/>
      </w:r>
      <w:bookmarkStart w:id="95" w:name="pg6225_42033"/>
    </w:p>
    <w:p>
      <w:pPr>
        <w:pStyle w:val="BookText"/>
        <w:rPr/>
      </w:pPr>
      <w:bookmarkEnd w:id="95"/>
      <w:r>
        <w:rPr>
          <w:rFonts w:ascii="IRNazanin" w:hAnsi="IRNazanin" w:eastAsia="IRNazanin"/>
          <w:color w:val="111111"/>
          <w:sz w:val="28"/>
          <w:sz w:val="28"/>
          <w:szCs w:val="28"/>
          <w:rtl w:val="true"/>
          <w:lang w:bidi="fa-IR"/>
        </w:rPr>
        <w:t>اینک به نقل متن حدیث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در حرم فردی را کشته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است یک دیه کامل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دو ماه هم روزه می گیرد، این حدیث را مشایخ سه گانه با سند صحیح نقل کرده اند، به مدارک زیر مراجعه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ضمناً شیخ حرّ عاملی در وسائل الشیعه به تفصیل به نقل این حدیث از مشایخ سه گانه پرداخته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6" w:name="__RefHeading___Toc1391341_237004111"/>
      <w:bookmarkStart w:id="97" w:name="_Toc35"/>
      <w:bookmarkEnd w:id="96"/>
      <w:r>
        <w:rPr>
          <w:rtl w:val="true"/>
        </w:rPr>
        <w:t>ارزش یابی نظر مخالف در نشست فقه پژوهشی</w:t>
      </w:r>
      <w:bookmarkEnd w:id="97"/>
    </w:p>
    <w:p>
      <w:pPr>
        <w:pStyle w:val="BookText"/>
        <w:rPr/>
      </w:pPr>
      <w:r>
        <w:rPr>
          <w:rFonts w:ascii="IRNazanin" w:hAnsi="IRNazanin" w:eastAsia="IRNazanin"/>
          <w:color w:val="111111"/>
          <w:sz w:val="28"/>
          <w:sz w:val="28"/>
          <w:szCs w:val="28"/>
          <w:rtl w:val="true"/>
          <w:lang w:bidi="fa-IR"/>
        </w:rPr>
        <w:t>سخنران افتتاحیه نشست، در آغاز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شیخ طوسی، فقهای ما مقلد شیخ طوسی بودند و کسی را یارای مخالفت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عده ای حاضر نیستند کوچک ترین تحولی در فقه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دو نکته جای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مقلَد بودن فقیهان شیعی پس از درگذشت شیخ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سدیدالدین حمصی</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و دیگران مانند ابن طاووس و شهید ثانی و فرزند او صاحب معالم از او گرفته اند ولی برخی از آثار تألیف شده پس از عصر شیخ، بر خلاف این نظر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فقیهانی است که عصر شیخ را درک کرده است و پس از وی نیز تا بیست سال در قید حیات بوده است، وی در برخی از آثار فقهی خود به نقد نظر رأی شیخ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قسمت را در مقدمه المهذّب ابن برّاج</w:t>
      </w:r>
      <w:r>
        <w:rPr>
          <w:rStyle w:val="FootnoteAnchor"/>
          <w:rtl w:val="true"/>
        </w:rPr>
        <w:footnoteReference w:id="65"/>
      </w:r>
      <w:r>
        <w:rPr>
          <w:rFonts w:ascii="IRNazanin" w:hAnsi="IRNazanin" w:eastAsia="IRNazanin"/>
          <w:color w:val="111111"/>
          <w:sz w:val="28"/>
          <w:sz w:val="28"/>
          <w:szCs w:val="28"/>
          <w:rtl w:val="true"/>
          <w:lang w:bidi="fa-IR"/>
        </w:rPr>
        <w:t>، از این قلم مطالعه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نوع آثار فقهی که پس از شیخ در قرن های پنجم و ششم تألیف شده است کمتر به دست ما رسیده است زیرا بر اثر هجوم سلاجقه به مراکز شیعی و پس از آن صلاح الدین ایوبی، بسیاری از آثار شیعه طعمه حریق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درباره آنها داوری قطعی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مرحوم آیت الله بروجردی وارد قم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امروز آثار فقهی ارزشمندی در قم به صورت های گوناگون، از قواعد فقهیه گرفته تا دانشنامه های فقهی تألیف شده است و نوآوری های چشم گیری در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98" w:name="pg6225_42035"/>
    </w:p>
    <w:p>
      <w:pPr>
        <w:pStyle w:val="BookText"/>
        <w:rPr/>
      </w:pPr>
      <w:bookmarkEnd w:id="98"/>
      <w:r>
        <w:rPr>
          <w:rFonts w:ascii="IRNazanin" w:hAnsi="IRNazanin" w:eastAsia="IRNazanin"/>
          <w:color w:val="111111"/>
          <w:sz w:val="28"/>
          <w:sz w:val="28"/>
          <w:szCs w:val="28"/>
          <w:rtl w:val="true"/>
          <w:lang w:bidi="fa-IR"/>
        </w:rPr>
        <w:t>همه نوآوری ها بر اساس اصول و احکام قطعی اسلام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واقع گرا قوانین وحیانی را با آرای وضعی بشری مبادله نمی کنند</w:t>
      </w:r>
      <w:r>
        <w:rPr>
          <w:rFonts w:eastAsia="IRNazanin" w:cs="IRNazanin"/>
          <w:color w:val="111111"/>
          <w:sz w:val="28"/>
          <w:szCs w:val="28"/>
          <w:rtl w:val="true"/>
          <w:lang w:bidi="fa-IR"/>
        </w:rPr>
        <w:t>.</w:t>
      </w:r>
    </w:p>
    <w:p>
      <w:pPr>
        <w:pStyle w:val="Heading3"/>
        <w:numPr>
          <w:ilvl w:val="2"/>
          <w:numId w:val="1"/>
        </w:numPr>
        <w:rPr/>
      </w:pPr>
      <w:bookmarkStart w:id="99" w:name="__RefHeading___Toc1391343_237004111"/>
      <w:bookmarkStart w:id="100" w:name="_Toc36"/>
      <w:bookmarkEnd w:id="99"/>
      <w:r>
        <w:rPr>
          <w:rtl w:val="true"/>
        </w:rPr>
        <w:t>نقد تضعیف روایات مربوط به قتل در ماه حرام و در حرم</w:t>
      </w:r>
      <w:bookmarkEnd w:id="100"/>
    </w:p>
    <w:p>
      <w:pPr>
        <w:pStyle w:val="BookText"/>
        <w:rPr/>
      </w:pPr>
      <w:r>
        <w:rPr>
          <w:rFonts w:ascii="IRNazanin" w:hAnsi="IRNazanin" w:eastAsia="IRNazanin"/>
          <w:color w:val="111111"/>
          <w:sz w:val="28"/>
          <w:sz w:val="28"/>
          <w:szCs w:val="28"/>
          <w:rtl w:val="true"/>
          <w:lang w:bidi="fa-IR"/>
        </w:rPr>
        <w:t xml:space="preserve">نظریه پرداز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ماه های حرام و قتل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مجموع در این مسئله شش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مربوط به کلیب اسدی است و در بین راویان دو نفر به نام کلیب داریم که هر دو آن ها ضعیف هستند و سه یا چهار روایت دیگر هم از زراره نقل شده است که دقیقاً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دو نفر نیست بلکه یک نفر است که گاهی کلیب بن معاویه نامیده شده و گاهی کلیب اسدی و احیاناً صیداوی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ثقه است و از مشایخ حدیث ابن ابی عمیر و صفوان بن یحیی است و در آغاز بحث در این مورد سخن گفتیم و تکرار نمی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سه یا چهار روایت یک روایت است</w:t>
      </w:r>
    </w:p>
    <w:p>
      <w:pPr>
        <w:pStyle w:val="BookText"/>
        <w:rPr/>
      </w:pPr>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سازی روایات اگر چه نقش آفرینی در استنباط احکام شرعی دارد و استاد بزرگوار ما آیت الله بروجردی بر این روش تأکید می کرد ولی تنها وحدت راوی در پایان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وحدت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تمام روایات زراره در تمام ابواب فقهی یک روایت تلقی کنیم، بلکه علاوه بر آن، وحدت موضوع نیز شرط است در حالی که این شرط در محل بحث ما نیست، درست است هر دو حدیث به زراره منتهی می شود ولی در یکی موضوع برای تغلیظ دیه قتل در سرزمین حرم است</w:t>
      </w:r>
      <w:r>
        <w:rPr>
          <w:rStyle w:val="FootnoteAnchor"/>
          <w:rtl w:val="true"/>
        </w:rPr>
        <w:footnoteReference w:id="67"/>
      </w:r>
      <w:r>
        <w:rPr>
          <w:rFonts w:ascii="IRNazanin" w:hAnsi="IRNazanin" w:eastAsia="IRNazanin"/>
          <w:color w:val="111111"/>
          <w:sz w:val="28"/>
          <w:sz w:val="28"/>
          <w:szCs w:val="28"/>
          <w:rtl w:val="true"/>
          <w:lang w:bidi="fa-IR"/>
        </w:rPr>
        <w:t>ولی در دیگری موضوع برای تغلیظ دیه، قتل در ماه های حرام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گذشته از این دو حدیث، روایتی در باب صوم آمده است که قبلاً به آن اشاره کرده 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101" w:name="pg6225_42037"/>
    </w:p>
    <w:p>
      <w:pPr>
        <w:pStyle w:val="Heading2"/>
        <w:numPr>
          <w:ilvl w:val="1"/>
          <w:numId w:val="1"/>
        </w:numPr>
        <w:rPr/>
      </w:pPr>
      <w:bookmarkStart w:id="102" w:name="__RefHeading___Toc1391345_237004111"/>
      <w:bookmarkStart w:id="103" w:name="_Toc37"/>
      <w:bookmarkEnd w:id="101"/>
      <w:bookmarkEnd w:id="102"/>
      <w:r>
        <w:rPr>
          <w:rtl w:val="true"/>
        </w:rPr>
        <w:t>تحلیلی گسترده از دیه بر عاقله</w:t>
      </w:r>
      <w:bookmarkEnd w:id="103"/>
    </w:p>
    <w:p>
      <w:pPr>
        <w:pStyle w:val="Heading3"/>
        <w:numPr>
          <w:ilvl w:val="2"/>
          <w:numId w:val="1"/>
        </w:numPr>
        <w:rPr/>
      </w:pPr>
      <w:bookmarkStart w:id="104" w:name="__RefHeading___Toc1391347_237004111"/>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مدرسه عالی شهید مطهری منتشر می شود در شماره هفتم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نظر مطرح کرده و در آن شماره پاسخی را از این جانب چاپ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پاسخ یاد شده، دارای نکات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نشر سؤال و پاسخ می پردازیم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می شویم که پرسش و پاسخ از نظر تاریخ به ربع قرن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باز می گردد، اگر مخالف و یا مخالفان به آن نظر می افکندند شاید قانع شده و موضوع را مطرح نمی کردند</w:t>
      </w:r>
      <w:r>
        <w:rPr>
          <w:rFonts w:eastAsia="IRNazanin" w:cs="IRNazanin"/>
          <w:color w:val="111111"/>
          <w:sz w:val="28"/>
          <w:szCs w:val="28"/>
          <w:rtl w:val="true"/>
          <w:lang w:bidi="fa-IR"/>
        </w:rPr>
        <w:t>.</w:t>
      </w:r>
      <w:bookmarkStart w:id="106" w:name="pg6225_42038"/>
    </w:p>
    <w:p>
      <w:pPr>
        <w:pStyle w:val="BookText"/>
        <w:rPr/>
      </w:pPr>
      <w:bookmarkEnd w:id="106"/>
      <w:r>
        <w:rPr>
          <w:rFonts w:ascii="IRNazanin" w:hAnsi="IRNazanin" w:eastAsia="IRNazanin"/>
          <w:color w:val="111111"/>
          <w:sz w:val="28"/>
          <w:sz w:val="28"/>
          <w:szCs w:val="28"/>
          <w:rtl w:val="true"/>
          <w:lang w:bidi="fa-IR"/>
        </w:rPr>
        <w:t>دیه بر عاقله معلول ساختار زندگی قبیله ای نیست</w:t>
      </w:r>
    </w:p>
    <w:p>
      <w:pPr>
        <w:pStyle w:val="BookText"/>
        <w:rPr/>
      </w:pPr>
      <w:r>
        <w:rPr>
          <w:rFonts w:ascii="IRNazanin" w:hAnsi="IRNazanin" w:eastAsia="IRNazanin"/>
          <w:color w:val="111111"/>
          <w:sz w:val="28"/>
          <w:sz w:val="28"/>
          <w:szCs w:val="28"/>
          <w:rtl w:val="true"/>
          <w:lang w:bidi="fa-IR"/>
        </w:rPr>
        <w:t>تحلیلی گسترده از دیه بر عاقله</w:t>
      </w:r>
    </w:p>
    <w:p>
      <w:pPr>
        <w:pStyle w:val="BookText"/>
        <w:rPr/>
      </w:pPr>
      <w:r>
        <w:rPr>
          <w:rFonts w:ascii="IRNazanin" w:hAnsi="IRNazanin" w:eastAsia="IRNazanin"/>
          <w:color w:val="111111"/>
          <w:sz w:val="28"/>
          <w:sz w:val="28"/>
          <w:szCs w:val="28"/>
          <w:rtl w:val="true"/>
          <w:lang w:bidi="fa-IR"/>
        </w:rPr>
        <w:t>پاسخ دو سؤال در مورد دیه بر عاقله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مردم شبه جزیرة العرب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به صورت قبیله ای بوده است و شاید تشریع وجوب دیه بر عاقله، در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ساختار زندگی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کیفیت زندگی دگرگون شده است آیااین حکم به قوت خود باقی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است آیا یک حکم تکلیفی ووضعی است، یعنی واقعاً عاقله مدیون و بدهکار است و طبعاً باید بدهی خود را بپردازد، ویا حکم تکلیفی است یعنی واجب است این کار را انجام دهد واگر نکرد گناهی را مرتکب شده است نه اینکه بدهکار باشد</w:t>
      </w:r>
      <w:r>
        <w:rPr>
          <w:rFonts w:eastAsia="IRNazanin" w:cs="IRNazanin"/>
          <w:color w:val="111111"/>
          <w:sz w:val="28"/>
          <w:szCs w:val="28"/>
          <w:rtl w:val="true"/>
          <w:lang w:bidi="fa-IR"/>
        </w:rPr>
        <w:t>.</w:t>
      </w:r>
    </w:p>
    <w:p>
      <w:pPr>
        <w:pStyle w:val="Heading3"/>
        <w:numPr>
          <w:ilvl w:val="2"/>
          <w:numId w:val="1"/>
        </w:numPr>
        <w:rPr/>
      </w:pPr>
      <w:bookmarkStart w:id="107" w:name="__RefHeading___Toc1391349_237004111"/>
      <w:bookmarkStart w:id="108" w:name="_Toc39"/>
      <w:bookmarkEnd w:id="107"/>
      <w:r>
        <w:rPr>
          <w:rtl w:val="true"/>
        </w:rPr>
        <w:t>ریشه های سؤال نخست</w:t>
      </w:r>
      <w:bookmarkEnd w:id="108"/>
    </w:p>
    <w:p>
      <w:pPr>
        <w:pStyle w:val="BookText"/>
        <w:rPr/>
      </w:pPr>
      <w:r>
        <w:rPr>
          <w:rFonts w:ascii="IRNazanin" w:hAnsi="IRNazanin" w:eastAsia="IRNazanin"/>
          <w:color w:val="111111"/>
          <w:sz w:val="28"/>
          <w:sz w:val="28"/>
          <w:szCs w:val="28"/>
          <w:rtl w:val="true"/>
          <w:lang w:bidi="fa-IR"/>
        </w:rPr>
        <w:t>سؤال نخست، ریشه ای در تاریخ و احادیث دارد که به نقل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بشر در شبه جزیره عرب به صورت قبیله ای بوده و</w:t>
      </w:r>
    </w:p>
    <w:p>
      <w:pPr>
        <w:pStyle w:val="BookText"/>
        <w:rPr/>
      </w:pPr>
      <w:r>
        <w:rPr>
          <w:rFonts w:ascii="IRNazanin" w:hAnsi="IRNazanin" w:eastAsia="IRNazanin"/>
          <w:color w:val="111111"/>
          <w:sz w:val="28"/>
          <w:sz w:val="28"/>
          <w:szCs w:val="28"/>
          <w:rtl w:val="true"/>
          <w:lang w:bidi="fa-IR"/>
        </w:rPr>
        <w:t>تعصب قبیله ای آنان را وا می داشت که از جانی مطلقاً دفاع کنند خواه عامد و خواه خطاکار، و خواه جنایت بر انسان واعضای او باشد ویا بر مال و اعراض او، ودفاع نیز منحصر به مال و دیه نبوده است بلکه با زور شمشیر نیز دفاع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شرح لمعه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وچون عشیره قاتل، او را از کشته شدن باز می داشت، نام متحمل دیه را، عاقله نامیدند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در عصر جاهلی به کمک کسی که از آنان جنایت می کرد، برمی خاستند و اولیای مقتول را از این که انتقام بگیرند وحق خود را از جانی بستاند، جلوگیری می کردند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طریق صحیح از مالک بن عطیه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سلمة بن کهیل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که از روی خطا کسی را کشته بود 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امام از او پرسید عشیره و نزدیکان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عشیره وبستگانی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متولد شده ام و خویشان من در آنجا هستند، آنگاه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همراه با نامه ای به موصل فرستاد، و به فرماندار آنجا دستور داد که درباره او تحقیق کند که اگر</w:t>
      </w:r>
      <w:bookmarkStart w:id="109" w:name="pg6225_42040"/>
    </w:p>
    <w:p>
      <w:pPr>
        <w:pStyle w:val="BookText"/>
        <w:rPr/>
      </w:pPr>
      <w:bookmarkEnd w:id="109"/>
      <w:r>
        <w:rPr>
          <w:rFonts w:ascii="IRNazanin" w:hAnsi="IRNazanin" w:eastAsia="IRNazanin"/>
          <w:color w:val="111111"/>
          <w:sz w:val="28"/>
          <w:sz w:val="28"/>
          <w:szCs w:val="28"/>
          <w:rtl w:val="true"/>
          <w:lang w:bidi="fa-IR"/>
        </w:rPr>
        <w:t>در آن شهر، بستگانی دارد دیه اورا بر عهده بستگان پدری او بگذارد تا در ظرف سه سال بپردازند، واگر فاقد چنین بستگانی شد، دیه او را بر اهل شهر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بستگانی نداشته باشد ویا از اهل موصل نباشد، او را به کوفه برگرداند تا امام دیه او را بپردازد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بکر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مردی را عمداً کشته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بر قوم اوست و خطا و عمد او یکسان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جهات پنجگانه می تواند شبهه را تا حدی موجه جلوه دهد ولی با توجه به آنچه یادآور می شویم روشن می شود که اشکال کاملاً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از سؤال نخست</w:t>
      </w:r>
      <w:r>
        <w:rPr>
          <w:rFonts w:eastAsia="IRNazanin" w:cs="IRNazanin"/>
          <w:color w:val="111111"/>
          <w:sz w:val="28"/>
          <w:szCs w:val="28"/>
          <w:rtl w:val="true"/>
          <w:lang w:bidi="fa-IR"/>
        </w:rPr>
        <w:t>:</w:t>
      </w:r>
    </w:p>
    <w:p>
      <w:pPr>
        <w:pStyle w:val="Heading3"/>
        <w:numPr>
          <w:ilvl w:val="2"/>
          <w:numId w:val="1"/>
        </w:numPr>
        <w:rPr/>
      </w:pPr>
      <w:bookmarkStart w:id="110" w:name="__RefHeading___Toc1391351_237004111"/>
      <w:bookmarkStart w:id="111" w:name="_Toc40"/>
      <w:bookmarkEnd w:id="110"/>
      <w:r>
        <w:rPr>
          <w:rtl w:val="true"/>
        </w:rPr>
        <w:t>دیه بر عاقله، ربطی به ساختار زندگی ندارد</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در عصر جاهلی عشیره به دفاع از جانی برمی خاست، ولی دفاع آنان، فاقد هر نوع قید وشرط بود، و اسلام درباره آن، یک رشته قیودی اخذ کرد و حکم را به صورت عقل پسند و خرد پذیر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بر آن قائل شد، حکم را در دایره بسیار محدودی قرار داد و این شروط عبارتند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عمدی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خطای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از طریق بیّنه ثابت شود نه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به نفس یا اعضای بدن باشد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جنایت با بیّنه ثابت شد ولی اولیای دم، دیه را با چیزی مصالحه کنند، دیه بر عهده خود جانی است نه عاقله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سلمة بن کهیل سنداً مخدوش، و بر فرض صحت ارتباطی به شبهه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زیدی بتری است که تضعیف شده و امکان نقل او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جای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گشوده</w:t>
      </w:r>
      <w:r>
        <w:rPr>
          <w:rStyle w:val="FootnoteAnchor"/>
          <w:rtl w:val="true"/>
        </w:rPr>
        <w:footnoteReference w:id="72"/>
      </w:r>
      <w:r>
        <w:rPr>
          <w:rFonts w:ascii="IRNazanin" w:hAnsi="IRNazanin" w:eastAsia="IRNazanin"/>
          <w:color w:val="111111"/>
          <w:sz w:val="28"/>
          <w:sz w:val="28"/>
          <w:szCs w:val="28"/>
          <w:rtl w:val="true"/>
          <w:lang w:bidi="fa-IR"/>
        </w:rPr>
        <w:t xml:space="preserve">و امام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نوشیده است یک چنین فردی چطور می تواند بلا واسطه از امام نقل کند، طبعاً حدیث</w:t>
      </w:r>
    </w:p>
    <w:p>
      <w:pPr>
        <w:pStyle w:val="BookText"/>
        <w:rPr/>
      </w:pPr>
      <w:r>
        <w:rPr>
          <w:rFonts w:ascii="IRNazanin" w:hAnsi="IRNazanin" w:eastAsia="IRNazanin"/>
          <w:color w:val="111111"/>
          <w:sz w:val="28"/>
          <w:sz w:val="28"/>
          <w:szCs w:val="28"/>
          <w:rtl w:val="true"/>
          <w:lang w:bidi="fa-IR"/>
        </w:rPr>
        <w:t>مرسل خواهد بود، هر چند برقی</w:t>
      </w:r>
      <w:r>
        <w:rPr>
          <w:rStyle w:val="FootnoteAnchor"/>
          <w:rtl w:val="true"/>
        </w:rPr>
        <w:footnoteReference w:id="73"/>
      </w:r>
      <w:r>
        <w:rPr>
          <w:rFonts w:ascii="IRNazanin" w:hAnsi="IRNazanin" w:eastAsia="IRNazanin"/>
          <w:color w:val="111111"/>
          <w:sz w:val="28"/>
          <w:sz w:val="28"/>
          <w:szCs w:val="28"/>
          <w:rtl w:val="true"/>
          <w:lang w:bidi="fa-IR"/>
        </w:rPr>
        <w:t xml:space="preserve">در رجال خود او را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شیخ طوسی او را از اصحاب حضرت سجاد دانسته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فقدان خویشاوندان در موصل ویا کذب او در انتساب، دیه را بر اهل بلد تقسیط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بخش از متن، مورد اعراض اصحاب بوده وکسی بر طبق آن</w:t>
      </w:r>
    </w:p>
    <w:p>
      <w:pPr>
        <w:pStyle w:val="BookText"/>
        <w:rPr/>
      </w:pPr>
      <w:r>
        <w:rPr>
          <w:rFonts w:ascii="IRNazanin" w:hAnsi="IRNazanin" w:eastAsia="IRNazanin"/>
          <w:color w:val="111111"/>
          <w:sz w:val="28"/>
          <w:sz w:val="28"/>
          <w:szCs w:val="28"/>
          <w:rtl w:val="true"/>
          <w:lang w:bidi="fa-IR"/>
        </w:rPr>
        <w:t>فتوا نداده است، و این خود مایه سقوط حدیث از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آنچه که در آغاز روایت آمده، غیر از آن است که در میان عرب جاهلی معروف بوده، و ارتباطی به ساختار وضع زندگی آنان ندارد، زیرا در این حدیث بستگان قاتل از جانب پدر، مسئول پرداخت دیه شده اند، نه همه اقوام و عشیره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باقی می ماند روایت محمد بن ابی بکر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نوع تشریع با آنچه در عرب جاهلی بوده و یا لازمه ساختار زندگی آنان بوده است، فرسنگها فاصله دارد اتفاقاً در روایت سلمه، جانی در بصره زندگی می کرده، و عاقله در موصل، و شیوه زندگی آنان کاملاً به هم خورده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اسلام این حکم را آورد شرایط زندگی اگر چه در شبه جزیره به صورت قبیله ای بود ولی در همه جای جهان شرایط یکسان نبوده است زیرا در کشورهای ایران وروم که از تمدن بزرگی برخوردار بودند زندگی به صورت قبیله ای نبود و زندگی کاملاً شهری بوده است و چه بسا افراد با داشتن بستگان، در مناطق دور از هم زندگی می کردند، از آنجا که حکم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جهانی بوده، طبعاً اقوام ایرانی و رومی نیز محکوم به همین حکم بودند یعنی لازم بود که دیه را عاقله بپردازد و این گواه بر این</w:t>
      </w:r>
      <w:bookmarkStart w:id="112" w:name="pg6225_42043"/>
    </w:p>
    <w:p>
      <w:pPr>
        <w:pStyle w:val="BookText"/>
        <w:rPr/>
      </w:pPr>
      <w:bookmarkEnd w:id="112"/>
      <w:r>
        <w:rPr>
          <w:rFonts w:ascii="IRNazanin" w:hAnsi="IRNazanin" w:eastAsia="IRNazanin"/>
          <w:color w:val="111111"/>
          <w:sz w:val="28"/>
          <w:sz w:val="28"/>
          <w:szCs w:val="28"/>
          <w:rtl w:val="true"/>
          <w:lang w:bidi="fa-IR"/>
        </w:rPr>
        <w:t>است که حکم الهی در این مورد، محصول ساختار زندگی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دیه قاتل، نوعی مساعدت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در جاهلیت بر تمام قبیله پخش می شد و چه بسا هر فردی به پرداخت یک دینار محکوم می شد و اگر روح حکم اسلام، همان روح قبیله ای بود، اسلام باید آن را بر تمام افراد قبیله پخش کند، وهمه را مکلف به پرداخت جزئی از دیه نماید، در حالی که در اسلام دیه بر خصوص عاقله است و عاقله در لسان اسلام غیر از عاقله در عصر جاهلی است مقصود از آن در اسلام عصبه و نزدیکان قاتل از طریق پدر مانند برادر، عمو، وفرزندان آنان می باشد نه دیگر بستگان و نه مجموع قبایل با تیره و تبارهای مختلف، بنابراین نباید این حکم را برگردان حکم جاهلی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آغاز، در تبیین شبهه از شرح لمعه ومسالک شهید نقل کردیم، در عین صحت، نمی تواند گواه بر چنین برداشت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رسم رایج در آن عصر، با تشریع اسلام تفاوتهای بارزی دارد</w:t>
      </w:r>
      <w:r>
        <w:rPr>
          <w:rFonts w:eastAsia="IRNazanin" w:cs="IRNazanin"/>
          <w:color w:val="111111"/>
          <w:sz w:val="28"/>
          <w:szCs w:val="28"/>
          <w:rtl w:val="true"/>
          <w:lang w:bidi="fa-IR"/>
        </w:rPr>
        <w:t>.</w:t>
      </w:r>
    </w:p>
    <w:p>
      <w:pPr>
        <w:pStyle w:val="Heading3"/>
        <w:numPr>
          <w:ilvl w:val="2"/>
          <w:numId w:val="1"/>
        </w:numPr>
        <w:rPr/>
      </w:pPr>
      <w:bookmarkStart w:id="113" w:name="__RefHeading___Toc1391353_237004111"/>
      <w:bookmarkStart w:id="114" w:name="_Toc41"/>
      <w:bookmarkEnd w:id="113"/>
      <w:r>
        <w:rPr>
          <w:rtl w:val="true"/>
        </w:rPr>
        <w:t>چگونه فرد غیر مسئول، پیامد دیگری می پذیرد</w:t>
      </w:r>
      <w:bookmarkEnd w:id="114"/>
    </w:p>
    <w:p>
      <w:pPr>
        <w:pStyle w:val="BookText"/>
        <w:rPr/>
      </w:pPr>
      <w:r>
        <w:rPr>
          <w:rFonts w:ascii="IRNazanin" w:hAnsi="IRNazanin" w:eastAsia="IRNazanin"/>
          <w:color w:val="111111"/>
          <w:sz w:val="28"/>
          <w:sz w:val="28"/>
          <w:szCs w:val="28"/>
          <w:rtl w:val="true"/>
          <w:lang w:bidi="fa-IR"/>
        </w:rPr>
        <w:t>در اینجا سؤالی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غیر مسئول، مسئولیت قاتل را ولو در صورت خطا برعهده بگیرد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اسلامی در این مورد بر اساس یک نوع تعاون و کمک به ارحام استوار است، از آنجا که دیه انسان، دیه سنگینی</w:t>
      </w:r>
    </w:p>
    <w:p>
      <w:pPr>
        <w:pStyle w:val="BookText"/>
        <w:rPr/>
      </w:pPr>
      <w:r>
        <w:rPr>
          <w:rFonts w:ascii="IRNazanin" w:hAnsi="IRNazanin" w:eastAsia="IRNazanin"/>
          <w:color w:val="111111"/>
          <w:sz w:val="28"/>
          <w:sz w:val="28"/>
          <w:szCs w:val="28"/>
          <w:rtl w:val="true"/>
          <w:lang w:bidi="fa-IR"/>
        </w:rPr>
        <w:t>است و چه بسا افراد قادر به پرداخت آن نمی باشند، اسلام از طریق این قانون، خونبهای او را در میان خویشان که غالباً متعددند پخش می کند تا از این راه به این فرد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جانی نیز مکلف بر کفاره است که در آیه کریمه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خطأً فَتَحریرُ رَقَبَة مُؤْمِنَة وَدِیةٌ مُسلَّمَةٌ إِلی أَهْلِهِ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ممکن است تصور شود که این تعلیل در مواردی که قاتل توانا و ثروتمند باشد حاکم نیست ولی باید توجه نمود این تعلیلها از قبیل نکته تشریع و حکمت حکم است نه مناط و ملاک حکم، و تخلف در برخی از مواقع مانع از گسترش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درزندگی انسان فراوان است و الزام جانی به پرداخت آن، چه بسا خارج از توان او باشد، حکمت الهی ایجاد کرد که آن را بر دوش عاقله بگذارد آن هم به عنوان مواسات با قاتل آنجا که معذور باشد، تا تنها مکلف به پرداخت کفاره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عاقله دیه جانی را، یک نوع کمک نزدیکان به نزدیک است که نظیر آن در غیر اقارب نیز وجود دارد، مثلاً انسانی، زکات مال خود را در راه اصلاح دومسلمان</w:t>
      </w:r>
      <w:bookmarkStart w:id="115" w:name="pg6225_42045"/>
    </w:p>
    <w:p>
      <w:pPr>
        <w:pStyle w:val="BookText"/>
        <w:rPr/>
      </w:pPr>
      <w:bookmarkEnd w:id="115"/>
      <w:r>
        <w:rPr>
          <w:rFonts w:ascii="IRNazanin" w:hAnsi="IRNazanin" w:eastAsia="IRNazanin"/>
          <w:color w:val="111111"/>
          <w:sz w:val="28"/>
          <w:sz w:val="28"/>
          <w:szCs w:val="28"/>
          <w:rtl w:val="true"/>
          <w:lang w:bidi="fa-IR"/>
        </w:rPr>
        <w:t>مصرف می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نظیر این نوع ضمانت و دفع غرامت مسأله ضمان جریره است که در فقه برای خود بابی دارد و حاصل آن این است که گاهی فردی با فرد دیگر قراردادی به این نحو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قرارداد می بندم که مرا یاری کنی، و از من دفاع کنی، و دیه مرا بپردازی، و از من ارث ببری، و طرف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چه بسا قرارداد طرفینی می باشد یک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قرارداد می بندم که مرا کمک کنی، و تو را کمک کنم، و دیه مرا بپردازی و من دیه تو را بپردازم، از من ارث ببری و من از تو ارث ببرم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مسئولیت عاقله تنها تکلیف است یا همراه با ضمانت است</w:t>
      </w:r>
    </w:p>
    <w:p>
      <w:pPr>
        <w:pStyle w:val="Heading3"/>
        <w:numPr>
          <w:ilvl w:val="2"/>
          <w:numId w:val="1"/>
        </w:numPr>
        <w:rPr/>
      </w:pPr>
      <w:bookmarkStart w:id="116" w:name="__RefHeading___Toc1391355_237004111"/>
      <w:bookmarkStart w:id="117" w:name="_Toc42"/>
      <w:bookmarkEnd w:id="116"/>
      <w:r>
        <w:rPr>
          <w:rtl w:val="true"/>
        </w:rPr>
        <w:t>پاسخ پرسش دوم</w:t>
      </w:r>
      <w:r>
        <w:rPr>
          <w:rtl w:val="true"/>
        </w:rPr>
        <w:t>:</w:t>
      </w:r>
      <w:bookmarkEnd w:id="117"/>
    </w:p>
    <w:p>
      <w:pPr>
        <w:pStyle w:val="BookText"/>
        <w:rPr/>
      </w:pPr>
      <w:r>
        <w:rPr>
          <w:rFonts w:ascii="IRNazanin" w:hAnsi="IRNazanin" w:eastAsia="IRNazanin"/>
          <w:color w:val="111111"/>
          <w:sz w:val="28"/>
          <w:sz w:val="28"/>
          <w:szCs w:val="28"/>
          <w:rtl w:val="true"/>
          <w:lang w:bidi="fa-IR"/>
        </w:rPr>
        <w:t>مسئولیت تنها تکلیفی است، یا همراه با ضمانت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عاقله، فقط یک مسئولیت تکلیفی است و دیگر ضمانی بر عهده او نیست، و یا حکم در این مورد، تکلیفاً و وضعاً برعهده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عاقله فقط تکلیف به پرداخت دیه دارد به گونه ای که اگر مخالفت کرد و نپرداخت، دیگر مدیون نیست، یا علاوه بر تکلیف به</w:t>
      </w:r>
    </w:p>
    <w:p>
      <w:pPr>
        <w:pStyle w:val="BookText"/>
        <w:rPr/>
      </w:pPr>
      <w:r>
        <w:rPr>
          <w:rFonts w:ascii="IRNazanin" w:hAnsi="IRNazanin" w:eastAsia="IRNazanin"/>
          <w:color w:val="111111"/>
          <w:sz w:val="28"/>
          <w:sz w:val="28"/>
          <w:szCs w:val="28"/>
          <w:rtl w:val="true"/>
          <w:lang w:bidi="fa-IR"/>
        </w:rPr>
        <w:t>پرداخت در صورت مخالفت، مدیون نیز می باشد، نظیر این موضوع، هزینه زندگی همسر و پدر و مادر شوهر است، فقها می گویند نفقه همسر، حکم دین دارد و اگر نپرداخت مدیون است و باید بپردازد، درحالی که نسبت پدر و مادر، فقط جنبه تکلیفی دارد و اگر مخالفت کرد و نپرداخت، پرداخت مجدد لازم نمی باشد، وبه صورت دین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در این مسأله بستگی دارد که کیفیت تعلق دیه را بر عهده عاقله بررسی کنیم آیا دیه ابتداء بر جانی خطا کار، تعلق می گیرد، وسرانجام به حکم شارع، عاقله محکوم به پرداخت می شود و یا اینکه دیه ابتدا بر ذمه عاقله است وجانی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بسیار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پرداخت نیست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نظیر این اختلاف در مسأله وجوب زکات فطره در مورد همسر واولاد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نخست متوجه همسر و اولاد است، وولی، مسئولیت را بعداً برعهده می گیرد، و یا از مرحله نخست متوجه ولی می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مسأله مورد بحث در میان فقهای شیعه دو قول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شیخ طوسی در نهایه</w:t>
      </w:r>
      <w:r>
        <w:rPr>
          <w:rStyle w:val="FootnoteAnchor"/>
          <w:rtl w:val="true"/>
        </w:rPr>
        <w:footnoteReference w:id="81"/>
      </w:r>
      <w:r>
        <w:rPr>
          <w:rFonts w:ascii="IRNazanin" w:hAnsi="IRNazanin" w:eastAsia="IRNazanin"/>
          <w:color w:val="111111"/>
          <w:sz w:val="28"/>
          <w:sz w:val="28"/>
          <w:szCs w:val="28"/>
          <w:rtl w:val="true"/>
          <w:lang w:bidi="fa-IR"/>
        </w:rPr>
        <w:t>و صاحب جواهر</w:t>
      </w:r>
      <w:r>
        <w:rPr>
          <w:rStyle w:val="FootnoteAnchor"/>
          <w:rtl w:val="true"/>
        </w:rPr>
        <w:footnoteReference w:id="8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مرحوم آیة اللّه خویی</w:t>
      </w:r>
      <w:r>
        <w:rPr>
          <w:rStyle w:val="FootnoteAnchor"/>
          <w:rtl w:val="true"/>
        </w:rPr>
        <w:footnoteReference w:id="8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ابتدا بر ذمه جانی تعلق می گیرد ولی عاقله مأمور به پرداخت آن است در حالی که مشهور بین فقهای شیعه این است که دیه ابتدا بر عاقله تعلق می گیرد و اصولاً جانی محکوم به پرداخت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دیدگاه مختلف در مسئولیت عاقله</w:t>
      </w:r>
    </w:p>
    <w:p>
      <w:pPr>
        <w:pStyle w:val="BookText"/>
        <w:rPr/>
      </w:pPr>
      <w:r>
        <w:rPr>
          <w:rFonts w:ascii="IRNazanin" w:hAnsi="IRNazanin" w:eastAsia="IRNazanin"/>
          <w:color w:val="111111"/>
          <w:sz w:val="28"/>
          <w:sz w:val="28"/>
          <w:szCs w:val="28"/>
          <w:rtl w:val="true"/>
          <w:lang w:bidi="fa-IR"/>
        </w:rPr>
        <w:t>شیخ در خلاف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برعهده عاقله است، برای شافعی در مسأله دو قول است یکی اینکه از اول بر قاتل متوجه می گردد، آنگاه به عاقله منتقل می شود واین، قولِ ابوحنیفه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شافعی همان است که ما قبلاً گفتیم، گواه ما بر این که از اول بر عاقله واجب می شود این است هر روایتی که حاکی از وجوب دیه بر عاقله است، ظاهر در این است که از اول بر ذمه او است و در روایات چیزی که حاکی از آن باشد که در مرحله نخست بر قاتل واجب می شود و از او به عاقله منتقل می گردد، وجود ندارد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از اول بر عاقله واجب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علاّمه در قواعد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است قاتل چیزی از آن ضامن نیست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مسالک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دیه اختلاف نظر است آیا از اول بر جانی واجب می شود، آنگاه عاقله مسئولیت را متحمل می شود، یا از اول مسئولیت بر عاقله متوجه می گردد، از نظر اصول مذهب و روایات اظهر همان دومی است، در عین حال وجه نخست نیز خالی از دلیل نیست و آن این که اصل در ضمان این است که بر عهده تلف کننده باشد، وعدول از آن را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فرعی مترتب است و آن این که اگر عاقله نپرداخت و یا برخی از دیه باقی ماند، بر این اساس باید خود جانی بپردازد و این نظرِشیخ در نهایه و گروهی از علما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هر نوع داوری در مسأله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فقط تکلیفاً مسئولیت دارد ویا وضعاً وتکلیفاً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کیفیت تعلق دیه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کیفیت تعلق نظریه نخست را برگزیدیم و گفتیم در ابتدا، ذمه جانی مشغول، و او ضامن است در این صورت عاقله فقط تکلیفاً محکوم به پرداخت خواهد بود، نه وضعاً و اگر روزی نپرداخت فقط گناهی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لسان روایت در کیفیت مسئولیت</w:t>
      </w:r>
    </w:p>
    <w:p>
      <w:pPr>
        <w:pStyle w:val="BookText"/>
        <w:rPr/>
      </w:pPr>
      <w:r>
        <w:rPr>
          <w:rFonts w:ascii="IRNazanin" w:hAnsi="IRNazanin" w:eastAsia="IRNazanin"/>
          <w:color w:val="111111"/>
          <w:sz w:val="28"/>
          <w:sz w:val="28"/>
          <w:szCs w:val="28"/>
          <w:rtl w:val="true"/>
          <w:lang w:bidi="fa-IR"/>
        </w:rPr>
        <w:t>واگر قول مشهور را که آن نظر شیخ در خلاف، و محقق در شرایع، و علامه در قواعد، و شهید در مسالک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برگزیدیم و گفتیم دیه ابتدا بر خود عاقله تعلق می گیرد در این صورت وضعاً وتکلیفاً محکوم به پرداخت خواهد بود و اگر نپردازد به صورت دین بر ذمه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درباره اساس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بررسی لسان روایات دارد در اینجا لسان روایات مختلف است و باید از طریق تقدیم اظهر بر ظاهر یکی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برخی از روایات به حسب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 ناظر به قول نخست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جانی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 ابی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یُحمَلَ علی العاقلة إلاّالموضحةُ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موثقه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لسان دو روایت این است که این بار را به صورت غیر طبیعی بر دوش عاقله، می گذارند یعنی محل طبیعی آن، قاتل است و عاقله جور او را می کشد و بار او را به دوش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لسان روایات مذکور می توان آن را از ظاهر آیه نیز استفاده نمود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خَطأً فتحریرُ رقبة مُؤمِنة ودیة ٌمُسَلّمةٌ إلی أهله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همان گونه که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جانی است دیه نیز بر ذمه او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مؤید این نظریه ذیل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مقتول از گروهی باشد که میان مسلمانان و آنان پیمان صلحی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مُسَلَّمَةٌ إِلی أَهْلِهِ وَتَحْرِیرُ رَقَبة مُؤمِنَة فَمَنْ لَمْ یَجِدْ فَصِیامُ شَهْرَیْنِ مُتَتابِعَیْنِ</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 xml:space="preserve">زیرا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جانی برمی گردد و این می تواند گواه بر این باشد که تکالیف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رقبه،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شهرین از تکالیف جانی است، و مکلف به دیه و رقبه مؤمنه، همان فاعل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لسان دو روایت و آیه به حسب ظاهر مؤید قول نخست است در این جا می توان قول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بر عاقله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دیگر استفاده 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ابی بصیر و موثقه 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عمداً ولا اقراراً ولا 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 روایت حاکی است که عاقله در صورت عمد و نیز آنجا که جنایت به وسیله اقرار ثابت شود و یا در مورد دیه، صلحی انجام گیرد، ضامن نیست مفهوم آن، ضمانت در غیر این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ضمانت حاکی از تعلق ابتدایی نباشد لااقل، حاکی از ضمان وضعی عاقله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ضمان، اشتغال ذمه عاقله وضعاً و تکلیفاً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عاقله فراتر از تکلیف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ضمان جریره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لجأ إلی قوم فاقرّوا بولایته کانَ لهم میراثه، وعلیهم مَعْقِلَته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ضمان ضامن جریره در صورتی است که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 کار نباشد ولی از اینکه روایت، صاحب ولای جریره را ضامن دیه خوانده، و ضمان دیه را متوجه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 معقلته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زد که حکم در</w:t>
      </w:r>
    </w:p>
    <w:p>
      <w:pPr>
        <w:pStyle w:val="BookText"/>
        <w:rPr/>
      </w:pPr>
      <w:r>
        <w:rPr>
          <w:rFonts w:ascii="IRNazanin" w:hAnsi="IRNazanin" w:eastAsia="IRNazanin"/>
          <w:color w:val="111111"/>
          <w:sz w:val="28"/>
          <w:sz w:val="28"/>
          <w:szCs w:val="28"/>
          <w:rtl w:val="true"/>
          <w:lang w:bidi="fa-IR"/>
        </w:rPr>
        <w:t>عاقله نیز به همین نحو است، یعنی او نیز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القاتلُ أو الجارحُ قرویّین فإنّ دیة ما جنی من الخطأ علی أولیائه من القرویین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مقصود از اولیا در این روایت عصبه است و ظاهر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ابتدا بر اولیای قاتل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حلبی در مورد قاتل نابینا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جنایتُه خطأ یلزم عاقلتَه، یؤخذون بها فی ثلاث سنین فی کلّ سنة نجماً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دیه ابتدا دامنگیر عاقله است و در ذیل دارد که اگر عاقله ای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دیة ما جنی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ملزم به پرداخت می شود، این بیان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دیه بر عاقله بسان لزوم دیه بر خود اعمی است آنگاه که عاقله ای وجود نداشته باشد، و چون لزوم دیه بر اعمی جنبه وضعی دارد قهراً بر خود عاقله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قتل به وسیله اقرار خاطی ثابت شود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فاعترفَ عنده فجعله فی ماله خاصة ولم یجعلها علی العاقلة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جعل دیه در صورت اقرار بر عهده قاتل وضعاً وتکلیفاً خواهد بود می توان حدس زد که کیفیت آن آنجا که از طریق بینه ثابت شود با جعل پیشین،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بکر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مجنونی عمداً کسی را کشته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را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الدیة علی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مسئولیت عاقله همراه با ضمانت است</w:t>
      </w:r>
    </w:p>
    <w:p>
      <w:pPr>
        <w:pStyle w:val="BookText"/>
        <w:rPr/>
      </w:pPr>
      <w:r>
        <w:rPr>
          <w:rFonts w:ascii="IRNazanin" w:hAnsi="IRNazanin" w:eastAsia="IRNazanin"/>
          <w:color w:val="111111"/>
          <w:sz w:val="28"/>
          <w:sz w:val="28"/>
          <w:szCs w:val="28"/>
          <w:rtl w:val="true"/>
          <w:lang w:bidi="fa-IR"/>
        </w:rPr>
        <w:t>و این جمله حاکی از آن است که دیه بر خود عاقله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در این روایات آمده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تضمنُ العاقلة، عمداً ولا اقراراً ولا 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علیهم معقلته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أولیائه من القرویّین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 عاقلته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یجعلها علی العاقلة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الدیة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 مطلب می تواند شاهد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از مرحله نخست متوجه عاقله بوده و در مواردی که شرایط لازم وجود نداشته، مسئولیت متوجه جانی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عاقله فراتر از یک تکلیف مجرد بوده، بلکه توأم با ضمان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فقهای عظام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یاد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ضمان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دلایل دو طرف می توان قول دوم را تأیید کرد و اینکه ابتدا بر خود عاقله تعلق می گیرد و ناگفته پیداست این نوع تعلق ابتدایی نمی تواند تکلیف محض باشد، زیرا ظاهر تمام روایات گروه دوم به حکم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العاقلة، علی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اشتغال ذمه او به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اشتغال ملازم با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اگر در تعلق ابتدایی،عاقله، تنها حکم تکلیفی باشد نتیجه آن هدر رفتن خون مؤمن خواهد بود چه بسا عاقله، زیر بار نرفته و آماده پرداخت نمی شود و از طرفی نیز حاکم نمی تواند او را مجبور به پرداخت کند زیرا ذمه او مشغول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چیزی که باقی می ماند تفسیر لسان روایات گروه نخست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تعلق آن بر ذمه جانی بود، در توجیه آن می گوییم که 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فعلیت تعلق نیست، بلکه وجود مقتضی بر تعلق بر ذمه قاتل، و نادیده گرفتن آن، کافی در صدق این لفظ است وبه عبارت دیگر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آن نیست که دیه قبلاً بر عهده جانی است، سپس برعاقله تحمیل شده است، بلکه در این مورد کافی است که طبع قضیه ایجاب می کرد که دیه هر کس، بر عهده خود اوباشد، ولی چون به این اقتضا ترتیب اثر داده نشده،طبعاً بر عاقله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استظهار از آیه، همین پاسخ را می توان داد، گذشته از این که، استظهار از آیه، بسیار بدوی و لرزان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برابر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18" w:name="pg6225_42056"/>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آیات</w:t>
      </w:r>
    </w:p>
    <w:p>
      <w:pPr>
        <w:pStyle w:val="Heading3"/>
        <w:numPr>
          <w:ilvl w:val="2"/>
          <w:numId w:val="1"/>
        </w:numPr>
        <w:rPr/>
      </w:pPr>
      <w:bookmarkStart w:id="119" w:name="__RefHeading___Toc1391357_237004111"/>
      <w:bookmarkStart w:id="120" w:name="_Toc43"/>
      <w:bookmarkEnd w:id="119"/>
      <w:r>
        <w:rPr>
          <w:rtl w:val="true"/>
        </w:rPr>
        <w:t>روایة ظریف فی الدیات</w:t>
      </w:r>
      <w:bookmarkEnd w:id="120"/>
    </w:p>
    <w:p>
      <w:pPr>
        <w:pStyle w:val="BookText"/>
        <w:rPr/>
      </w:pPr>
      <w:r>
        <w:rPr>
          <w:rFonts w:ascii="IRNazanin" w:hAnsi="IRNazanin" w:eastAsia="IRNazanin"/>
          <w:color w:val="111111"/>
          <w:sz w:val="28"/>
          <w:sz w:val="28"/>
          <w:szCs w:val="28"/>
          <w:rtl w:val="true"/>
          <w:lang w:bidi="fa-IR"/>
        </w:rPr>
        <w:t>در میان محدثان شیعی، کتاب دیات ظریف بن ناصح از شهرت بالایی برخوردار است، شیخ کلینی تمام روایات این کتاب را بر ابواب دیات بخش کرده است، در حالی که شیخ صدوق در من لایحضره الفقیه همه را یک جا در آغاز کتاب دیات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هر چند به نام ظریف بن ناصح معروف است ولی در حقیقت کتاب از آن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دوران حکومت آن حضرت به قلم او تحریر یافته و ظریف بن ناصح واسطه و ناقل 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قرن هفتم یحیی بن سعید حلّی</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اسانید مختلف در آخر کتاب جامع للشرائع نقل کرده است و این کتاب در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شده و در مواردی توضیحاتی در پاورقی داده شده است، انگیزه از نقل این حدیث در آخر این رساله که در حقیقت کتاب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جلب توجه کسانی است که تصور می کنند امکان دارد مقادیر دیات در روایات امر موقت باشد و می توان چیز دیگر را جایگزین آن قرار داد، در حالی که این نوع گسترده گویی و موشکافی و بیان تمام جزئیات به صورت بس زیبا از ویژگیهای احکام الهی است، نه احکام ولایی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نمونه ای از علم گسترده امام نسبت به احکام شرع است که پیروان امام باید با آن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یادی از استادمان حضرت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بکنیم که می فرمود روایت ظرف همان کتاب دیات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نام ناقل مشهور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ولما انتهیت إلی هنا، وهو المقصود بالکتاب، سأل من أوجب حقه إثبات کتاب الدیات لظریف بن ناصح رحمه اللّه باسناده، فأجبته إلی ذلک، وها أنا ذاکره علی وجهه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السید الفقیه العالم الصالح محیی الدین أبو حامد محمد بن عبد اللّه بن علی بن زهرة الحسینی الحلبی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الفقیه محمد بن علی بن شهرآشوب، عن أبی الفضل الداعی، وأبی الرضا فضل اللّه بن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وأبی الفتوح أحمد بن علی الرازی، وأبی علی محمد بن الفضل الطبرسی، ومحمد وعلی ابنی علی بن عبد الصمد النیشابوری، ومحمد بن الحسن الشوهانی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وکلّهم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وعبد الجبار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السوهانی بالمهملة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 عن الشیخ أبی جعفر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وأخبرنی الشیخ محمد بن أبی البرکات بن إبراهیم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رجب سنة ست وثلاثین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الشیخ أبی عبد اللّه الحسین بن هبة اللّه بن رطبة السوراوی</w:t>
      </w:r>
      <w:r>
        <w:rPr>
          <w:rStyle w:val="FootnoteAnchor"/>
          <w:rtl w:val="true"/>
        </w:rPr>
        <w:footnoteReference w:id="90"/>
      </w:r>
      <w:r>
        <w:rPr>
          <w:rFonts w:ascii="IRNazanin" w:hAnsi="IRNazanin" w:eastAsia="IRNazanin"/>
          <w:color w:val="111111"/>
          <w:sz w:val="28"/>
          <w:sz w:val="28"/>
          <w:szCs w:val="28"/>
          <w:rtl w:val="true"/>
          <w:lang w:bidi="fa-IR"/>
        </w:rPr>
        <w:t>، عن أبی علی، عن والده الشیخ أبی جعفر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وأخبرنی السید المذکور، عن الفقیه عز الدین أبی الحرث محمد بن الحسن بن علی</w:t>
      </w:r>
      <w:r>
        <w:rPr>
          <w:rStyle w:val="FootnoteAnchor"/>
          <w:rtl w:val="true"/>
        </w:rPr>
        <w:footnoteReference w:id="91"/>
      </w:r>
      <w:r>
        <w:rPr>
          <w:rFonts w:ascii="IRNazanin" w:hAnsi="IRNazanin" w:eastAsia="IRNazanin"/>
          <w:color w:val="111111"/>
          <w:sz w:val="28"/>
          <w:sz w:val="28"/>
          <w:szCs w:val="28"/>
          <w:rtl w:val="true"/>
          <w:lang w:bidi="fa-IR"/>
        </w:rPr>
        <w:t>الحسینی البغدادی، عن الفقیه قطب الدین أبی الحسن</w:t>
      </w:r>
      <w:r>
        <w:rPr>
          <w:rStyle w:val="FootnoteAnchor"/>
          <w:rtl w:val="true"/>
        </w:rPr>
        <w:footnoteReference w:id="92"/>
      </w:r>
      <w:r>
        <w:rPr>
          <w:rFonts w:ascii="IRNazanin" w:hAnsi="IRNazanin" w:eastAsia="IRNazanin"/>
          <w:color w:val="111111"/>
          <w:sz w:val="28"/>
          <w:sz w:val="28"/>
          <w:szCs w:val="28"/>
          <w:rtl w:val="true"/>
          <w:lang w:bidi="fa-IR"/>
        </w:rPr>
        <w:t>الراوندی، عن أبی جعفر محمد بن علی بن الحسن</w:t>
      </w:r>
      <w:r>
        <w:rPr>
          <w:rStyle w:val="FootnoteAnchor"/>
          <w:rtl w:val="true"/>
        </w:rPr>
        <w:footnoteReference w:id="93"/>
      </w:r>
      <w:r>
        <w:rPr>
          <w:rFonts w:ascii="IRNazanin" w:hAnsi="IRNazanin" w:eastAsia="IRNazanin"/>
          <w:color w:val="111111"/>
          <w:sz w:val="28"/>
          <w:sz w:val="28"/>
          <w:szCs w:val="28"/>
          <w:rtl w:val="true"/>
          <w:lang w:bidi="fa-IR"/>
        </w:rPr>
        <w:t>الحلبی، عن الشیخ أبی جعفر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 عبد اللّه محمد بن محمد بن النعمان الحارثی، عن أبی جعفر محمد بن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الولید، عن محمد بن الحسن الصفار، عن أحمد بن محمد بن عیسی، عن الحسن بن علی بن فضال، عن ظریف بن ناصح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الحسن بن الولید، عن أحمد بن إدریس،</w:t>
      </w:r>
    </w:p>
    <w:p>
      <w:pPr>
        <w:pStyle w:val="BookText"/>
        <w:rPr/>
      </w:pPr>
      <w:r>
        <w:rPr>
          <w:rFonts w:ascii="IRNazanin" w:hAnsi="IRNazanin" w:eastAsia="IRNazanin"/>
          <w:color w:val="111111"/>
          <w:sz w:val="28"/>
          <w:sz w:val="28"/>
          <w:szCs w:val="28"/>
          <w:rtl w:val="true"/>
          <w:lang w:bidi="fa-IR"/>
        </w:rPr>
        <w:t>عن محمد بن حسان الرازی، عن إسماعیل بن جعفر الکندی، عن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یقال له عبد اللّه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عمرو المتطبب</w:t>
      </w:r>
      <w:r>
        <w:rPr>
          <w:rStyle w:val="FootnoteAnchor"/>
          <w:rtl w:val="true"/>
        </w:rPr>
        <w:footnoteReference w:id="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هذه الروایة علی أبی عبد اللّه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أبی جعفر الطوسی، عن الشیخ أبی عبد اللّه، عن أبی القاسم جعفر بن محمد بن قولویه، عن محمد بن یعقوب الکلینی، عن علی بن إبراهیم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الشیخ أبی عبد اللّه، والحسین بن عبد اللّه</w:t>
      </w:r>
      <w:r>
        <w:rPr>
          <w:rStyle w:val="FootnoteAnchor"/>
          <w:rtl w:val="true"/>
        </w:rPr>
        <w:footnoteReference w:id="95"/>
      </w:r>
      <w:r>
        <w:rPr>
          <w:rFonts w:ascii="IRNazanin" w:hAnsi="IRNazanin" w:eastAsia="IRNazanin"/>
          <w:color w:val="111111"/>
          <w:sz w:val="28"/>
          <w:sz w:val="28"/>
          <w:szCs w:val="28"/>
          <w:rtl w:val="true"/>
          <w:lang w:bidi="fa-IR"/>
        </w:rPr>
        <w:t>، وأحمد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حمزة العلوی الطبری، عن علی بن إبراهیم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الحسین بن عبد اللّه</w:t>
      </w:r>
      <w:r>
        <w:rPr>
          <w:rStyle w:val="FootnoteAnchor"/>
          <w:rtl w:val="true"/>
        </w:rPr>
        <w:footnoteReference w:id="96"/>
      </w:r>
      <w:r>
        <w:rPr>
          <w:rFonts w:ascii="IRNazanin" w:hAnsi="IRNazanin" w:eastAsia="IRNazanin"/>
          <w:color w:val="111111"/>
          <w:sz w:val="28"/>
          <w:sz w:val="28"/>
          <w:szCs w:val="28"/>
          <w:rtl w:val="true"/>
          <w:lang w:bidi="fa-IR"/>
        </w:rPr>
        <w:t>، عن أبی غالب أحمد بن محمد الزراری، وأبی محمد هارون بن موسی التلعکبری، وأبی القاسم بن قولویه، وأبی عبد اللّه أحمد بن أبی رافع الصیمری</w:t>
      </w:r>
      <w:r>
        <w:rPr>
          <w:rStyle w:val="FootnoteAnchor"/>
          <w:rtl w:val="true"/>
        </w:rPr>
        <w:footnoteReference w:id="97"/>
      </w:r>
      <w:r>
        <w:rPr>
          <w:rFonts w:ascii="IRNazanin" w:hAnsi="IRNazanin" w:eastAsia="IRNazanin"/>
          <w:color w:val="111111"/>
          <w:sz w:val="28"/>
          <w:sz w:val="28"/>
          <w:szCs w:val="28"/>
          <w:rtl w:val="true"/>
          <w:lang w:bidi="fa-IR"/>
        </w:rPr>
        <w:t>، وأبی المفضل</w:t>
      </w:r>
      <w:r>
        <w:rPr>
          <w:rStyle w:val="FootnoteAnchor"/>
          <w:rtl w:val="true"/>
        </w:rPr>
        <w:footnoteReference w:id="98"/>
      </w:r>
      <w:r>
        <w:rPr>
          <w:rFonts w:ascii="IRNazanin" w:hAnsi="IRNazanin" w:eastAsia="IRNazanin"/>
          <w:color w:val="111111"/>
          <w:sz w:val="28"/>
          <w:sz w:val="28"/>
          <w:szCs w:val="28"/>
          <w:rtl w:val="true"/>
          <w:lang w:bidi="fa-IR"/>
        </w:rPr>
        <w:t>الشیبانی،وغیرهم کلّهم عن محمد بن یعقوب، عن</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أحمد بن عبدون، عن أحمد بن أبی رافع، وأبی الحسین عبد الکریم بن عبد اللّه بن نصر البزاز بتنیس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وبغداد، عن محمد بن یعقوب، عن علی بن إبراهیم، عن أبیه، عن ابن فضال، عن ظریف بن ناصح وسهل بن زیاد، عن الحسن بن ظریف، عن أبیه ظریف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فضال، ومحمد بن عیسی، عن یونس قال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w:t>
      </w:r>
      <w:r>
        <w:rPr>
          <w:rStyle w:val="FootnoteAnchor"/>
          <w:rtl w:val="true"/>
        </w:rPr>
        <w:footnoteReference w:id="100"/>
      </w:r>
      <w:r>
        <w:rPr>
          <w:rFonts w:ascii="IRNazanin" w:hAnsi="IRNazanin" w:eastAsia="IRNazanin"/>
          <w:color w:val="111111"/>
          <w:sz w:val="28"/>
          <w:sz w:val="28"/>
          <w:szCs w:val="28"/>
          <w:rtl w:val="true"/>
          <w:lang w:bidi="fa-IR"/>
        </w:rPr>
        <w:t>علیه هذا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 وقد کان أمیر المؤمنین علیه السلام یأمر عماله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علیه السلام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فی کلّ عظم له مخ</w:t>
      </w:r>
      <w:r>
        <w:rPr>
          <w:rStyle w:val="FootnoteAnchor"/>
          <w:rtl w:val="true"/>
        </w:rPr>
        <w:footnoteReference w:id="102"/>
      </w:r>
      <w:r>
        <w:rPr>
          <w:rFonts w:ascii="IRNazanin" w:hAnsi="IRNazanin" w:eastAsia="IRNazanin"/>
          <w:color w:val="111111"/>
          <w:sz w:val="28"/>
          <w:sz w:val="28"/>
          <w:szCs w:val="28"/>
          <w:rtl w:val="true"/>
          <w:lang w:bidi="fa-IR"/>
        </w:rPr>
        <w:t>فریضة 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 إذا کسر فجبر علی غیر عثم</w:t>
      </w:r>
      <w:r>
        <w:rPr>
          <w:rStyle w:val="FootnoteAnchor"/>
          <w:rtl w:val="true"/>
        </w:rPr>
        <w:footnoteReference w:id="103"/>
      </w:r>
      <w:r>
        <w:rPr>
          <w:rFonts w:ascii="IRNazanin" w:hAnsi="IRNazanin" w:eastAsia="IRNazanin"/>
          <w:color w:val="111111"/>
          <w:sz w:val="28"/>
          <w:sz w:val="28"/>
          <w:szCs w:val="28"/>
          <w:rtl w:val="true"/>
          <w:lang w:bidi="fa-IR"/>
        </w:rPr>
        <w:t>ولا عیب، جعل فریضة الدیة 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فی الجروح والجنین،والأشفار، والشلل، والأعضاء، والابهام، لکلّ جزء ستة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دیة الجنین مائة دینار</w:t>
      </w:r>
      <w:r>
        <w:rPr>
          <w:rStyle w:val="FootnoteAnchor"/>
          <w:rtl w:val="true"/>
        </w:rPr>
        <w:footnoteReference w:id="104"/>
      </w:r>
      <w:r>
        <w:rPr>
          <w:rFonts w:ascii="IRNazanin" w:hAnsi="IRNazanin" w:eastAsia="IRNazanin"/>
          <w:color w:val="111111"/>
          <w:sz w:val="28"/>
          <w:sz w:val="28"/>
          <w:szCs w:val="28"/>
          <w:rtl w:val="true"/>
          <w:lang w:bidi="fa-IR"/>
        </w:rPr>
        <w:t>، وجعل منی الرجل إلی أن یکون جنیناً خمسة أجزاء، فإذا کان جنیناً قبل أن تلجه الروح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للنطفة عشرین دیناراً وهو الرجل یفزع</w:t>
      </w:r>
      <w:r>
        <w:rPr>
          <w:rStyle w:val="FootnoteAnchor"/>
          <w:rtl w:val="true"/>
        </w:rPr>
        <w:footnoteReference w:id="105"/>
      </w:r>
      <w:r>
        <w:rPr>
          <w:rFonts w:ascii="IRNazanin" w:hAnsi="IRNazanin" w:eastAsia="IRNazanin"/>
          <w:color w:val="111111"/>
          <w:sz w:val="28"/>
          <w:sz w:val="28"/>
          <w:szCs w:val="28"/>
          <w:rtl w:val="true"/>
          <w:lang w:bidi="fa-IR"/>
        </w:rPr>
        <w:t>عن عرسه، فیلقی نطفته، وهو</w:t>
      </w:r>
      <w:r>
        <w:rPr>
          <w:rStyle w:val="FootnoteAnchor"/>
          <w:rtl w:val="true"/>
        </w:rPr>
        <w:footnoteReference w:id="106"/>
      </w:r>
      <w:r>
        <w:rPr>
          <w:rFonts w:ascii="IRNazanin" w:hAnsi="IRNazanin" w:eastAsia="IRNazanin"/>
          <w:color w:val="111111"/>
          <w:sz w:val="28"/>
          <w:sz w:val="28"/>
          <w:szCs w:val="28"/>
          <w:rtl w:val="true"/>
          <w:lang w:bidi="fa-IR"/>
        </w:rPr>
        <w:t>لا یرید ذلک، فجعل فیها أمیر المؤمنین علیه السلام عشرین دیناراً الخمس</w:t>
      </w:r>
      <w:r>
        <w:rPr>
          <w:rStyle w:val="FootnoteAnchor"/>
          <w:rtl w:val="true"/>
        </w:rPr>
        <w:footnoteReference w:id="107"/>
      </w:r>
      <w:r>
        <w:rPr>
          <w:rFonts w:ascii="IRNazanin" w:hAnsi="IRNazanin" w:eastAsia="IRNazanin"/>
          <w:color w:val="111111"/>
          <w:sz w:val="28"/>
          <w:sz w:val="28"/>
          <w:szCs w:val="28"/>
          <w:rtl w:val="true"/>
          <w:lang w:bidi="fa-IR"/>
        </w:rPr>
        <w:t>، والعلقة خمسی ذلک، أربعین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للمرأة أیضاً تطرق أو تضرب فتلقیه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للمضغة ستین دیناراً إذا طرحته أیضاً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للعظم ثمانین دیناراً إذا طرحته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الجنین أیضاً مائة دینار إذا طرقهم عدو فأسقطن النساء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علی النساء ذلک من جهة المعقلة</w:t>
      </w:r>
      <w:r>
        <w:rPr>
          <w:rStyle w:val="FootnoteAnchor"/>
          <w:rtl w:val="true"/>
        </w:rPr>
        <w:footnoteReference w:id="108"/>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ولد المولود واستهل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فبیتوهم</w:t>
      </w:r>
      <w:r>
        <w:rPr>
          <w:rStyle w:val="FootnoteAnchor"/>
          <w:rtl w:val="true"/>
        </w:rPr>
        <w:footnoteReference w:id="109"/>
      </w:r>
      <w:r>
        <w:rPr>
          <w:rFonts w:ascii="IRNazanin" w:hAnsi="IRNazanin" w:eastAsia="IRNazanin"/>
          <w:color w:val="111111"/>
          <w:sz w:val="28"/>
          <w:sz w:val="28"/>
          <w:szCs w:val="28"/>
          <w:rtl w:val="true"/>
          <w:lang w:bidi="fa-IR"/>
        </w:rPr>
        <w:t>فقتلوا</w:t>
      </w:r>
    </w:p>
    <w:p>
      <w:pPr>
        <w:pStyle w:val="BookText"/>
        <w:rPr/>
      </w:pPr>
      <w:r>
        <w:rPr>
          <w:rFonts w:ascii="IRNazanin" w:hAnsi="IRNazanin" w:eastAsia="IRNazanin"/>
          <w:color w:val="111111"/>
          <w:sz w:val="28"/>
          <w:sz w:val="28"/>
          <w:szCs w:val="28"/>
          <w:rtl w:val="true"/>
          <w:lang w:bidi="fa-IR"/>
        </w:rPr>
        <w:t>الصبیان، ففیهم ألف دینار للذکر، والأُنثی علی مثل هذا الحساب علی خمسمائة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المرأة إذا قتلت وهی حامل متم</w:t>
      </w:r>
      <w:r>
        <w:rPr>
          <w:rStyle w:val="FootnoteAnchor"/>
          <w:rtl w:val="true"/>
        </w:rPr>
        <w:footnoteReference w:id="110"/>
      </w:r>
      <w:r>
        <w:rPr>
          <w:rFonts w:ascii="IRNazanin" w:hAnsi="IRNazanin" w:eastAsia="IRNazanin"/>
          <w:color w:val="111111"/>
          <w:sz w:val="28"/>
          <w:sz w:val="28"/>
          <w:szCs w:val="28"/>
          <w:rtl w:val="true"/>
          <w:lang w:bidi="fa-IR"/>
        </w:rPr>
        <w:t>ولم یسقط ولدها، ولم یعلم ذکر هو أو أُنثی، ولم یعلم بعدها مات أو قبلها، فدیته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دیة الذکر ونصف دیة الأُنثی، ودیة المرأة کاملة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وأفتی فی منی الرجل یفترغ عن عرسه، فیعزل عنها الماء ولم ترد ذلک، نصف خمس المائة من دیة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دنانیر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أفرغ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فی قصاص جراحته ومعقلته علی قدر</w:t>
      </w:r>
      <w:r>
        <w:rPr>
          <w:rStyle w:val="FootnoteAnchor"/>
          <w:rtl w:val="true"/>
        </w:rPr>
        <w:footnoteReference w:id="111"/>
      </w:r>
      <w:r>
        <w:rPr>
          <w:rFonts w:ascii="IRNazanin" w:hAnsi="IRNazanin" w:eastAsia="IRNazanin"/>
          <w:color w:val="111111"/>
          <w:sz w:val="28"/>
          <w:sz w:val="28"/>
          <w:szCs w:val="28"/>
          <w:rtl w:val="true"/>
          <w:lang w:bidi="fa-IR"/>
        </w:rPr>
        <w:t>دیته، وهی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 فی دیة جراح الجنین من حساب المائة علی ما یکون من جراح الرجل والمرأة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وأفتی علیه السلام فی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ستة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والبصر، والسمع، والکلام، ونقص الصوت من الغنن</w:t>
      </w:r>
      <w:r>
        <w:rPr>
          <w:rStyle w:val="FootnoteAnchor"/>
          <w:rtl w:val="true"/>
        </w:rPr>
        <w:footnoteReference w:id="112"/>
      </w:r>
      <w:r>
        <w:rPr>
          <w:rFonts w:ascii="IRNazanin" w:hAnsi="IRNazanin" w:eastAsia="IRNazanin"/>
          <w:color w:val="111111"/>
          <w:sz w:val="28"/>
          <w:sz w:val="28"/>
          <w:szCs w:val="28"/>
          <w:rtl w:val="true"/>
          <w:lang w:bidi="fa-IR"/>
        </w:rPr>
        <w:t>و البحح</w:t>
      </w:r>
      <w:r>
        <w:rPr>
          <w:rStyle w:val="FootnoteAnchor"/>
          <w:rtl w:val="true"/>
        </w:rPr>
        <w:footnoteReference w:id="113"/>
      </w:r>
      <w:r>
        <w:rPr>
          <w:rFonts w:ascii="IRNazanin" w:hAnsi="IRNazanin" w:eastAsia="IRNazanin"/>
          <w:color w:val="111111"/>
          <w:sz w:val="28"/>
          <w:sz w:val="28"/>
          <w:szCs w:val="28"/>
          <w:rtl w:val="true"/>
          <w:lang w:bidi="fa-IR"/>
        </w:rPr>
        <w:t>، والشلل من الیدین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هذا بقیاس ذلک الحکم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مع کلّ شیء من هذه قسامة علی نحو ما بلغت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جعل</w:t>
      </w:r>
      <w:r>
        <w:rPr>
          <w:rStyle w:val="FootnoteAnchor"/>
          <w:rtl w:val="true"/>
        </w:rPr>
        <w:footnoteReference w:id="114"/>
      </w:r>
      <w:r>
        <w:rPr>
          <w:rFonts w:ascii="IRNazanin" w:hAnsi="IRNazanin" w:eastAsia="IRNazanin"/>
          <w:color w:val="111111"/>
          <w:sz w:val="28"/>
          <w:sz w:val="28"/>
          <w:szCs w:val="28"/>
          <w:rtl w:val="true"/>
          <w:lang w:bidi="fa-IR"/>
        </w:rPr>
        <w:t xml:space="preserve">علی العمد خمسین رجلاً، وعلی الخطأ خمسة وعشرین، وعلی ما بلغت دیته ألف دینار من الجروح بقسامة ستة نفر، فما کان دون ذلک فحسابه علی ستة نفر، والقسامة فی النفس والسمع والبصر والعقل والصوت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الغنن والبحح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الیدین والرجلین، فهذه ستة أجزاء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فالدیة فی النفس ألف دینار، والأنف ألف دینار، والصوت کلّه من الغنن والبحح ألف دینار، وشلل الیدین ألف دینار، وذهاب السمع کلّه ألف دینار، وذهاب البصر کلّه ألف دینار، والرجلین جمیعاً ألف دینار، والشفتین إذا استؤصلتا</w:t>
      </w:r>
      <w:r>
        <w:rPr>
          <w:rStyle w:val="FootnoteAnchor"/>
          <w:rtl w:val="true"/>
        </w:rPr>
        <w:footnoteReference w:id="115"/>
      </w:r>
      <w:r>
        <w:rPr>
          <w:rFonts w:ascii="IRNazanin" w:hAnsi="IRNazanin" w:eastAsia="IRNazanin"/>
          <w:color w:val="111111"/>
          <w:sz w:val="28"/>
          <w:sz w:val="28"/>
          <w:szCs w:val="28"/>
          <w:rtl w:val="true"/>
          <w:lang w:bidi="fa-IR"/>
        </w:rPr>
        <w:t>ألف دینار، والظهر إذا أحدب</w:t>
      </w:r>
      <w:r>
        <w:rPr>
          <w:rStyle w:val="FootnoteAnchor"/>
          <w:rtl w:val="true"/>
        </w:rPr>
        <w:footnoteReference w:id="116"/>
      </w:r>
      <w:r>
        <w:rPr>
          <w:rFonts w:ascii="IRNazanin" w:hAnsi="IRNazanin" w:eastAsia="IRNazanin"/>
          <w:color w:val="111111"/>
          <w:sz w:val="28"/>
          <w:sz w:val="28"/>
          <w:szCs w:val="28"/>
          <w:rtl w:val="true"/>
          <w:lang w:bidi="fa-IR"/>
        </w:rPr>
        <w:t>ألف دینار، والذکر</w:t>
      </w:r>
      <w:r>
        <w:rPr>
          <w:rStyle w:val="FootnoteAnchor"/>
          <w:rtl w:val="true"/>
        </w:rPr>
        <w:footnoteReference w:id="117"/>
      </w:r>
      <w:r>
        <w:rPr>
          <w:rFonts w:ascii="IRNazanin" w:hAnsi="IRNazanin" w:eastAsia="IRNazanin"/>
          <w:color w:val="111111"/>
          <w:sz w:val="28"/>
          <w:sz w:val="28"/>
          <w:szCs w:val="28"/>
          <w:rtl w:val="true"/>
          <w:lang w:bidi="fa-IR"/>
        </w:rPr>
        <w:t>فیه ألف دینار، واللسان إذا استؤصل ألف دینار، والأُنثیین ألف دینار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علیه السلام دیة الجراحة فی الأعضاء کلّها فی الرأس والوجه، وسائر الجسد من السمع، والبصر، والصوت، والعقل، والیدین،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القطع، والکسر، والصد</w:t>
      </w:r>
      <w:r>
        <w:rPr>
          <w:rStyle w:val="FootnoteAnchor"/>
          <w:rtl w:val="true"/>
        </w:rPr>
        <w:footnoteReference w:id="118"/>
      </w:r>
      <w:r>
        <w:rPr>
          <w:rFonts w:ascii="IRNazanin" w:hAnsi="IRNazanin" w:eastAsia="IRNazanin"/>
          <w:color w:val="111111"/>
          <w:sz w:val="28"/>
          <w:sz w:val="28"/>
          <w:szCs w:val="28"/>
          <w:rtl w:val="true"/>
          <w:lang w:bidi="fa-IR"/>
        </w:rPr>
        <w:t>، والبطط</w:t>
      </w:r>
      <w:r>
        <w:rPr>
          <w:rStyle w:val="FootnoteAnchor"/>
          <w:rtl w:val="true"/>
        </w:rPr>
        <w:footnoteReference w:id="119"/>
      </w:r>
      <w:r>
        <w:rPr>
          <w:rFonts w:ascii="Amiri" w:hAnsi="Amiri" w:eastAsia="Amiri" w:cs="Amiri"/>
          <w:color w:val="111111"/>
          <w:sz w:val="28"/>
          <w:sz w:val="28"/>
          <w:szCs w:val="28"/>
          <w:rtl w:val="true"/>
          <w:lang w:bidi="ar-SA"/>
        </w:rPr>
        <w:t>، والموضحة</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والدامیة</w:t>
      </w:r>
      <w:r>
        <w:rPr>
          <w:rStyle w:val="FootnoteAnchor"/>
          <w:rtl w:val="true"/>
        </w:rPr>
        <w:footnoteReference w:id="121"/>
      </w:r>
      <w:r>
        <w:rPr>
          <w:rFonts w:ascii="IRNazanin" w:hAnsi="IRNazanin" w:eastAsia="IRNazanin"/>
          <w:color w:val="111111"/>
          <w:sz w:val="28"/>
          <w:sz w:val="28"/>
          <w:szCs w:val="28"/>
          <w:rtl w:val="true"/>
          <w:lang w:bidi="fa-IR"/>
        </w:rPr>
        <w:t>، ونقل العظام</w:t>
      </w:r>
      <w:r>
        <w:rPr>
          <w:rStyle w:val="FootnoteAnchor"/>
          <w:rtl w:val="true"/>
        </w:rPr>
        <w:footnoteReference w:id="122"/>
      </w:r>
      <w:r>
        <w:rPr>
          <w:rFonts w:ascii="Amiri" w:hAnsi="Amiri" w:eastAsia="Amiri" w:cs="Amiri"/>
          <w:color w:val="111111"/>
          <w:sz w:val="28"/>
          <w:sz w:val="28"/>
          <w:szCs w:val="28"/>
          <w:rtl w:val="true"/>
          <w:lang w:bidi="ar-SA"/>
        </w:rPr>
        <w:t>، والناقبة</w:t>
      </w:r>
      <w:r>
        <w:rPr>
          <w:rStyle w:val="FootnoteAnchor"/>
          <w:rtl w:val="true"/>
        </w:rPr>
        <w:footnoteReference w:id="123"/>
      </w:r>
      <w:r>
        <w:rPr>
          <w:rFonts w:ascii="IRNazanin" w:hAnsi="IRNazanin" w:eastAsia="IRNazanin"/>
          <w:color w:val="111111"/>
          <w:sz w:val="28"/>
          <w:sz w:val="28"/>
          <w:szCs w:val="28"/>
          <w:rtl w:val="true"/>
          <w:lang w:bidi="fa-IR"/>
        </w:rPr>
        <w:t>تکون فی شیء من ذلک، فما کان من عظم کسر فجبر علی غیر عثم ولا عیب ولم تنقل منه العظام، فإنّ دیته معلومة، فإذا أوضح</w:t>
      </w:r>
      <w:r>
        <w:rPr>
          <w:rStyle w:val="FootnoteAnchor"/>
          <w:rtl w:val="true"/>
        </w:rPr>
        <w:footnoteReference w:id="124"/>
      </w:r>
      <w:r>
        <w:rPr>
          <w:rFonts w:ascii="IRNazanin" w:hAnsi="IRNazanin" w:eastAsia="IRNazanin"/>
          <w:color w:val="111111"/>
          <w:sz w:val="28"/>
          <w:sz w:val="28"/>
          <w:szCs w:val="28"/>
          <w:rtl w:val="true"/>
          <w:lang w:bidi="fa-IR"/>
        </w:rPr>
        <w:t>ولم ینقل منه العظام فدیة کسره ودیة موضحته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ولکلّ عظم کسر معلوم، فدیته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ونقل عظامه، نصف دیة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موضحته، ربع دیة کسره ممّا</w:t>
      </w:r>
      <w:r>
        <w:rPr>
          <w:rStyle w:val="FootnoteAnchor"/>
          <w:rtl w:val="true"/>
        </w:rPr>
        <w:footnoteReference w:id="127"/>
      </w:r>
      <w:r>
        <w:rPr>
          <w:rFonts w:ascii="IRNazanin" w:hAnsi="IRNazanin" w:eastAsia="IRNazanin"/>
          <w:color w:val="111111"/>
          <w:sz w:val="28"/>
          <w:sz w:val="28"/>
          <w:szCs w:val="28"/>
          <w:rtl w:val="true"/>
          <w:lang w:bidi="fa-IR"/>
        </w:rPr>
        <w:t>وارت الثیاب من ذلک غیر قصبتی الساعد والأصابع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قرحة</w:t>
      </w:r>
      <w:r>
        <w:rPr>
          <w:rStyle w:val="FootnoteAnchor"/>
          <w:rtl w:val="true"/>
        </w:rPr>
        <w:footnoteReference w:id="128"/>
      </w:r>
      <w:r>
        <w:rPr>
          <w:rFonts w:ascii="IRNazanin" w:hAnsi="IRNazanin" w:eastAsia="IRNazanin"/>
          <w:color w:val="111111"/>
          <w:sz w:val="28"/>
          <w:sz w:val="28"/>
          <w:szCs w:val="28"/>
          <w:rtl w:val="true"/>
          <w:lang w:bidi="fa-IR"/>
        </w:rPr>
        <w:t>لا تبرأ، ثلث دیة ذلک العظم الذی 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أُصیب الرجل فی إحدی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تقاس ببیضة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علی عینه المصابة وینظر ما منتهی بصر عینه الصحیحة، ثمّ تغطی عینه الصحیحة وینظر ما منتهی بصر عینه المصابة، فیعطی دیته من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والقسامة مع ذلک من الستة الأجزاء القسامة علی ستة نفر علی قدر ما أُصیب من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سدس بصره حلف الرجل وحده وأُعطی، وإن کان ثلث بصره حلف هو وحلف معه رجل آخر، وإن کان نصف بصره حلف هو وحلف معه رجلان، وإن کان ثلثی بصره حلف هو</w:t>
      </w:r>
      <w:r>
        <w:rPr>
          <w:rStyle w:val="FootnoteAnchor"/>
          <w:rtl w:val="true"/>
        </w:rPr>
        <w:footnoteReference w:id="129"/>
      </w:r>
      <w:r>
        <w:rPr>
          <w:rFonts w:ascii="IRNazanin" w:hAnsi="IRNazanin" w:eastAsia="IRNazanin"/>
          <w:color w:val="111111"/>
          <w:sz w:val="28"/>
          <w:sz w:val="28"/>
          <w:szCs w:val="28"/>
          <w:rtl w:val="true"/>
          <w:lang w:bidi="fa-IR"/>
        </w:rPr>
        <w:t>ومعه ثلاثة رجال، وإن کان أربعة أخماس بصره حلف هو وحلف معه أربعة رجال، وإن کان بصره کلّه حلف هو وحلف معه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القسامة فی العین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وأفتی علیه السلام فی من لم یکن له من یحلف معه، ولم یوثق به علی ما ذهب من بصره أنّه یضاعف علیه الیمین إن کان سدس بصره، حلف واحدة، وإن کان الثلث حلف مرتین، وإن کان النصف حلف ثلاث مرات، وإن کان الثلثین حلف أربع مرات، وإن کان خمسة أسداس حلف خمس مرات، وإن کان بصره کلّه حلف ست مرات ثم یعطی، وإن أبی أن یحلف لم یعط إلاّ ما حلف علیه ووثق</w:t>
      </w:r>
    </w:p>
    <w:p>
      <w:pPr>
        <w:pStyle w:val="BookText"/>
        <w:rPr/>
      </w:pPr>
      <w:r>
        <w:rPr>
          <w:rFonts w:ascii="IRNazanin" w:hAnsi="IRNazanin" w:eastAsia="IRNazanin"/>
          <w:color w:val="111111"/>
          <w:sz w:val="28"/>
          <w:sz w:val="28"/>
          <w:szCs w:val="28"/>
          <w:rtl w:val="true"/>
          <w:lang w:bidi="fa-IR"/>
        </w:rPr>
        <w:t>منه بصدق</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والوالی یستعین فی ذلک بالسؤال، والنظر والتثبت فی القصاص والحدود والقود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أصاب سمعه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له بشیء لکی یعلم منتهی سمعه ثمّ یقاس ذلک، والقسامة علی نحو ما ینقص من سمعه، فإن کان سمعه کلّه فعلی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خیف منه فجور</w:t>
      </w:r>
      <w:r>
        <w:rPr>
          <w:rStyle w:val="FootnoteAnchor"/>
          <w:rtl w:val="true"/>
        </w:rPr>
        <w:footnoteReference w:id="131"/>
      </w:r>
      <w:r>
        <w:rPr>
          <w:rFonts w:ascii="IRNazanin" w:hAnsi="IRNazanin" w:eastAsia="IRNazanin"/>
          <w:color w:val="111111"/>
          <w:sz w:val="28"/>
          <w:sz w:val="28"/>
          <w:szCs w:val="28"/>
          <w:rtl w:val="true"/>
          <w:lang w:bidi="fa-IR"/>
        </w:rPr>
        <w:t>، ترک حتی یغفل</w:t>
      </w:r>
      <w:r>
        <w:rPr>
          <w:rStyle w:val="FootnoteAnchor"/>
          <w:rtl w:val="true"/>
        </w:rPr>
        <w:footnoteReference w:id="132"/>
      </w:r>
      <w:r>
        <w:rPr>
          <w:rFonts w:ascii="IRNazanin" w:hAnsi="IRNazanin" w:eastAsia="IRNazanin"/>
          <w:color w:val="111111"/>
          <w:sz w:val="28"/>
          <w:sz w:val="28"/>
          <w:szCs w:val="28"/>
          <w:rtl w:val="true"/>
          <w:lang w:bidi="fa-IR"/>
        </w:rPr>
        <w:t>ثمّ یصاح به، فإن سمع عاوده</w:t>
      </w:r>
      <w:r>
        <w:rPr>
          <w:rStyle w:val="FootnoteAnchor"/>
          <w:rtl w:val="true"/>
        </w:rPr>
        <w:footnoteReference w:id="133"/>
      </w:r>
      <w:r>
        <w:rPr>
          <w:rFonts w:ascii="IRNazanin" w:hAnsi="IRNazanin" w:eastAsia="IRNazanin"/>
          <w:color w:val="111111"/>
          <w:sz w:val="28"/>
          <w:sz w:val="28"/>
          <w:szCs w:val="28"/>
          <w:rtl w:val="true"/>
          <w:lang w:bidi="fa-IR"/>
        </w:rPr>
        <w:t>الخصوم إلی الحاکم، والحاکم یعمل فیه برأیه ویحط</w:t>
      </w:r>
      <w:r>
        <w:rPr>
          <w:rStyle w:val="FootnoteAnchor"/>
          <w:rtl w:val="true"/>
        </w:rPr>
        <w:footnoteReference w:id="134"/>
      </w:r>
      <w:r>
        <w:rPr>
          <w:rFonts w:ascii="IRNazanin" w:hAnsi="IRNazanin" w:eastAsia="IRNazanin"/>
          <w:color w:val="111111"/>
          <w:sz w:val="28"/>
          <w:sz w:val="28"/>
          <w:szCs w:val="28"/>
          <w:rtl w:val="true"/>
          <w:lang w:bidi="fa-IR"/>
        </w:rPr>
        <w:t>عنه بعض ما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النقص فی الفخذ أو فی العضد فإنّه یقاس بخیط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یقاس رجله الصحیحة أو یده الصحیحة ثمّ یقاس به المصابة، فیعلم ما نقص من یده أو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أُصیب الساق أو الساعد فمن الفخذ أو العضد یقاس، وینظر الحاکم قدر فخذه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صدغ</w:t>
      </w:r>
      <w:r>
        <w:rPr>
          <w:rStyle w:val="FootnoteAnchor"/>
          <w:rtl w:val="true"/>
        </w:rPr>
        <w:footnoteReference w:id="135"/>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أُصیب فلم یستطع أن یلتفت إلاّ ما انحرف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خمسمائة دینار وما کان دون ذلک</w:t>
      </w:r>
    </w:p>
    <w:p>
      <w:pPr>
        <w:pStyle w:val="BookText"/>
        <w:rPr/>
      </w:pPr>
      <w:r>
        <w:rPr>
          <w:rFonts w:ascii="IRNazanin" w:hAnsi="IRNazanin" w:eastAsia="IRNazanin"/>
          <w:color w:val="111111"/>
          <w:sz w:val="28"/>
          <w:sz w:val="28"/>
          <w:szCs w:val="28"/>
          <w:rtl w:val="true"/>
          <w:lang w:bidi="fa-IR"/>
        </w:rPr>
        <w:t>فبحسابه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شفر العین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أُصیب فشتر</w:t>
      </w:r>
      <w:r>
        <w:rPr>
          <w:rStyle w:val="FootnoteAnchor"/>
          <w:rtl w:val="true"/>
        </w:rPr>
        <w:footnoteReference w:id="136"/>
      </w:r>
      <w:r>
        <w:rPr>
          <w:rFonts w:ascii="IRNazanin" w:hAnsi="IRNazanin" w:eastAsia="IRNazanin"/>
          <w:color w:val="111111"/>
          <w:sz w:val="28"/>
          <w:sz w:val="28"/>
          <w:szCs w:val="28"/>
          <w:rtl w:val="true"/>
          <w:lang w:bidi="fa-IR"/>
        </w:rPr>
        <w:t>، فدیته ثلث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وستة وستون دیناراً وثلثا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أُصیب شفر العین الأسفل</w:t>
      </w:r>
      <w:r>
        <w:rPr>
          <w:rStyle w:val="FootnoteAnchor"/>
          <w:rtl w:val="true"/>
        </w:rPr>
        <w:footnoteReference w:id="137"/>
      </w:r>
      <w:r>
        <w:rPr>
          <w:rFonts w:ascii="IRNazanin" w:hAnsi="IRNazanin" w:eastAsia="IRNazanin"/>
          <w:color w:val="111111"/>
          <w:sz w:val="28"/>
          <w:sz w:val="28"/>
          <w:szCs w:val="28"/>
          <w:rtl w:val="true"/>
          <w:lang w:bidi="fa-IR"/>
        </w:rPr>
        <w:t>، فدیته نصف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 وخمسون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أُصیب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شعره کلّه، فدیته نصف دیة العین مائتا دینار وخمسون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أُصیب منه فعلی حساب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قطعت روثة</w:t>
      </w:r>
      <w:r>
        <w:rPr>
          <w:rStyle w:val="FootnoteAnchor"/>
          <w:rtl w:val="true"/>
        </w:rPr>
        <w:footnoteReference w:id="138"/>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فدیتها خمسمائة دینار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أنفذت فیه نافذة لا تنسد، بسهم أو برمح، فدیته ثلاثمائة وثلاثة وثلاثون دیناراً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نافذة فبرئت والتأمت فدیتها خمس دیة روثة الأنف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أُصیب فعلی حساب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النافذة فی إحدی المنخرین إلی الخیشوم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الحاجز بین المنخرین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فدیتها عشر دیة روثة الأنف، لأنّه النصف والحاجز بین المنخرین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الرمیة نفذت فی إحدی المنخرین والخیشوم إلی المنخر الآخر، فدیتها ستة وستون دیناراً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قطعت الشفة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فاستوصلت، فدیتها نصف الدیة خمسمائة دینار، فما قطع منها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انشقت فبدا</w:t>
      </w:r>
      <w:r>
        <w:rPr>
          <w:rStyle w:val="FootnoteAnchor"/>
          <w:rtl w:val="true"/>
        </w:rPr>
        <w:footnoteReference w:id="139"/>
      </w:r>
      <w:r>
        <w:rPr>
          <w:rFonts w:ascii="IRNazanin" w:hAnsi="IRNazanin" w:eastAsia="IRNazanin"/>
          <w:color w:val="111111"/>
          <w:sz w:val="28"/>
          <w:sz w:val="28"/>
          <w:szCs w:val="28"/>
          <w:rtl w:val="true"/>
          <w:lang w:bidi="fa-IR"/>
        </w:rPr>
        <w:t>منها الأسنان ثم دویت</w:t>
      </w:r>
      <w:r>
        <w:rPr>
          <w:rStyle w:val="FootnoteAnchor"/>
          <w:rtl w:val="true"/>
        </w:rPr>
        <w:footnoteReference w:id="140"/>
      </w:r>
      <w:r>
        <w:rPr>
          <w:rFonts w:ascii="IRNazanin" w:hAnsi="IRNazanin" w:eastAsia="IRNazanin"/>
          <w:color w:val="111111"/>
          <w:sz w:val="28"/>
          <w:sz w:val="28"/>
          <w:szCs w:val="28"/>
          <w:rtl w:val="true"/>
          <w:lang w:bidi="fa-IR"/>
        </w:rPr>
        <w:t xml:space="preserve">فبرأت والتأمت فدیة جرحها والحکومة فیه خمس دیة الشفة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قطع منها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شترت</w:t>
      </w:r>
      <w:r>
        <w:rPr>
          <w:rStyle w:val="FootnoteAnchor"/>
          <w:rtl w:val="true"/>
        </w:rPr>
        <w:footnoteReference w:id="141"/>
      </w:r>
      <w:r>
        <w:rPr>
          <w:rFonts w:ascii="IRNazanin" w:hAnsi="IRNazanin" w:eastAsia="IRNazanin"/>
          <w:color w:val="111111"/>
          <w:sz w:val="28"/>
          <w:sz w:val="28"/>
          <w:szCs w:val="28"/>
          <w:rtl w:val="true"/>
          <w:lang w:bidi="fa-IR"/>
        </w:rPr>
        <w:t>وشینت شیناً قبیحاً، فدیتها مائة دینار وستة وستون دیناراً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الشفة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واستوصلت، ثلثا الدیة کملاً ستمائة وستة وستون دیناراً وثلثا دینار، فما قطع منها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انشقت حتی تبدو منها الأسنان ثمّ برئت والتأمت، فمائة دینار وثلاثة وثلاثون دیناراً وثلث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أُصیبت فشینت شیناً فاحشاً</w:t>
      </w:r>
      <w:r>
        <w:rPr>
          <w:rStyle w:val="FootnoteAnchor"/>
          <w:rtl w:val="true"/>
        </w:rPr>
        <w:footnoteReference w:id="142"/>
      </w:r>
      <w:r>
        <w:rPr>
          <w:rFonts w:ascii="IRNazanin" w:hAnsi="IRNazanin" w:eastAsia="IRNazanin"/>
          <w:color w:val="111111"/>
          <w:sz w:val="28"/>
          <w:sz w:val="28"/>
          <w:szCs w:val="28"/>
          <w:rtl w:val="true"/>
          <w:lang w:bidi="fa-IR"/>
        </w:rPr>
        <w:t>فدیتها ثلاثمائة دینار وثلاثة وثلاثون دیناراً وثلث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 لأنّها تمسک الماء والطعام مع الأسنان، فلذلک فضلها فی حکومته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فیه نافذة ویری منها جوف الفم، فدیتها</w:t>
      </w:r>
    </w:p>
    <w:p>
      <w:pPr>
        <w:pStyle w:val="BookText"/>
        <w:rPr/>
      </w:pPr>
      <w:r>
        <w:rPr>
          <w:rFonts w:ascii="IRNazanin" w:hAnsi="IRNazanin" w:eastAsia="IRNazanin"/>
          <w:color w:val="111111"/>
          <w:sz w:val="28"/>
          <w:sz w:val="28"/>
          <w:szCs w:val="28"/>
          <w:rtl w:val="true"/>
          <w:lang w:bidi="fa-IR"/>
        </w:rPr>
        <w:t>مائتا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دوی</w:t>
      </w:r>
      <w:r>
        <w:rPr>
          <w:rStyle w:val="FootnoteAnchor"/>
          <w:rtl w:val="true"/>
        </w:rPr>
        <w:footnoteReference w:id="143"/>
      </w:r>
      <w:r>
        <w:rPr>
          <w:rFonts w:ascii="IRNazanin" w:hAnsi="IRNazanin" w:eastAsia="IRNazanin"/>
          <w:color w:val="111111"/>
          <w:sz w:val="28"/>
          <w:sz w:val="28"/>
          <w:szCs w:val="28"/>
          <w:rtl w:val="true"/>
          <w:lang w:bidi="fa-IR"/>
        </w:rPr>
        <w:t>فبرأ والتأم وبه أثر بیّن وشین</w:t>
      </w:r>
      <w:r>
        <w:rPr>
          <w:rStyle w:val="FootnoteAnchor"/>
          <w:rtl w:val="true"/>
        </w:rPr>
        <w:footnoteReference w:id="144"/>
      </w:r>
      <w:r>
        <w:rPr>
          <w:rFonts w:ascii="IRNazanin" w:hAnsi="IRNazanin" w:eastAsia="IRNazanin"/>
          <w:color w:val="111111"/>
          <w:sz w:val="28"/>
          <w:sz w:val="28"/>
          <w:szCs w:val="28"/>
          <w:rtl w:val="true"/>
          <w:lang w:bidi="fa-IR"/>
        </w:rPr>
        <w:t>فاحش، فدیته 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نافذة فی الخدین کلیهما، فدیتهما مائة دینار، وذلک نصف دیة التی یری منها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رمیة بنصل نشب</w:t>
      </w:r>
      <w:r>
        <w:rPr>
          <w:rStyle w:val="FootnoteAnchor"/>
          <w:rtl w:val="true"/>
        </w:rPr>
        <w:footnoteReference w:id="145"/>
      </w:r>
      <w:r>
        <w:rPr>
          <w:rFonts w:ascii="IRNazanin" w:hAnsi="IRNazanin" w:eastAsia="IRNazanin"/>
          <w:color w:val="111111"/>
          <w:sz w:val="28"/>
          <w:sz w:val="28"/>
          <w:szCs w:val="28"/>
          <w:rtl w:val="true"/>
          <w:lang w:bidi="fa-IR"/>
        </w:rPr>
        <w:t>فی العظم حتی تنفذ إلی الحنک فدیتها مائة وخمسون دیناراً، جعل منها خمسین دیناراً لموضحتها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ناقبة ولم تنفذ فیها، فدیتها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موضحة فی شیء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فدیتها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لها شین، فدیة شینها ربع دیة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جرحاً ولم یوضح ثمّ برأ وکان فی الخدین أثر، فدیته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الوجه صدع</w:t>
      </w:r>
      <w:r>
        <w:rPr>
          <w:rStyle w:val="FootnoteAnchor"/>
          <w:rtl w:val="true"/>
        </w:rPr>
        <w:footnoteReference w:id="146"/>
      </w:r>
      <w:r>
        <w:rPr>
          <w:rFonts w:ascii="IRNazanin" w:hAnsi="IRNazanin" w:eastAsia="IRNazanin"/>
          <w:color w:val="111111"/>
          <w:sz w:val="28"/>
          <w:sz w:val="28"/>
          <w:szCs w:val="28"/>
          <w:rtl w:val="true"/>
          <w:lang w:bidi="fa-IR"/>
        </w:rPr>
        <w:t>، فدیته ثمانون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سقطت منه جذوة</w:t>
      </w:r>
      <w:r>
        <w:rPr>
          <w:rStyle w:val="FootnoteAnchor"/>
          <w:rtl w:val="true"/>
        </w:rPr>
        <w:footnoteReference w:id="147"/>
      </w:r>
      <w:r>
        <w:rPr>
          <w:rFonts w:ascii="IRNazanin" w:hAnsi="IRNazanin" w:eastAsia="IRNazanin"/>
          <w:color w:val="111111"/>
          <w:sz w:val="28"/>
          <w:sz w:val="28"/>
          <w:szCs w:val="28"/>
          <w:rtl w:val="true"/>
          <w:lang w:bidi="fa-IR"/>
        </w:rPr>
        <w:t>لحم ولم توضح وکان قدر الدرهم فما فوق ذلک، فدیتها ثلاثون دیناراً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ودیة الشجة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توضح أربعون دیناراً، إذا کانت فی</w:t>
      </w:r>
    </w:p>
    <w:p>
      <w:pPr>
        <w:pStyle w:val="BookText"/>
        <w:rPr/>
      </w:pPr>
      <w:r>
        <w:rPr>
          <w:rFonts w:ascii="IRNazanin" w:hAnsi="IRNazanin" w:eastAsia="IRNazanin"/>
          <w:color w:val="111111"/>
          <w:sz w:val="28"/>
          <w:sz w:val="28"/>
          <w:szCs w:val="28"/>
          <w:rtl w:val="true"/>
          <w:lang w:bidi="fa-IR"/>
        </w:rPr>
        <w:t>الجسد، وفی موضع</w:t>
      </w:r>
      <w:r>
        <w:rPr>
          <w:rStyle w:val="FootnoteAnchor"/>
          <w:rtl w:val="true"/>
        </w:rPr>
        <w:footnoteReference w:id="148"/>
      </w:r>
      <w:r>
        <w:rPr>
          <w:rFonts w:ascii="IRNazanin" w:hAnsi="IRNazanin" w:eastAsia="IRNazanin"/>
          <w:color w:val="111111"/>
          <w:sz w:val="28"/>
          <w:sz w:val="28"/>
          <w:szCs w:val="28"/>
          <w:rtl w:val="true"/>
          <w:lang w:bidi="fa-IR"/>
        </w:rPr>
        <w:t>الرأس خمسون دیناراً، فإن نقل منها العظام، فدیتها مائة دینار وخمسون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ناقبة</w:t>
      </w:r>
      <w:r>
        <w:rPr>
          <w:rStyle w:val="FootnoteAnchor"/>
          <w:rtl w:val="true"/>
        </w:rPr>
        <w:footnoteReference w:id="149"/>
      </w:r>
      <w:r>
        <w:rPr>
          <w:rFonts w:ascii="IRNazanin" w:hAnsi="IRNazanin" w:eastAsia="IRNazanin"/>
          <w:color w:val="111111"/>
          <w:sz w:val="28"/>
          <w:sz w:val="28"/>
          <w:szCs w:val="28"/>
          <w:rtl w:val="true"/>
          <w:lang w:bidi="fa-IR"/>
        </w:rPr>
        <w:t>فی الرأس فتلک تسمی المأمومة، وفیها ثلث الدیة ثلاثمائة دینار وثلاثة وثلاثون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فی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 خمسین دیناراً، وجعل الأسنان سواء، وکان قبل ذلک یجعل فی الثنیة خمسین دیناراً، وفیما سوی ذلک من الأسنان فی الرباعیة أربعین دیناراً، وفی الناب ثلاثین دیناراً، وفی الضرس خمسة وعشرین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اسودّت السن إلی الحول فلم تسقط، فدیتها دیة الساقطة،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انصدعت</w:t>
      </w:r>
      <w:r>
        <w:rPr>
          <w:rStyle w:val="FootnoteAnchor"/>
          <w:rtl w:val="true"/>
        </w:rPr>
        <w:footnoteReference w:id="150"/>
      </w:r>
      <w:r>
        <w:rPr>
          <w:rFonts w:ascii="IRNazanin" w:hAnsi="IRNazanin" w:eastAsia="IRNazanin"/>
          <w:color w:val="111111"/>
          <w:sz w:val="28"/>
          <w:sz w:val="28"/>
          <w:szCs w:val="28"/>
          <w:rtl w:val="true"/>
          <w:lang w:bidi="fa-IR"/>
        </w:rPr>
        <w:t>ولم یسقط، فدیتها 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انکسر منها فبحسابه من الخمسین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سقطت بعد وانصدعت</w:t>
      </w:r>
      <w:r>
        <w:rPr>
          <w:rStyle w:val="FootnoteAnchor"/>
          <w:rtl w:val="true"/>
        </w:rPr>
        <w:footnoteReference w:id="151"/>
      </w:r>
      <w:r>
        <w:rPr>
          <w:rFonts w:ascii="IRNazanin" w:hAnsi="IRNazanin" w:eastAsia="IRNazanin"/>
          <w:color w:val="111111"/>
          <w:sz w:val="28"/>
          <w:sz w:val="28"/>
          <w:szCs w:val="28"/>
          <w:rtl w:val="true"/>
          <w:lang w:bidi="fa-IR"/>
        </w:rPr>
        <w:t>وهی سوداء، فدیتها اثنا عشر دیناراً ونصف، فما انکسر منها فبحسابه من الخمسة وعشرین دیناراً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انکسرت فجبرت علی غیر عثم ولا عیب،</w:t>
      </w:r>
    </w:p>
    <w:p>
      <w:pPr>
        <w:pStyle w:val="BookText"/>
        <w:rPr/>
      </w:pP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انصدعت، فدیتها أربعة أخماس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أُوضحت، فدیتها خمسة وعشرون دیناراً، وذلک خمسة أجزاء من دیتها إذا انکسرت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منها العظام، فدیتها 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نقبت، فدیتها ربع دیة کسرها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المنکب صدع، فدیته أربعة أخماس دیة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أُوضح، فدیته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نقلت منه العظام، فدیته مائة دینار وخمسةوسبعون دیناراً، منها مائة دینار دیة کسره، وخمسون دیناراً لنقل العظام، وخمسة وعشرون دیناراً للموضحة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ناقبة، فدیتها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 فعثم، فدیته 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دینار وثلاثة وثلاثون دیناراً وثلث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فک، فدیته ثلاثون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فدیتها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ودیة نقل عظامها، 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نقبها،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فجبر علی غیر عثم ولا عیب، فدیته مائة دینار، وذلک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انصدع، فدیته أربعة أخماس دیة</w:t>
      </w:r>
    </w:p>
    <w:p>
      <w:pPr>
        <w:pStyle w:val="BookText"/>
        <w:rPr/>
      </w:pPr>
      <w:r>
        <w:rPr>
          <w:rFonts w:ascii="IRNazanin" w:hAnsi="IRNazanin" w:eastAsia="IRNazanin"/>
          <w:color w:val="111111"/>
          <w:sz w:val="28"/>
          <w:sz w:val="28"/>
          <w:szCs w:val="28"/>
          <w:rtl w:val="true"/>
          <w:lang w:bidi="fa-IR"/>
        </w:rPr>
        <w:t>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أوضح فدیته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نقلت منه العظام، فدیته مائة دینار وخمسة وسبعون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للکسر مائة دینار، ولنقل العظام خمسون دیناراً، وللموضحة 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فیه ناقبة، فدیتها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 المرفق فعثم فدیتها ثلث دیة النفس ثلاثمائة دینار وثلاثة وثلاثون دیناراً وثلث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فک، فدیته ثلاثون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المرفق الآخر مثل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فجبر علی غیر عثم ولا فساد، ثلث دیة النفس ثلاثمائة دینار وثلاثة وثلاثون دیناراً وثلث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کسر إحدی القصبتین من الساعدین</w:t>
      </w:r>
      <w:r>
        <w:rPr>
          <w:rStyle w:val="FootnoteAnchor"/>
          <w:rtl w:val="true"/>
        </w:rPr>
        <w:footnoteReference w:id="152"/>
      </w:r>
      <w:r>
        <w:rPr>
          <w:rFonts w:ascii="IRNazanin" w:hAnsi="IRNazanin" w:eastAsia="IRNazanin"/>
          <w:color w:val="111111"/>
          <w:sz w:val="28"/>
          <w:sz w:val="28"/>
          <w:szCs w:val="28"/>
          <w:rtl w:val="true"/>
          <w:lang w:bidi="fa-IR"/>
        </w:rPr>
        <w:t>فدیته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وفی أحدهما أیضاً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الکسر لأحد الزندین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وفی کلیهما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انصدع إحدی القصبتین، ففیها أربعة أخماس دیة إحدی قصبتی الساعد 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نقل عظامها، مائة دینار، وذلک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ناقبة، فدیتها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w:t>
      </w:r>
    </w:p>
    <w:p>
      <w:pPr>
        <w:pStyle w:val="BookText"/>
        <w:rPr/>
      </w:pP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نقبها</w:t>
      </w:r>
      <w:r>
        <w:rPr>
          <w:rStyle w:val="FootnoteAnchor"/>
          <w:rtl w:val="true"/>
        </w:rPr>
        <w:footnoteReference w:id="153"/>
      </w:r>
      <w:r>
        <w:rPr>
          <w:rFonts w:ascii="IRNazanin" w:hAnsi="IRNazanin" w:eastAsia="IRNazanin"/>
          <w:color w:val="111111"/>
          <w:sz w:val="28"/>
          <w:sz w:val="28"/>
          <w:szCs w:val="28"/>
          <w:rtl w:val="true"/>
          <w:lang w:bidi="fa-IR"/>
        </w:rPr>
        <w:t>نصف دیة موضحتها، اثنا عشر دیناراً ونصف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نافذتها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صارت فیه قرحة لا تبرأ فدیتها ثلث دیة الساعد، ثلاثة وثلاثون دیناراً وثلث دینار، وذلک ثلث دیة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 فجبر علی غیر عثم ولا عیب،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وستة وستون دیناراً وثلثا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ما بین الساعد والکف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فک الکف فدیتها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وستة وستون دیناراً وثلثا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نقل عظامها مائة دینار وثمانیة وسبعون دیناراً ونصف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نافذتها إن لم تنسد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نافذة، فدیتها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ودیة الأصابع والقصب الذی فی الکف</w:t>
      </w:r>
      <w:r>
        <w:rPr>
          <w:rStyle w:val="FootnoteAnchor"/>
          <w:rtl w:val="true"/>
        </w:rPr>
        <w:footnoteReference w:id="154"/>
      </w:r>
      <w:r>
        <w:rPr>
          <w:rFonts w:ascii="IRNazanin" w:hAnsi="IRNazanin" w:eastAsia="IRNazanin"/>
          <w:color w:val="111111"/>
          <w:sz w:val="28"/>
          <w:sz w:val="28"/>
          <w:szCs w:val="28"/>
          <w:rtl w:val="true"/>
          <w:lang w:bidi="fa-IR"/>
        </w:rPr>
        <w:t>والإبهام، إذا قطع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وستة وستون دیناراً وثلثا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قصبة</w:t>
      </w:r>
    </w:p>
    <w:p>
      <w:pPr>
        <w:pStyle w:val="BookText"/>
        <w:rPr/>
      </w:pPr>
      <w:r>
        <w:rPr>
          <w:rFonts w:ascii="IRNazanin" w:hAnsi="IRNazanin" w:eastAsia="IRNazanin"/>
          <w:color w:val="111111"/>
          <w:sz w:val="28"/>
          <w:sz w:val="28"/>
          <w:szCs w:val="28"/>
          <w:rtl w:val="true"/>
          <w:lang w:bidi="fa-IR"/>
        </w:rPr>
        <w:t>الإبهام التی فی الکف تجبر علی غیر عثم، خمس دیة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دیناراً وثلث دینار إذا استوی جبرها وثبت، ودیة صدعها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وعشرون دیناراً وثلثا دینار، ودیة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ودیة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دیناراً وثلثا دینار، ودیة نقبها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نصف دیة نقل عظامها،ودیة موضحتها نصف دیة ناقلتها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ودیة فکها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المفصل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أعلی الإبهام إن کسر فجبر علی غیر عثم ولا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دیناراً وثلثا دینار، ودیة الموضحة إذا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دینار، ودیة 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دینار، ودیة 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دینار، ودیة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 وما قطع فبحسابه علی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الأصابع فی کلّ إصبع سدس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وثمانون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أصابع الکف الأربعة سوی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کلّ 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وثلثا دینار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ودیة کلّ موضحة فی کلّ قصبة من القصب الأربع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ودیة نقل کلّ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ودیة کسر کلّ مفصل من الأصابع الأربع التی تلی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دیناراً وثلثا دینار، وفی صدع کلّ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w:t>
      </w:r>
    </w:p>
    <w:p>
      <w:pPr>
        <w:pStyle w:val="BookText"/>
        <w:rPr/>
      </w:pPr>
      <w:r>
        <w:rPr>
          <w:rFonts w:ascii="IRNazanin" w:hAnsi="IRNazanin" w:eastAsia="IRNazanin"/>
          <w:color w:val="111111"/>
          <w:sz w:val="28"/>
          <w:sz w:val="28"/>
          <w:szCs w:val="28"/>
          <w:rtl w:val="true"/>
          <w:lang w:bidi="fa-IR"/>
        </w:rPr>
        <w:t>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الکف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فدیتها ثلاثة وثلاثون دیناراً وثلث دینار، وفی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وفی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دنانیر وسدس دینار، وفی نقبها أربعة دنانیر وسدس، وفی فکها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المفصل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الأصابع الأربع إذا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وخمسون دیناراً وثلث دینار، وفی کسره أحد عشر دیناراً وثلث دینار، وفی 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ونصف دینار، وفی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Style w:val="FootnoteAnchor"/>
          <w:rtl w:val="true"/>
        </w:rPr>
        <w:footnoteReference w:id="155"/>
      </w:r>
      <w:r>
        <w:rPr>
          <w:rFonts w:ascii="IRNazanin" w:hAnsi="IRNazanin" w:eastAsia="IRNazanin"/>
          <w:color w:val="111111"/>
          <w:sz w:val="28"/>
          <w:sz w:val="28"/>
          <w:szCs w:val="28"/>
          <w:rtl w:val="true"/>
          <w:lang w:bidi="fa-IR"/>
        </w:rPr>
        <w:t>وثلثا دینار، وفی نقل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 وثلث دینار، وفی 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دیناران وثلثا دینار، وفی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دنانیر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المفصل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الأصابع الأربع إذا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دیناراً ونصف دینار وربع عشر دینار، وفی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 وأربعة أخماس دینار، وفی 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وثلث، وفی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وأربعة أخماس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إصبع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فدیتها أربعون دیناراً، ودیة صدعها أربعة أخماس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w:t>
      </w:r>
    </w:p>
    <w:p>
      <w:pPr>
        <w:pStyle w:val="BookText"/>
        <w:rPr/>
      </w:pPr>
      <w:r>
        <w:rPr>
          <w:rFonts w:ascii="IRNazanin" w:hAnsi="IRNazanin" w:eastAsia="IRNazanin"/>
          <w:color w:val="111111"/>
          <w:sz w:val="28"/>
          <w:sz w:val="28"/>
          <w:szCs w:val="28"/>
          <w:rtl w:val="true"/>
          <w:lang w:bidi="fa-IR"/>
        </w:rPr>
        <w:t>دیناراً، ودیة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ودیة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ونصف دینار، ودیة نقبها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ودیة قرحة فیها لا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 فتثنی شقاه</w:t>
      </w:r>
      <w:r>
        <w:rPr>
          <w:rStyle w:val="FootnoteAnchor"/>
          <w:rtl w:val="true"/>
        </w:rPr>
        <w:footnoteReference w:id="156"/>
      </w:r>
      <w:r>
        <w:rPr>
          <w:rFonts w:ascii="IRNazanin" w:hAnsi="IRNazanin" w:eastAsia="IRNazanin"/>
          <w:color w:val="111111"/>
          <w:sz w:val="28"/>
          <w:sz w:val="28"/>
          <w:szCs w:val="28"/>
          <w:rtl w:val="true"/>
          <w:lang w:bidi="fa-IR"/>
        </w:rPr>
        <w:t>کلاهما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دینار، ودیة إحدی شقّیه إذا 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w:t>
      </w:r>
      <w:r>
        <w:rPr>
          <w:rStyle w:val="FootnoteAnchor"/>
          <w:rtl w:val="true"/>
        </w:rPr>
        <w:footnoteReference w:id="157"/>
      </w:r>
      <w:r>
        <w:rPr>
          <w:rFonts w:ascii="IRNazanin" w:hAnsi="IRNazanin" w:eastAsia="IRNazanin"/>
          <w:color w:val="111111"/>
          <w:sz w:val="28"/>
          <w:sz w:val="28"/>
          <w:szCs w:val="28"/>
          <w:rtl w:val="true"/>
          <w:lang w:bidi="fa-IR"/>
        </w:rPr>
        <w:t>وخمسون دیناراً، فإن انثنی الصدر والکتفان، فدیته مع الکتفین ألف دینار، وإن انثنی إحدی الکتفین مع شق الصدر فدیته خمسمائة دینار، ودیة الموضحة 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ودیة موضحة الکتفین والظهر خمسة وعشرون دیناراً، فإن اعتری الرجل من ذلک صعر</w:t>
      </w:r>
      <w:r>
        <w:rPr>
          <w:rStyle w:val="FootnoteAnchor"/>
          <w:rtl w:val="true"/>
        </w:rPr>
        <w:footnoteReference w:id="158"/>
      </w:r>
      <w:r>
        <w:rPr>
          <w:rFonts w:ascii="IRNazanin" w:hAnsi="IRNazanin" w:eastAsia="IRNazanin"/>
          <w:color w:val="111111"/>
          <w:sz w:val="28"/>
          <w:sz w:val="28"/>
          <w:szCs w:val="28"/>
          <w:rtl w:val="true"/>
          <w:lang w:bidi="fa-IR"/>
        </w:rPr>
        <w:t>لا یستطیع أن یلتفت، فدیته خمسمائة دینار، وإن کسر الصلب فجبر علی غیر عثم ولا عیب، فدیته مائة دینار، وإن أعثم فدیته ألف دینار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خالف القلب من الأضلاع، إذا کسر منها ضلع فدیتها خمسة وعشرون دیناراً، ودیة صدعها اثناعشر دیناراً ونصف، ودیة نقل عظامها سبعة دنانیر ونصف، وفی موضحتها علی ربع دیة کسرها، ودیة نقبها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العضدین، دیة کلّ 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إذا کسرت، ودیة صدعها سبعة دنانیر، ودیة نقل عظامها 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وموضحة کلّ ضلع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دیناران ونصف دینار، وإن نقب ضلع منها فدیتها دیناران ونصف دینار، وفی الجائفة ثلث دیة النفس، ثلاثمائة دینار وثلاثة وثلاثون دیناراً وثلث دینار، وإن نقب من الجانبین کلیهما برمیة أو طعنة وقعت فی الشقاق فدیتها أربعمائة دینار وثلاثة وثلاثون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فدیتها خمسمائة دینار، وما قطع منها فبحساب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الورک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إذا کسر فجبر علی غیر عثم ولا عیب، خمس دیة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 فإن صدع الورک،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وستون دیناراً، أربعة أخماس دیة کسره، وإن أوضحت فدیته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ودیة نقل عظامه مائة وخمسةوسبعون دیناراً، منها لکسرها مائة دینار، ولنقل عظامها خمسون دیناراً، ولموضحتها خمسة وعشرون دیناراً، ودیة فکها ثلاثون دیناراً، فإن رضت فعثمت فدیتها ثلاثمائة وثلاثة وثلاثون دیناراً وثلث دینار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خمس</w:t>
      </w:r>
    </w:p>
    <w:p>
      <w:pPr>
        <w:pStyle w:val="BookText"/>
        <w:rPr/>
      </w:pPr>
      <w:r>
        <w:rPr>
          <w:rFonts w:ascii="IRNazanin" w:hAnsi="IRNazanin" w:eastAsia="IRNazanin"/>
          <w:color w:val="111111"/>
          <w:sz w:val="28"/>
          <w:sz w:val="28"/>
          <w:szCs w:val="28"/>
          <w:rtl w:val="true"/>
          <w:lang w:bidi="fa-IR"/>
        </w:rPr>
        <w:t>دیة الرجلین</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 فإن عثمت الفخذ فدیتها ثلاثمائة وثلاثة وثلاثون دیناراً وثلث دینار، 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موضحة</w:t>
      </w:r>
      <w:r>
        <w:rPr>
          <w:rStyle w:val="FootnoteAnchor"/>
          <w:rtl w:val="true"/>
        </w:rPr>
        <w:footnoteReference w:id="161"/>
      </w:r>
      <w:r>
        <w:rPr>
          <w:rFonts w:ascii="IRNazanin" w:hAnsi="IRNazanin" w:eastAsia="IRNazanin"/>
          <w:color w:val="111111"/>
          <w:sz w:val="28"/>
          <w:sz w:val="28"/>
          <w:szCs w:val="28"/>
          <w:rtl w:val="true"/>
          <w:lang w:bidi="fa-IR"/>
        </w:rPr>
        <w:t>الفخذ أربعة أخماس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وستون دیناراً، فإن کانت قرحة لا تبرأ فدیتها ثلث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وستون دیناراً وثلثا دینار، ودیة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ودیة نقل عظامها نصف دیة کسرها، مائة دینار، ودیة نقبها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ولا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الرجلین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 فإن تصدعت فدیتها أربعة أخماس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وستون دیناراً، ودیة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ودیة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وخمسة وسبعون دیناراً، منها فی دیة کسرها مائة دینار، وفی نقل عظامها خمسون دیناراً، وفی موضحتها خمسة وعشرون دیناراً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نقبها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فإذا رضّت فعثمت ففیها ثلث</w:t>
      </w:r>
    </w:p>
    <w:p>
      <w:pPr>
        <w:pStyle w:val="BookText"/>
        <w:rPr/>
      </w:pPr>
      <w:r>
        <w:rPr>
          <w:rFonts w:ascii="IRNazanin" w:hAnsi="IRNazanin" w:eastAsia="IRNazanin"/>
          <w:color w:val="111111"/>
          <w:sz w:val="28"/>
          <w:sz w:val="28"/>
          <w:szCs w:val="28"/>
          <w:rtl w:val="true"/>
          <w:lang w:bidi="fa-IR"/>
        </w:rPr>
        <w:t>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وثلاثون دیناراً وثلث دینار، فإن فکت ففیها ثلاثة أجزاء من دیة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خمس دیة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 ودیة صدعها أربعة أخماس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وستون دیناراً، وفی موضحتها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وفی نقل عظامها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وفی نقبها نصف دیة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وفی نفوذها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 وفی قرحة</w:t>
      </w:r>
      <w:r>
        <w:rPr>
          <w:rStyle w:val="FootnoteAnchor"/>
          <w:rtl w:val="true"/>
        </w:rPr>
        <w:footnoteReference w:id="164"/>
      </w:r>
      <w:r>
        <w:rPr>
          <w:rFonts w:ascii="IRNazanin" w:hAnsi="IRNazanin" w:eastAsia="IRNazanin"/>
          <w:color w:val="111111"/>
          <w:sz w:val="28"/>
          <w:sz w:val="28"/>
          <w:szCs w:val="28"/>
          <w:rtl w:val="true"/>
          <w:lang w:bidi="fa-IR"/>
        </w:rPr>
        <w:t>فیها لا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دیناراً وثلث دینار، فإن عثمت الساق فدیتها ثلث دیة النفس، ثلاثمائة وثلاثة وثلاثون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 فجبر علی غیر عثم ولا عیب ثلث دیة الرجلین ثلاثمائة وثلاثة وثلاثون دیناراً وثلث دینار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خمس دیة الرجلین، مائة دینار</w:t>
      </w:r>
      <w:r>
        <w:rPr>
          <w:rStyle w:val="FootnoteAnchor"/>
          <w:rtl w:val="true"/>
        </w:rPr>
        <w:footnoteReference w:id="165"/>
      </w:r>
      <w:r>
        <w:rPr>
          <w:rFonts w:ascii="IRNazanin" w:hAnsi="IRNazanin" w:eastAsia="IRNazanin"/>
          <w:color w:val="111111"/>
          <w:sz w:val="28"/>
          <w:sz w:val="28"/>
          <w:szCs w:val="28"/>
          <w:rtl w:val="true"/>
          <w:lang w:bidi="fa-IR"/>
        </w:rPr>
        <w:t>، وفی ناقبة فیها ربع دیة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الأصابع والقصب التی 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ثلث دیة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 وثلاثون دیناراً وثلث دینار، ودیة کسر الإبهام</w:t>
      </w:r>
      <w:r>
        <w:rPr>
          <w:rStyle w:val="FootnoteAnchor"/>
          <w:rtl w:val="true"/>
        </w:rPr>
        <w:footnoteReference w:id="166"/>
      </w:r>
      <w:r>
        <w:rPr>
          <w:rFonts w:ascii="IRNazanin" w:hAnsi="IRNazanin" w:eastAsia="IRNazanin"/>
          <w:color w:val="111111"/>
          <w:sz w:val="28"/>
          <w:sz w:val="28"/>
          <w:szCs w:val="28"/>
          <w:rtl w:val="true"/>
          <w:lang w:bidi="fa-IR"/>
        </w:rPr>
        <w:t>القصبة التی تلی القدم خمس دیة الإبهام</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وستون دیناراً وثلثا دینار، وفی صدعها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وعشرون دیناراً وثلثا دینار، وفی موضحتها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وفی نقل 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وعشرون دیناراً وثلثا دینار، وفی نقبها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وفی فکّها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المفصل الأعلی من الإبهام، وهو الثانی الذی فیه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دیناراً وثلثا دینار، وفی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دینار، وفی نقل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 وفی ناقبته أربعة دنانیر وسدس، وفی 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وفی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ودیة کلّ إصبع منها سدس دیة الرجل، وثلاثة وثمانون دیناراً وثلث دینار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ودیة قصبة الأصابع الأربع سوی الإبهام، دیة کسر کلّ قصبة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دیناراً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موضحة کلّ قصبة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ودیة نقل کلّ عظم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ودیة صدعها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ودیة نقب کلّ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ودیة قرحة لا تبرأ 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دیناراً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کسر المفصل الذی یلی القدم من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دیناراً وثلث، ودیة صدعها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ودیة نقل عظم کلّ قصبة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موضحة کلّ 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دینار، ودیة نقبها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وسدس دینار، ودیة فکها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المفصل الأوسط من الأصابع الأربع إذا قطع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وخمسون دیناراً وثلثا دینار، ودیة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دیناراً وثلثا دینار</w:t>
      </w:r>
      <w:r>
        <w:rPr>
          <w:rStyle w:val="FootnoteAnchor"/>
          <w:rtl w:val="true"/>
        </w:rPr>
        <w:footnoteReference w:id="169"/>
      </w:r>
      <w:r>
        <w:rPr>
          <w:rFonts w:ascii="IRNazanin" w:hAnsi="IRNazanin" w:eastAsia="IRNazanin"/>
          <w:color w:val="111111"/>
          <w:sz w:val="28"/>
          <w:sz w:val="28"/>
          <w:szCs w:val="28"/>
          <w:rtl w:val="true"/>
          <w:lang w:bidi="fa-IR"/>
        </w:rPr>
        <w:t>، ودیة 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دنانیر وأربعة أخماس دینار، ودیة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دیناران، ودیة نقل عظامه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دنانیر وثلثا دینار، ودیة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دنانیر وثلثا دینار، ودیة 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دیناران وثلثا دینار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المفصل الأعلی من الأصابع الأربع التی فیها الظفر، إذا قطع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دیناراً وأربعة أخماس دینار، ودیة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دنانیر وأربعة أخماس دینار، ودیة 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وخمس دینار، ودیة موضحته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وثلث دینار، ودیة نقل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دیناران وخمس دینار، ودیة 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وثلث دینار، ودیة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وأربعة أخماس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کلّ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وأفتی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حلمة ثدی الرجل ثمن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وخمسة وعشرون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أُصیب رجل فأدر</w:t>
      </w:r>
      <w:r>
        <w:rPr>
          <w:rStyle w:val="FootnoteAnchor"/>
          <w:rtl w:val="true"/>
        </w:rPr>
        <w:footnoteReference w:id="172"/>
      </w:r>
      <w:r>
        <w:rPr>
          <w:rFonts w:ascii="IRNazanin" w:hAnsi="IRNazanin" w:eastAsia="IRNazanin"/>
          <w:color w:val="111111"/>
          <w:sz w:val="28"/>
          <w:sz w:val="28"/>
          <w:szCs w:val="28"/>
          <w:rtl w:val="true"/>
          <w:lang w:bidi="fa-IR"/>
        </w:rPr>
        <w:t>خصیتیه کلتیهما فدیته أربعمائة دینار، وإن فحج</w:t>
      </w:r>
      <w:r>
        <w:rPr>
          <w:rStyle w:val="FootnoteAnchor"/>
          <w:rtl w:val="true"/>
        </w:rPr>
        <w:footnoteReference w:id="173"/>
      </w:r>
      <w:r>
        <w:rPr>
          <w:rFonts w:ascii="IRNazanin" w:hAnsi="IRNazanin" w:eastAsia="IRNazanin"/>
          <w:color w:val="111111"/>
          <w:sz w:val="28"/>
          <w:sz w:val="28"/>
          <w:szCs w:val="28"/>
          <w:rtl w:val="true"/>
          <w:lang w:bidi="fa-IR"/>
        </w:rPr>
        <w:t xml:space="preserve">فلم یقدر علی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مشیاً لا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 أربعة أخماس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دینار، فإن أحدب منها الظهر، فحینئذ تمت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والقسامة فی کلّ شیء من ذلک ستة نفر علی ما بلغت دیته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الوجئة</w:t>
      </w:r>
      <w:r>
        <w:rPr>
          <w:rStyle w:val="FootnoteAnchor"/>
          <w:rtl w:val="true"/>
        </w:rPr>
        <w:footnoteReference w:id="174"/>
      </w:r>
      <w:r>
        <w:rPr>
          <w:rFonts w:ascii="IRNazanin" w:hAnsi="IRNazanin" w:eastAsia="IRNazanin"/>
          <w:color w:val="111111"/>
          <w:sz w:val="28"/>
          <w:sz w:val="28"/>
          <w:szCs w:val="28"/>
          <w:rtl w:val="true"/>
          <w:lang w:bidi="fa-IR"/>
        </w:rPr>
        <w:t>إذا کانت</w:t>
      </w:r>
      <w:r>
        <w:rPr>
          <w:rStyle w:val="FootnoteAnchor"/>
          <w:rtl w:val="true"/>
        </w:rPr>
        <w:footnoteReference w:id="175"/>
      </w:r>
      <w:r>
        <w:rPr>
          <w:rFonts w:ascii="IRNazanin" w:hAnsi="IRNazanin" w:eastAsia="IRNazanin"/>
          <w:color w:val="111111"/>
          <w:sz w:val="28"/>
          <w:sz w:val="28"/>
          <w:szCs w:val="28"/>
          <w:rtl w:val="true"/>
          <w:lang w:bidi="fa-IR"/>
        </w:rPr>
        <w:t>فی العانة فخرق السفاق</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فصارت أدرة فی إحدی الخصیتین</w:t>
      </w:r>
      <w:r>
        <w:rPr>
          <w:rStyle w:val="FootnoteAnchor"/>
          <w:rtl w:val="true"/>
        </w:rPr>
        <w:footnoteReference w:id="177"/>
      </w:r>
      <w:r>
        <w:rPr>
          <w:rFonts w:ascii="IRNazanin" w:hAnsi="IRNazanin" w:eastAsia="IRNazanin"/>
          <w:color w:val="111111"/>
          <w:sz w:val="28"/>
          <w:sz w:val="28"/>
          <w:szCs w:val="28"/>
          <w:rtl w:val="true"/>
          <w:lang w:bidi="fa-IR"/>
        </w:rPr>
        <w:t>فدیتهما</w:t>
      </w:r>
      <w:r>
        <w:rPr>
          <w:rStyle w:val="FootnoteAnchor"/>
          <w:rtl w:val="true"/>
        </w:rPr>
        <w:footnoteReference w:id="178"/>
      </w:r>
      <w:r>
        <w:rPr>
          <w:rFonts w:ascii="IRNazanin" w:hAnsi="IRNazanin" w:eastAsia="IRNazanin"/>
          <w:color w:val="111111"/>
          <w:sz w:val="28"/>
          <w:sz w:val="28"/>
          <w:szCs w:val="28"/>
          <w:rtl w:val="true"/>
          <w:lang w:bidi="fa-IR"/>
        </w:rPr>
        <w:t>مائتا دینار، خمس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النافذة إذا نفذت، من رمح أو خنجر، فی شیء من الرجل من أطرافه فدیتها عشر دیة الرجل،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قود لرجل أصابه والده فی أمر یعتب</w:t>
      </w:r>
      <w:r>
        <w:rPr>
          <w:rStyle w:val="FootnoteAnchor"/>
          <w:rtl w:val="true"/>
        </w:rPr>
        <w:footnoteReference w:id="179"/>
      </w:r>
      <w:r>
        <w:rPr>
          <w:rFonts w:ascii="IRNazanin" w:hAnsi="IRNazanin" w:eastAsia="IRNazanin"/>
          <w:color w:val="111111"/>
          <w:sz w:val="28"/>
          <w:sz w:val="28"/>
          <w:szCs w:val="28"/>
          <w:rtl w:val="true"/>
          <w:lang w:bidi="fa-IR"/>
        </w:rPr>
        <w:t>علیه فیه، فأصابه عیب من قطع وغیره، ویکون له الدیة ولا یقاد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قود لامرأة أصابها زوجها فعیبت، وغرم العیب علی زوجها، ولا قصاص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رکلها</w:t>
      </w:r>
      <w:r>
        <w:rPr>
          <w:rStyle w:val="FootnoteAnchor"/>
          <w:rtl w:val="true"/>
        </w:rPr>
        <w:footnoteReference w:id="180"/>
      </w:r>
      <w:r>
        <w:rPr>
          <w:rFonts w:ascii="IRNazanin" w:hAnsi="IRNazanin" w:eastAsia="IRNazanin"/>
          <w:color w:val="111111"/>
          <w:sz w:val="28"/>
          <w:sz w:val="28"/>
          <w:szCs w:val="28"/>
          <w:rtl w:val="true"/>
          <w:lang w:bidi="fa-IR"/>
        </w:rPr>
        <w:t>زوجها فأعفلها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لها نصف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وخمسون دیناراً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اقتض</w:t>
      </w:r>
      <w:r>
        <w:rPr>
          <w:rStyle w:val="FootnoteAnchor"/>
          <w:rtl w:val="true"/>
        </w:rPr>
        <w:footnoteReference w:id="181"/>
      </w:r>
      <w:r>
        <w:rPr>
          <w:rFonts w:ascii="IRNazanin" w:hAnsi="IRNazanin" w:eastAsia="IRNazanin"/>
          <w:color w:val="111111"/>
          <w:sz w:val="28"/>
          <w:sz w:val="28"/>
          <w:szCs w:val="28"/>
          <w:rtl w:val="true"/>
          <w:lang w:bidi="fa-IR"/>
        </w:rPr>
        <w:t>جاریة بإصبعه، فخرق مثانتها فلا تملک بولها، فجعل لها ثلث نصف الدیة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وستة وستین دیناراً</w:t>
      </w:r>
    </w:p>
    <w:p>
      <w:pPr>
        <w:pStyle w:val="BookText"/>
        <w:rPr/>
      </w:pPr>
      <w:r>
        <w:rPr>
          <w:rFonts w:ascii="IRNazanin" w:hAnsi="IRNazanin" w:eastAsia="IRNazanin"/>
          <w:color w:val="111111"/>
          <w:sz w:val="28"/>
          <w:sz w:val="28"/>
          <w:szCs w:val="28"/>
          <w:rtl w:val="true"/>
          <w:lang w:bidi="fa-IR"/>
        </w:rPr>
        <w:t>وثلثی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علیه صداقها، مثل نساء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Style w:val="FootnoteAnchor"/>
          <w:rtl w:val="true"/>
        </w:rPr>
        <w:footnoteReference w:id="183"/>
      </w:r>
      <w:r>
        <w:rPr>
          <w:rFonts w:ascii="IRNazanin" w:hAnsi="IRNazanin" w:eastAsia="IRNazanin"/>
          <w:color w:val="111111"/>
          <w:sz w:val="28"/>
          <w:sz w:val="28"/>
          <w:szCs w:val="28"/>
          <w:rtl w:val="true"/>
          <w:lang w:bidi="fa-IR"/>
        </w:rPr>
        <w:t>هشام بن إبراهیم،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ابن بابویه</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روایة أصحابنا فی ذلک الدیة کاملة</w:t>
      </w:r>
      <w:r>
        <w:rPr>
          <w:rFonts w:eastAsia="IRNazanin" w:cs="IRNazanin"/>
          <w:color w:val="111111"/>
          <w:sz w:val="28"/>
          <w:szCs w:val="28"/>
          <w:rtl w:val="true"/>
          <w:lang w:bidi="fa-IR"/>
        </w:rPr>
        <w:t>.</w:t>
      </w:r>
      <w:bookmarkStart w:id="121" w:name="pg6225_42086"/>
    </w:p>
    <w:p>
      <w:pPr>
        <w:pStyle w:val="Heading2"/>
        <w:numPr>
          <w:ilvl w:val="1"/>
          <w:numId w:val="1"/>
        </w:numPr>
        <w:rPr/>
      </w:pPr>
      <w:bookmarkStart w:id="122" w:name="__RefHeading___Toc1391359_237004111"/>
      <w:bookmarkStart w:id="123" w:name="_Toc44"/>
      <w:bookmarkEnd w:id="121"/>
      <w:bookmarkEnd w:id="122"/>
      <w:r>
        <w:rPr>
          <w:rtl w:val="true"/>
        </w:rPr>
        <w:t>فهرست آیات</w:t>
      </w:r>
      <w:bookmarkEnd w:id="123"/>
    </w:p>
    <w:p>
      <w:pPr>
        <w:pStyle w:val="Heading3"/>
        <w:numPr>
          <w:ilvl w:val="2"/>
          <w:numId w:val="1"/>
        </w:numPr>
        <w:rPr/>
      </w:pPr>
      <w:bookmarkStart w:id="124" w:name="__RefHeading___Toc1391361_237004111"/>
      <w:bookmarkStart w:id="125" w:name="_Toc45"/>
      <w:bookmarkEnd w:id="124"/>
      <w:r>
        <w:rPr>
          <w:rtl w:val="true"/>
        </w:rPr>
        <w:t>سوره بقره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تُقَاتِلُوهُمْ عِنْدَ الْمَسْجِدِ الْحَرَامِ حَتَّی یُقَاتِلُوکُمْ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91363_237004111"/>
      <w:bookmarkStart w:id="127" w:name="_Toc46"/>
      <w:bookmarkEnd w:id="126"/>
      <w:r>
        <w:rPr>
          <w:rtl w:val="true"/>
        </w:rPr>
        <w:t>سوره نساء</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391365_237004111"/>
      <w:bookmarkStart w:id="129" w:name="_Toc47"/>
      <w:bookmarkEnd w:id="128"/>
      <w:r>
        <w:rPr>
          <w:rtl w:val="true"/>
        </w:rPr>
        <w:t>سوره مائده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91367_237004111"/>
      <w:bookmarkStart w:id="131" w:name="_Toc48"/>
      <w:bookmarkEnd w:id="130"/>
      <w:r>
        <w:rPr>
          <w:rtl w:val="true"/>
        </w:rPr>
        <w:t>سوره توبه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132" w:name="pg6225_42087"/>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91369_237004111"/>
      <w:bookmarkStart w:id="134" w:name="_Toc49"/>
      <w:bookmarkEnd w:id="133"/>
      <w:r>
        <w:rPr>
          <w:rtl w:val="true"/>
        </w:rPr>
        <w:t>سوره یوسف</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391371_237004111"/>
      <w:bookmarkStart w:id="136" w:name="_Toc50"/>
      <w:bookmarkEnd w:id="135"/>
      <w:r>
        <w:rPr>
          <w:rtl w:val="true"/>
        </w:rPr>
        <w:t>سوره عنکبوت</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أَنَّا جَعَلْنَا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91373_237004111"/>
      <w:bookmarkStart w:id="138" w:name="_Toc51"/>
      <w:bookmarkEnd w:id="137"/>
      <w:r>
        <w:rPr>
          <w:rtl w:val="true"/>
        </w:rPr>
        <w:t>سوره روم</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91375_237004111"/>
      <w:bookmarkStart w:id="140" w:name="_Toc52"/>
      <w:bookmarkEnd w:id="139"/>
      <w:r>
        <w:rPr>
          <w:rtl w:val="true"/>
        </w:rPr>
        <w:t>سوره شوری</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یَجْتَنِبُونَ کَبَائِرَ الإِثْمِ وَالْفَوَاحِشَ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391377_237004111"/>
      <w:bookmarkStart w:id="142" w:name="_Toc53"/>
      <w:bookmarkEnd w:id="141"/>
      <w:r>
        <w:rPr>
          <w:rtl w:val="true"/>
        </w:rPr>
        <w:t>سوره نجم</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391379_237004111"/>
      <w:bookmarkStart w:id="144" w:name="_Toc54"/>
      <w:bookmarkEnd w:id="143"/>
      <w:r>
        <w:rPr>
          <w:rtl w:val="true"/>
        </w:rPr>
        <w:t>سوره مجادله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91381_237004111"/>
      <w:bookmarkStart w:id="146" w:name="_Toc55"/>
      <w:bookmarkEnd w:id="145"/>
      <w:r>
        <w:rPr>
          <w:rtl w:val="true"/>
        </w:rPr>
        <w:t>سوره قریش</w:t>
      </w:r>
      <w:bookmarkEnd w:id="1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47" w:name="pg6225_42088"/>
    </w:p>
    <w:p>
      <w:pPr>
        <w:pStyle w:val="Heading2"/>
        <w:numPr>
          <w:ilvl w:val="1"/>
          <w:numId w:val="1"/>
        </w:numPr>
        <w:rPr/>
      </w:pPr>
      <w:bookmarkStart w:id="148" w:name="__RefHeading___Toc1391383_237004111"/>
      <w:bookmarkStart w:id="149" w:name="_Toc56"/>
      <w:bookmarkEnd w:id="147"/>
      <w:bookmarkEnd w:id="148"/>
      <w:r>
        <w:rPr>
          <w:rtl w:val="true"/>
        </w:rPr>
        <w:t>فهرست احادیث</w:t>
      </w:r>
      <w:bookmarkEnd w:id="149"/>
    </w:p>
    <w:p>
      <w:pPr>
        <w:pStyle w:val="BookText"/>
        <w:rPr/>
      </w:pPr>
      <w:r>
        <w:rPr>
          <w:rFonts w:ascii="IRNazanin" w:hAnsi="IRNazanin" w:eastAsia="IRNazanin"/>
          <w:color w:val="111111"/>
          <w:sz w:val="28"/>
          <w:sz w:val="28"/>
          <w:szCs w:val="28"/>
          <w:rtl w:val="true"/>
          <w:lang w:bidi="fa-IR"/>
        </w:rPr>
        <w:t>فهرست احادیث</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وانّ فی النفس الدیة مائة إبل،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الرجل یُقتل بالمرأة وعلی أهل الذهب ألف دینار، وفی الید الواحدة نصف الدیة،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الدیة ألف دینار وقیمة الدینار عشرة دراهم،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انّ عبد المطلب سنّ فی الجاهلیة خمس سنین اجراه الله ذلک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فی القتل مائة من الإبل فأجری الله ذلک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فرض الصلاة رکعتین رکعتین یکون المجموع عشر رکعات فأضاف رسول الله إلی الرکعتین رکعتین وإلی المغرب رکعة،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فرض فی السنة صوم شهر رمضان وسنّ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وثلاثة أیام من کلّ شهر،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حرّم الخمر بعینها وحرم رسول الله المسکر من کلّ شراب،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فرض الفرائض فی الإرث ولم یقسم للجد شیئاً ولکن رسول الله اطعمه السدس،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 الصبیان خطأ یُحمَلُ علی العاقلة،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المعصیة إذا عمل بها العبد سرّاً لم یضرّ إلاّ عاملها، فإذا عمل بها علانیة ولم یُغیّرها بشیء اضرّت بالعامة،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لتجرّئک علی شُربِ الخَمرِ فی شهر رَمضان،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50" w:name="pg6225_42090"/>
    </w:p>
    <w:p>
      <w:pPr>
        <w:pStyle w:val="Heading2"/>
        <w:numPr>
          <w:ilvl w:val="1"/>
          <w:numId w:val="1"/>
        </w:numPr>
        <w:rPr/>
      </w:pPr>
      <w:bookmarkStart w:id="151" w:name="__RefHeading___Toc1391385_237004111"/>
      <w:bookmarkStart w:id="152" w:name="_Toc57"/>
      <w:bookmarkEnd w:id="150"/>
      <w:bookmarkEnd w:id="151"/>
      <w:r>
        <w:rPr>
          <w:rtl w:val="true"/>
        </w:rPr>
        <w:t>منابع و مآخذ</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شیخ کلینی، محمد بن یعقوب، تحقیق 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شیخ طوسی،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للشرائع، حلی، یحیی بن سعید،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ج، نجفی، محمدحسن،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از نظر قرآن و حدیث و عقل، سبحانی، جعفر، مترجم 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کشی، محمد بن عمر، تحقیق سید احمد حسینی،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شهید ثانی، افست،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نسائی، احمد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الاسلام، محقق حلی، جعفر بن حسن،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 تستری، محمدتقی،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شهید ثانی،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 خوئی، سید ابوالقاسم،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دارالزهراء،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ابن قدامه، عبدالله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 عاملی، سید محمد جواد،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شیخ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ج، وزارة الأوقاف والشؤون الاسلامیة،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دارالصفوة،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ابن براج طرابلسی، عبدالعزیز،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شیخ طوسی،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چاپ دوم،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حرّ عاملی، محمد 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3" w:name="pg6225_42093"/>
    </w:p>
    <w:p>
      <w:pPr>
        <w:pStyle w:val="Heading2"/>
        <w:numPr>
          <w:ilvl w:val="1"/>
          <w:numId w:val="1"/>
        </w:numPr>
        <w:rPr/>
      </w:pPr>
      <w:bookmarkStart w:id="154" w:name="__RefHeading___Toc1391387_237004111"/>
      <w:bookmarkStart w:id="155" w:name="_Toc58"/>
      <w:bookmarkEnd w:id="153"/>
      <w:bookmarkEnd w:id="154"/>
      <w:r>
        <w:rPr>
          <w:rtl w:val="true"/>
        </w:rPr>
        <w:t>فهرست موضوعات</w:t>
      </w:r>
      <w:bookmarkEnd w:id="155"/>
    </w:p>
    <w:p>
      <w:pPr>
        <w:pStyle w:val="BookText"/>
        <w:rPr/>
      </w:pPr>
      <w:r>
        <w:rPr>
          <w:rFonts w:ascii="IRNazanin" w:hAnsi="IRNazanin" w:eastAsia="IRNazanin"/>
          <w:color w:val="111111"/>
          <w:sz w:val="28"/>
          <w:sz w:val="28"/>
          <w:szCs w:val="28"/>
          <w:rtl w:val="true"/>
          <w:lang w:bidi="fa-IR"/>
        </w:rPr>
        <w:t>پیش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تداعی عرفی شدن فقه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مقادیر دیه نفس حکم وحیانی است نه حکم موقت</w:t>
      </w:r>
    </w:p>
    <w:p>
      <w:pPr>
        <w:pStyle w:val="BookText"/>
        <w:rPr/>
      </w:pPr>
      <w:r>
        <w:rPr>
          <w:rFonts w:ascii="IRNazanin" w:hAnsi="IRNazanin" w:eastAsia="IRNazanin"/>
          <w:color w:val="111111"/>
          <w:sz w:val="28"/>
          <w:sz w:val="28"/>
          <w:szCs w:val="28"/>
          <w:rtl w:val="true"/>
          <w:lang w:bidi="fa-IR"/>
        </w:rPr>
        <w:t>توحید در تشریع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بازشناسی حکم الهی از حکم ولائی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مکتوب پیامبر اسلام در انواع دیه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کلام معصوم نیست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لازمه این فرضیه، نادیده گرفتن صدها حدیث در ابواب دیه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ورود این واژه ها در احکام مسلّم پایدار الهی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پیامدهای سوء تک نگری به قانون دیه اسلامی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تنصیف دیه زن، جبران خسارت اقتصادی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دیه زن و فقیهان اهل سنت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دیه زن و فقیهان شیعه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آیا تنصیف دیه زن اهانت به شرافت آدمی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نقد و ارزیابی دلیل اوّل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شیوه زندگی غربی ملاک احکام اسلامی نیست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استدلال با قانون اساسی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تحلیل مفاد قانون اساسی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نقد دلیل سوم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نقد دلیل چهارم نویسنده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نظری بر دیه بر عاقله یک رسم رحمانی</w:t>
      </w:r>
    </w:p>
    <w:p>
      <w:pPr>
        <w:pStyle w:val="BookText"/>
        <w:rPr/>
      </w:pPr>
      <w:r>
        <w:rPr>
          <w:rFonts w:ascii="IRNazanin" w:hAnsi="IRNazanin" w:eastAsia="IRNazanin"/>
          <w:color w:val="111111"/>
          <w:sz w:val="28"/>
          <w:sz w:val="28"/>
          <w:szCs w:val="28"/>
          <w:rtl w:val="true"/>
          <w:lang w:bidi="fa-IR"/>
        </w:rPr>
        <w:t>و انسانی نقد اندیشه</w:t>
      </w:r>
    </w:p>
    <w:p>
      <w:pPr>
        <w:pStyle w:val="BookText"/>
        <w:rPr/>
      </w:pPr>
      <w:r>
        <w:rPr>
          <w:rFonts w:ascii="IRNazanin" w:hAnsi="IRNazanin" w:eastAsia="IRNazanin"/>
          <w:color w:val="111111"/>
          <w:sz w:val="28"/>
          <w:sz w:val="28"/>
          <w:szCs w:val="28"/>
          <w:rtl w:val="true"/>
          <w:lang w:bidi="fa-IR"/>
        </w:rPr>
        <w:t>ویژگی های دیه بر عاقله در اسلام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دیه بر عاقله نوعی تعاون و مساعدت است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آیا دیه بر عاقله بر خلاف آیه قرآنی 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دیه قتل در ماه های حرام</w:t>
      </w:r>
    </w:p>
    <w:p>
      <w:pPr>
        <w:pStyle w:val="BookText"/>
        <w:rPr/>
      </w:pPr>
      <w:r>
        <w:rPr>
          <w:rFonts w:ascii="IRNazanin" w:hAnsi="IRNazanin" w:eastAsia="IRNazanin"/>
          <w:color w:val="111111"/>
          <w:sz w:val="28"/>
          <w:sz w:val="28"/>
          <w:szCs w:val="28"/>
          <w:rtl w:val="true"/>
          <w:lang w:bidi="fa-IR"/>
        </w:rPr>
        <w:t>ارزش یکسانی مکان ها …</w:t>
      </w:r>
      <w:r>
        <w:rPr>
          <w:rFonts w:eastAsia="IRNazanin" w:cs="IRNazanin"/>
          <w:color w:val="111111"/>
          <w:sz w:val="28"/>
          <w:szCs w:val="28"/>
          <w:lang w:bidi="fa-IR"/>
        </w:rPr>
        <w:t>49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یکسانی زمان 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تغلیظ دیه قتل، در ماه های حرام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تغلیظ دیه قتل در ماه های حرام از نظر اهل سنت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تغلیظ دیه قتل در حرم امن الهی</w:t>
      </w:r>
    </w:p>
    <w:p>
      <w:pPr>
        <w:pStyle w:val="BookText"/>
        <w:rPr/>
      </w:pPr>
      <w:r>
        <w:rPr>
          <w:rFonts w:ascii="IRNazanin" w:hAnsi="IRNazanin" w:eastAsia="IRNazanin"/>
          <w:color w:val="111111"/>
          <w:sz w:val="28"/>
          <w:sz w:val="28"/>
          <w:szCs w:val="28"/>
          <w:rtl w:val="true"/>
          <w:lang w:bidi="fa-IR"/>
        </w:rPr>
        <w:t>احکام ویژه حرم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قتل در حرم و تغلیظ دیه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دیدگاه فقیهان اهل سنت در قتل در حرم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دیدگاه فقهای شیعه در قتل در حرم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ارزش یابی نظر مخالف در نشست فقه پژوهشی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نقد تضعیف روایات مربوط به قتل در ماه حرام و در حرم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تحلیل گسترده از دیه بر عاقله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دیه بر عاقله معلول ساختار زندگی قبیله ای نیست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پاسخ به شبهاتی که این نظریه را در اذهان به وجود آورده است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چگونه غیر مسئول پیامد دیگری را می پذیرد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دیه بر عاقله علاوه بر تکلیف ضمانت آور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تفسیر بعضی از روایات که بر خلاف این نظریه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روایة ظریف فی الدیات …</w:t>
      </w:r>
      <w:r>
        <w:rPr>
          <w:rFonts w:eastAsia="IRNazanin" w:cs="IRNazanin"/>
          <w:color w:val="111111"/>
          <w:sz w:val="28"/>
          <w:szCs w:val="28"/>
          <w:lang w:bidi="fa-IR"/>
        </w:rPr>
        <w:t>87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آیات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فهرست احادیث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فهرست منابع و مآخذ …</w:t>
      </w:r>
      <w:r>
        <w:rPr>
          <w:rFonts w:eastAsia="IRNazanin" w:cs="IRNazanin"/>
          <w:color w:val="111111"/>
          <w:sz w:val="28"/>
          <w:szCs w:val="28"/>
          <w:lang w:bidi="fa-IR"/>
        </w:rPr>
        <w:t>121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 …</w:t>
      </w:r>
      <w:r>
        <w:rPr>
          <w:rFonts w:eastAsia="IRNazanin" w:cs="IRNazanin"/>
          <w:color w:val="111111"/>
          <w:sz w:val="28"/>
          <w:szCs w:val="28"/>
          <w:lang w:bidi="fa-IR"/>
        </w:rPr>
        <w:t>124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کیان، شماره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یک تفسیر ساده و الاّ حقیقت استنباط بالاتر و برتر از این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السرایا،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النفس،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النفس،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دیة النفس،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الشرائع،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موسوعه 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دیه نفس و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دیه اعضاء 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دیه شجاج و جراح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موسوعه 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عاقله، حدیث های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عاقله، حدیث های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لمعه،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سیمای فرزانگان،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الدیات، صفحات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المسکر،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موسوعه فقهیه،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ذیل حدیث کلینی 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الحدیث، آیت الله خویی،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دیة الخطاء تغلظ فی الشهر الحرام وفی الحرم وإذا قتل ذا رحم محرم وقال الحنفیة ومالک لا تغلظ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مفتاح الکرامه،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النفس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عاقله،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ابن قدامه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این قول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جماعتی نسبت داده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این نظر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 فی قتل الخطأ تجب ابتداءً علی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وللشافعی فیه قولان أحدهمایجب علی القاتل ابتداءً ثمّ یحتملها عنه العاقلة وبه قال أبو حنیفة والثانی 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 انّ کلّ خبر روی أنّ الدیة علی العاقلة تضمن ابتداءً ولیس فی شیء منها انّها تجب علی القاتل وتنتقل إلی العاقلة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الدیات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الدیة تجب ابتداءً علی العاقلة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علی العاقلة لا تضمن القاتل منها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انّ الدیة هل تجب ابتداءً علی الجانی ویتحملها عنه العاقلة أم تجب علیهم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فالأظهر فی المذهب والمدلول علیه فی النصوص، الثانی، وجه الأوّل انّ الأصل فی الضمان کونه علی المتلف فیکون العدول عنه تحملاً، وعلیه یتفرع ما إذا لم یف العاقلة بالدیة فانّه یرجع بها أو بباقیها علی القاتل وهو اختیار الشیخ فی النهایة وجماعة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در گذشته یادآور شدیم، عبارت شیخ در آن صفحه با این نظر موافق نیست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الحسین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المحسن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فی المتن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جمیعاً قالا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ذکر الصدوق رحمه اللّه تعالی تمام الروایة فی أوّل کتاب الدیات من الفقیه، وبثّها الکلینی فی کتاب الدیات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الحواشی المربوطة بهذه الروایة الشریفة مأخوذة من روضة المتقین إلاّ القلیل منها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فی العظم المجوف من القصبات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 العظم المکسور أو یخص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انجبر علی غیر استواء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تمت الخلقة ولم تلجه الروح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لا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فی المتن، فإنّ العزل مع کراهة الزوجة، سیجیء حکمه قریباً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خمس دیة الجنین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لیلاً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خلقة الحمل،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الصوت من الخیشوم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الغلظة فی الصوت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فی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مطابق لما فی الفقیه،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استؤصلت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قطعت جمیعها من أصلها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الظهر ودخول الصدر والبطن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استؤصل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العظم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الجرح والدمل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به العظم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به الدم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العظام فی الرأس ما ینقل قشور العظام التی تکون علی أطرافها وتکون سبب ارتباط العظام کالمنشار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یدخل السهم مثلاً فی عظم الرأس ویحصل به نقب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مع الکسر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أُولاهما للکسر والثانیة للإیضاح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دیة کلّ عظم کسر، معلومة 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ولکلّ عظم کسر معلوم، فدیة نقل عظامه نصف دیة کسره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یتغفل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عادوا الخصوم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فی المتن مطابق للوافی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العین والأُذن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جفنها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الصدوقرحمه اللّه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 من الأنف مجتمع مارنه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تبدو منها الأسنان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الدواء 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دوویت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قبیحاً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دووی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علق ولم ینفذ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فی شیء صلب، وفی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ینشق عظم 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ومعناهما قطعة من اللحم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نسخة وفی أکثرها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شیء صلب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وفی بعضها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وانصدعت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ثقبها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مطابق للکافی والوافی، کما أنّ المتن موافق للفقیه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 من الإنسان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الواحد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الانحناء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الصعر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فی الوجه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 فی روضته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المراد به الورکین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دیة الرجل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 وفی هامش نسخة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الصحیح، لأنّ الموضحة یأتی حکمها فی السطر الآتی وأیضاً هو الموافق للفقیه والوافی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نسخة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قرحة فیها لا تبرأ ثلاثة وثلاثون دیناراً وثلث دینار، وفی نفوذها ربع دیة کسرها خمسون دیناراً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نسخة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ودیة موضحتها ربع دیة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دیناراً، وفی نقل عظامها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دینار نصف دیة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نافذة فیها لا تنسد خمس دیة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دینار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ودیة کسر قصبة الإبهام التی تلی القدم خمس دیة الإبهام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هامش نسخة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ظفره ثلاثون دیناراً، وذلک لأنّه ثلث دیة الرجل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وثلث دینار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عظمه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فی الید خمسة دنانیر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غرفه و هی انتفاخ الخصیة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تدانی صدور قدمیه وتباعد عقباه، 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 وهو تباعد ما بین الفخذین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الواو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البیضتین حتی تنفضح فیکون شبیهاً بالخصاء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حاشیة نسخة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العانة عشر دیة النفس مائة دینار، فإن کانت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السفاق بالسین وکذا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تحت الجلد الذی علیه الشعر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القصبین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النسخ، ولعلّ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الفقیه والوافی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ضربها بالرجل، والعفل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من فرج المرأة یشبه أدرة الرجل أی فتقه،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یکون بین مسلکی المرأة فیضیق فرجها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الموحدة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دیة الرجل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تنها به احادیثی اشاره شده که متن عربی آنها در رساله آمده است ولی به احادیثی که فقط به ترجمه فارسی آنها بسنده شده اشاره نشده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20561</Words>
  <Characters>79826</Characters>
  <CharactersWithSpaces>99390</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2026-08-19T19:35:19Z</dcterms:created>
  <dc:creator>ghaemiyeh.com</dc:creator>
  <dc:description/>
  <dc:language>en-US</dc:language>
  <cp:lastModifiedBy/>
  <dcterms:modified xsi:type="dcterms:W3CDTF">2026-08-19T23:05:22Z</dcterms:modified>
  <cp:revision>1</cp:revision>
  <dc:subject/>
  <dc:title>پژوهشی در دیه انسان از دیدگاه قرآن و سنت و اجماع</dc:title>
</cp:coreProperties>
</file>

<file path=docProps/custom.xml><?xml version="1.0" encoding="utf-8"?>
<Properties xmlns="http://schemas.openxmlformats.org/officeDocument/2006/custom-properties" xmlns:vt="http://schemas.openxmlformats.org/officeDocument/2006/docPropsVTypes"/>
</file>