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علمی پژوهشی معرفت شناسی و حوزه های مرتبط شماره </w:t>
      </w:r>
      <w:r>
        <w:rPr/>
        <w:t>55</w:t>
      </w:r>
      <w:r>
        <w:rPr>
          <w:rtl w:val="true"/>
        </w:rPr>
        <w:t xml:space="preserve"> - </w:t>
      </w:r>
      <w:r>
        <w:rPr>
          <w:rtl w:val="true"/>
        </w:rPr>
        <w:t xml:space="preserve">سال چهاردهم </w:t>
      </w:r>
      <w:r>
        <w:rPr>
          <w:rtl w:val="true"/>
        </w:rPr>
        <w:t xml:space="preserve">- </w:t>
      </w:r>
      <w:r>
        <w:rPr>
          <w:rtl w:val="true"/>
        </w:rPr>
        <w:t>پاییز</w:t>
      </w:r>
      <w:r>
        <w:rPr/>
        <w:t>1392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22516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522518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522520_581953129">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5522522_581953129">
            <w:r>
              <w:rPr>
                <w:webHidden/>
                <w:rStyle w:val="IndexLink"/>
                <w:rtl w:val="true"/>
              </w:rPr>
              <w:t xml:space="preserve">مبانی معرفت‌شناختی تولیدعلم دینی، با تأکید بر کارکردهای عقل </w:t>
            </w:r>
            <w:r>
              <w:rPr>
                <w:rStyle w:val="IndexLink"/>
                <w:rtl w:val="true"/>
              </w:rPr>
              <w:t xml:space="preserve">/ </w:t>
            </w:r>
            <w:r>
              <w:rPr>
                <w:rStyle w:val="IndexLink"/>
                <w:rtl w:val="true"/>
              </w:rPr>
              <w:t>علی‌اکبر رشاد</w:t>
            </w:r>
            <w:r>
              <w:rPr>
                <w:rStyle w:val="IndexLink"/>
                <w:rtl w:val="true"/>
              </w:rPr>
              <w:tab/>
            </w:r>
            <w:r>
              <w:rPr>
                <w:rStyle w:val="IndexLink"/>
              </w:rPr>
              <w:t>10</w:t>
            </w:r>
          </w:hyperlink>
        </w:p>
        <w:p>
          <w:pPr>
            <w:pStyle w:val="Contents3"/>
            <w:tabs>
              <w:tab w:val="clear" w:pos="8459"/>
              <w:tab w:val="right" w:pos="9026" w:leader="dot"/>
            </w:tabs>
            <w:rPr/>
          </w:pPr>
          <w:hyperlink w:anchor="__RefHeading___Toc5522524_58195312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5522526_581953129">
            <w:r>
              <w:rPr>
                <w:webHidden/>
                <w:rStyle w:val="IndexLink"/>
                <w:rtl w:val="true"/>
              </w:rPr>
              <w:t>چکیده</w:t>
            </w:r>
            <w:r>
              <w:rPr>
                <w:rStyle w:val="IndexLink"/>
                <w:rtl w:val="true"/>
              </w:rPr>
              <w:tab/>
            </w:r>
            <w:r>
              <w:rPr>
                <w:rStyle w:val="IndexLink"/>
              </w:rPr>
              <w:t>10</w:t>
            </w:r>
          </w:hyperlink>
        </w:p>
        <w:p>
          <w:pPr>
            <w:pStyle w:val="Contents3"/>
            <w:tabs>
              <w:tab w:val="clear" w:pos="8459"/>
              <w:tab w:val="right" w:pos="9026" w:leader="dot"/>
            </w:tabs>
            <w:rPr/>
          </w:pPr>
          <w:hyperlink w:anchor="__RefHeading___Toc5522528_581953129">
            <w:r>
              <w:rPr>
                <w:webHidden/>
                <w:rStyle w:val="IndexLink"/>
                <w:rtl w:val="true"/>
              </w:rPr>
              <w:t>درآمد</w:t>
            </w:r>
            <w:r>
              <w:rPr>
                <w:rStyle w:val="IndexLink"/>
                <w:rtl w:val="true"/>
              </w:rPr>
              <w:tab/>
            </w:r>
            <w:r>
              <w:rPr>
                <w:rStyle w:val="IndexLink"/>
              </w:rPr>
              <w:t>11</w:t>
            </w:r>
          </w:hyperlink>
        </w:p>
        <w:p>
          <w:pPr>
            <w:pStyle w:val="Contents3"/>
            <w:tabs>
              <w:tab w:val="clear" w:pos="8459"/>
              <w:tab w:val="right" w:pos="9026" w:leader="dot"/>
            </w:tabs>
            <w:rPr/>
          </w:pPr>
          <w:hyperlink w:anchor="__RefHeading___Toc5522530_581953129">
            <w:r>
              <w:rPr>
                <w:webHidden/>
                <w:rStyle w:val="IndexLink"/>
              </w:rPr>
              <w:t>1</w:t>
            </w:r>
            <w:r>
              <w:rPr>
                <w:rStyle w:val="IndexLink"/>
                <w:rtl w:val="true"/>
              </w:rPr>
              <w:t xml:space="preserve">. </w:t>
            </w:r>
            <w:r>
              <w:rPr>
                <w:rStyle w:val="IndexLink"/>
                <w:rtl w:val="true"/>
              </w:rPr>
              <w:t>مبنای معرفت‌شناختی تولید علم دینی</w:t>
            </w:r>
            <w:r>
              <w:rPr>
                <w:rStyle w:val="IndexLink"/>
                <w:rtl w:val="true"/>
              </w:rPr>
              <w:tab/>
            </w:r>
            <w:r>
              <w:rPr>
                <w:rStyle w:val="IndexLink"/>
              </w:rPr>
              <w:t>11</w:t>
            </w:r>
          </w:hyperlink>
        </w:p>
        <w:p>
          <w:pPr>
            <w:pStyle w:val="Contents3"/>
            <w:tabs>
              <w:tab w:val="clear" w:pos="8459"/>
              <w:tab w:val="right" w:pos="9026" w:leader="dot"/>
            </w:tabs>
            <w:rPr/>
          </w:pPr>
          <w:hyperlink w:anchor="__RefHeading___Toc5522532_581953129">
            <w:r>
              <w:rPr>
                <w:webHidden/>
                <w:rStyle w:val="IndexLink"/>
              </w:rPr>
              <w:t>2</w:t>
            </w:r>
            <w:r>
              <w:rPr>
                <w:rStyle w:val="IndexLink"/>
                <w:rtl w:val="true"/>
              </w:rPr>
              <w:t xml:space="preserve">. </w:t>
            </w:r>
            <w:r>
              <w:rPr>
                <w:rStyle w:val="IndexLink"/>
                <w:rtl w:val="true"/>
              </w:rPr>
              <w:t>نقش و سهم عقل در تولید علم و تحصیل معرفت</w:t>
            </w:r>
            <w:r>
              <w:rPr>
                <w:rStyle w:val="IndexLink"/>
                <w:rtl w:val="true"/>
              </w:rPr>
              <w:tab/>
            </w:r>
            <w:r>
              <w:rPr>
                <w:rStyle w:val="IndexLink"/>
              </w:rPr>
              <w:t>20</w:t>
            </w:r>
          </w:hyperlink>
        </w:p>
        <w:p>
          <w:pPr>
            <w:pStyle w:val="Contents3"/>
            <w:tabs>
              <w:tab w:val="clear" w:pos="8459"/>
              <w:tab w:val="right" w:pos="9026" w:leader="dot"/>
            </w:tabs>
            <w:rPr/>
          </w:pPr>
          <w:hyperlink w:anchor="__RefHeading___Toc5522534_581953129">
            <w:r>
              <w:rPr>
                <w:webHidden/>
                <w:rStyle w:val="IndexLink"/>
                <w:rtl w:val="true"/>
              </w:rPr>
              <w:t>نتیجه‌گیری</w:t>
            </w:r>
            <w:r>
              <w:rPr>
                <w:rStyle w:val="IndexLink"/>
                <w:rtl w:val="true"/>
              </w:rPr>
              <w:tab/>
            </w:r>
            <w:r>
              <w:rPr>
                <w:rStyle w:val="IndexLink"/>
              </w:rPr>
              <w:t>24</w:t>
            </w:r>
          </w:hyperlink>
        </w:p>
        <w:p>
          <w:pPr>
            <w:pStyle w:val="Contents3"/>
            <w:tabs>
              <w:tab w:val="clear" w:pos="8459"/>
              <w:tab w:val="right" w:pos="9026" w:leader="dot"/>
            </w:tabs>
            <w:rPr/>
          </w:pPr>
          <w:hyperlink w:anchor="__RefHeading___Toc5522536_581953129">
            <w:r>
              <w:rPr>
                <w:webHidden/>
                <w:rStyle w:val="IndexLink"/>
                <w:rtl w:val="true"/>
              </w:rPr>
              <w:t>منابع و مآخذ</w:t>
            </w:r>
            <w:r>
              <w:rPr>
                <w:rStyle w:val="IndexLink"/>
                <w:rtl w:val="true"/>
              </w:rPr>
              <w:tab/>
            </w:r>
            <w:r>
              <w:rPr>
                <w:rStyle w:val="IndexLink"/>
              </w:rPr>
              <w:t>24</w:t>
            </w:r>
          </w:hyperlink>
        </w:p>
        <w:p>
          <w:pPr>
            <w:pStyle w:val="Contents2"/>
            <w:tabs>
              <w:tab w:val="clear" w:pos="8743"/>
              <w:tab w:val="right" w:pos="9026" w:leader="dot"/>
            </w:tabs>
            <w:rPr/>
          </w:pPr>
          <w:hyperlink w:anchor="__RefHeading___Toc5522538_581953129">
            <w:r>
              <w:rPr>
                <w:webHidden/>
                <w:rStyle w:val="IndexLink"/>
                <w:rtl w:val="true"/>
              </w:rPr>
              <w:t xml:space="preserve">دلالت متون دینی از نگاه نواعتزالیان </w:t>
            </w:r>
            <w:r>
              <w:rPr>
                <w:rStyle w:val="IndexLink"/>
                <w:rtl w:val="true"/>
              </w:rPr>
              <w:t xml:space="preserve">/ </w:t>
            </w:r>
            <w:r>
              <w:rPr>
                <w:rStyle w:val="IndexLink"/>
                <w:rtl w:val="true"/>
              </w:rPr>
              <w:t>محمد عرب‌صالحی</w:t>
            </w:r>
            <w:r>
              <w:rPr>
                <w:rStyle w:val="IndexLink"/>
                <w:rtl w:val="true"/>
              </w:rPr>
              <w:tab/>
            </w:r>
            <w:r>
              <w:rPr>
                <w:rStyle w:val="IndexLink"/>
              </w:rPr>
              <w:t>27</w:t>
            </w:r>
          </w:hyperlink>
        </w:p>
        <w:p>
          <w:pPr>
            <w:pStyle w:val="Contents3"/>
            <w:tabs>
              <w:tab w:val="clear" w:pos="8459"/>
              <w:tab w:val="right" w:pos="9026" w:leader="dot"/>
            </w:tabs>
            <w:rPr/>
          </w:pPr>
          <w:hyperlink w:anchor="__RefHeading___Toc5522540_58195312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5522542_581953129">
            <w:r>
              <w:rPr>
                <w:webHidden/>
                <w:rStyle w:val="IndexLink"/>
                <w:rtl w:val="true"/>
              </w:rPr>
              <w:t>چکیده</w:t>
            </w:r>
            <w:r>
              <w:rPr>
                <w:rStyle w:val="IndexLink"/>
                <w:rtl w:val="true"/>
              </w:rPr>
              <w:tab/>
            </w:r>
            <w:r>
              <w:rPr>
                <w:rStyle w:val="IndexLink"/>
              </w:rPr>
              <w:t>27</w:t>
            </w:r>
          </w:hyperlink>
        </w:p>
        <w:p>
          <w:pPr>
            <w:pStyle w:val="Contents3"/>
            <w:tabs>
              <w:tab w:val="clear" w:pos="8459"/>
              <w:tab w:val="right" w:pos="9026" w:leader="dot"/>
            </w:tabs>
            <w:rPr/>
          </w:pPr>
          <w:hyperlink w:anchor="__RefHeading___Toc5522544_581953129">
            <w:r>
              <w:rPr>
                <w:webHidden/>
                <w:rStyle w:val="IndexLink"/>
                <w:rtl w:val="true"/>
              </w:rPr>
              <w:t>الف</w:t>
            </w:r>
            <w:r>
              <w:rPr>
                <w:rStyle w:val="IndexLink"/>
                <w:rtl w:val="true"/>
              </w:rPr>
              <w:t xml:space="preserve">) </w:t>
            </w:r>
            <w:r>
              <w:rPr>
                <w:rStyle w:val="IndexLink"/>
                <w:rtl w:val="true"/>
              </w:rPr>
              <w:t>مقدمه</w:t>
            </w:r>
            <w:r>
              <w:rPr>
                <w:rStyle w:val="IndexLink"/>
                <w:rtl w:val="true"/>
              </w:rPr>
              <w:t xml:space="preserve">: </w:t>
            </w:r>
            <w:r>
              <w:rPr>
                <w:rStyle w:val="IndexLink"/>
                <w:rtl w:val="true"/>
              </w:rPr>
              <w:t>بیان نظر رقیب</w:t>
            </w:r>
            <w:r>
              <w:rPr>
                <w:rStyle w:val="IndexLink"/>
                <w:rtl w:val="true"/>
              </w:rPr>
              <w:tab/>
            </w:r>
            <w:r>
              <w:rPr>
                <w:rStyle w:val="IndexLink"/>
              </w:rPr>
              <w:t>28</w:t>
            </w:r>
          </w:hyperlink>
        </w:p>
        <w:p>
          <w:pPr>
            <w:pStyle w:val="Contents4"/>
            <w:tabs>
              <w:tab w:val="clear" w:pos="8176"/>
              <w:tab w:val="right" w:pos="9026" w:leader="dot"/>
            </w:tabs>
            <w:rPr/>
          </w:pPr>
          <w:hyperlink w:anchor="__RefHeading___Toc5522546_581953129">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5522548_581953129">
            <w:r>
              <w:rPr>
                <w:webHidden/>
                <w:rStyle w:val="IndexLink"/>
              </w:rPr>
              <w:t>1</w:t>
            </w:r>
            <w:r>
              <w:rPr>
                <w:rStyle w:val="IndexLink"/>
                <w:rtl w:val="true"/>
              </w:rPr>
              <w:t xml:space="preserve">. </w:t>
            </w:r>
            <w:r>
              <w:rPr>
                <w:rStyle w:val="IndexLink"/>
                <w:rtl w:val="true"/>
              </w:rPr>
              <w:t>سیالیت دلالت و معنا در هرمنوتیک فلسفی</w:t>
            </w:r>
            <w:r>
              <w:rPr>
                <w:rStyle w:val="IndexLink"/>
                <w:rtl w:val="true"/>
              </w:rPr>
              <w:tab/>
            </w:r>
            <w:r>
              <w:rPr>
                <w:rStyle w:val="IndexLink"/>
              </w:rPr>
              <w:t>28</w:t>
            </w:r>
          </w:hyperlink>
        </w:p>
        <w:p>
          <w:pPr>
            <w:pStyle w:val="Contents4"/>
            <w:tabs>
              <w:tab w:val="clear" w:pos="8176"/>
              <w:tab w:val="right" w:pos="9026" w:leader="dot"/>
            </w:tabs>
            <w:rPr/>
          </w:pPr>
          <w:hyperlink w:anchor="__RefHeading___Toc5522550_581953129">
            <w:r>
              <w:rPr>
                <w:webHidden/>
                <w:rStyle w:val="IndexLink"/>
              </w:rPr>
              <w:t>2</w:t>
            </w:r>
            <w:r>
              <w:rPr>
                <w:rStyle w:val="IndexLink"/>
                <w:rtl w:val="true"/>
              </w:rPr>
              <w:t xml:space="preserve">. </w:t>
            </w:r>
            <w:r>
              <w:rPr>
                <w:rStyle w:val="IndexLink"/>
                <w:rtl w:val="true"/>
              </w:rPr>
              <w:t>سیالیت دلالت و معنای متن در نگاه اعتزالیان جدید</w:t>
            </w:r>
            <w:r>
              <w:rPr>
                <w:rStyle w:val="IndexLink"/>
                <w:rtl w:val="true"/>
              </w:rPr>
              <w:tab/>
            </w:r>
            <w:r>
              <w:rPr>
                <w:rStyle w:val="IndexLink"/>
              </w:rPr>
              <w:t>29</w:t>
            </w:r>
          </w:hyperlink>
        </w:p>
        <w:p>
          <w:pPr>
            <w:pStyle w:val="Contents3"/>
            <w:tabs>
              <w:tab w:val="clear" w:pos="8459"/>
              <w:tab w:val="right" w:pos="9026" w:leader="dot"/>
            </w:tabs>
            <w:rPr/>
          </w:pPr>
          <w:hyperlink w:anchor="__RefHeading___Toc5522552_581953129">
            <w:r>
              <w:rPr>
                <w:webHidden/>
                <w:rStyle w:val="IndexLink"/>
                <w:rtl w:val="true"/>
              </w:rPr>
              <w:t>ب</w:t>
            </w:r>
            <w:r>
              <w:rPr>
                <w:rStyle w:val="IndexLink"/>
                <w:rtl w:val="true"/>
              </w:rPr>
              <w:t xml:space="preserve">) </w:t>
            </w:r>
            <w:r>
              <w:rPr>
                <w:rStyle w:val="IndexLink"/>
                <w:rtl w:val="true"/>
              </w:rPr>
              <w:t>نقد نظریه رقیب</w:t>
            </w:r>
            <w:r>
              <w:rPr>
                <w:rStyle w:val="IndexLink"/>
                <w:rtl w:val="true"/>
              </w:rPr>
              <w:tab/>
            </w:r>
            <w:r>
              <w:rPr>
                <w:rStyle w:val="IndexLink"/>
              </w:rPr>
              <w:t>33</w:t>
            </w:r>
          </w:hyperlink>
        </w:p>
        <w:p>
          <w:pPr>
            <w:pStyle w:val="Contents4"/>
            <w:tabs>
              <w:tab w:val="clear" w:pos="8176"/>
              <w:tab w:val="right" w:pos="9026" w:leader="dot"/>
            </w:tabs>
            <w:rPr/>
          </w:pPr>
          <w:hyperlink w:anchor="__RefHeading___Toc5522554_581953129">
            <w:r>
              <w:rPr>
                <w:webHidden/>
                <w:rStyle w:val="IndexLink"/>
              </w:rPr>
              <w:t>1</w:t>
            </w:r>
            <w:r>
              <w:rPr>
                <w:rStyle w:val="IndexLink"/>
                <w:rtl w:val="true"/>
              </w:rPr>
              <w:t xml:space="preserve">. </w:t>
            </w:r>
            <w:r>
              <w:rPr>
                <w:rStyle w:val="IndexLink"/>
                <w:rtl w:val="true"/>
              </w:rPr>
              <w:t>هسته های ثابت معنایی، ناقض نظریه سیالیت</w:t>
            </w:r>
            <w:r>
              <w:rPr>
                <w:rStyle w:val="IndexLink"/>
                <w:rtl w:val="true"/>
              </w:rPr>
              <w:tab/>
            </w:r>
            <w:r>
              <w:rPr>
                <w:rStyle w:val="IndexLink"/>
              </w:rPr>
              <w:t>33</w:t>
            </w:r>
          </w:hyperlink>
        </w:p>
        <w:p>
          <w:pPr>
            <w:pStyle w:val="Contents4"/>
            <w:tabs>
              <w:tab w:val="clear" w:pos="8176"/>
              <w:tab w:val="right" w:pos="9026" w:leader="dot"/>
            </w:tabs>
            <w:rPr/>
          </w:pPr>
          <w:hyperlink w:anchor="__RefHeading___Toc5522556_581953129">
            <w:r>
              <w:rPr>
                <w:webHidden/>
                <w:rStyle w:val="IndexLink"/>
              </w:rPr>
              <w:t>2</w:t>
            </w:r>
            <w:r>
              <w:rPr>
                <w:rStyle w:val="IndexLink"/>
                <w:rtl w:val="true"/>
              </w:rPr>
              <w:t xml:space="preserve">. </w:t>
            </w:r>
            <w:r>
              <w:rPr>
                <w:rStyle w:val="IndexLink"/>
                <w:rtl w:val="true"/>
              </w:rPr>
              <w:t>لزوم تفکیک بین تغییر معنای متن و توسعه و تعمیق معرفت</w:t>
            </w:r>
            <w:r>
              <w:rPr>
                <w:rStyle w:val="IndexLink"/>
                <w:rtl w:val="true"/>
              </w:rPr>
              <w:tab/>
            </w:r>
            <w:r>
              <w:rPr>
                <w:rStyle w:val="IndexLink"/>
              </w:rPr>
              <w:t>33</w:t>
            </w:r>
          </w:hyperlink>
        </w:p>
        <w:p>
          <w:pPr>
            <w:pStyle w:val="Contents4"/>
            <w:tabs>
              <w:tab w:val="clear" w:pos="8176"/>
              <w:tab w:val="right" w:pos="9026" w:leader="dot"/>
            </w:tabs>
            <w:rPr/>
          </w:pPr>
          <w:hyperlink w:anchor="__RefHeading___Toc5522558_581953129">
            <w:r>
              <w:rPr>
                <w:webHidden/>
                <w:rStyle w:val="IndexLink"/>
              </w:rPr>
              <w:t>3</w:t>
            </w:r>
            <w:r>
              <w:rPr>
                <w:rStyle w:val="IndexLink"/>
                <w:rtl w:val="true"/>
              </w:rPr>
              <w:t xml:space="preserve">. </w:t>
            </w:r>
            <w:r>
              <w:rPr>
                <w:rStyle w:val="IndexLink"/>
                <w:rtl w:val="true"/>
              </w:rPr>
              <w:t>موضوع‌له در اسمهای عام</w:t>
            </w:r>
            <w:r>
              <w:rPr>
                <w:rStyle w:val="IndexLink"/>
                <w:rtl w:val="true"/>
              </w:rPr>
              <w:tab/>
            </w:r>
            <w:r>
              <w:rPr>
                <w:rStyle w:val="IndexLink"/>
              </w:rPr>
              <w:t>34</w:t>
            </w:r>
          </w:hyperlink>
        </w:p>
        <w:p>
          <w:pPr>
            <w:pStyle w:val="Contents4"/>
            <w:tabs>
              <w:tab w:val="clear" w:pos="8176"/>
              <w:tab w:val="right" w:pos="9026" w:leader="dot"/>
            </w:tabs>
            <w:rPr/>
          </w:pPr>
          <w:hyperlink w:anchor="__RefHeading___Toc5522560_581953129">
            <w:r>
              <w:rPr>
                <w:webHidden/>
                <w:rStyle w:val="IndexLink"/>
              </w:rPr>
              <w:t>4</w:t>
            </w:r>
            <w:r>
              <w:rPr>
                <w:rStyle w:val="IndexLink"/>
                <w:rtl w:val="true"/>
              </w:rPr>
              <w:t xml:space="preserve">. </w:t>
            </w:r>
            <w:r>
              <w:rPr>
                <w:rStyle w:val="IndexLink"/>
                <w:rtl w:val="true"/>
              </w:rPr>
              <w:t>خلط بین شرح اللفظ و مای حقیقیه</w:t>
            </w:r>
            <w:r>
              <w:rPr>
                <w:rStyle w:val="IndexLink"/>
                <w:rtl w:val="true"/>
              </w:rPr>
              <w:tab/>
            </w:r>
            <w:r>
              <w:rPr>
                <w:rStyle w:val="IndexLink"/>
              </w:rPr>
              <w:t>35</w:t>
            </w:r>
          </w:hyperlink>
        </w:p>
        <w:p>
          <w:pPr>
            <w:pStyle w:val="Contents4"/>
            <w:tabs>
              <w:tab w:val="clear" w:pos="8176"/>
              <w:tab w:val="right" w:pos="9026" w:leader="dot"/>
            </w:tabs>
            <w:rPr/>
          </w:pPr>
          <w:hyperlink w:anchor="__RefHeading___Toc5522562_581953129">
            <w:r>
              <w:rPr>
                <w:webHidden/>
                <w:rStyle w:val="IndexLink"/>
              </w:rPr>
              <w:t>5</w:t>
            </w:r>
            <w:r>
              <w:rPr>
                <w:rStyle w:val="IndexLink"/>
                <w:rtl w:val="true"/>
              </w:rPr>
              <w:t xml:space="preserve">. </w:t>
            </w:r>
            <w:r>
              <w:rPr>
                <w:rStyle w:val="IndexLink"/>
                <w:rtl w:val="true"/>
              </w:rPr>
              <w:t>انتقال دلالی یا انحراف دلالی</w:t>
            </w:r>
            <w:r>
              <w:rPr>
                <w:rStyle w:val="IndexLink"/>
                <w:rtl w:val="true"/>
              </w:rPr>
              <w:tab/>
            </w:r>
            <w:r>
              <w:rPr>
                <w:rStyle w:val="IndexLink"/>
              </w:rPr>
              <w:t>36</w:t>
            </w:r>
          </w:hyperlink>
        </w:p>
        <w:p>
          <w:pPr>
            <w:pStyle w:val="Contents4"/>
            <w:tabs>
              <w:tab w:val="clear" w:pos="8176"/>
              <w:tab w:val="right" w:pos="9026" w:leader="dot"/>
            </w:tabs>
            <w:rPr/>
          </w:pPr>
          <w:hyperlink w:anchor="__RefHeading___Toc5522564_581953129">
            <w:r>
              <w:rPr>
                <w:webHidden/>
                <w:rStyle w:val="IndexLink"/>
              </w:rPr>
              <w:t>6</w:t>
            </w:r>
            <w:r>
              <w:rPr>
                <w:rStyle w:val="IndexLink"/>
                <w:rtl w:val="true"/>
              </w:rPr>
              <w:t xml:space="preserve">. </w:t>
            </w:r>
            <w:r>
              <w:rPr>
                <w:rStyle w:val="IndexLink"/>
                <w:rtl w:val="true"/>
              </w:rPr>
              <w:t>انکار امر واقع</w:t>
            </w:r>
            <w:r>
              <w:rPr>
                <w:rStyle w:val="IndexLink"/>
                <w:rtl w:val="true"/>
              </w:rPr>
              <w:tab/>
            </w:r>
            <w:r>
              <w:rPr>
                <w:rStyle w:val="IndexLink"/>
              </w:rPr>
              <w:t>37</w:t>
            </w:r>
          </w:hyperlink>
        </w:p>
        <w:p>
          <w:pPr>
            <w:pStyle w:val="Contents4"/>
            <w:tabs>
              <w:tab w:val="clear" w:pos="8176"/>
              <w:tab w:val="right" w:pos="9026" w:leader="dot"/>
            </w:tabs>
            <w:rPr/>
          </w:pPr>
          <w:hyperlink w:anchor="__RefHeading___Toc5522566_581953129">
            <w:r>
              <w:rPr>
                <w:webHidden/>
                <w:rStyle w:val="IndexLink"/>
              </w:rPr>
              <w:t>7</w:t>
            </w:r>
            <w:r>
              <w:rPr>
                <w:rStyle w:val="IndexLink"/>
                <w:rtl w:val="true"/>
              </w:rPr>
              <w:t>.</w:t>
            </w:r>
            <w:r>
              <w:rPr>
                <w:rStyle w:val="IndexLink"/>
                <w:rtl w:val="true"/>
              </w:rPr>
              <w:t>سدّ باب مفاهمه</w:t>
            </w:r>
            <w:r>
              <w:rPr>
                <w:rStyle w:val="IndexLink"/>
                <w:rtl w:val="true"/>
              </w:rPr>
              <w:tab/>
            </w:r>
            <w:r>
              <w:rPr>
                <w:rStyle w:val="IndexLink"/>
              </w:rPr>
              <w:t>37</w:t>
            </w:r>
          </w:hyperlink>
        </w:p>
        <w:p>
          <w:pPr>
            <w:pStyle w:val="Contents4"/>
            <w:tabs>
              <w:tab w:val="clear" w:pos="8176"/>
              <w:tab w:val="right" w:pos="9026" w:leader="dot"/>
            </w:tabs>
            <w:rPr/>
          </w:pPr>
          <w:hyperlink w:anchor="__RefHeading___Toc5522568_581953129">
            <w:r>
              <w:rPr>
                <w:webHidden/>
                <w:rStyle w:val="IndexLink"/>
              </w:rPr>
              <w:t>8</w:t>
            </w:r>
            <w:r>
              <w:rPr>
                <w:rStyle w:val="IndexLink"/>
                <w:rtl w:val="true"/>
              </w:rPr>
              <w:t xml:space="preserve">. </w:t>
            </w:r>
            <w:r>
              <w:rPr>
                <w:rStyle w:val="IndexLink"/>
                <w:rtl w:val="true"/>
              </w:rPr>
              <w:t xml:space="preserve">تفکیک بین معنای مراد مؤلف و </w:t>
            </w:r>
            <w:r>
              <w:rPr>
                <w:rStyle w:val="IndexLink"/>
                <w:rtl w:val="true"/>
              </w:rPr>
              <w:t>«</w:t>
            </w:r>
            <w:r>
              <w:rPr>
                <w:rStyle w:val="IndexLink"/>
                <w:rtl w:val="true"/>
              </w:rPr>
              <w:t>معنا برای ما</w:t>
            </w:r>
            <w:r>
              <w:rPr>
                <w:rStyle w:val="IndexLink"/>
                <w:rtl w:val="true"/>
              </w:rPr>
              <w:t>»</w:t>
              <w:tab/>
            </w:r>
            <w:r>
              <w:rPr>
                <w:rStyle w:val="IndexLink"/>
              </w:rPr>
              <w:t>37</w:t>
            </w:r>
          </w:hyperlink>
        </w:p>
        <w:p>
          <w:pPr>
            <w:pStyle w:val="Contents4"/>
            <w:tabs>
              <w:tab w:val="clear" w:pos="8176"/>
              <w:tab w:val="right" w:pos="9026" w:leader="dot"/>
            </w:tabs>
            <w:rPr/>
          </w:pPr>
          <w:hyperlink w:anchor="__RefHeading___Toc5522570_581953129">
            <w:r>
              <w:rPr>
                <w:webHidden/>
                <w:rStyle w:val="IndexLink"/>
              </w:rPr>
              <w:t>9</w:t>
            </w:r>
            <w:r>
              <w:rPr>
                <w:rStyle w:val="IndexLink"/>
                <w:rtl w:val="true"/>
              </w:rPr>
              <w:t xml:space="preserve">. </w:t>
            </w:r>
            <w:r>
              <w:rPr>
                <w:rStyle w:val="IndexLink"/>
                <w:rtl w:val="true"/>
              </w:rPr>
              <w:t>لزوم تفکیک بین تغییر معنای متن و ظهور لایه‌های پنهان معنا</w:t>
            </w:r>
            <w:r>
              <w:rPr>
                <w:rStyle w:val="IndexLink"/>
                <w:rtl w:val="true"/>
              </w:rPr>
              <w:tab/>
            </w:r>
            <w:r>
              <w:rPr>
                <w:rStyle w:val="IndexLink"/>
              </w:rPr>
              <w:t>39</w:t>
            </w:r>
          </w:hyperlink>
        </w:p>
        <w:p>
          <w:pPr>
            <w:pStyle w:val="Contents3"/>
            <w:tabs>
              <w:tab w:val="clear" w:pos="8459"/>
              <w:tab w:val="right" w:pos="9026" w:leader="dot"/>
            </w:tabs>
            <w:rPr/>
          </w:pPr>
          <w:hyperlink w:anchor="__RefHeading___Toc5522572_581953129">
            <w:r>
              <w:rPr>
                <w:webHidden/>
                <w:rStyle w:val="IndexLink"/>
                <w:rtl w:val="true"/>
              </w:rPr>
              <w:t>نتیجه‌گیری</w:t>
            </w:r>
            <w:r>
              <w:rPr>
                <w:rStyle w:val="IndexLink"/>
                <w:rtl w:val="true"/>
              </w:rPr>
              <w:tab/>
            </w:r>
            <w:r>
              <w:rPr>
                <w:rStyle w:val="IndexLink"/>
              </w:rPr>
              <w:t>41</w:t>
            </w:r>
          </w:hyperlink>
        </w:p>
        <w:p>
          <w:pPr>
            <w:pStyle w:val="Contents3"/>
            <w:tabs>
              <w:tab w:val="clear" w:pos="8459"/>
              <w:tab w:val="right" w:pos="9026" w:leader="dot"/>
            </w:tabs>
            <w:rPr/>
          </w:pPr>
          <w:hyperlink w:anchor="__RefHeading___Toc5522574_581953129">
            <w:r>
              <w:rPr>
                <w:webHidden/>
                <w:rStyle w:val="IndexLink"/>
                <w:rtl w:val="true"/>
              </w:rPr>
              <w:t>منابع و مآخذ</w:t>
            </w:r>
            <w:r>
              <w:rPr>
                <w:rStyle w:val="IndexLink"/>
                <w:rtl w:val="true"/>
              </w:rPr>
              <w:tab/>
            </w:r>
            <w:r>
              <w:rPr>
                <w:rStyle w:val="IndexLink"/>
              </w:rPr>
              <w:t>42</w:t>
            </w:r>
          </w:hyperlink>
        </w:p>
        <w:p>
          <w:pPr>
            <w:pStyle w:val="Contents2"/>
            <w:tabs>
              <w:tab w:val="clear" w:pos="8743"/>
              <w:tab w:val="right" w:pos="9026" w:leader="dot"/>
            </w:tabs>
            <w:rPr/>
          </w:pPr>
          <w:hyperlink w:anchor="__RefHeading___Toc5522576_581953129">
            <w:r>
              <w:rPr>
                <w:webHidden/>
                <w:rStyle w:val="IndexLink"/>
                <w:rtl w:val="true"/>
              </w:rPr>
              <w:t xml:space="preserve">یقین در فلسفة اشراق </w:t>
            </w:r>
            <w:r>
              <w:rPr>
                <w:rStyle w:val="IndexLink"/>
                <w:rtl w:val="true"/>
              </w:rPr>
              <w:t xml:space="preserve">/ </w:t>
            </w:r>
            <w:r>
              <w:rPr>
                <w:rStyle w:val="IndexLink"/>
                <w:rtl w:val="true"/>
              </w:rPr>
              <w:t>مهدی عباس‌زاده</w:t>
            </w:r>
            <w:r>
              <w:rPr>
                <w:rStyle w:val="IndexLink"/>
                <w:rtl w:val="true"/>
              </w:rPr>
              <w:tab/>
            </w:r>
            <w:r>
              <w:rPr>
                <w:rStyle w:val="IndexLink"/>
              </w:rPr>
              <w:t>45</w:t>
            </w:r>
          </w:hyperlink>
        </w:p>
        <w:p>
          <w:pPr>
            <w:pStyle w:val="Contents3"/>
            <w:tabs>
              <w:tab w:val="clear" w:pos="8459"/>
              <w:tab w:val="right" w:pos="9026" w:leader="dot"/>
            </w:tabs>
            <w:rPr/>
          </w:pPr>
          <w:hyperlink w:anchor="__RefHeading___Toc5522578_581953129">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5522580_581953129">
            <w:r>
              <w:rPr>
                <w:webHidden/>
                <w:rStyle w:val="IndexLink"/>
                <w:rtl w:val="true"/>
              </w:rPr>
              <w:t>چکیده</w:t>
            </w:r>
            <w:r>
              <w:rPr>
                <w:rStyle w:val="IndexLink"/>
                <w:rtl w:val="true"/>
              </w:rPr>
              <w:tab/>
            </w:r>
            <w:r>
              <w:rPr>
                <w:rStyle w:val="IndexLink"/>
              </w:rPr>
              <w:t>45</w:t>
            </w:r>
          </w:hyperlink>
        </w:p>
        <w:p>
          <w:pPr>
            <w:pStyle w:val="Contents3"/>
            <w:tabs>
              <w:tab w:val="clear" w:pos="8459"/>
              <w:tab w:val="right" w:pos="9026" w:leader="dot"/>
            </w:tabs>
            <w:rPr/>
          </w:pPr>
          <w:hyperlink w:anchor="__RefHeading___Toc5522582_581953129">
            <w:r>
              <w:rPr>
                <w:webHidden/>
                <w:rStyle w:val="IndexLink"/>
              </w:rPr>
              <w:t>1</w:t>
            </w:r>
            <w:r>
              <w:rPr>
                <w:rStyle w:val="IndexLink"/>
                <w:rtl w:val="true"/>
              </w:rPr>
              <w:t xml:space="preserve">. </w:t>
            </w:r>
            <w:r>
              <w:rPr>
                <w:rStyle w:val="IndexLink"/>
                <w:rtl w:val="true"/>
              </w:rPr>
              <w:t>معنای یقین</w:t>
            </w:r>
            <w:r>
              <w:rPr>
                <w:rStyle w:val="IndexLink"/>
                <w:rtl w:val="true"/>
              </w:rPr>
              <w:tab/>
            </w:r>
            <w:r>
              <w:rPr>
                <w:rStyle w:val="IndexLink"/>
              </w:rPr>
              <w:t>46</w:t>
            </w:r>
          </w:hyperlink>
        </w:p>
        <w:p>
          <w:pPr>
            <w:pStyle w:val="Contents3"/>
            <w:tabs>
              <w:tab w:val="clear" w:pos="8459"/>
              <w:tab w:val="right" w:pos="9026" w:leader="dot"/>
            </w:tabs>
            <w:rPr/>
          </w:pPr>
          <w:hyperlink w:anchor="__RefHeading___Toc5522584_581953129">
            <w:r>
              <w:rPr>
                <w:webHidden/>
                <w:rStyle w:val="IndexLink"/>
              </w:rPr>
              <w:t>2</w:t>
            </w:r>
            <w:r>
              <w:rPr>
                <w:rStyle w:val="IndexLink"/>
                <w:rtl w:val="true"/>
              </w:rPr>
              <w:t xml:space="preserve">. </w:t>
            </w:r>
            <w:r>
              <w:rPr>
                <w:rStyle w:val="IndexLink"/>
                <w:rtl w:val="true"/>
              </w:rPr>
              <w:t>یقین از طریق برهان</w:t>
            </w:r>
            <w:r>
              <w:rPr>
                <w:rStyle w:val="IndexLink"/>
                <w:rtl w:val="true"/>
              </w:rPr>
              <w:tab/>
            </w:r>
            <w:r>
              <w:rPr>
                <w:rStyle w:val="IndexLink"/>
              </w:rPr>
              <w:t>50</w:t>
            </w:r>
          </w:hyperlink>
        </w:p>
        <w:p>
          <w:pPr>
            <w:pStyle w:val="Contents3"/>
            <w:tabs>
              <w:tab w:val="clear" w:pos="8459"/>
              <w:tab w:val="right" w:pos="9026" w:leader="dot"/>
            </w:tabs>
            <w:rPr/>
          </w:pPr>
          <w:hyperlink w:anchor="__RefHeading___Toc5522586_581953129">
            <w:r>
              <w:rPr>
                <w:webHidden/>
                <w:rStyle w:val="IndexLink"/>
              </w:rPr>
              <w:t>3</w:t>
            </w:r>
            <w:r>
              <w:rPr>
                <w:rStyle w:val="IndexLink"/>
                <w:rtl w:val="true"/>
              </w:rPr>
              <w:t xml:space="preserve">. </w:t>
            </w:r>
            <w:r>
              <w:rPr>
                <w:rStyle w:val="IndexLink"/>
                <w:rtl w:val="true"/>
              </w:rPr>
              <w:t>یقین از طریق شهود</w:t>
            </w:r>
            <w:r>
              <w:rPr>
                <w:rStyle w:val="IndexLink"/>
                <w:rtl w:val="true"/>
              </w:rPr>
              <w:tab/>
            </w:r>
            <w:r>
              <w:rPr>
                <w:rStyle w:val="IndexLink"/>
              </w:rPr>
              <w:t>58</w:t>
            </w:r>
          </w:hyperlink>
        </w:p>
        <w:p>
          <w:pPr>
            <w:pStyle w:val="Contents3"/>
            <w:tabs>
              <w:tab w:val="clear" w:pos="8459"/>
              <w:tab w:val="right" w:pos="9026" w:leader="dot"/>
            </w:tabs>
            <w:rPr/>
          </w:pPr>
          <w:hyperlink w:anchor="__RefHeading___Toc5522588_581953129">
            <w:r>
              <w:rPr>
                <w:webHidden/>
                <w:rStyle w:val="IndexLink"/>
                <w:rtl w:val="true"/>
              </w:rPr>
              <w:t>نتیجه‌گیری</w:t>
            </w:r>
            <w:r>
              <w:rPr>
                <w:rStyle w:val="IndexLink"/>
                <w:rtl w:val="true"/>
              </w:rPr>
              <w:tab/>
            </w:r>
            <w:r>
              <w:rPr>
                <w:rStyle w:val="IndexLink"/>
              </w:rPr>
              <w:t>62</w:t>
            </w:r>
          </w:hyperlink>
        </w:p>
        <w:p>
          <w:pPr>
            <w:pStyle w:val="Contents3"/>
            <w:tabs>
              <w:tab w:val="clear" w:pos="8459"/>
              <w:tab w:val="right" w:pos="9026" w:leader="dot"/>
            </w:tabs>
            <w:rPr/>
          </w:pPr>
          <w:hyperlink w:anchor="__RefHeading___Toc5522590_581953129">
            <w:r>
              <w:rPr>
                <w:webHidden/>
                <w:rStyle w:val="IndexLink"/>
                <w:rtl w:val="true"/>
              </w:rPr>
              <w:t>منابع و مآخذ</w:t>
            </w:r>
            <w:r>
              <w:rPr>
                <w:rStyle w:val="IndexLink"/>
                <w:rtl w:val="true"/>
              </w:rPr>
              <w:tab/>
            </w:r>
            <w:r>
              <w:rPr>
                <w:rStyle w:val="IndexLink"/>
              </w:rPr>
              <w:t>68</w:t>
            </w:r>
          </w:hyperlink>
        </w:p>
        <w:p>
          <w:pPr>
            <w:pStyle w:val="Contents2"/>
            <w:tabs>
              <w:tab w:val="clear" w:pos="8743"/>
              <w:tab w:val="right" w:pos="9026" w:leader="dot"/>
            </w:tabs>
            <w:rPr/>
          </w:pPr>
          <w:hyperlink w:anchor="__RefHeading___Toc5522592_581953129">
            <w:r>
              <w:rPr>
                <w:webHidden/>
                <w:rStyle w:val="IndexLink"/>
                <w:rtl w:val="true"/>
              </w:rPr>
              <w:t>ارزیابی تطبیقیِ جامعه</w:t>
            </w:r>
            <w:r>
              <w:rPr>
                <w:rStyle w:val="IndexLink"/>
                <w:rtl w:val="true"/>
              </w:rPr>
              <w:softHyphen/>
            </w:r>
            <w:r>
              <w:rPr>
                <w:rStyle w:val="IndexLink"/>
                <w:rtl w:val="true"/>
              </w:rPr>
              <w:t xml:space="preserve">شناسی معرفت کارل مانهایم و نظریه پارادایمی تامس کوهن </w:t>
            </w:r>
            <w:r>
              <w:rPr>
                <w:rStyle w:val="IndexLink"/>
                <w:rtl w:val="true"/>
              </w:rPr>
              <w:t xml:space="preserve">/ </w:t>
            </w:r>
            <w:r>
              <w:rPr>
                <w:rStyle w:val="IndexLink"/>
                <w:rtl w:val="true"/>
              </w:rPr>
              <w:t>غلامحسین مقدم حیدری</w:t>
            </w:r>
            <w:r>
              <w:rPr>
                <w:rStyle w:val="IndexLink"/>
                <w:rtl w:val="true"/>
              </w:rPr>
              <w:tab/>
            </w:r>
            <w:r>
              <w:rPr>
                <w:rStyle w:val="IndexLink"/>
              </w:rPr>
              <w:t>71</w:t>
            </w:r>
          </w:hyperlink>
        </w:p>
        <w:p>
          <w:pPr>
            <w:pStyle w:val="Contents3"/>
            <w:tabs>
              <w:tab w:val="clear" w:pos="8459"/>
              <w:tab w:val="right" w:pos="9026" w:leader="dot"/>
            </w:tabs>
            <w:rPr/>
          </w:pPr>
          <w:hyperlink w:anchor="__RefHeading___Toc5522594_581953129">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5522596_581953129">
            <w:r>
              <w:rPr>
                <w:webHidden/>
                <w:rStyle w:val="IndexLink"/>
                <w:rtl w:val="true"/>
              </w:rPr>
              <w:t>چکیده</w:t>
            </w:r>
            <w:r>
              <w:rPr>
                <w:rStyle w:val="IndexLink"/>
                <w:rtl w:val="true"/>
              </w:rPr>
              <w:tab/>
            </w:r>
            <w:r>
              <w:rPr>
                <w:rStyle w:val="IndexLink"/>
              </w:rPr>
              <w:t>71</w:t>
            </w:r>
          </w:hyperlink>
        </w:p>
        <w:p>
          <w:pPr>
            <w:pStyle w:val="Contents3"/>
            <w:tabs>
              <w:tab w:val="clear" w:pos="8459"/>
              <w:tab w:val="right" w:pos="9026" w:leader="dot"/>
            </w:tabs>
            <w:rPr/>
          </w:pPr>
          <w:hyperlink w:anchor="__RefHeading___Toc5522598_581953129">
            <w:r>
              <w:rPr>
                <w:webHidden/>
                <w:rStyle w:val="IndexLink"/>
                <w:rtl w:val="true"/>
              </w:rPr>
              <w:t>مقدمه</w:t>
            </w:r>
            <w:r>
              <w:rPr>
                <w:rStyle w:val="IndexLink"/>
                <w:rtl w:val="true"/>
              </w:rPr>
              <w:tab/>
            </w:r>
            <w:r>
              <w:rPr>
                <w:rStyle w:val="IndexLink"/>
              </w:rPr>
              <w:t>72</w:t>
            </w:r>
          </w:hyperlink>
        </w:p>
        <w:p>
          <w:pPr>
            <w:pStyle w:val="Contents3"/>
            <w:tabs>
              <w:tab w:val="clear" w:pos="8459"/>
              <w:tab w:val="right" w:pos="9026" w:leader="dot"/>
            </w:tabs>
            <w:rPr/>
          </w:pPr>
          <w:hyperlink w:anchor="__RefHeading___Toc5522600_581953129">
            <w:r>
              <w:rPr>
                <w:webHidden/>
                <w:rStyle w:val="IndexLink"/>
              </w:rPr>
              <w:t>1</w:t>
            </w:r>
            <w:r>
              <w:rPr>
                <w:rStyle w:val="IndexLink"/>
                <w:rtl w:val="true"/>
              </w:rPr>
              <w:t xml:space="preserve">. </w:t>
            </w:r>
            <w:r>
              <w:rPr>
                <w:rStyle w:val="IndexLink"/>
                <w:rtl w:val="true"/>
              </w:rPr>
              <w:t>متون درسی فلسفی و علمی</w:t>
            </w:r>
            <w:r>
              <w:rPr>
                <w:rStyle w:val="IndexLink"/>
                <w:rtl w:val="true"/>
              </w:rPr>
              <w:tab/>
            </w:r>
            <w:r>
              <w:rPr>
                <w:rStyle w:val="IndexLink"/>
              </w:rPr>
              <w:t>77</w:t>
            </w:r>
          </w:hyperlink>
        </w:p>
        <w:p>
          <w:pPr>
            <w:pStyle w:val="Contents3"/>
            <w:tabs>
              <w:tab w:val="clear" w:pos="8459"/>
              <w:tab w:val="right" w:pos="9026" w:leader="dot"/>
            </w:tabs>
            <w:rPr/>
          </w:pPr>
          <w:hyperlink w:anchor="__RefHeading___Toc5522602_581953129">
            <w:r>
              <w:rPr>
                <w:webHidden/>
                <w:rStyle w:val="IndexLink"/>
              </w:rPr>
              <w:t>2</w:t>
            </w:r>
            <w:r>
              <w:rPr>
                <w:rStyle w:val="IndexLink"/>
                <w:rtl w:val="true"/>
              </w:rPr>
              <w:t xml:space="preserve">. </w:t>
            </w:r>
            <w:r>
              <w:rPr>
                <w:rStyle w:val="IndexLink"/>
                <w:rtl w:val="true"/>
              </w:rPr>
              <w:t>ادراک گشتالتی در علوم انسانی و تجربی</w:t>
            </w:r>
            <w:r>
              <w:rPr>
                <w:rStyle w:val="IndexLink"/>
                <w:rtl w:val="true"/>
              </w:rPr>
              <w:tab/>
            </w:r>
            <w:r>
              <w:rPr>
                <w:rStyle w:val="IndexLink"/>
              </w:rPr>
              <w:t>81</w:t>
            </w:r>
          </w:hyperlink>
        </w:p>
        <w:p>
          <w:pPr>
            <w:pStyle w:val="Contents3"/>
            <w:tabs>
              <w:tab w:val="clear" w:pos="8459"/>
              <w:tab w:val="right" w:pos="9026" w:leader="dot"/>
            </w:tabs>
            <w:rPr/>
          </w:pPr>
          <w:hyperlink w:anchor="__RefHeading___Toc5522604_581953129">
            <w:r>
              <w:rPr>
                <w:webHidden/>
                <w:rStyle w:val="IndexLink"/>
              </w:rPr>
              <w:t>3</w:t>
            </w:r>
            <w:r>
              <w:rPr>
                <w:rStyle w:val="IndexLink"/>
                <w:rtl w:val="true"/>
              </w:rPr>
              <w:t xml:space="preserve">. </w:t>
            </w:r>
            <w:r>
              <w:rPr>
                <w:rStyle w:val="IndexLink"/>
                <w:rtl w:val="true"/>
              </w:rPr>
              <w:t>چشم انداز</w:t>
            </w:r>
            <w:r>
              <w:rPr>
                <w:rStyle w:val="IndexLink"/>
                <w:rtl w:val="true"/>
              </w:rPr>
              <w:t xml:space="preserve">- </w:t>
            </w:r>
            <w:r>
              <w:rPr>
                <w:rStyle w:val="IndexLink"/>
                <w:rtl w:val="true"/>
              </w:rPr>
              <w:t>پارادایم</w:t>
            </w:r>
            <w:r>
              <w:rPr>
                <w:rStyle w:val="IndexLink"/>
                <w:rtl w:val="true"/>
              </w:rPr>
              <w:tab/>
            </w:r>
            <w:r>
              <w:rPr>
                <w:rStyle w:val="IndexLink"/>
              </w:rPr>
              <w:t>87</w:t>
            </w:r>
          </w:hyperlink>
        </w:p>
        <w:p>
          <w:pPr>
            <w:pStyle w:val="Contents3"/>
            <w:tabs>
              <w:tab w:val="clear" w:pos="8459"/>
              <w:tab w:val="right" w:pos="9026" w:leader="dot"/>
            </w:tabs>
            <w:rPr/>
          </w:pPr>
          <w:hyperlink w:anchor="__RefHeading___Toc5522606_581953129">
            <w:r>
              <w:rPr>
                <w:webHidden/>
                <w:rStyle w:val="IndexLink"/>
              </w:rPr>
              <w:t>4</w:t>
            </w:r>
            <w:r>
              <w:rPr>
                <w:rStyle w:val="IndexLink"/>
                <w:rtl w:val="true"/>
              </w:rPr>
              <w:t xml:space="preserve">. </w:t>
            </w:r>
            <w:r>
              <w:rPr>
                <w:rStyle w:val="IndexLink"/>
                <w:rtl w:val="true"/>
              </w:rPr>
              <w:t>چشم اندازهای گوناگون و قیاس</w:t>
            </w:r>
            <w:r>
              <w:rPr>
                <w:rStyle w:val="IndexLink"/>
                <w:rtl w:val="true"/>
              </w:rPr>
              <w:softHyphen/>
            </w:r>
            <w:r>
              <w:rPr>
                <w:rStyle w:val="IndexLink"/>
                <w:rtl w:val="true"/>
              </w:rPr>
              <w:t>ناپذیری پارادایم</w:t>
            </w:r>
            <w:r>
              <w:rPr>
                <w:rStyle w:val="IndexLink"/>
                <w:rtl w:val="true"/>
              </w:rPr>
              <w:softHyphen/>
            </w:r>
            <w:r>
              <w:rPr>
                <w:rStyle w:val="IndexLink"/>
                <w:rtl w:val="true"/>
              </w:rPr>
              <w:t>ها</w:t>
            </w:r>
            <w:r>
              <w:rPr>
                <w:rStyle w:val="IndexLink"/>
                <w:rtl w:val="true"/>
              </w:rPr>
              <w:tab/>
            </w:r>
            <w:r>
              <w:rPr>
                <w:rStyle w:val="IndexLink"/>
              </w:rPr>
              <w:t>91</w:t>
            </w:r>
          </w:hyperlink>
        </w:p>
        <w:p>
          <w:pPr>
            <w:pStyle w:val="Contents3"/>
            <w:tabs>
              <w:tab w:val="clear" w:pos="8459"/>
              <w:tab w:val="right" w:pos="9026" w:leader="dot"/>
            </w:tabs>
            <w:rPr/>
          </w:pPr>
          <w:hyperlink w:anchor="__RefHeading___Toc5522608_581953129">
            <w:r>
              <w:rPr>
                <w:webHidden/>
                <w:rStyle w:val="IndexLink"/>
              </w:rPr>
              <w:t>5</w:t>
            </w:r>
            <w:r>
              <w:rPr>
                <w:rStyle w:val="IndexLink"/>
                <w:rtl w:val="true"/>
              </w:rPr>
              <w:t xml:space="preserve">. </w:t>
            </w:r>
            <w:r>
              <w:rPr>
                <w:rStyle w:val="IndexLink"/>
                <w:rtl w:val="true"/>
              </w:rPr>
              <w:t>مفاهیم و تغییر معنایی</w:t>
            </w:r>
            <w:r>
              <w:rPr>
                <w:rStyle w:val="IndexLink"/>
                <w:rtl w:val="true"/>
              </w:rPr>
              <w:tab/>
            </w:r>
            <w:r>
              <w:rPr>
                <w:rStyle w:val="IndexLink"/>
              </w:rPr>
              <w:t>93</w:t>
            </w:r>
          </w:hyperlink>
        </w:p>
        <w:p>
          <w:pPr>
            <w:pStyle w:val="Contents3"/>
            <w:tabs>
              <w:tab w:val="clear" w:pos="8459"/>
              <w:tab w:val="right" w:pos="9026" w:leader="dot"/>
            </w:tabs>
            <w:rPr/>
          </w:pPr>
          <w:hyperlink w:anchor="__RefHeading___Toc5522610_581953129">
            <w:r>
              <w:rPr>
                <w:webHidden/>
                <w:rStyle w:val="IndexLink"/>
              </w:rPr>
              <w:t>6</w:t>
            </w:r>
            <w:r>
              <w:rPr>
                <w:rStyle w:val="IndexLink"/>
                <w:rtl w:val="true"/>
              </w:rPr>
              <w:t>.</w:t>
            </w:r>
            <w:r>
              <w:rPr>
                <w:rStyle w:val="IndexLink"/>
                <w:rtl w:val="true"/>
              </w:rPr>
              <w:t>گسست ارتباطی</w:t>
            </w:r>
            <w:r>
              <w:rPr>
                <w:rStyle w:val="IndexLink"/>
                <w:rtl w:val="true"/>
              </w:rPr>
              <w:tab/>
            </w:r>
            <w:r>
              <w:rPr>
                <w:rStyle w:val="IndexLink"/>
              </w:rPr>
              <w:t>96</w:t>
            </w:r>
          </w:hyperlink>
        </w:p>
        <w:p>
          <w:pPr>
            <w:pStyle w:val="Contents3"/>
            <w:tabs>
              <w:tab w:val="clear" w:pos="8459"/>
              <w:tab w:val="right" w:pos="9026" w:leader="dot"/>
            </w:tabs>
            <w:rPr/>
          </w:pPr>
          <w:hyperlink w:anchor="__RefHeading___Toc5522612_581953129">
            <w:r>
              <w:rPr>
                <w:webHidden/>
                <w:rStyle w:val="IndexLink"/>
              </w:rPr>
              <w:t>7</w:t>
            </w:r>
            <w:r>
              <w:rPr>
                <w:rStyle w:val="IndexLink"/>
                <w:rtl w:val="true"/>
              </w:rPr>
              <w:t xml:space="preserve">. </w:t>
            </w:r>
            <w:r>
              <w:rPr>
                <w:rStyle w:val="IndexLink"/>
                <w:rtl w:val="true"/>
              </w:rPr>
              <w:t>نسبی گرایی یا نسبت گرایی</w:t>
            </w:r>
            <w:r>
              <w:rPr>
                <w:rStyle w:val="IndexLink"/>
                <w:rtl w:val="true"/>
              </w:rPr>
              <w:tab/>
            </w:r>
            <w:r>
              <w:rPr>
                <w:rStyle w:val="IndexLink"/>
              </w:rPr>
              <w:t>99</w:t>
            </w:r>
          </w:hyperlink>
        </w:p>
        <w:p>
          <w:pPr>
            <w:pStyle w:val="Contents3"/>
            <w:tabs>
              <w:tab w:val="clear" w:pos="8459"/>
              <w:tab w:val="right" w:pos="9026" w:leader="dot"/>
            </w:tabs>
            <w:rPr/>
          </w:pPr>
          <w:hyperlink w:anchor="__RefHeading___Toc5522614_581953129">
            <w:r>
              <w:rPr>
                <w:webHidden/>
                <w:rStyle w:val="IndexLink"/>
                <w:rtl w:val="true"/>
              </w:rPr>
              <w:t>نتیجه گیری</w:t>
            </w:r>
            <w:r>
              <w:rPr>
                <w:rStyle w:val="IndexLink"/>
                <w:rtl w:val="true"/>
              </w:rPr>
              <w:tab/>
            </w:r>
            <w:r>
              <w:rPr>
                <w:rStyle w:val="IndexLink"/>
              </w:rPr>
              <w:t>103</w:t>
            </w:r>
          </w:hyperlink>
        </w:p>
        <w:p>
          <w:pPr>
            <w:pStyle w:val="Contents3"/>
            <w:tabs>
              <w:tab w:val="clear" w:pos="8459"/>
              <w:tab w:val="right" w:pos="9026" w:leader="dot"/>
            </w:tabs>
            <w:rPr/>
          </w:pPr>
          <w:hyperlink w:anchor="__RefHeading___Toc5522616_581953129">
            <w:r>
              <w:rPr>
                <w:webHidden/>
                <w:rStyle w:val="IndexLink"/>
                <w:rtl w:val="true"/>
              </w:rPr>
              <w:t>منابع و مآخذ</w:t>
            </w:r>
            <w:r>
              <w:rPr>
                <w:rStyle w:val="IndexLink"/>
                <w:rtl w:val="true"/>
              </w:rPr>
              <w:tab/>
            </w:r>
            <w:r>
              <w:rPr>
                <w:rStyle w:val="IndexLink"/>
              </w:rPr>
              <w:t>105</w:t>
            </w:r>
          </w:hyperlink>
        </w:p>
        <w:p>
          <w:pPr>
            <w:pStyle w:val="Contents2"/>
            <w:tabs>
              <w:tab w:val="clear" w:pos="8743"/>
              <w:tab w:val="right" w:pos="9026" w:leader="dot"/>
            </w:tabs>
            <w:rPr/>
          </w:pPr>
          <w:hyperlink w:anchor="__RefHeading___Toc5522618_581953129">
            <w:r>
              <w:rPr>
                <w:webHidden/>
                <w:rStyle w:val="IndexLink"/>
                <w:rtl w:val="true"/>
              </w:rPr>
              <w:t xml:space="preserve">علم حضوری راه حلی برای چند مسئله در اولیات نگاهی به نظریه محمدتقی مصباح یزدی </w:t>
            </w:r>
            <w:r>
              <w:rPr>
                <w:rStyle w:val="IndexLink"/>
                <w:rtl w:val="true"/>
              </w:rPr>
              <w:t xml:space="preserve">/ </w:t>
            </w:r>
            <w:r>
              <w:rPr>
                <w:rStyle w:val="IndexLink"/>
                <w:rtl w:val="true"/>
              </w:rPr>
              <w:t>امیرحسن زادیوسفی، داود حسینی</w:t>
            </w:r>
            <w:r>
              <w:rPr>
                <w:rStyle w:val="IndexLink"/>
                <w:rtl w:val="true"/>
              </w:rPr>
              <w:tab/>
            </w:r>
            <w:r>
              <w:rPr>
                <w:rStyle w:val="IndexLink"/>
              </w:rPr>
              <w:t>107</w:t>
            </w:r>
          </w:hyperlink>
        </w:p>
        <w:p>
          <w:pPr>
            <w:pStyle w:val="Contents3"/>
            <w:tabs>
              <w:tab w:val="clear" w:pos="8459"/>
              <w:tab w:val="right" w:pos="9026" w:leader="dot"/>
            </w:tabs>
            <w:rPr/>
          </w:pPr>
          <w:hyperlink w:anchor="__RefHeading___Toc5522620_581953129">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5522622_581953129">
            <w:r>
              <w:rPr>
                <w:webHidden/>
                <w:rStyle w:val="IndexLink"/>
                <w:rtl w:val="true"/>
              </w:rPr>
              <w:t>چکیده</w:t>
            </w:r>
            <w:r>
              <w:rPr>
                <w:rStyle w:val="IndexLink"/>
                <w:rtl w:val="true"/>
              </w:rPr>
              <w:tab/>
            </w:r>
            <w:r>
              <w:rPr>
                <w:rStyle w:val="IndexLink"/>
              </w:rPr>
              <w:t>107</w:t>
            </w:r>
          </w:hyperlink>
        </w:p>
        <w:p>
          <w:pPr>
            <w:pStyle w:val="Contents3"/>
            <w:tabs>
              <w:tab w:val="clear" w:pos="8459"/>
              <w:tab w:val="right" w:pos="9026" w:leader="dot"/>
            </w:tabs>
            <w:rPr/>
          </w:pPr>
          <w:hyperlink w:anchor="__RefHeading___Toc5522624_581953129">
            <w:r>
              <w:rPr>
                <w:webHidden/>
                <w:rStyle w:val="IndexLink"/>
                <w:rtl w:val="true"/>
              </w:rPr>
              <w:t>مقدمه</w:t>
            </w:r>
            <w:r>
              <w:rPr>
                <w:rStyle w:val="IndexLink"/>
                <w:rtl w:val="true"/>
              </w:rPr>
              <w:tab/>
            </w:r>
            <w:r>
              <w:rPr>
                <w:rStyle w:val="IndexLink"/>
              </w:rPr>
              <w:t>108</w:t>
            </w:r>
          </w:hyperlink>
        </w:p>
        <w:p>
          <w:pPr>
            <w:pStyle w:val="Contents3"/>
            <w:tabs>
              <w:tab w:val="clear" w:pos="8459"/>
              <w:tab w:val="right" w:pos="9026" w:leader="dot"/>
            </w:tabs>
            <w:rPr/>
          </w:pPr>
          <w:hyperlink w:anchor="__RefHeading___Toc5522626_581953129">
            <w:r>
              <w:rPr>
                <w:webHidden/>
                <w:rStyle w:val="IndexLink"/>
              </w:rPr>
              <w:t>1</w:t>
            </w:r>
            <w:r>
              <w:rPr>
                <w:rStyle w:val="IndexLink"/>
                <w:rtl w:val="true"/>
              </w:rPr>
              <w:t xml:space="preserve">. </w:t>
            </w:r>
            <w:r>
              <w:rPr>
                <w:rStyle w:val="IndexLink"/>
                <w:rtl w:val="true"/>
              </w:rPr>
              <w:t>نظریه مصباح یزدی درباره اولیات</w:t>
            </w:r>
            <w:r>
              <w:rPr>
                <w:rStyle w:val="IndexLink"/>
                <w:rtl w:val="true"/>
              </w:rPr>
              <w:tab/>
            </w:r>
            <w:r>
              <w:rPr>
                <w:rStyle w:val="IndexLink"/>
              </w:rPr>
              <w:t>108</w:t>
            </w:r>
          </w:hyperlink>
        </w:p>
        <w:p>
          <w:pPr>
            <w:pStyle w:val="Contents4"/>
            <w:tabs>
              <w:tab w:val="clear" w:pos="8176"/>
              <w:tab w:val="right" w:pos="9026" w:leader="dot"/>
            </w:tabs>
            <w:rPr/>
          </w:pPr>
          <w:hyperlink w:anchor="__RefHeading___Toc5522628_581953129">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5522630_581953129">
            <w:r>
              <w:rPr>
                <w:webHidden/>
                <w:rStyle w:val="IndexLink"/>
              </w:rPr>
              <w:t>1-1</w:t>
            </w:r>
            <w:r>
              <w:rPr>
                <w:rStyle w:val="IndexLink"/>
                <w:rtl w:val="true"/>
              </w:rPr>
              <w:t xml:space="preserve">. </w:t>
            </w:r>
            <w:r>
              <w:rPr>
                <w:rStyle w:val="IndexLink"/>
                <w:rtl w:val="true"/>
              </w:rPr>
              <w:t>گام اول</w:t>
            </w:r>
            <w:r>
              <w:rPr>
                <w:rStyle w:val="IndexLink"/>
                <w:rtl w:val="true"/>
              </w:rPr>
              <w:tab/>
            </w:r>
            <w:r>
              <w:rPr>
                <w:rStyle w:val="IndexLink"/>
              </w:rPr>
              <w:t>110</w:t>
            </w:r>
          </w:hyperlink>
        </w:p>
        <w:p>
          <w:pPr>
            <w:pStyle w:val="Contents5"/>
            <w:tabs>
              <w:tab w:val="clear" w:pos="7892"/>
              <w:tab w:val="right" w:pos="9026" w:leader="dot"/>
            </w:tabs>
            <w:rPr/>
          </w:pPr>
          <w:hyperlink w:anchor="__RefHeading___Toc5522632_581953129">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5522634_581953129">
            <w:r>
              <w:rPr>
                <w:webHidden/>
                <w:rStyle w:val="IndexLink"/>
              </w:rPr>
              <w:t>1-1-1</w:t>
            </w:r>
            <w:r>
              <w:rPr>
                <w:rStyle w:val="IndexLink"/>
                <w:rtl w:val="true"/>
              </w:rPr>
              <w:t xml:space="preserve">. </w:t>
            </w:r>
            <w:r>
              <w:rPr>
                <w:rStyle w:val="IndexLink"/>
                <w:rtl w:val="true"/>
              </w:rPr>
              <w:t>مسئله اول</w:t>
            </w:r>
            <w:r>
              <w:rPr>
                <w:rStyle w:val="IndexLink"/>
                <w:rtl w:val="true"/>
              </w:rPr>
              <w:tab/>
            </w:r>
            <w:r>
              <w:rPr>
                <w:rStyle w:val="IndexLink"/>
              </w:rPr>
              <w:t>110</w:t>
            </w:r>
          </w:hyperlink>
        </w:p>
        <w:p>
          <w:pPr>
            <w:pStyle w:val="Contents5"/>
            <w:tabs>
              <w:tab w:val="clear" w:pos="7892"/>
              <w:tab w:val="right" w:pos="9026" w:leader="dot"/>
            </w:tabs>
            <w:rPr/>
          </w:pPr>
          <w:hyperlink w:anchor="__RefHeading___Toc5522636_581953129">
            <w:r>
              <w:rPr>
                <w:webHidden/>
                <w:rStyle w:val="IndexLink"/>
              </w:rPr>
              <w:t>2-1-1</w:t>
            </w:r>
            <w:r>
              <w:rPr>
                <w:rStyle w:val="IndexLink"/>
                <w:rtl w:val="true"/>
              </w:rPr>
              <w:t xml:space="preserve">. </w:t>
            </w:r>
            <w:r>
              <w:rPr>
                <w:rStyle w:val="IndexLink"/>
                <w:rtl w:val="true"/>
              </w:rPr>
              <w:t>مسئله دوم</w:t>
            </w:r>
            <w:r>
              <w:rPr>
                <w:rStyle w:val="IndexLink"/>
                <w:rtl w:val="true"/>
              </w:rPr>
              <w:tab/>
            </w:r>
            <w:r>
              <w:rPr>
                <w:rStyle w:val="IndexLink"/>
              </w:rPr>
              <w:t>114</w:t>
            </w:r>
          </w:hyperlink>
        </w:p>
        <w:p>
          <w:pPr>
            <w:pStyle w:val="Contents4"/>
            <w:tabs>
              <w:tab w:val="clear" w:pos="8176"/>
              <w:tab w:val="right" w:pos="9026" w:leader="dot"/>
            </w:tabs>
            <w:rPr/>
          </w:pPr>
          <w:hyperlink w:anchor="__RefHeading___Toc5522638_581953129">
            <w:r>
              <w:rPr>
                <w:webHidden/>
                <w:rStyle w:val="IndexLink"/>
              </w:rPr>
              <w:t>2-1</w:t>
            </w:r>
            <w:r>
              <w:rPr>
                <w:rStyle w:val="IndexLink"/>
                <w:rtl w:val="true"/>
              </w:rPr>
              <w:t xml:space="preserve">. </w:t>
            </w:r>
            <w:r>
              <w:rPr>
                <w:rStyle w:val="IndexLink"/>
                <w:rtl w:val="true"/>
              </w:rPr>
              <w:t>گام دوم</w:t>
            </w:r>
            <w:r>
              <w:rPr>
                <w:rStyle w:val="IndexLink"/>
                <w:rtl w:val="true"/>
              </w:rPr>
              <w:tab/>
            </w:r>
            <w:r>
              <w:rPr>
                <w:rStyle w:val="IndexLink"/>
              </w:rPr>
              <w:t>116</w:t>
            </w:r>
          </w:hyperlink>
        </w:p>
        <w:p>
          <w:pPr>
            <w:pStyle w:val="Contents4"/>
            <w:tabs>
              <w:tab w:val="clear" w:pos="8176"/>
              <w:tab w:val="right" w:pos="9026" w:leader="dot"/>
            </w:tabs>
            <w:rPr/>
          </w:pPr>
          <w:hyperlink w:anchor="__RefHeading___Toc5522640_581953129">
            <w:r>
              <w:rPr>
                <w:webHidden/>
                <w:rStyle w:val="IndexLink"/>
              </w:rPr>
              <w:t>3-1</w:t>
            </w:r>
            <w:r>
              <w:rPr>
                <w:rStyle w:val="IndexLink"/>
                <w:rtl w:val="true"/>
              </w:rPr>
              <w:t xml:space="preserve">. </w:t>
            </w:r>
            <w:r>
              <w:rPr>
                <w:rStyle w:val="IndexLink"/>
                <w:rtl w:val="true"/>
              </w:rPr>
              <w:t>گام سوم</w:t>
            </w:r>
            <w:r>
              <w:rPr>
                <w:rStyle w:val="IndexLink"/>
                <w:rtl w:val="true"/>
              </w:rPr>
              <w:tab/>
            </w:r>
            <w:r>
              <w:rPr>
                <w:rStyle w:val="IndexLink"/>
              </w:rPr>
              <w:t>118</w:t>
            </w:r>
          </w:hyperlink>
        </w:p>
        <w:p>
          <w:pPr>
            <w:pStyle w:val="Contents3"/>
            <w:tabs>
              <w:tab w:val="clear" w:pos="8459"/>
              <w:tab w:val="right" w:pos="9026" w:leader="dot"/>
            </w:tabs>
            <w:rPr/>
          </w:pPr>
          <w:hyperlink w:anchor="__RefHeading___Toc5522642_581953129">
            <w:r>
              <w:rPr>
                <w:webHidden/>
                <w:rStyle w:val="IndexLink"/>
              </w:rPr>
              <w:t>2</w:t>
            </w:r>
            <w:r>
              <w:rPr>
                <w:rStyle w:val="IndexLink"/>
                <w:rtl w:val="true"/>
              </w:rPr>
              <w:t xml:space="preserve">. </w:t>
            </w:r>
            <w:r>
              <w:rPr>
                <w:rStyle w:val="IndexLink"/>
                <w:rtl w:val="true"/>
              </w:rPr>
              <w:t>علوم حضوری به‌کاررفته در نظریه مصباح یزدی</w:t>
            </w:r>
            <w:r>
              <w:rPr>
                <w:rStyle w:val="IndexLink"/>
                <w:rtl w:val="true"/>
              </w:rPr>
              <w:tab/>
            </w:r>
            <w:r>
              <w:rPr>
                <w:rStyle w:val="IndexLink"/>
              </w:rPr>
              <w:t>123</w:t>
            </w:r>
          </w:hyperlink>
        </w:p>
        <w:p>
          <w:pPr>
            <w:pStyle w:val="Contents4"/>
            <w:tabs>
              <w:tab w:val="clear" w:pos="8176"/>
              <w:tab w:val="right" w:pos="9026" w:leader="dot"/>
            </w:tabs>
            <w:rPr/>
          </w:pPr>
          <w:hyperlink w:anchor="__RefHeading___Toc5522644_581953129">
            <w:r>
              <w:rPr>
                <w:webHidden/>
                <w:rStyle w:val="IndexLink"/>
              </w:rPr>
              <w:t>2-1</w:t>
            </w:r>
            <w:r>
              <w:rPr>
                <w:rStyle w:val="IndexLink"/>
                <w:rtl w:val="true"/>
              </w:rPr>
              <w:t xml:space="preserve">. </w:t>
            </w:r>
            <w:r>
              <w:rPr>
                <w:rStyle w:val="IndexLink"/>
                <w:rtl w:val="true"/>
              </w:rPr>
              <w:t>علم حضوری اول</w:t>
            </w:r>
            <w:r>
              <w:rPr>
                <w:rStyle w:val="IndexLink"/>
                <w:rtl w:val="true"/>
              </w:rPr>
              <w:tab/>
            </w:r>
            <w:r>
              <w:rPr>
                <w:rStyle w:val="IndexLink"/>
              </w:rPr>
              <w:t>123</w:t>
            </w:r>
          </w:hyperlink>
        </w:p>
        <w:p>
          <w:pPr>
            <w:pStyle w:val="Contents4"/>
            <w:tabs>
              <w:tab w:val="clear" w:pos="8176"/>
              <w:tab w:val="right" w:pos="9026" w:leader="dot"/>
            </w:tabs>
            <w:rPr/>
          </w:pPr>
          <w:hyperlink w:anchor="__RefHeading___Toc5522646_581953129">
            <w:r>
              <w:rPr>
                <w:webHidden/>
                <w:rStyle w:val="IndexLink"/>
              </w:rPr>
              <w:t>2-2</w:t>
            </w:r>
            <w:r>
              <w:rPr>
                <w:rStyle w:val="IndexLink"/>
                <w:rtl w:val="true"/>
              </w:rPr>
              <w:t xml:space="preserve">. </w:t>
            </w:r>
            <w:r>
              <w:rPr>
                <w:rStyle w:val="IndexLink"/>
                <w:rtl w:val="true"/>
              </w:rPr>
              <w:t>علم حضوری دوم</w:t>
            </w:r>
            <w:r>
              <w:rPr>
                <w:rStyle w:val="IndexLink"/>
                <w:rtl w:val="true"/>
              </w:rPr>
              <w:tab/>
            </w:r>
            <w:r>
              <w:rPr>
                <w:rStyle w:val="IndexLink"/>
              </w:rPr>
              <w:t>123</w:t>
            </w:r>
          </w:hyperlink>
        </w:p>
        <w:p>
          <w:pPr>
            <w:pStyle w:val="Contents4"/>
            <w:tabs>
              <w:tab w:val="clear" w:pos="8176"/>
              <w:tab w:val="right" w:pos="9026" w:leader="dot"/>
            </w:tabs>
            <w:rPr/>
          </w:pPr>
          <w:hyperlink w:anchor="__RefHeading___Toc5522648_581953129">
            <w:r>
              <w:rPr>
                <w:webHidden/>
                <w:rStyle w:val="IndexLink"/>
              </w:rPr>
              <w:t>2-3</w:t>
            </w:r>
            <w:r>
              <w:rPr>
                <w:rStyle w:val="IndexLink"/>
                <w:rtl w:val="true"/>
              </w:rPr>
              <w:t xml:space="preserve">. </w:t>
            </w:r>
            <w:r>
              <w:rPr>
                <w:rStyle w:val="IndexLink"/>
                <w:rtl w:val="true"/>
              </w:rPr>
              <w:t>علم حضوری سوم</w:t>
            </w:r>
            <w:r>
              <w:rPr>
                <w:rStyle w:val="IndexLink"/>
                <w:rtl w:val="true"/>
              </w:rPr>
              <w:tab/>
            </w:r>
            <w:r>
              <w:rPr>
                <w:rStyle w:val="IndexLink"/>
              </w:rPr>
              <w:t>124</w:t>
            </w:r>
          </w:hyperlink>
        </w:p>
        <w:p>
          <w:pPr>
            <w:pStyle w:val="Contents4"/>
            <w:tabs>
              <w:tab w:val="clear" w:pos="8176"/>
              <w:tab w:val="right" w:pos="9026" w:leader="dot"/>
            </w:tabs>
            <w:rPr/>
          </w:pPr>
          <w:hyperlink w:anchor="__RefHeading___Toc5522650_581953129">
            <w:r>
              <w:rPr>
                <w:webHidden/>
                <w:rStyle w:val="IndexLink"/>
              </w:rPr>
              <w:t>2-4</w:t>
            </w:r>
            <w:r>
              <w:rPr>
                <w:rStyle w:val="IndexLink"/>
                <w:rtl w:val="true"/>
              </w:rPr>
              <w:t xml:space="preserve">. </w:t>
            </w:r>
            <w:r>
              <w:rPr>
                <w:rStyle w:val="IndexLink"/>
                <w:rtl w:val="true"/>
              </w:rPr>
              <w:t>علم حضوری چهارم</w:t>
            </w:r>
            <w:r>
              <w:rPr>
                <w:rStyle w:val="IndexLink"/>
                <w:rtl w:val="true"/>
              </w:rPr>
              <w:tab/>
            </w:r>
            <w:r>
              <w:rPr>
                <w:rStyle w:val="IndexLink"/>
              </w:rPr>
              <w:t>124</w:t>
            </w:r>
          </w:hyperlink>
        </w:p>
        <w:p>
          <w:pPr>
            <w:pStyle w:val="Contents4"/>
            <w:tabs>
              <w:tab w:val="clear" w:pos="8176"/>
              <w:tab w:val="right" w:pos="9026" w:leader="dot"/>
            </w:tabs>
            <w:rPr/>
          </w:pPr>
          <w:hyperlink w:anchor="__RefHeading___Toc5522652_581953129">
            <w:r>
              <w:rPr>
                <w:webHidden/>
                <w:rStyle w:val="IndexLink"/>
              </w:rPr>
              <w:t>2-5</w:t>
            </w:r>
            <w:r>
              <w:rPr>
                <w:rStyle w:val="IndexLink"/>
                <w:rtl w:val="true"/>
              </w:rPr>
              <w:t xml:space="preserve">. </w:t>
            </w:r>
            <w:r>
              <w:rPr>
                <w:rStyle w:val="IndexLink"/>
                <w:rtl w:val="true"/>
              </w:rPr>
              <w:t>علم حضوری پنجم</w:t>
            </w:r>
            <w:r>
              <w:rPr>
                <w:rStyle w:val="IndexLink"/>
                <w:rtl w:val="true"/>
              </w:rPr>
              <w:tab/>
            </w:r>
            <w:r>
              <w:rPr>
                <w:rStyle w:val="IndexLink"/>
              </w:rPr>
              <w:t>125</w:t>
            </w:r>
          </w:hyperlink>
        </w:p>
        <w:p>
          <w:pPr>
            <w:pStyle w:val="Contents3"/>
            <w:tabs>
              <w:tab w:val="clear" w:pos="8459"/>
              <w:tab w:val="right" w:pos="9026" w:leader="dot"/>
            </w:tabs>
            <w:rPr/>
          </w:pPr>
          <w:hyperlink w:anchor="__RefHeading___Toc5522654_581953129">
            <w:r>
              <w:rPr>
                <w:webHidden/>
                <w:rStyle w:val="IndexLink"/>
              </w:rPr>
              <w:t>3</w:t>
            </w:r>
            <w:r>
              <w:rPr>
                <w:rStyle w:val="IndexLink"/>
                <w:rtl w:val="true"/>
              </w:rPr>
              <w:t xml:space="preserve">. </w:t>
            </w:r>
            <w:r>
              <w:rPr>
                <w:rStyle w:val="IndexLink"/>
                <w:rtl w:val="true"/>
              </w:rPr>
              <w:t>نقدها</w:t>
            </w:r>
            <w:r>
              <w:rPr>
                <w:rStyle w:val="IndexLink"/>
                <w:rtl w:val="true"/>
              </w:rPr>
              <w:tab/>
            </w:r>
            <w:r>
              <w:rPr>
                <w:rStyle w:val="IndexLink"/>
              </w:rPr>
              <w:t>126</w:t>
            </w:r>
          </w:hyperlink>
        </w:p>
        <w:p>
          <w:pPr>
            <w:pStyle w:val="Contents4"/>
            <w:tabs>
              <w:tab w:val="clear" w:pos="8176"/>
              <w:tab w:val="right" w:pos="9026" w:leader="dot"/>
            </w:tabs>
            <w:rPr/>
          </w:pPr>
          <w:hyperlink w:anchor="__RefHeading___Toc5522656_581953129">
            <w:r>
              <w:rPr>
                <w:webHidden/>
                <w:rStyle w:val="IndexLink"/>
              </w:rPr>
              <w:t>3-1</w:t>
            </w:r>
            <w:r>
              <w:rPr>
                <w:rStyle w:val="IndexLink"/>
                <w:rtl w:val="true"/>
              </w:rPr>
              <w:t xml:space="preserve">. </w:t>
            </w:r>
            <w:r>
              <w:rPr>
                <w:rStyle w:val="IndexLink"/>
                <w:rtl w:val="true"/>
              </w:rPr>
              <w:t>نقد اول</w:t>
            </w:r>
            <w:r>
              <w:rPr>
                <w:rStyle w:val="IndexLink"/>
                <w:rtl w:val="true"/>
              </w:rPr>
              <w:tab/>
            </w:r>
            <w:r>
              <w:rPr>
                <w:rStyle w:val="IndexLink"/>
              </w:rPr>
              <w:t>126</w:t>
            </w:r>
          </w:hyperlink>
        </w:p>
        <w:p>
          <w:pPr>
            <w:pStyle w:val="Contents4"/>
            <w:tabs>
              <w:tab w:val="clear" w:pos="8176"/>
              <w:tab w:val="right" w:pos="9026" w:leader="dot"/>
            </w:tabs>
            <w:rPr/>
          </w:pPr>
          <w:hyperlink w:anchor="__RefHeading___Toc5522658_581953129">
            <w:r>
              <w:rPr>
                <w:webHidden/>
                <w:rStyle w:val="IndexLink"/>
              </w:rPr>
              <w:t>3-2</w:t>
            </w:r>
            <w:r>
              <w:rPr>
                <w:rStyle w:val="IndexLink"/>
                <w:rtl w:val="true"/>
              </w:rPr>
              <w:t xml:space="preserve">. </w:t>
            </w:r>
            <w:r>
              <w:rPr>
                <w:rStyle w:val="IndexLink"/>
                <w:rtl w:val="true"/>
              </w:rPr>
              <w:t>نقد دوم</w:t>
            </w:r>
            <w:r>
              <w:rPr>
                <w:rStyle w:val="IndexLink"/>
                <w:rtl w:val="true"/>
              </w:rPr>
              <w:tab/>
            </w:r>
            <w:r>
              <w:rPr>
                <w:rStyle w:val="IndexLink"/>
              </w:rPr>
              <w:t>128</w:t>
            </w:r>
          </w:hyperlink>
        </w:p>
        <w:p>
          <w:pPr>
            <w:pStyle w:val="Contents3"/>
            <w:tabs>
              <w:tab w:val="clear" w:pos="8459"/>
              <w:tab w:val="right" w:pos="9026" w:leader="dot"/>
            </w:tabs>
            <w:rPr/>
          </w:pPr>
          <w:hyperlink w:anchor="__RefHeading___Toc5522660_581953129">
            <w:r>
              <w:rPr>
                <w:webHidden/>
                <w:rStyle w:val="IndexLink"/>
                <w:rtl w:val="true"/>
              </w:rPr>
              <w:t>نتیجه گیری</w:t>
            </w:r>
            <w:r>
              <w:rPr>
                <w:rStyle w:val="IndexLink"/>
                <w:rtl w:val="true"/>
              </w:rPr>
              <w:tab/>
            </w:r>
            <w:r>
              <w:rPr>
                <w:rStyle w:val="IndexLink"/>
              </w:rPr>
              <w:t>130</w:t>
            </w:r>
          </w:hyperlink>
        </w:p>
        <w:p>
          <w:pPr>
            <w:pStyle w:val="Contents3"/>
            <w:tabs>
              <w:tab w:val="clear" w:pos="8459"/>
              <w:tab w:val="right" w:pos="9026" w:leader="dot"/>
            </w:tabs>
            <w:rPr/>
          </w:pPr>
          <w:hyperlink w:anchor="__RefHeading___Toc5522662_581953129">
            <w:r>
              <w:rPr>
                <w:webHidden/>
                <w:rStyle w:val="IndexLink"/>
                <w:rtl w:val="true"/>
              </w:rPr>
              <w:t>منابع و مآخذ</w:t>
            </w:r>
            <w:r>
              <w:rPr>
                <w:rStyle w:val="IndexLink"/>
                <w:rtl w:val="true"/>
              </w:rPr>
              <w:tab/>
            </w:r>
            <w:r>
              <w:rPr>
                <w:rStyle w:val="IndexLink"/>
              </w:rPr>
              <w:t>131</w:t>
            </w:r>
          </w:hyperlink>
        </w:p>
        <w:p>
          <w:pPr>
            <w:pStyle w:val="Contents2"/>
            <w:tabs>
              <w:tab w:val="clear" w:pos="8743"/>
              <w:tab w:val="right" w:pos="9026" w:leader="dot"/>
            </w:tabs>
            <w:rPr/>
          </w:pPr>
          <w:hyperlink w:anchor="__RefHeading___Toc5522664_581953129">
            <w:r>
              <w:rPr>
                <w:webHidden/>
                <w:rStyle w:val="IndexLink"/>
                <w:rtl w:val="true"/>
              </w:rPr>
              <w:t xml:space="preserve">گونه‌شناسی مفاهیم قرآنی و قلمرو فهم عرفی </w:t>
            </w:r>
            <w:r>
              <w:rPr>
                <w:rStyle w:val="IndexLink"/>
                <w:rtl w:val="true"/>
              </w:rPr>
              <w:t xml:space="preserve">/ </w:t>
            </w:r>
            <w:r>
              <w:rPr>
                <w:rStyle w:val="IndexLink"/>
                <w:rtl w:val="true"/>
              </w:rPr>
              <w:t>ابوالقاسم علی‌دوست، علی‌رضا قائمی‌نیا، محمدحسین رفیعی</w:t>
            </w:r>
            <w:r>
              <w:rPr>
                <w:rStyle w:val="IndexLink"/>
                <w:rtl w:val="true"/>
              </w:rPr>
              <w:tab/>
            </w:r>
            <w:r>
              <w:rPr>
                <w:rStyle w:val="IndexLink"/>
              </w:rPr>
              <w:t>133</w:t>
            </w:r>
          </w:hyperlink>
        </w:p>
        <w:p>
          <w:pPr>
            <w:pStyle w:val="Contents3"/>
            <w:tabs>
              <w:tab w:val="clear" w:pos="8459"/>
              <w:tab w:val="right" w:pos="9026" w:leader="dot"/>
            </w:tabs>
            <w:rPr/>
          </w:pPr>
          <w:hyperlink w:anchor="__RefHeading___Toc5522666_581953129">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5522668_581953129">
            <w:r>
              <w:rPr>
                <w:webHidden/>
                <w:rStyle w:val="IndexLink"/>
                <w:rtl w:val="true"/>
              </w:rPr>
              <w:t>چکیده</w:t>
            </w:r>
            <w:r>
              <w:rPr>
                <w:rStyle w:val="IndexLink"/>
                <w:rtl w:val="true"/>
              </w:rPr>
              <w:tab/>
            </w:r>
            <w:r>
              <w:rPr>
                <w:rStyle w:val="IndexLink"/>
              </w:rPr>
              <w:t>133</w:t>
            </w:r>
          </w:hyperlink>
        </w:p>
        <w:p>
          <w:pPr>
            <w:pStyle w:val="Contents3"/>
            <w:tabs>
              <w:tab w:val="clear" w:pos="8459"/>
              <w:tab w:val="right" w:pos="9026" w:leader="dot"/>
            </w:tabs>
            <w:rPr/>
          </w:pPr>
          <w:hyperlink w:anchor="__RefHeading___Toc5522670_581953129">
            <w:r>
              <w:rPr>
                <w:webHidden/>
                <w:rStyle w:val="IndexLink"/>
                <w:rtl w:val="true"/>
              </w:rPr>
              <w:t>مقدمه</w:t>
            </w:r>
            <w:r>
              <w:rPr>
                <w:rStyle w:val="IndexLink"/>
                <w:rtl w:val="true"/>
              </w:rPr>
              <w:tab/>
            </w:r>
            <w:r>
              <w:rPr>
                <w:rStyle w:val="IndexLink"/>
              </w:rPr>
              <w:t>134</w:t>
            </w:r>
          </w:hyperlink>
        </w:p>
        <w:p>
          <w:pPr>
            <w:pStyle w:val="Contents3"/>
            <w:tabs>
              <w:tab w:val="clear" w:pos="8459"/>
              <w:tab w:val="right" w:pos="9026" w:leader="dot"/>
            </w:tabs>
            <w:rPr/>
          </w:pPr>
          <w:hyperlink w:anchor="__RefHeading___Toc5522672_581953129">
            <w:r>
              <w:rPr>
                <w:webHidden/>
                <w:rStyle w:val="IndexLink"/>
                <w:rtl w:val="true"/>
              </w:rPr>
              <w:t>مبحث اول</w:t>
            </w:r>
            <w:r>
              <w:rPr>
                <w:rStyle w:val="IndexLink"/>
                <w:rtl w:val="true"/>
              </w:rPr>
              <w:t xml:space="preserve">: </w:t>
            </w:r>
            <w:r>
              <w:rPr>
                <w:rStyle w:val="IndexLink"/>
                <w:rtl w:val="true"/>
              </w:rPr>
              <w:t>بررسی و تعریف عرف</w:t>
            </w:r>
            <w:r>
              <w:rPr>
                <w:rStyle w:val="IndexLink"/>
                <w:rtl w:val="true"/>
              </w:rPr>
              <w:tab/>
            </w:r>
            <w:r>
              <w:rPr>
                <w:rStyle w:val="IndexLink"/>
              </w:rPr>
              <w:t>134</w:t>
            </w:r>
          </w:hyperlink>
        </w:p>
        <w:p>
          <w:pPr>
            <w:pStyle w:val="Contents4"/>
            <w:tabs>
              <w:tab w:val="clear" w:pos="8176"/>
              <w:tab w:val="right" w:pos="9026" w:leader="dot"/>
            </w:tabs>
            <w:rPr/>
          </w:pPr>
          <w:hyperlink w:anchor="__RefHeading___Toc5522674_581953129">
            <w:r>
              <w:rPr>
                <w:webHidden/>
                <w:rStyle w:val="IndexLink"/>
                <w:rtl w:val="true"/>
              </w:rPr>
              <w:t>الف</w:t>
            </w:r>
            <w:r>
              <w:rPr>
                <w:rStyle w:val="IndexLink"/>
                <w:rtl w:val="true"/>
              </w:rPr>
              <w:t xml:space="preserve">) </w:t>
            </w:r>
            <w:r>
              <w:rPr>
                <w:rStyle w:val="IndexLink"/>
                <w:rtl w:val="true"/>
              </w:rPr>
              <w:t>عرف در لغت</w:t>
            </w:r>
            <w:r>
              <w:rPr>
                <w:rStyle w:val="IndexLink"/>
                <w:rtl w:val="true"/>
              </w:rPr>
              <w:tab/>
            </w:r>
            <w:r>
              <w:rPr>
                <w:rStyle w:val="IndexLink"/>
              </w:rPr>
              <w:t>134</w:t>
            </w:r>
          </w:hyperlink>
        </w:p>
        <w:p>
          <w:pPr>
            <w:pStyle w:val="Contents4"/>
            <w:tabs>
              <w:tab w:val="clear" w:pos="8176"/>
              <w:tab w:val="right" w:pos="9026" w:leader="dot"/>
            </w:tabs>
            <w:rPr/>
          </w:pPr>
          <w:hyperlink w:anchor="__RefHeading___Toc5522676_581953129">
            <w:r>
              <w:rPr>
                <w:webHidden/>
                <w:rStyle w:val="IndexLink"/>
                <w:rtl w:val="true"/>
              </w:rPr>
              <w:t>ب</w:t>
            </w:r>
            <w:r>
              <w:rPr>
                <w:rStyle w:val="IndexLink"/>
                <w:rtl w:val="true"/>
              </w:rPr>
              <w:t xml:space="preserve">) </w:t>
            </w:r>
            <w:r>
              <w:rPr>
                <w:rStyle w:val="IndexLink"/>
                <w:rtl w:val="true"/>
              </w:rPr>
              <w:t>عرف در اصطلاح</w:t>
            </w:r>
            <w:r>
              <w:rPr>
                <w:rStyle w:val="IndexLink"/>
                <w:rtl w:val="true"/>
              </w:rPr>
              <w:tab/>
            </w:r>
            <w:r>
              <w:rPr>
                <w:rStyle w:val="IndexLink"/>
              </w:rPr>
              <w:t>135</w:t>
            </w:r>
          </w:hyperlink>
        </w:p>
        <w:p>
          <w:pPr>
            <w:pStyle w:val="Contents4"/>
            <w:tabs>
              <w:tab w:val="clear" w:pos="8176"/>
              <w:tab w:val="right" w:pos="9026" w:leader="dot"/>
            </w:tabs>
            <w:rPr/>
          </w:pPr>
          <w:hyperlink w:anchor="__RefHeading___Toc5522678_581953129">
            <w:r>
              <w:rPr>
                <w:webHidden/>
                <w:rStyle w:val="IndexLink"/>
                <w:rtl w:val="true"/>
              </w:rPr>
              <w:t>ج</w:t>
            </w:r>
            <w:r>
              <w:rPr>
                <w:rStyle w:val="IndexLink"/>
                <w:rtl w:val="true"/>
              </w:rPr>
              <w:t xml:space="preserve">) </w:t>
            </w:r>
            <w:r>
              <w:rPr>
                <w:rStyle w:val="IndexLink"/>
                <w:rtl w:val="true"/>
              </w:rPr>
              <w:t>تأملی در تعاریف عرف</w:t>
            </w:r>
            <w:r>
              <w:rPr>
                <w:rStyle w:val="IndexLink"/>
                <w:rtl w:val="true"/>
              </w:rPr>
              <w:tab/>
            </w:r>
            <w:r>
              <w:rPr>
                <w:rStyle w:val="IndexLink"/>
              </w:rPr>
              <w:t>137</w:t>
            </w:r>
          </w:hyperlink>
        </w:p>
        <w:p>
          <w:pPr>
            <w:pStyle w:val="Contents4"/>
            <w:tabs>
              <w:tab w:val="clear" w:pos="8176"/>
              <w:tab w:val="right" w:pos="9026" w:leader="dot"/>
            </w:tabs>
            <w:rPr/>
          </w:pPr>
          <w:hyperlink w:anchor="__RefHeading___Toc5522680_581953129">
            <w:r>
              <w:rPr>
                <w:webHidden/>
                <w:rStyle w:val="IndexLink"/>
                <w:rtl w:val="true"/>
              </w:rPr>
              <w:t>د</w:t>
            </w:r>
            <w:r>
              <w:rPr>
                <w:rStyle w:val="IndexLink"/>
                <w:rtl w:val="true"/>
              </w:rPr>
              <w:t xml:space="preserve">) </w:t>
            </w:r>
            <w:r>
              <w:rPr>
                <w:rStyle w:val="IndexLink"/>
                <w:rtl w:val="true"/>
              </w:rPr>
              <w:t>تعریف برگزیده</w:t>
            </w:r>
            <w:r>
              <w:rPr>
                <w:rStyle w:val="IndexLink"/>
                <w:rtl w:val="true"/>
              </w:rPr>
              <w:tab/>
            </w:r>
            <w:r>
              <w:rPr>
                <w:rStyle w:val="IndexLink"/>
              </w:rPr>
              <w:t>138</w:t>
            </w:r>
          </w:hyperlink>
        </w:p>
        <w:p>
          <w:pPr>
            <w:pStyle w:val="Contents3"/>
            <w:tabs>
              <w:tab w:val="clear" w:pos="8459"/>
              <w:tab w:val="right" w:pos="9026" w:leader="dot"/>
            </w:tabs>
            <w:rPr/>
          </w:pPr>
          <w:hyperlink w:anchor="__RefHeading___Toc5522682_581953129">
            <w:r>
              <w:rPr>
                <w:webHidden/>
                <w:rStyle w:val="IndexLink"/>
                <w:rtl w:val="true"/>
              </w:rPr>
              <w:t>مبحث دوم</w:t>
            </w:r>
            <w:r>
              <w:rPr>
                <w:rStyle w:val="IndexLink"/>
                <w:rtl w:val="true"/>
              </w:rPr>
              <w:t xml:space="preserve">: </w:t>
            </w:r>
            <w:r>
              <w:rPr>
                <w:rStyle w:val="IndexLink"/>
                <w:rtl w:val="true"/>
              </w:rPr>
              <w:t>گونه‌شناسی مفاهیم قرآنی</w:t>
            </w:r>
            <w:r>
              <w:rPr>
                <w:rStyle w:val="IndexLink"/>
                <w:rtl w:val="true"/>
              </w:rPr>
              <w:tab/>
            </w:r>
            <w:r>
              <w:rPr>
                <w:rStyle w:val="IndexLink"/>
              </w:rPr>
              <w:t>139</w:t>
            </w:r>
          </w:hyperlink>
        </w:p>
        <w:p>
          <w:pPr>
            <w:pStyle w:val="Contents4"/>
            <w:tabs>
              <w:tab w:val="clear" w:pos="8176"/>
              <w:tab w:val="right" w:pos="9026" w:leader="dot"/>
            </w:tabs>
            <w:rPr/>
          </w:pPr>
          <w:hyperlink w:anchor="__RefHeading___Toc5522684_581953129">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5522686_581953129">
            <w:r>
              <w:rPr>
                <w:webHidden/>
                <w:rStyle w:val="IndexLink"/>
              </w:rPr>
              <w:t>1</w:t>
            </w:r>
            <w:r>
              <w:rPr>
                <w:rStyle w:val="IndexLink"/>
                <w:rtl w:val="true"/>
              </w:rPr>
              <w:t xml:space="preserve">. </w:t>
            </w:r>
            <w:r>
              <w:rPr>
                <w:rStyle w:val="IndexLink"/>
                <w:rtl w:val="true"/>
              </w:rPr>
              <w:t>اَعلام و واژگان پرکاربرد و متعارف</w:t>
            </w:r>
            <w:r>
              <w:rPr>
                <w:rStyle w:val="IndexLink"/>
                <w:rtl w:val="true"/>
              </w:rPr>
              <w:tab/>
            </w:r>
            <w:r>
              <w:rPr>
                <w:rStyle w:val="IndexLink"/>
              </w:rPr>
              <w:t>140</w:t>
            </w:r>
          </w:hyperlink>
        </w:p>
        <w:p>
          <w:pPr>
            <w:pStyle w:val="Contents4"/>
            <w:tabs>
              <w:tab w:val="clear" w:pos="8176"/>
              <w:tab w:val="right" w:pos="9026" w:leader="dot"/>
            </w:tabs>
            <w:rPr/>
          </w:pPr>
          <w:hyperlink w:anchor="__RefHeading___Toc5522688_581953129">
            <w:r>
              <w:rPr>
                <w:webHidden/>
                <w:rStyle w:val="IndexLink"/>
              </w:rPr>
              <w:t>2</w:t>
            </w:r>
            <w:r>
              <w:rPr>
                <w:rStyle w:val="IndexLink"/>
                <w:rtl w:val="true"/>
              </w:rPr>
              <w:t xml:space="preserve">. </w:t>
            </w:r>
            <w:r>
              <w:rPr>
                <w:rStyle w:val="IndexLink"/>
                <w:rtl w:val="true"/>
              </w:rPr>
              <w:t>واژگان بیگانه</w:t>
            </w:r>
            <w:r>
              <w:rPr>
                <w:rStyle w:val="IndexLink"/>
                <w:rtl w:val="true"/>
              </w:rPr>
              <w:tab/>
            </w:r>
            <w:r>
              <w:rPr>
                <w:rStyle w:val="IndexLink"/>
              </w:rPr>
              <w:t>141</w:t>
            </w:r>
          </w:hyperlink>
        </w:p>
        <w:p>
          <w:pPr>
            <w:pStyle w:val="Contents4"/>
            <w:tabs>
              <w:tab w:val="clear" w:pos="8176"/>
              <w:tab w:val="right" w:pos="9026" w:leader="dot"/>
            </w:tabs>
            <w:rPr/>
          </w:pPr>
          <w:hyperlink w:anchor="__RefHeading___Toc5522690_581953129">
            <w:r>
              <w:rPr>
                <w:webHidden/>
                <w:rStyle w:val="IndexLink"/>
              </w:rPr>
              <w:t>3</w:t>
            </w:r>
            <w:r>
              <w:rPr>
                <w:rStyle w:val="IndexLink"/>
                <w:rtl w:val="true"/>
              </w:rPr>
              <w:t xml:space="preserve">. </w:t>
            </w:r>
            <w:r>
              <w:rPr>
                <w:rStyle w:val="IndexLink"/>
                <w:rtl w:val="true"/>
              </w:rPr>
              <w:t>واژگان غریب</w:t>
            </w:r>
            <w:r>
              <w:rPr>
                <w:rStyle w:val="IndexLink"/>
                <w:rtl w:val="true"/>
              </w:rPr>
              <w:tab/>
            </w:r>
            <w:r>
              <w:rPr>
                <w:rStyle w:val="IndexLink"/>
              </w:rPr>
              <w:t>142</w:t>
            </w:r>
          </w:hyperlink>
        </w:p>
        <w:p>
          <w:pPr>
            <w:pStyle w:val="Contents4"/>
            <w:tabs>
              <w:tab w:val="clear" w:pos="8176"/>
              <w:tab w:val="right" w:pos="9026" w:leader="dot"/>
            </w:tabs>
            <w:rPr/>
          </w:pPr>
          <w:hyperlink w:anchor="__RefHeading___Toc5522692_581953129">
            <w:r>
              <w:rPr>
                <w:webHidden/>
                <w:rStyle w:val="IndexLink"/>
              </w:rPr>
              <w:t>4</w:t>
            </w:r>
            <w:r>
              <w:rPr>
                <w:rStyle w:val="IndexLink"/>
                <w:rtl w:val="true"/>
              </w:rPr>
              <w:t xml:space="preserve">. </w:t>
            </w:r>
            <w:r>
              <w:rPr>
                <w:rStyle w:val="IndexLink"/>
                <w:rtl w:val="true"/>
              </w:rPr>
              <w:t>مفاهیم تغییرمعنایافته</w:t>
            </w:r>
            <w:r>
              <w:rPr>
                <w:rStyle w:val="IndexLink"/>
                <w:rtl w:val="true"/>
              </w:rPr>
              <w:tab/>
            </w:r>
            <w:r>
              <w:rPr>
                <w:rStyle w:val="IndexLink"/>
              </w:rPr>
              <w:t>144</w:t>
            </w:r>
          </w:hyperlink>
        </w:p>
        <w:p>
          <w:pPr>
            <w:pStyle w:val="Contents4"/>
            <w:tabs>
              <w:tab w:val="clear" w:pos="8176"/>
              <w:tab w:val="right" w:pos="9026" w:leader="dot"/>
            </w:tabs>
            <w:rPr/>
          </w:pPr>
          <w:hyperlink w:anchor="__RefHeading___Toc5522694_581953129">
            <w:r>
              <w:rPr>
                <w:webHidden/>
                <w:rStyle w:val="IndexLink"/>
              </w:rPr>
              <w:t>5</w:t>
            </w:r>
            <w:r>
              <w:rPr>
                <w:rStyle w:val="IndexLink"/>
                <w:rtl w:val="true"/>
              </w:rPr>
              <w:t xml:space="preserve">. </w:t>
            </w:r>
            <w:r>
              <w:rPr>
                <w:rStyle w:val="IndexLink"/>
                <w:rtl w:val="true"/>
              </w:rPr>
              <w:t>مفاهیم ویژه و بنیادین</w:t>
            </w:r>
            <w:r>
              <w:rPr>
                <w:rStyle w:val="IndexLink"/>
                <w:rtl w:val="true"/>
              </w:rPr>
              <w:tab/>
            </w:r>
            <w:r>
              <w:rPr>
                <w:rStyle w:val="IndexLink"/>
              </w:rPr>
              <w:t>148</w:t>
            </w:r>
          </w:hyperlink>
        </w:p>
        <w:p>
          <w:pPr>
            <w:pStyle w:val="Contents4"/>
            <w:tabs>
              <w:tab w:val="clear" w:pos="8176"/>
              <w:tab w:val="right" w:pos="9026" w:leader="dot"/>
            </w:tabs>
            <w:rPr/>
          </w:pPr>
          <w:hyperlink w:anchor="__RefHeading___Toc5522696_581953129">
            <w:r>
              <w:rPr>
                <w:webHidden/>
                <w:rStyle w:val="IndexLink"/>
              </w:rPr>
              <w:t>6</w:t>
            </w:r>
            <w:r>
              <w:rPr>
                <w:rStyle w:val="IndexLink"/>
                <w:rtl w:val="true"/>
              </w:rPr>
              <w:t xml:space="preserve">. </w:t>
            </w:r>
            <w:r>
              <w:rPr>
                <w:rStyle w:val="IndexLink"/>
                <w:rtl w:val="true"/>
              </w:rPr>
              <w:t>مفاهیم احساسی و حکایت‌گر ادراکات وجدانی</w:t>
            </w:r>
            <w:r>
              <w:rPr>
                <w:rStyle w:val="IndexLink"/>
                <w:rtl w:val="true"/>
              </w:rPr>
              <w:tab/>
            </w:r>
            <w:r>
              <w:rPr>
                <w:rStyle w:val="IndexLink"/>
              </w:rPr>
              <w:t>149</w:t>
            </w:r>
          </w:hyperlink>
        </w:p>
        <w:p>
          <w:pPr>
            <w:pStyle w:val="Contents4"/>
            <w:tabs>
              <w:tab w:val="clear" w:pos="8176"/>
              <w:tab w:val="right" w:pos="9026" w:leader="dot"/>
            </w:tabs>
            <w:rPr/>
          </w:pPr>
          <w:hyperlink w:anchor="__RefHeading___Toc5522698_581953129">
            <w:r>
              <w:rPr>
                <w:webHidden/>
                <w:rStyle w:val="IndexLink"/>
              </w:rPr>
              <w:t>7</w:t>
            </w:r>
            <w:r>
              <w:rPr>
                <w:rStyle w:val="IndexLink"/>
                <w:rtl w:val="true"/>
              </w:rPr>
              <w:t xml:space="preserve">. </w:t>
            </w:r>
            <w:r>
              <w:rPr>
                <w:rStyle w:val="IndexLink"/>
                <w:rtl w:val="true"/>
              </w:rPr>
              <w:t xml:space="preserve">مفاهیم شرعی </w:t>
            </w:r>
            <w:r>
              <w:rPr>
                <w:rStyle w:val="IndexLink"/>
                <w:rtl w:val="true"/>
              </w:rPr>
              <w:t>(</w:t>
            </w:r>
            <w:r>
              <w:rPr>
                <w:rStyle w:val="IndexLink"/>
                <w:rtl w:val="true"/>
              </w:rPr>
              <w:t>فقهی فرعی</w:t>
            </w:r>
            <w:r>
              <w:rPr>
                <w:rStyle w:val="IndexLink"/>
                <w:rtl w:val="true"/>
              </w:rPr>
              <w:t>)</w:t>
              <w:tab/>
            </w:r>
            <w:r>
              <w:rPr>
                <w:rStyle w:val="IndexLink"/>
              </w:rPr>
              <w:t>150</w:t>
            </w:r>
          </w:hyperlink>
        </w:p>
        <w:p>
          <w:pPr>
            <w:pStyle w:val="Contents4"/>
            <w:tabs>
              <w:tab w:val="clear" w:pos="8176"/>
              <w:tab w:val="right" w:pos="9026" w:leader="dot"/>
            </w:tabs>
            <w:rPr/>
          </w:pPr>
          <w:hyperlink w:anchor="__RefHeading___Toc5522700_581953129">
            <w:r>
              <w:rPr>
                <w:webHidden/>
                <w:rStyle w:val="IndexLink"/>
              </w:rPr>
              <w:t>8</w:t>
            </w:r>
            <w:r>
              <w:rPr>
                <w:rStyle w:val="IndexLink"/>
                <w:rtl w:val="true"/>
              </w:rPr>
              <w:t xml:space="preserve">. </w:t>
            </w:r>
            <w:r>
              <w:rPr>
                <w:rStyle w:val="IndexLink"/>
                <w:rtl w:val="true"/>
              </w:rPr>
              <w:t>مصادیق و موضوعات</w:t>
            </w:r>
            <w:r>
              <w:rPr>
                <w:rStyle w:val="IndexLink"/>
                <w:rtl w:val="true"/>
              </w:rPr>
              <w:tab/>
            </w:r>
            <w:r>
              <w:rPr>
                <w:rStyle w:val="IndexLink"/>
              </w:rPr>
              <w:t>152</w:t>
            </w:r>
          </w:hyperlink>
        </w:p>
        <w:p>
          <w:pPr>
            <w:pStyle w:val="Contents5"/>
            <w:tabs>
              <w:tab w:val="clear" w:pos="7892"/>
              <w:tab w:val="right" w:pos="9026" w:leader="dot"/>
            </w:tabs>
            <w:rPr/>
          </w:pPr>
          <w:hyperlink w:anchor="__RefHeading___Toc5522702_581953129">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5522704_581953129">
            <w:r>
              <w:rPr>
                <w:webHidden/>
                <w:rStyle w:val="IndexLink"/>
              </w:rPr>
              <w:t>1-8</w:t>
            </w:r>
            <w:r>
              <w:rPr>
                <w:rStyle w:val="IndexLink"/>
                <w:rtl w:val="true"/>
              </w:rPr>
              <w:t xml:space="preserve">. </w:t>
            </w:r>
            <w:r>
              <w:rPr>
                <w:rStyle w:val="IndexLink"/>
                <w:rtl w:val="true"/>
              </w:rPr>
              <w:t>مصادیق نامحسوس و ذهنی</w:t>
            </w:r>
            <w:r>
              <w:rPr>
                <w:rStyle w:val="IndexLink"/>
                <w:rtl w:val="true"/>
              </w:rPr>
              <w:tab/>
            </w:r>
            <w:r>
              <w:rPr>
                <w:rStyle w:val="IndexLink"/>
              </w:rPr>
              <w:t>153</w:t>
            </w:r>
          </w:hyperlink>
        </w:p>
        <w:p>
          <w:pPr>
            <w:pStyle w:val="Contents5"/>
            <w:tabs>
              <w:tab w:val="clear" w:pos="7892"/>
              <w:tab w:val="right" w:pos="9026" w:leader="dot"/>
            </w:tabs>
            <w:rPr/>
          </w:pPr>
          <w:hyperlink w:anchor="__RefHeading___Toc5522706_581953129">
            <w:r>
              <w:rPr>
                <w:webHidden/>
                <w:rStyle w:val="IndexLink"/>
              </w:rPr>
              <w:t>2-8</w:t>
            </w:r>
            <w:r>
              <w:rPr>
                <w:rStyle w:val="IndexLink"/>
                <w:rtl w:val="true"/>
              </w:rPr>
              <w:t xml:space="preserve">. </w:t>
            </w:r>
            <w:r>
              <w:rPr>
                <w:rStyle w:val="IndexLink"/>
                <w:rtl w:val="true"/>
              </w:rPr>
              <w:t>مصادیق ثابت عینی</w:t>
            </w:r>
            <w:r>
              <w:rPr>
                <w:rStyle w:val="IndexLink"/>
                <w:rtl w:val="true"/>
              </w:rPr>
              <w:tab/>
            </w:r>
            <w:r>
              <w:rPr>
                <w:rStyle w:val="IndexLink"/>
              </w:rPr>
              <w:t>153</w:t>
            </w:r>
          </w:hyperlink>
        </w:p>
        <w:p>
          <w:pPr>
            <w:pStyle w:val="Contents5"/>
            <w:tabs>
              <w:tab w:val="clear" w:pos="7892"/>
              <w:tab w:val="right" w:pos="9026" w:leader="dot"/>
            </w:tabs>
            <w:rPr/>
          </w:pPr>
          <w:hyperlink w:anchor="__RefHeading___Toc5522708_581953129">
            <w:r>
              <w:rPr>
                <w:webHidden/>
                <w:rStyle w:val="IndexLink"/>
              </w:rPr>
              <w:t>3-8</w:t>
            </w:r>
            <w:r>
              <w:rPr>
                <w:rStyle w:val="IndexLink"/>
                <w:rtl w:val="true"/>
              </w:rPr>
              <w:t xml:space="preserve">. </w:t>
            </w:r>
            <w:r>
              <w:rPr>
                <w:rStyle w:val="IndexLink"/>
                <w:rtl w:val="true"/>
              </w:rPr>
              <w:t>مصادیق تحول‌پذیر</w:t>
            </w:r>
            <w:r>
              <w:rPr>
                <w:rStyle w:val="IndexLink"/>
                <w:rtl w:val="true"/>
              </w:rPr>
              <w:tab/>
            </w:r>
            <w:r>
              <w:rPr>
                <w:rStyle w:val="IndexLink"/>
              </w:rPr>
              <w:t>154</w:t>
            </w:r>
          </w:hyperlink>
        </w:p>
        <w:p>
          <w:pPr>
            <w:pStyle w:val="Contents5"/>
            <w:tabs>
              <w:tab w:val="clear" w:pos="7892"/>
              <w:tab w:val="right" w:pos="9026" w:leader="dot"/>
            </w:tabs>
            <w:rPr/>
          </w:pPr>
          <w:hyperlink w:anchor="__RefHeading___Toc5522710_581953129">
            <w:r>
              <w:rPr>
                <w:webHidden/>
                <w:rStyle w:val="IndexLink"/>
              </w:rPr>
              <w:t>4-8</w:t>
            </w:r>
            <w:r>
              <w:rPr>
                <w:rStyle w:val="IndexLink"/>
                <w:rtl w:val="true"/>
              </w:rPr>
              <w:t xml:space="preserve">. </w:t>
            </w:r>
            <w:r>
              <w:rPr>
                <w:rStyle w:val="IndexLink"/>
                <w:rtl w:val="true"/>
              </w:rPr>
              <w:t>حقایق غیبی</w:t>
            </w:r>
            <w:r>
              <w:rPr>
                <w:rStyle w:val="IndexLink"/>
                <w:rtl w:val="true"/>
              </w:rPr>
              <w:tab/>
            </w:r>
            <w:r>
              <w:rPr>
                <w:rStyle w:val="IndexLink"/>
              </w:rPr>
              <w:t>155</w:t>
            </w:r>
          </w:hyperlink>
        </w:p>
        <w:p>
          <w:pPr>
            <w:pStyle w:val="Contents5"/>
            <w:tabs>
              <w:tab w:val="clear" w:pos="7892"/>
              <w:tab w:val="right" w:pos="9026" w:leader="dot"/>
            </w:tabs>
            <w:rPr/>
          </w:pPr>
          <w:hyperlink w:anchor="__RefHeading___Toc5522712_581953129">
            <w:r>
              <w:rPr>
                <w:webHidden/>
                <w:rStyle w:val="IndexLink"/>
              </w:rPr>
              <w:t>5-8</w:t>
            </w:r>
            <w:r>
              <w:rPr>
                <w:rStyle w:val="IndexLink"/>
                <w:rtl w:val="true"/>
              </w:rPr>
              <w:t xml:space="preserve">. </w:t>
            </w:r>
            <w:r>
              <w:rPr>
                <w:rStyle w:val="IndexLink"/>
                <w:rtl w:val="true"/>
              </w:rPr>
              <w:t>مفاهیم مرتبط با اوصاف خدا</w:t>
            </w:r>
            <w:r>
              <w:rPr>
                <w:rStyle w:val="IndexLink"/>
                <w:rtl w:val="true"/>
              </w:rPr>
              <w:tab/>
            </w:r>
            <w:r>
              <w:rPr>
                <w:rStyle w:val="IndexLink"/>
              </w:rPr>
              <w:t>157</w:t>
            </w:r>
          </w:hyperlink>
        </w:p>
        <w:p>
          <w:pPr>
            <w:pStyle w:val="Contents4"/>
            <w:tabs>
              <w:tab w:val="clear" w:pos="8176"/>
              <w:tab w:val="right" w:pos="9026" w:leader="dot"/>
            </w:tabs>
            <w:rPr/>
          </w:pPr>
          <w:hyperlink w:anchor="__RefHeading___Toc5522714_581953129">
            <w:r>
              <w:rPr>
                <w:webHidden/>
                <w:rStyle w:val="IndexLink"/>
              </w:rPr>
              <w:t>9</w:t>
            </w:r>
            <w:r>
              <w:rPr>
                <w:rStyle w:val="IndexLink"/>
                <w:rtl w:val="true"/>
              </w:rPr>
              <w:t xml:space="preserve">. </w:t>
            </w:r>
            <w:r>
              <w:rPr>
                <w:rStyle w:val="IndexLink"/>
                <w:rtl w:val="true"/>
              </w:rPr>
              <w:t>حروف</w:t>
            </w:r>
            <w:r>
              <w:rPr>
                <w:rStyle w:val="IndexLink"/>
                <w:rtl w:val="true"/>
              </w:rPr>
              <w:tab/>
            </w:r>
            <w:r>
              <w:rPr>
                <w:rStyle w:val="IndexLink"/>
              </w:rPr>
              <w:t>157</w:t>
            </w:r>
          </w:hyperlink>
        </w:p>
        <w:p>
          <w:pPr>
            <w:pStyle w:val="Contents3"/>
            <w:tabs>
              <w:tab w:val="clear" w:pos="8459"/>
              <w:tab w:val="right" w:pos="9026" w:leader="dot"/>
            </w:tabs>
            <w:rPr/>
          </w:pPr>
          <w:hyperlink w:anchor="__RefHeading___Toc5522716_581953129">
            <w:r>
              <w:rPr>
                <w:webHidden/>
                <w:rStyle w:val="IndexLink"/>
                <w:rtl w:val="true"/>
              </w:rPr>
              <w:t>نتیجه گیری</w:t>
            </w:r>
            <w:r>
              <w:rPr>
                <w:rStyle w:val="IndexLink"/>
                <w:rtl w:val="true"/>
              </w:rPr>
              <w:tab/>
            </w:r>
            <w:r>
              <w:rPr>
                <w:rStyle w:val="IndexLink"/>
              </w:rPr>
              <w:t>158</w:t>
            </w:r>
          </w:hyperlink>
        </w:p>
        <w:p>
          <w:pPr>
            <w:pStyle w:val="Contents3"/>
            <w:tabs>
              <w:tab w:val="clear" w:pos="8459"/>
              <w:tab w:val="right" w:pos="9026" w:leader="dot"/>
            </w:tabs>
            <w:rPr/>
          </w:pPr>
          <w:hyperlink w:anchor="__RefHeading___Toc5522718_581953129">
            <w:r>
              <w:rPr>
                <w:webHidden/>
                <w:rStyle w:val="IndexLink"/>
                <w:rtl w:val="true"/>
              </w:rPr>
              <w:t>منابع و مآخذ</w:t>
            </w:r>
            <w:r>
              <w:rPr>
                <w:rStyle w:val="IndexLink"/>
                <w:rtl w:val="true"/>
              </w:rPr>
              <w:tab/>
            </w:r>
            <w:r>
              <w:rPr>
                <w:rStyle w:val="IndexLink"/>
              </w:rPr>
              <w:t>159</w:t>
            </w:r>
          </w:hyperlink>
        </w:p>
        <w:p>
          <w:pPr>
            <w:pStyle w:val="Contents2"/>
            <w:tabs>
              <w:tab w:val="clear" w:pos="8743"/>
              <w:tab w:val="right" w:pos="9026" w:leader="dot"/>
            </w:tabs>
            <w:rPr/>
          </w:pPr>
          <w:hyperlink w:anchor="__RefHeading___Toc5522720_581953129">
            <w:r>
              <w:rPr>
                <w:webHidden/>
                <w:rStyle w:val="IndexLink"/>
                <w:rtl w:val="true"/>
              </w:rPr>
              <w:t>تحلیل و آسیب</w:t>
            </w:r>
            <w:r>
              <w:rPr>
                <w:rStyle w:val="IndexLink"/>
                <w:rtl w:val="true"/>
              </w:rPr>
              <w:softHyphen/>
            </w:r>
            <w:r>
              <w:rPr>
                <w:rStyle w:val="IndexLink"/>
                <w:rtl w:val="true"/>
              </w:rPr>
              <w:t xml:space="preserve">شناسی فلسفه زبان معاصر غربی </w:t>
            </w:r>
            <w:r>
              <w:rPr>
                <w:rStyle w:val="IndexLink"/>
                <w:rtl w:val="true"/>
              </w:rPr>
              <w:t xml:space="preserve">/ </w:t>
            </w:r>
            <w:r>
              <w:rPr>
                <w:rStyle w:val="IndexLink"/>
                <w:rtl w:val="true"/>
              </w:rPr>
              <w:t>محمدرضا اسدی، محمدرعایت جهرمی</w:t>
            </w:r>
            <w:r>
              <w:rPr>
                <w:rStyle w:val="IndexLink"/>
                <w:rtl w:val="true"/>
              </w:rPr>
              <w:tab/>
            </w:r>
            <w:r>
              <w:rPr>
                <w:rStyle w:val="IndexLink"/>
              </w:rPr>
              <w:t>164</w:t>
            </w:r>
          </w:hyperlink>
        </w:p>
        <w:p>
          <w:pPr>
            <w:pStyle w:val="Contents3"/>
            <w:tabs>
              <w:tab w:val="clear" w:pos="8459"/>
              <w:tab w:val="right" w:pos="9026" w:leader="dot"/>
            </w:tabs>
            <w:rPr/>
          </w:pPr>
          <w:hyperlink w:anchor="__RefHeading___Toc5522722_581953129">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5522724_581953129">
            <w:r>
              <w:rPr>
                <w:webHidden/>
                <w:rStyle w:val="IndexLink"/>
                <w:rtl w:val="true"/>
              </w:rPr>
              <w:t>چکیده</w:t>
            </w:r>
            <w:r>
              <w:rPr>
                <w:rStyle w:val="IndexLink"/>
                <w:rtl w:val="true"/>
              </w:rPr>
              <w:tab/>
            </w:r>
            <w:r>
              <w:rPr>
                <w:rStyle w:val="IndexLink"/>
              </w:rPr>
              <w:t>164</w:t>
            </w:r>
          </w:hyperlink>
        </w:p>
        <w:p>
          <w:pPr>
            <w:pStyle w:val="Contents3"/>
            <w:tabs>
              <w:tab w:val="clear" w:pos="8459"/>
              <w:tab w:val="right" w:pos="9026" w:leader="dot"/>
            </w:tabs>
            <w:rPr/>
          </w:pPr>
          <w:hyperlink w:anchor="__RefHeading___Toc5522726_581953129">
            <w:r>
              <w:rPr>
                <w:webHidden/>
                <w:rStyle w:val="IndexLink"/>
                <w:rtl w:val="true"/>
              </w:rPr>
              <w:t>مقدمه</w:t>
            </w:r>
            <w:r>
              <w:rPr>
                <w:rStyle w:val="IndexLink"/>
                <w:rtl w:val="true"/>
              </w:rPr>
              <w:tab/>
            </w:r>
            <w:r>
              <w:rPr>
                <w:rStyle w:val="IndexLink"/>
              </w:rPr>
              <w:t>165</w:t>
            </w:r>
          </w:hyperlink>
        </w:p>
        <w:p>
          <w:pPr>
            <w:pStyle w:val="Contents3"/>
            <w:tabs>
              <w:tab w:val="clear" w:pos="8459"/>
              <w:tab w:val="right" w:pos="9026" w:leader="dot"/>
            </w:tabs>
            <w:rPr/>
          </w:pPr>
          <w:hyperlink w:anchor="__RefHeading___Toc5522728_581953129">
            <w:r>
              <w:rPr>
                <w:webHidden/>
                <w:rStyle w:val="IndexLink"/>
              </w:rPr>
              <w:t>1</w:t>
            </w:r>
            <w:r>
              <w:rPr>
                <w:rStyle w:val="IndexLink"/>
                <w:rtl w:val="true"/>
              </w:rPr>
              <w:t xml:space="preserve">. </w:t>
            </w:r>
            <w:r>
              <w:rPr>
                <w:rStyle w:val="IndexLink"/>
                <w:rtl w:val="true"/>
              </w:rPr>
              <w:t>سنت های قاره ای و تحلیلی</w:t>
            </w:r>
            <w:r>
              <w:rPr>
                <w:rStyle w:val="IndexLink"/>
                <w:rtl w:val="true"/>
              </w:rPr>
              <w:tab/>
            </w:r>
            <w:r>
              <w:rPr>
                <w:rStyle w:val="IndexLink"/>
              </w:rPr>
              <w:t>167</w:t>
            </w:r>
          </w:hyperlink>
        </w:p>
        <w:p>
          <w:pPr>
            <w:pStyle w:val="Contents3"/>
            <w:tabs>
              <w:tab w:val="clear" w:pos="8459"/>
              <w:tab w:val="right" w:pos="9026" w:leader="dot"/>
            </w:tabs>
            <w:rPr/>
          </w:pPr>
          <w:hyperlink w:anchor="__RefHeading___Toc5522730_581953129">
            <w:r>
              <w:rPr>
                <w:webHidden/>
                <w:rStyle w:val="IndexLink"/>
              </w:rPr>
              <w:t>2</w:t>
            </w:r>
            <w:r>
              <w:rPr>
                <w:rStyle w:val="IndexLink"/>
                <w:rtl w:val="true"/>
              </w:rPr>
              <w:t xml:space="preserve">. </w:t>
            </w:r>
            <w:r>
              <w:rPr>
                <w:rStyle w:val="IndexLink"/>
                <w:rtl w:val="true"/>
              </w:rPr>
              <w:t xml:space="preserve">فلسفه زبان قاره ای </w:t>
            </w:r>
            <w:r>
              <w:rPr>
                <w:rStyle w:val="IndexLink"/>
                <w:rtl w:val="true"/>
              </w:rPr>
              <w:t>(</w:t>
            </w:r>
            <w:r>
              <w:rPr>
                <w:rStyle w:val="IndexLink"/>
              </w:rPr>
              <w:t>Continental Philosophy of language</w:t>
            </w:r>
            <w:r>
              <w:rPr>
                <w:rStyle w:val="IndexLink"/>
                <w:rtl w:val="true"/>
              </w:rPr>
              <w:t>)</w:t>
              <w:tab/>
            </w:r>
            <w:r>
              <w:rPr>
                <w:rStyle w:val="IndexLink"/>
              </w:rPr>
              <w:t>172</w:t>
            </w:r>
          </w:hyperlink>
        </w:p>
        <w:p>
          <w:pPr>
            <w:pStyle w:val="Contents4"/>
            <w:tabs>
              <w:tab w:val="clear" w:pos="8176"/>
              <w:tab w:val="right" w:pos="9026" w:leader="dot"/>
            </w:tabs>
            <w:rPr/>
          </w:pPr>
          <w:hyperlink w:anchor="__RefHeading___Toc5522732_581953129">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5522734_581953129">
            <w:r>
              <w:rPr>
                <w:webHidden/>
                <w:rStyle w:val="IndexLink"/>
              </w:rPr>
              <w:t>1-2</w:t>
            </w:r>
            <w:r>
              <w:rPr>
                <w:rStyle w:val="IndexLink"/>
                <w:rtl w:val="true"/>
              </w:rPr>
              <w:t xml:space="preserve">. </w:t>
            </w:r>
            <w:r>
              <w:rPr>
                <w:rStyle w:val="IndexLink"/>
                <w:rtl w:val="true"/>
              </w:rPr>
              <w:t>تطبیق و تفاوت</w:t>
            </w:r>
            <w:r>
              <w:rPr>
                <w:rStyle w:val="IndexLink"/>
                <w:rtl w:val="true"/>
              </w:rPr>
              <w:tab/>
            </w:r>
            <w:r>
              <w:rPr>
                <w:rStyle w:val="IndexLink"/>
              </w:rPr>
              <w:t>173</w:t>
            </w:r>
          </w:hyperlink>
        </w:p>
        <w:p>
          <w:pPr>
            <w:pStyle w:val="Contents4"/>
            <w:tabs>
              <w:tab w:val="clear" w:pos="8176"/>
              <w:tab w:val="right" w:pos="9026" w:leader="dot"/>
            </w:tabs>
            <w:rPr/>
          </w:pPr>
          <w:hyperlink w:anchor="__RefHeading___Toc5522736_581953129">
            <w:r>
              <w:rPr>
                <w:webHidden/>
                <w:rStyle w:val="IndexLink"/>
              </w:rPr>
              <w:t>2-2</w:t>
            </w:r>
            <w:r>
              <w:rPr>
                <w:rStyle w:val="IndexLink"/>
                <w:rtl w:val="true"/>
              </w:rPr>
              <w:t xml:space="preserve">. </w:t>
            </w:r>
            <w:r>
              <w:rPr>
                <w:rStyle w:val="IndexLink"/>
                <w:rtl w:val="true"/>
              </w:rPr>
              <w:t>محدوده تاریخی، جغرافیایی، محتوایی</w:t>
            </w:r>
            <w:r>
              <w:rPr>
                <w:rStyle w:val="IndexLink"/>
                <w:rtl w:val="true"/>
              </w:rPr>
              <w:tab/>
            </w:r>
            <w:r>
              <w:rPr>
                <w:rStyle w:val="IndexLink"/>
              </w:rPr>
              <w:t>176</w:t>
            </w:r>
          </w:hyperlink>
        </w:p>
        <w:p>
          <w:pPr>
            <w:pStyle w:val="Contents4"/>
            <w:tabs>
              <w:tab w:val="clear" w:pos="8176"/>
              <w:tab w:val="right" w:pos="9026" w:leader="dot"/>
            </w:tabs>
            <w:rPr/>
          </w:pPr>
          <w:hyperlink w:anchor="__RefHeading___Toc5522738_581953129">
            <w:r>
              <w:rPr>
                <w:webHidden/>
                <w:rStyle w:val="IndexLink"/>
              </w:rPr>
              <w:t>3-2</w:t>
            </w:r>
            <w:r>
              <w:rPr>
                <w:rStyle w:val="IndexLink"/>
                <w:rtl w:val="true"/>
              </w:rPr>
              <w:t xml:space="preserve">. </w:t>
            </w:r>
            <w:r>
              <w:rPr>
                <w:rStyle w:val="IndexLink"/>
                <w:rtl w:val="true"/>
              </w:rPr>
              <w:t>شاخص</w:t>
            </w:r>
            <w:r>
              <w:rPr>
                <w:rStyle w:val="IndexLink"/>
                <w:rtl w:val="true"/>
              </w:rPr>
              <w:tab/>
            </w:r>
            <w:r>
              <w:rPr>
                <w:rStyle w:val="IndexLink"/>
              </w:rPr>
              <w:t>177</w:t>
            </w:r>
          </w:hyperlink>
        </w:p>
        <w:p>
          <w:pPr>
            <w:pStyle w:val="Contents4"/>
            <w:tabs>
              <w:tab w:val="clear" w:pos="8176"/>
              <w:tab w:val="right" w:pos="9026" w:leader="dot"/>
            </w:tabs>
            <w:rPr/>
          </w:pPr>
          <w:hyperlink w:anchor="__RefHeading___Toc5522740_581953129">
            <w:r>
              <w:rPr>
                <w:webHidden/>
                <w:rStyle w:val="IndexLink"/>
              </w:rPr>
              <w:t>4-2</w:t>
            </w:r>
            <w:r>
              <w:rPr>
                <w:rStyle w:val="IndexLink"/>
                <w:rtl w:val="true"/>
              </w:rPr>
              <w:t xml:space="preserve">. </w:t>
            </w:r>
            <w:r>
              <w:rPr>
                <w:rStyle w:val="IndexLink"/>
                <w:rtl w:val="true"/>
              </w:rPr>
              <w:t>ملاحظات</w:t>
            </w:r>
            <w:r>
              <w:rPr>
                <w:rStyle w:val="IndexLink"/>
                <w:rtl w:val="true"/>
              </w:rPr>
              <w:tab/>
            </w:r>
            <w:r>
              <w:rPr>
                <w:rStyle w:val="IndexLink"/>
              </w:rPr>
              <w:t>180</w:t>
            </w:r>
          </w:hyperlink>
        </w:p>
        <w:p>
          <w:pPr>
            <w:pStyle w:val="Contents3"/>
            <w:tabs>
              <w:tab w:val="clear" w:pos="8459"/>
              <w:tab w:val="right" w:pos="9026" w:leader="dot"/>
            </w:tabs>
            <w:rPr/>
          </w:pPr>
          <w:hyperlink w:anchor="__RefHeading___Toc5522742_581953129">
            <w:r>
              <w:rPr>
                <w:webHidden/>
                <w:rStyle w:val="IndexLink"/>
                <w:rtl w:val="true"/>
              </w:rPr>
              <w:t>نتیجه گیری</w:t>
            </w:r>
            <w:r>
              <w:rPr>
                <w:rStyle w:val="IndexLink"/>
                <w:rtl w:val="true"/>
              </w:rPr>
              <w:tab/>
            </w:r>
            <w:r>
              <w:rPr>
                <w:rStyle w:val="IndexLink"/>
              </w:rPr>
              <w:t>182</w:t>
            </w:r>
          </w:hyperlink>
        </w:p>
        <w:p>
          <w:pPr>
            <w:pStyle w:val="Contents3"/>
            <w:tabs>
              <w:tab w:val="clear" w:pos="8459"/>
              <w:tab w:val="right" w:pos="9026" w:leader="dot"/>
            </w:tabs>
            <w:rPr/>
          </w:pPr>
          <w:hyperlink w:anchor="__RefHeading___Toc5522744_581953129">
            <w:r>
              <w:rPr>
                <w:webHidden/>
                <w:rStyle w:val="IndexLink"/>
                <w:rtl w:val="true"/>
              </w:rPr>
              <w:t>منابع و مآخذ</w:t>
            </w:r>
            <w:r>
              <w:rPr>
                <w:rStyle w:val="IndexLink"/>
                <w:rtl w:val="true"/>
              </w:rPr>
              <w:tab/>
            </w:r>
            <w:r>
              <w:rPr>
                <w:rStyle w:val="IndexLink"/>
              </w:rPr>
              <w:t>185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23_64832"/>
      <w:bookmarkStart w:id="1" w:name="pg5923_64832"/>
      <w:bookmarkEnd w:id="1"/>
    </w:p>
    <w:p>
      <w:pPr>
        <w:pStyle w:val="Heading2"/>
        <w:numPr>
          <w:ilvl w:val="1"/>
          <w:numId w:val="1"/>
        </w:numPr>
        <w:rPr/>
      </w:pPr>
      <w:bookmarkStart w:id="2" w:name="pg5923_64832"/>
      <w:bookmarkStart w:id="3" w:name="__RefHeading___Toc552251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فصلنامة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معرفت‌شناسی و حوزه‌های مرتبط</w:t>
      </w:r>
    </w:p>
    <w:p>
      <w:pPr>
        <w:pStyle w:val="BookText"/>
        <w:rPr/>
      </w:pPr>
      <w:r>
        <w:rPr>
          <w:rFonts w:ascii="IRNazanin" w:hAnsi="IRNazanin" w:eastAsia="IRNazanin"/>
          <w:color w:val="111111"/>
          <w:sz w:val="28"/>
          <w:sz w:val="28"/>
          <w:szCs w:val="28"/>
          <w:rtl w:val="true"/>
          <w:lang w:bidi="fa-IR"/>
        </w:rPr>
        <w:t>سال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پاییز</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فرهنگ و اندیشۀ اسلامی</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رشاد</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قائمی‌نیا</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سواری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محمداسماعیل انصاری</w:t>
      </w:r>
    </w:p>
    <w:p>
      <w:pPr>
        <w:pStyle w:val="BookText"/>
        <w:rPr/>
      </w:pPr>
      <w:r>
        <w:rPr>
          <w:rFonts w:ascii="IRNazanin" w:hAnsi="IRNazanin" w:eastAsia="IRNazanin"/>
          <w:color w:val="111111"/>
          <w:sz w:val="28"/>
          <w:sz w:val="28"/>
          <w:szCs w:val="28"/>
          <w:rtl w:val="true"/>
          <w:lang w:bidi="fa-IR"/>
        </w:rPr>
        <w:t>اعضای هیئت تحریریه و پژوهش</w:t>
      </w:r>
    </w:p>
    <w:p>
      <w:pPr>
        <w:pStyle w:val="BookText"/>
        <w:rPr/>
      </w:pPr>
      <w:r>
        <w:rPr>
          <w:rFonts w:ascii="IRNazanin" w:hAnsi="IRNazanin" w:eastAsia="IRNazanin"/>
          <w:color w:val="111111"/>
          <w:sz w:val="28"/>
          <w:sz w:val="28"/>
          <w:szCs w:val="28"/>
          <w:rtl w:val="true"/>
          <w:lang w:bidi="fa-IR"/>
        </w:rPr>
        <w:t>احمد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فیاضی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جهانگیری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سیدیحیی یثربی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آیت‌اللهی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قوام‌صفری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پژوهشگاه فرهنگ و اندیشه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خسروپناه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پژوهشگاه فرهنگ و اندیشه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دانشگاه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عشاقی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پژوهشگاه فرهنگ و اندیشه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کیاشمشکی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دانشگاه امیرکبیر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استناد گواهی شماره </w:t>
      </w:r>
      <w:r>
        <w:rPr>
          <w:rFonts w:eastAsia="IRNazanin" w:cs="IRNazanin"/>
          <w:color w:val="111111"/>
          <w:sz w:val="28"/>
          <w:szCs w:val="28"/>
          <w:lang w:bidi="fa-IR"/>
        </w:rPr>
        <w:t>5656/31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18/5/1391</w:t>
      </w:r>
      <w:r>
        <w:rPr>
          <w:rFonts w:ascii="IRNazanin" w:hAnsi="IRNazanin" w:eastAsia="IRNazanin"/>
          <w:color w:val="111111"/>
          <w:sz w:val="28"/>
          <w:sz w:val="28"/>
          <w:szCs w:val="28"/>
          <w:rtl w:val="true"/>
          <w:lang w:bidi="fa-IR"/>
        </w:rPr>
        <w:t>، شورای عالی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علمیه به فصلنامه ذهن رتبه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اعطا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شهید بهشتی، خیابان شهید احمد 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خیابان پژوهشگاه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88501064</w:t>
      </w:r>
      <w:r>
        <w:rPr>
          <w:rFonts w:eastAsia="IRNazanin" w:cs="IRNazanin"/>
          <w:color w:val="111111"/>
          <w:sz w:val="28"/>
          <w:szCs w:val="28"/>
          <w:rtl w:val="true"/>
          <w:lang w:bidi="fa-IR"/>
        </w:rPr>
        <w:t xml:space="preserve"> - </w:t>
      </w:r>
      <w:r>
        <w:rPr>
          <w:rFonts w:eastAsia="IRNazanin" w:cs="IRNazanin"/>
          <w:color w:val="111111"/>
          <w:sz w:val="28"/>
          <w:szCs w:val="28"/>
          <w:lang w:bidi="fa-IR"/>
        </w:rPr>
        <w:t>88735417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8784</w:t>
      </w:r>
      <w:r>
        <w:rPr>
          <w:rFonts w:eastAsia="IRNazanin" w:cs="IRNazanin"/>
          <w:color w:val="111111"/>
          <w:sz w:val="28"/>
          <w:szCs w:val="28"/>
          <w:rtl w:val="true"/>
          <w:lang w:bidi="fa-IR"/>
        </w:rPr>
        <w:t xml:space="preserve"> -</w:t>
      </w:r>
      <w:r>
        <w:rPr>
          <w:rFonts w:eastAsia="IRNazanin" w:cs="IRNazanin"/>
          <w:color w:val="111111"/>
          <w:sz w:val="28"/>
          <w:szCs w:val="28"/>
          <w:lang w:bidi="fa-IR"/>
        </w:rPr>
        <w:t>15875</w:t>
      </w:r>
    </w:p>
    <w:p>
      <w:pPr>
        <w:pStyle w:val="BookText"/>
        <w:rPr/>
      </w:pPr>
      <w:r>
        <w:rPr>
          <w:rFonts w:eastAsia="Times New Roman" w:cs="Times New Roman" w:ascii="Times New Roman" w:hAnsi="Times New Roman"/>
          <w:color w:val="111111"/>
          <w:sz w:val="28"/>
          <w:szCs w:val="28"/>
          <w:lang w:val="en-US" w:bidi="en-US"/>
        </w:rPr>
        <w:t>mail: zehn@iict.ac.ir</w:t>
      </w:r>
    </w:p>
    <w:p>
      <w:pPr>
        <w:pStyle w:val="BookText"/>
        <w:rPr/>
      </w:pPr>
      <w:r>
        <w:rPr>
          <w:rFonts w:eastAsia="Times New Roman" w:cs="Times New Roman" w:ascii="Times New Roman" w:hAnsi="Times New Roman"/>
          <w:color w:val="111111"/>
          <w:sz w:val="28"/>
          <w:szCs w:val="28"/>
          <w:lang w:val="en-US" w:bidi="en-US"/>
        </w:rPr>
        <w:t>www.magazines.iict.ac.ir</w:t>
      </w:r>
    </w:p>
    <w:p>
      <w:pPr>
        <w:pStyle w:val="BookText"/>
        <w:rPr/>
      </w:pPr>
      <w:r>
        <w:rPr>
          <w:rFonts w:ascii="IRNazanin" w:hAnsi="IRNazanin" w:eastAsia="IRNazanin"/>
          <w:color w:val="111111"/>
          <w:sz w:val="28"/>
          <w:sz w:val="28"/>
          <w:szCs w:val="28"/>
          <w:rtl w:val="true"/>
          <w:lang w:bidi="fa-IR"/>
        </w:rPr>
        <w:t>تلفن‌های مرکز توزیع و فروش</w:t>
      </w:r>
      <w:r>
        <w:rPr>
          <w:rFonts w:eastAsia="IRNazanin" w:cs="IRNazanin"/>
          <w:color w:val="111111"/>
          <w:sz w:val="28"/>
          <w:szCs w:val="28"/>
          <w:rtl w:val="true"/>
          <w:lang w:bidi="fa-IR"/>
        </w:rPr>
        <w:t xml:space="preserve">: </w:t>
      </w:r>
      <w:r>
        <w:rPr>
          <w:rFonts w:eastAsia="IRNazanin" w:cs="IRNazanin"/>
          <w:color w:val="111111"/>
          <w:sz w:val="28"/>
          <w:szCs w:val="28"/>
          <w:lang w:bidi="fa-IR"/>
        </w:rPr>
        <w:t>88730446</w:t>
      </w:r>
      <w:r>
        <w:rPr>
          <w:rFonts w:eastAsia="IRNazanin" w:cs="IRNazanin"/>
          <w:color w:val="111111"/>
          <w:sz w:val="28"/>
          <w:szCs w:val="28"/>
          <w:rtl w:val="true"/>
          <w:lang w:bidi="fa-IR"/>
        </w:rPr>
        <w:t xml:space="preserve"> -</w:t>
      </w:r>
      <w:r>
        <w:rPr>
          <w:rFonts w:eastAsia="IRNazanin" w:cs="IRNazanin"/>
          <w:color w:val="111111"/>
          <w:sz w:val="28"/>
          <w:szCs w:val="28"/>
          <w:lang w:bidi="fa-IR"/>
        </w:rPr>
        <w:t>88503341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22518_581953129"/>
      <w:bookmarkStart w:id="6" w:name="_Toc2"/>
      <w:bookmarkEnd w:id="5"/>
      <w:r>
        <w:rPr>
          <w:rtl w:val="true"/>
        </w:rPr>
        <w:t>اشاره</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مصوبه مذکور فصلنامه ذهن از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رتبه علمی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ذهن در پایگاه استنادی علوم جهان اسلام به نشانی </w:t>
      </w:r>
      <w:r>
        <w:rPr>
          <w:rFonts w:eastAsia="Times New Roman" w:cs="Times New Roman" w:ascii="Times New Roman" w:hAnsi="Times New Roman"/>
          <w:color w:val="111111"/>
          <w:sz w:val="28"/>
          <w:szCs w:val="28"/>
          <w:lang w:val="en-US" w:bidi="en-US"/>
        </w:rPr>
        <w:t>www.isc.gov.ir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فصلنامة ذهن از همکاری محققان، استادان و مترجمان استقبال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مندرج در فصلنامة ذهن، مبین آرا و نظریات نویسندگان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متن اصلی مقاله همراه با ترجمه چکیده،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فصلنامة ذهن در ویرایش مطالب دریافتی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دریافت شده، بازگردانده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مطالب ذهن با ذکر مأخذ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 تنظیم مقالات</w:t>
      </w:r>
    </w:p>
    <w:p>
      <w:pPr>
        <w:pStyle w:val="BookText"/>
        <w:rPr/>
      </w:pPr>
      <w:r>
        <w:rPr>
          <w:rFonts w:ascii="IRNazanin" w:hAnsi="IRNazanin" w:eastAsia="IRNazanin"/>
          <w:color w:val="111111"/>
          <w:sz w:val="28"/>
          <w:sz w:val="28"/>
          <w:szCs w:val="28"/>
          <w:rtl w:val="true"/>
          <w:lang w:bidi="fa-IR"/>
        </w:rPr>
        <w:t>لطفاً به هنگام تنظیم مقالات موارد زیر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نام خانوادگی، میزان تحصیلات، رتبة علمی نویسنده و مترجم، شغل، نشانی، کد پستی، و شماره تلفن خود را قید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فایل نهائی مقاله به آدرس پستی و یا ایمیل نشریه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حجم هر مقاله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حروف‌چینی‌شدة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چکیدة فارسی و انگلیسی مقاله، حداکثر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واژگان کلیدی فارسی و معادل انگلیسی آنها درج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مقالة ارسالی نباید در هیچ نشریة داخلی یا خارجی چاپ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مقالة ارسالی نباید هم‌زمان به سایر مجلات فرستاده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 معادل لاتین اسامی، و اصطلاحات مهجور، مقابل عبارت و در پرانتز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مورد استفاده، در متن به این شکل نوشته شود، نام خانوادگی نویسنده، تاریخ انتشار و شمارة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منابع در آخر مقاله برحسب حروف الفبایی نام خانوادگی نویسنده، به شکل ذیل تنظیم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خانوادگی، نام؛ عنوان کتاب؛ نام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شماره جلد، نوبت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سال انتشار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مجله،شماره مجله، سال انتشار</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ذکر شود که در صورت تکرار منابع، به نام خانوادگی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شمارة جلد و صفحه اکتفا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همچنیندر صورت تعدد آثار منتشره در سال واحد از یک مؤلف، جهت نمایاندن ترتیب انتشار با حروف الف، ب، 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می‌گردد</w:t>
      </w:r>
      <w:r>
        <w:rPr>
          <w:rFonts w:eastAsia="IRNazanin" w:cs="IRNazanin"/>
          <w:color w:val="111111"/>
          <w:sz w:val="28"/>
          <w:szCs w:val="28"/>
          <w:rtl w:val="true"/>
          <w:lang w:bidi="fa-IR"/>
        </w:rPr>
        <w:t xml:space="preserve">. </w:t>
      </w:r>
      <w:bookmarkStart w:id="7" w:name="pg5923_64834"/>
    </w:p>
    <w:p>
      <w:pPr>
        <w:pStyle w:val="Heading2"/>
        <w:numPr>
          <w:ilvl w:val="1"/>
          <w:numId w:val="1"/>
        </w:numPr>
        <w:rPr/>
      </w:pPr>
      <w:bookmarkStart w:id="8" w:name="__RefHeading___Toc5522520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مبانی معرفت‌شناختی تولید علم دینی، با تأکید بر کارکردهای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رشاد</w:t>
      </w:r>
    </w:p>
    <w:p>
      <w:pPr>
        <w:pStyle w:val="BookText"/>
        <w:rPr/>
      </w:pPr>
      <w:r>
        <w:rPr>
          <w:rFonts w:ascii="IRNazanin" w:hAnsi="IRNazanin" w:eastAsia="IRNazanin"/>
          <w:color w:val="111111"/>
          <w:sz w:val="28"/>
          <w:sz w:val="28"/>
          <w:szCs w:val="28"/>
          <w:rtl w:val="true"/>
          <w:lang w:bidi="fa-IR"/>
        </w:rPr>
        <w:t>دلالت متون دینی از نگاه نواعتزالیان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عرب‌صالحی</w:t>
      </w:r>
    </w:p>
    <w:p>
      <w:pPr>
        <w:pStyle w:val="BookText"/>
        <w:rPr/>
      </w:pPr>
      <w:r>
        <w:rPr>
          <w:rFonts w:ascii="IRNazanin" w:hAnsi="IRNazanin" w:eastAsia="IRNazanin"/>
          <w:color w:val="111111"/>
          <w:sz w:val="28"/>
          <w:sz w:val="28"/>
          <w:szCs w:val="28"/>
          <w:rtl w:val="true"/>
          <w:lang w:bidi="fa-IR"/>
        </w:rPr>
        <w:t>یقین در فلسفة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عباس‌زاده</w:t>
      </w:r>
    </w:p>
    <w:p>
      <w:pPr>
        <w:pStyle w:val="BookText"/>
        <w:rPr/>
      </w:pPr>
      <w:r>
        <w:rPr>
          <w:rFonts w:ascii="IRNazanin" w:hAnsi="IRNazanin" w:eastAsia="IRNazanin"/>
          <w:color w:val="111111"/>
          <w:sz w:val="28"/>
          <w:sz w:val="28"/>
          <w:szCs w:val="28"/>
          <w:rtl w:val="true"/>
          <w:lang w:bidi="fa-IR"/>
        </w:rPr>
        <w:t>ارزیابی تطبیقیِ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معرفت کارل مانهایم و نظریه پارادایمی تامس کوهن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غلامحسین مقدم حیدری</w:t>
      </w:r>
    </w:p>
    <w:p>
      <w:pPr>
        <w:pStyle w:val="BookText"/>
        <w:rPr/>
      </w:pPr>
      <w:r>
        <w:rPr>
          <w:rFonts w:ascii="IRNazanin" w:hAnsi="IRNazanin" w:eastAsia="IRNazanin"/>
          <w:color w:val="111111"/>
          <w:sz w:val="28"/>
          <w:sz w:val="28"/>
          <w:szCs w:val="28"/>
          <w:rtl w:val="true"/>
          <w:lang w:bidi="fa-IR"/>
        </w:rPr>
        <w:t>علم حضوری راه حلی برای چند مسئله در اولیات؛ نگاهی به نظریه محمدتقی مصباح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امیرحسن زادیوسفی، داود حسینی</w:t>
      </w:r>
    </w:p>
    <w:p>
      <w:pPr>
        <w:pStyle w:val="BookText"/>
        <w:rPr/>
      </w:pPr>
      <w:r>
        <w:rPr>
          <w:rFonts w:ascii="IRNazanin" w:hAnsi="IRNazanin" w:eastAsia="IRNazanin"/>
          <w:color w:val="111111"/>
          <w:sz w:val="28"/>
          <w:sz w:val="28"/>
          <w:szCs w:val="28"/>
          <w:rtl w:val="true"/>
          <w:lang w:bidi="fa-IR"/>
        </w:rPr>
        <w:t>گونه‌شناسی مفاهیم قرآنی و قلمرو فهم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علی‌دوست، علی‌رضا قائمی‌نیا، محمدحسین رفیعی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و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فلسفه زبان معاصر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اسدی، محمدرعایت جهرمی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923_64836"/>
      <w:bookmarkStart w:id="11" w:name="pg5923_64836"/>
      <w:bookmarkEnd w:id="11"/>
    </w:p>
    <w:p>
      <w:pPr>
        <w:pStyle w:val="Heading2"/>
        <w:numPr>
          <w:ilvl w:val="1"/>
          <w:numId w:val="1"/>
        </w:numPr>
        <w:rPr/>
      </w:pPr>
      <w:bookmarkStart w:id="12" w:name="pg5923_64836"/>
      <w:bookmarkStart w:id="13" w:name="__RefHeading___Toc5522522_581953129"/>
      <w:bookmarkStart w:id="14" w:name="_Toc4"/>
      <w:bookmarkEnd w:id="12"/>
      <w:bookmarkEnd w:id="13"/>
      <w:r>
        <w:rPr>
          <w:rtl w:val="true"/>
        </w:rPr>
        <w:t xml:space="preserve">مبانی معرفت‌شناختی تولیدعلم دینی، با تأکید بر کارکردهای عقل </w:t>
      </w:r>
      <w:r>
        <w:rPr>
          <w:rtl w:val="true"/>
        </w:rPr>
        <w:t xml:space="preserve">/ </w:t>
      </w:r>
      <w:r>
        <w:rPr>
          <w:rtl w:val="true"/>
        </w:rPr>
        <w:t>علی‌اکبر رشاد</w:t>
      </w:r>
      <w:bookmarkEnd w:id="14"/>
    </w:p>
    <w:p>
      <w:pPr>
        <w:pStyle w:val="Heading3"/>
        <w:numPr>
          <w:ilvl w:val="2"/>
          <w:numId w:val="1"/>
        </w:numPr>
        <w:rPr/>
      </w:pPr>
      <w:bookmarkStart w:id="15" w:name="__RefHeading___Toc5522524_581953129"/>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علی‌اکبر رشاد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24/9/92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18/11/92</w:t>
      </w:r>
    </w:p>
    <w:p>
      <w:pPr>
        <w:pStyle w:val="Heading3"/>
        <w:numPr>
          <w:ilvl w:val="2"/>
          <w:numId w:val="1"/>
        </w:numPr>
        <w:rPr/>
      </w:pPr>
      <w:bookmarkStart w:id="17" w:name="__RefHeading___Toc5522526_581953129"/>
      <w:bookmarkStart w:id="18" w:name="_Toc6"/>
      <w:bookmarkEnd w:id="17"/>
      <w:r>
        <w:rPr>
          <w:rtl w:val="true"/>
        </w:rPr>
        <w:t>چکیده</w:t>
      </w:r>
      <w:bookmarkEnd w:id="18"/>
    </w:p>
    <w:p>
      <w:pPr>
        <w:pStyle w:val="BookText"/>
        <w:rPr/>
      </w:pPr>
      <w:r>
        <w:rPr>
          <w:rFonts w:ascii="IRNazanin" w:hAnsi="IRNazanin" w:eastAsia="IRNazanin"/>
          <w:color w:val="111111"/>
          <w:sz w:val="28"/>
          <w:sz w:val="28"/>
          <w:szCs w:val="28"/>
          <w:rtl w:val="true"/>
          <w:lang w:bidi="fa-IR"/>
        </w:rPr>
        <w:t xml:space="preserve">مؤلف مقاله در صدد ارائه‌ی مبانی معرفت‌شناختی تولید علم دینی است؛ ایشان این مدعا را با ارائه‌ی الگویی خاص در معرفت‌شناسی علم،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نظریه‌ی واقع‌گرای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متشکل از دو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مبتنی بر هشت اصل است، سامان می‌دهد؛ محقق محترم در پایان نوشته، کارکردهای عقل در تولید علم دینی را به تفصیل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مجله‌ی ذهن و مؤلف محترم از نقد و نظر پیرامون مدعیات این مقاله استقبال می‌کنند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دینی، معرفت‌شناسی واقع‌گرای دینی، فرایند تکون معرفت، معرفت دینی، کارکردهای عقل</w:t>
      </w:r>
      <w:r>
        <w:rPr>
          <w:rFonts w:eastAsia="IRNazanin" w:cs="IRNazanin"/>
          <w:color w:val="111111"/>
          <w:sz w:val="28"/>
          <w:szCs w:val="28"/>
          <w:rtl w:val="true"/>
          <w:lang w:bidi="fa-IR"/>
        </w:rPr>
        <w:t xml:space="preserve">. </w:t>
      </w:r>
      <w:bookmarkStart w:id="19" w:name="pg5923_64837"/>
    </w:p>
    <w:p>
      <w:pPr>
        <w:pStyle w:val="Heading3"/>
        <w:numPr>
          <w:ilvl w:val="2"/>
          <w:numId w:val="1"/>
        </w:numPr>
        <w:rPr/>
      </w:pPr>
      <w:bookmarkStart w:id="20" w:name="__RefHeading___Toc5522528_581953129"/>
      <w:bookmarkStart w:id="21" w:name="_Toc7"/>
      <w:bookmarkEnd w:id="19"/>
      <w:bookmarkEnd w:id="20"/>
      <w:r>
        <w:rPr>
          <w:rtl w:val="true"/>
        </w:rPr>
        <w:t>درآمد</w:t>
      </w:r>
      <w:bookmarkEnd w:id="21"/>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معرفت‌شناختی تولید علمدینی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تأسیسی به روش تولید علم دینی، به انگیزه‌ی روش‌گذاری برای فهم بخشی از آورده‌های دین، در زمره‌ی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فهم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می‌شود؛ اما کاربرد این عنوان با نگاه پسینی به دین و منطق آن، از مسائل فلسفه‌ی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زمره‌ی شاخه‌ی فلسفه‌ی علم دینی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به‌شمار می‌رود، و در صورتی که مراد روش‌شناسی معرفت دینی با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نظریه‌ی تکون و تحول معرفت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دینی به معنای گسترده‌ی آن که شامل معرفت علمی دینی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فصول اصلی فلسفه‌ی معرفت دینی است،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رویکرد ما در این مقال،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تأسیسی به روش تولید علم دینی است؛ از این‌رو این عنوان را باید در چهارچوب منطق فهم دین، اما ناظر به تولید علم دینی ملحوظ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معرفت‌شناختی تولید علم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مبحث منابع علم دینی قرارمی‌گیرد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مصادر و منابع علم دینی نیز در زمره‌ی مباحث 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معرفت‌شناختی تولید علم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می‌گنجد، و براساس نظریه‌ی ابتناء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اطلاعات بیشتر درخصوص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نظریه‌ی ابتناء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رشاد،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مبدأمعرفت‌شناختی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مبادی خمسه‌ی فهم دین و تکوّن معرفت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ازحضرات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تولید علم دینی یا علوم انسانی اسلامی سخن می‌رانند،در صدد مقابله با علم عقلانی وجایگزینی علم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نص‌بسندونص‌محور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به نشانی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http://www.drsoroush.com/ Persian/ (by_drsoroush/p-nws-13890712-razvanazoloomensani.html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بنده نیز</w:t>
      </w:r>
    </w:p>
    <w:p>
      <w:pPr>
        <w:pStyle w:val="BookText"/>
        <w:rPr/>
      </w:pPr>
      <w:r>
        <w:rPr>
          <w:rFonts w:ascii="IRNazanin" w:hAnsi="IRNazanin" w:eastAsia="IRNazanin"/>
          <w:color w:val="111111"/>
          <w:sz w:val="28"/>
          <w:sz w:val="28"/>
          <w:szCs w:val="28"/>
          <w:rtl w:val="true"/>
          <w:lang w:bidi="fa-IR"/>
        </w:rPr>
        <w:t>همان زمان در جایی به تفصیل پاسخ این تلقی ناصواب و القاء مغرضانه را دادم؛ مقال حاضر نیز می‌تواندمکمل پاسخ به این تلقی نادرست و القای ناصواب قلمدادگردد</w:t>
      </w:r>
      <w:r>
        <w:rPr>
          <w:rFonts w:eastAsia="IRNazanin" w:cs="IRNazanin"/>
          <w:color w:val="111111"/>
          <w:sz w:val="28"/>
          <w:szCs w:val="28"/>
          <w:rtl w:val="true"/>
          <w:lang w:bidi="fa-IR"/>
        </w:rPr>
        <w:t>.</w:t>
      </w:r>
    </w:p>
    <w:p>
      <w:pPr>
        <w:pStyle w:val="Heading3"/>
        <w:numPr>
          <w:ilvl w:val="2"/>
          <w:numId w:val="1"/>
        </w:numPr>
        <w:rPr/>
      </w:pPr>
      <w:bookmarkStart w:id="22" w:name="__RefHeading___Toc5522530_581953129"/>
      <w:bookmarkStart w:id="23" w:name="_Toc8"/>
      <w:bookmarkEnd w:id="22"/>
      <w:r>
        <w:rPr/>
        <w:t>1</w:t>
      </w:r>
      <w:r>
        <w:rPr>
          <w:rtl w:val="true"/>
        </w:rPr>
        <w:t xml:space="preserve">. </w:t>
      </w:r>
      <w:r>
        <w:rPr>
          <w:rtl w:val="true"/>
        </w:rPr>
        <w:t>مبنای معرفت‌شناختی تولید علم دینی</w:t>
      </w:r>
      <w:bookmarkEnd w:id="2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نگره‌ی ما در زمینه‌ی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معرفت‌شناختی تولید علم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انگاره‌ی معرفت‌شناختی‌ای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نظریه‌ی معرفت‌شناسی واقع‌گرای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نظریه بر مقدمات و مقوِّمات چندی استوار است؛ از این‌رو شایسته استقبال ازبحث از مدعای مقال و برای روشن‌شدن جایگاه عقل در سامانه‌ی تکون معرفت بشری، به این مقدماتو مقومات اشاره کنیم؛این مقدمات و مقومات را در قالب اصول و مبادی زیر می‌توان تبیین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یک پدیده، با اضلاع و عناصر ششگانه‌ی زیر در پیوند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فاعل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وسائط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شناخت‌افزارها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معِدّات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موانع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شناخت‌شکن‌ها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متعلق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و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معرفت، برایند دو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است که در عرصه‌ی اطراف ششگانه‌ی پیشگفته صورت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معرفت،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با طی فرایندی خاص و مناسب هر یک از وسائط،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می‌شود؛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ساحت بشری که نشئه‌ی مادی‌ست و در بستر تعامل میان اضلاع و عناصر فرایند عرضی تکون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سوم، چهارم، 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و تکون معرفت، به شرح اصول و بندهای زیر قابل تبیین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تعالی،مبدأو فاعل حقیقی معرفت است،همه‌ی آگاهی‌ها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به‌مثابه پیام‌های بارَوی و ربوبی به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ازسپهر حضرت باری و ربّ هستی سرچشمه می‌گیرد و به ساحت بشری تنزّل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بَصائِرُ مِنْ رَبِّکُمْ فَمَنْ أَبْصَرَ فَلِنَفْسِهِ وَ مَنْ عَمِیَ فَعَلَیْها وَ ما أَنَا عَلَیْکُمْ بِحَفیظٍ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 محضر خدا حاضر است و کسب معرفت،نوعی حضوردر محضر الهی‌ست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ترابط معرفتی عبد و ربّ و حضوردرحضرت الهی،از رهگذر دوالّ و دلایل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مثابه پیام‌افزارهای معرفت به 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می‌بندد؛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تنها از یک دریچه باانسان تماس نمی‌گیرد،وانسان نیزتنها از یک طریق به حضرت الهی راه نمی‌یابد؛ به تعبیر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تام هرگزتک‌مجری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رایج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و معرفت کامل و جامع به همه‌ی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انسان‌های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رهگذر بهره‌مندی از همه‌ی مجاری و منابع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افاضه‌ی معرفت از بیرون وجود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قابل شناساست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 اما برخیاز مجاری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دوالّ ودلایل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درون‌خیز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اند،یعنی پیام‌افزار آنها در درون وجود آدمی تعبیه شده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؛برخیدیگر برونی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یعنی پیام‌افزار آنها خارج از وجودِ قابلِ معرفت قراردارد؛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قولی و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نمودار منشورواره‌ی هرم معرفت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معارفاز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رهگذر هر یک از مجاری معرفت، با طی فرایند و طور افاضی مناسب همان مجرا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فطرت، به‌طور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راهیابی برآمده از نحوه‌ی وجود انسان‌ها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درقالب ادراکات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بینش‌ها و دانش‌های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 واحساسات و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گرایش‌ها و کنش‌ها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فطری در وجود آدمی بروز می‌کند و حاصل آن می‌توانددر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عقل، به‌طور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عقلانی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استخدام قوه‌ی خردآدمی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واجب تعالی،درقالب ادراکات و احساسات عقلی در آدمیان ظهورمی‌کند،و حاصل آن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فلسفه‌ی عقل‌گرا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اشراق،به‌طور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اِشهاد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حق‌تعالی درقلب انسان‌های مستعد ودر قالب واردات قلبی هم تجلی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ذوقی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عرفان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تدوین‌یافته‌ی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وحی نیزبه‌طور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مبدأ تعالی به یکی از صور سه‌گانه‌ی مطرح‌شده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لِبَشَرٍ أَنْ یُکَلِّمَهُ اللَّهُ إِلاَّ وَحْیاً أَوْ مِنْ وَراءِ حِجابٍ أَوْ یُرْسِلَ رَسُولاً فَیُوحِیَ بِإِذْنِهِ ما یَشاءُ إِنَّهُ عَلِیٌّ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اطلاع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صاحب شریعت افاضه می‌گردد وحاصل آن، بخش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راتشکیلمی‌دهد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کمااینکه مراتب نازله‌ای از وحی نیز به‌طور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 به رسول یانبی یا ولی معصوم افاضه می‌شود و درقالب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دسترس انسان‌ها قرار می‌گیرد، و حاصل واصل آن نیز بخش دیگری ازحکمت نقلی راسامان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فرایندهای مجاری معرفت</w:t>
      </w:r>
    </w:p>
    <w:p>
      <w:pPr>
        <w:pStyle w:val="BookText"/>
        <w:rPr/>
      </w:pPr>
      <w:r>
        <w:rPr>
          <w:rFonts w:ascii="IRNazanin" w:hAnsi="IRNazanin" w:eastAsia="IRNazanin"/>
          <w:color w:val="111111"/>
          <w:sz w:val="28"/>
          <w:sz w:val="28"/>
          <w:szCs w:val="28"/>
          <w:rtl w:val="true"/>
          <w:lang w:bidi="fa-IR"/>
        </w:rPr>
        <w:t>مجاری</w:t>
      </w:r>
    </w:p>
    <w:p>
      <w:pPr>
        <w:pStyle w:val="BookText"/>
        <w:rPr/>
      </w:pPr>
      <w:r>
        <w:rPr>
          <w:rFonts w:ascii="IRNazanin" w:hAnsi="IRNazanin" w:eastAsia="IRNazanin"/>
          <w:color w:val="111111"/>
          <w:sz w:val="28"/>
          <w:sz w:val="28"/>
          <w:szCs w:val="28"/>
          <w:rtl w:val="true"/>
          <w:lang w:bidi="fa-IR"/>
        </w:rPr>
        <w:t>معرفتی</w:t>
      </w:r>
    </w:p>
    <w:p>
      <w:pPr>
        <w:pStyle w:val="BookText"/>
        <w:rPr/>
      </w:pPr>
      <w:r>
        <w:rPr>
          <w:rFonts w:ascii="IRNazanin" w:hAnsi="IRNazanin" w:eastAsia="IRNazanin"/>
          <w:color w:val="111111"/>
          <w:sz w:val="28"/>
          <w:sz w:val="28"/>
          <w:szCs w:val="28"/>
          <w:rtl w:val="true"/>
          <w:lang w:bidi="fa-IR"/>
        </w:rPr>
        <w:t>طور</w:t>
      </w:r>
    </w:p>
    <w:p>
      <w:pPr>
        <w:pStyle w:val="BookText"/>
        <w:rPr/>
      </w:pPr>
      <w:r>
        <w:rPr>
          <w:rFonts w:ascii="IRNazanin" w:hAnsi="IRNazanin" w:eastAsia="IRNazanin"/>
          <w:color w:val="111111"/>
          <w:sz w:val="28"/>
          <w:sz w:val="28"/>
          <w:szCs w:val="28"/>
          <w:rtl w:val="true"/>
          <w:lang w:bidi="fa-IR"/>
        </w:rPr>
        <w:t>افاضی</w:t>
      </w:r>
    </w:p>
    <w:p>
      <w:pPr>
        <w:pStyle w:val="BookText"/>
        <w:rPr/>
      </w:pPr>
      <w:r>
        <w:rPr>
          <w:rFonts w:ascii="Amiri" w:hAnsi="Amiri" w:eastAsia="Amiri" w:cs="Amiri"/>
          <w:color w:val="111111"/>
          <w:sz w:val="28"/>
          <w:sz w:val="28"/>
          <w:szCs w:val="28"/>
          <w:rtl w:val="true"/>
          <w:lang w:bidi="ar-SA"/>
        </w:rPr>
        <w:t>مهبِط</w:t>
      </w:r>
    </w:p>
    <w:p>
      <w:pPr>
        <w:pStyle w:val="BookText"/>
        <w:rPr/>
      </w:pPr>
      <w:r>
        <w:rPr>
          <w:rFonts w:ascii="IRNazanin" w:hAnsi="IRNazanin" w:eastAsia="IRNazanin"/>
          <w:color w:val="111111"/>
          <w:sz w:val="28"/>
          <w:sz w:val="28"/>
          <w:szCs w:val="28"/>
          <w:rtl w:val="true"/>
          <w:lang w:bidi="fa-IR"/>
        </w:rPr>
        <w:t>صورت</w:t>
      </w:r>
    </w:p>
    <w:p>
      <w:pPr>
        <w:pStyle w:val="BookText"/>
        <w:rPr/>
      </w:pPr>
      <w:r>
        <w:rPr>
          <w:rFonts w:ascii="Amiri" w:hAnsi="Amiri" w:eastAsia="Amiri" w:cs="Amiri"/>
          <w:color w:val="111111"/>
          <w:sz w:val="28"/>
          <w:sz w:val="28"/>
          <w:szCs w:val="28"/>
          <w:rtl w:val="true"/>
          <w:lang w:bidi="ar-SA"/>
        </w:rPr>
        <w:t>مُفاضه</w:t>
      </w:r>
    </w:p>
    <w:p>
      <w:pPr>
        <w:pStyle w:val="BookText"/>
        <w:rPr/>
      </w:pPr>
      <w:r>
        <w:rPr>
          <w:rFonts w:ascii="IRNazanin" w:hAnsi="IRNazanin" w:eastAsia="IRNazanin"/>
          <w:color w:val="111111"/>
          <w:sz w:val="28"/>
          <w:sz w:val="28"/>
          <w:szCs w:val="28"/>
          <w:rtl w:val="true"/>
          <w:lang w:bidi="fa-IR"/>
        </w:rPr>
        <w:t>برایند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w:t>
      </w:r>
    </w:p>
    <w:p>
      <w:pPr>
        <w:pStyle w:val="BookText"/>
        <w:rPr/>
      </w:pPr>
      <w:r>
        <w:rPr>
          <w:rFonts w:ascii="IRNazanin" w:hAnsi="IRNazanin" w:eastAsia="IRNazanin"/>
          <w:color w:val="111111"/>
          <w:sz w:val="28"/>
          <w:sz w:val="28"/>
          <w:szCs w:val="28"/>
          <w:rtl w:val="true"/>
          <w:lang w:bidi="fa-IR"/>
        </w:rPr>
        <w:t>حکمی</w:t>
      </w:r>
    </w:p>
    <w:p>
      <w:pPr>
        <w:pStyle w:val="BookText"/>
        <w:rPr/>
      </w:pPr>
      <w:r>
        <w:rPr>
          <w:rFonts w:ascii="IRNazanin" w:hAnsi="IRNazanin" w:eastAsia="IRNazanin"/>
          <w:color w:val="111111"/>
          <w:sz w:val="28"/>
          <w:sz w:val="28"/>
          <w:szCs w:val="28"/>
          <w:rtl w:val="true"/>
          <w:lang w:bidi="fa-IR"/>
        </w:rPr>
        <w:t>طریق</w:t>
      </w:r>
    </w:p>
    <w:p>
      <w:pPr>
        <w:pStyle w:val="BookText"/>
        <w:rPr/>
      </w:pPr>
      <w:r>
        <w:rPr>
          <w:rFonts w:ascii="IRNazanin" w:hAnsi="IRNazanin" w:eastAsia="IRNazanin"/>
          <w:color w:val="111111"/>
          <w:sz w:val="28"/>
          <w:sz w:val="28"/>
          <w:szCs w:val="28"/>
          <w:rtl w:val="true"/>
          <w:lang w:bidi="fa-IR"/>
        </w:rPr>
        <w:t>فطری</w:t>
      </w:r>
    </w:p>
    <w:p>
      <w:pPr>
        <w:pStyle w:val="BookText"/>
        <w:rPr/>
      </w:pPr>
      <w:r>
        <w:rPr>
          <w:rFonts w:ascii="IRNazanin" w:hAnsi="IRNazanin" w:eastAsia="IRNazanin"/>
          <w:color w:val="111111"/>
          <w:sz w:val="28"/>
          <w:sz w:val="28"/>
          <w:szCs w:val="28"/>
          <w:rtl w:val="true"/>
          <w:lang w:bidi="fa-IR"/>
        </w:rPr>
        <w:t>ارشاد</w:t>
      </w:r>
    </w:p>
    <w:p>
      <w:pPr>
        <w:pStyle w:val="BookText"/>
        <w:rPr/>
      </w:pPr>
      <w:r>
        <w:rPr>
          <w:rFonts w:ascii="IRNazanin" w:hAnsi="IRNazanin" w:eastAsia="IRNazanin"/>
          <w:color w:val="111111"/>
          <w:sz w:val="28"/>
          <w:sz w:val="28"/>
          <w:szCs w:val="28"/>
          <w:rtl w:val="true"/>
          <w:lang w:bidi="fa-IR"/>
        </w:rPr>
        <w:t>وجودی</w:t>
      </w:r>
    </w:p>
    <w:p>
      <w:pPr>
        <w:pStyle w:val="BookText"/>
        <w:rPr/>
      </w:pPr>
      <w:r>
        <w:rPr>
          <w:rFonts w:ascii="IRNazanin" w:hAnsi="IRNazanin" w:eastAsia="IRNazanin"/>
          <w:color w:val="111111"/>
          <w:sz w:val="28"/>
          <w:sz w:val="28"/>
          <w:szCs w:val="28"/>
          <w:rtl w:val="true"/>
          <w:lang w:bidi="fa-IR"/>
        </w:rPr>
        <w:t>وجود</w:t>
      </w:r>
    </w:p>
    <w:p>
      <w:pPr>
        <w:pStyle w:val="BookText"/>
        <w:rPr/>
      </w:pPr>
      <w:r>
        <w:rPr>
          <w:rFonts w:ascii="IRNazanin" w:hAnsi="IRNazanin" w:eastAsia="IRNazanin"/>
          <w:color w:val="111111"/>
          <w:sz w:val="28"/>
          <w:sz w:val="28"/>
          <w:szCs w:val="28"/>
          <w:rtl w:val="true"/>
          <w:lang w:bidi="fa-IR"/>
        </w:rPr>
        <w:t>آدمی</w:t>
      </w:r>
    </w:p>
    <w:p>
      <w:pPr>
        <w:pStyle w:val="BookText"/>
        <w:rPr/>
      </w:pPr>
      <w:r>
        <w:rPr>
          <w:rFonts w:ascii="IRNazanin" w:hAnsi="IRNazanin" w:eastAsia="IRNazanin"/>
          <w:color w:val="111111"/>
          <w:sz w:val="28"/>
          <w:sz w:val="28"/>
          <w:szCs w:val="28"/>
          <w:rtl w:val="true"/>
          <w:lang w:bidi="fa-IR"/>
        </w:rPr>
        <w:t>ادراکات،</w:t>
      </w:r>
    </w:p>
    <w:p>
      <w:pPr>
        <w:pStyle w:val="BookText"/>
        <w:rPr/>
      </w:pPr>
      <w:r>
        <w:rPr>
          <w:rFonts w:ascii="IRNazanin" w:hAnsi="IRNazanin" w:eastAsia="IRNazanin"/>
          <w:color w:val="111111"/>
          <w:sz w:val="28"/>
          <w:sz w:val="28"/>
          <w:szCs w:val="28"/>
          <w:rtl w:val="true"/>
          <w:lang w:bidi="fa-IR"/>
        </w:rPr>
        <w:t>احساسات وافعال فطری</w:t>
      </w:r>
    </w:p>
    <w:p>
      <w:pPr>
        <w:pStyle w:val="BookText"/>
        <w:rPr/>
      </w:pPr>
      <w:r>
        <w:rPr>
          <w:rFonts w:ascii="IRNazanin" w:hAnsi="IRNazanin" w:eastAsia="IRNazanin"/>
          <w:color w:val="111111"/>
          <w:sz w:val="28"/>
          <w:sz w:val="28"/>
          <w:szCs w:val="28"/>
          <w:rtl w:val="true"/>
          <w:lang w:bidi="fa-IR"/>
        </w:rPr>
        <w:t>حکمت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فطری </w:t>
      </w:r>
    </w:p>
    <w:p>
      <w:pPr>
        <w:pStyle w:val="BookText"/>
        <w:rPr/>
      </w:pPr>
      <w:r>
        <w:rPr>
          <w:rFonts w:ascii="IRNazanin" w:hAnsi="IRNazanin" w:eastAsia="IRNazanin"/>
          <w:color w:val="111111"/>
          <w:sz w:val="28"/>
          <w:sz w:val="28"/>
          <w:szCs w:val="28"/>
          <w:rtl w:val="true"/>
          <w:lang w:bidi="fa-IR"/>
        </w:rPr>
        <w:t>طریق</w:t>
      </w:r>
    </w:p>
    <w:p>
      <w:pPr>
        <w:pStyle w:val="BookText"/>
        <w:rPr/>
      </w:pPr>
      <w:r>
        <w:rPr>
          <w:rFonts w:ascii="IRNazanin" w:hAnsi="IRNazanin" w:eastAsia="IRNazanin"/>
          <w:color w:val="111111"/>
          <w:sz w:val="28"/>
          <w:sz w:val="28"/>
          <w:szCs w:val="28"/>
          <w:rtl w:val="true"/>
          <w:lang w:bidi="fa-IR"/>
        </w:rPr>
        <w:t>عقلی</w:t>
      </w:r>
    </w:p>
    <w:p>
      <w:pPr>
        <w:pStyle w:val="BookText"/>
        <w:rPr/>
      </w:pPr>
      <w:r>
        <w:rPr>
          <w:rFonts w:ascii="IRNazanin" w:hAnsi="IRNazanin" w:eastAsia="IRNazanin"/>
          <w:color w:val="111111"/>
          <w:sz w:val="28"/>
          <w:sz w:val="28"/>
          <w:szCs w:val="28"/>
          <w:rtl w:val="true"/>
          <w:lang w:bidi="fa-IR"/>
        </w:rPr>
        <w:t>ارشاد</w:t>
      </w:r>
    </w:p>
    <w:p>
      <w:pPr>
        <w:pStyle w:val="BookText"/>
        <w:rPr/>
      </w:pPr>
      <w:r>
        <w:rPr>
          <w:rFonts w:ascii="IRNazanin" w:hAnsi="IRNazanin" w:eastAsia="IRNazanin"/>
          <w:color w:val="111111"/>
          <w:sz w:val="28"/>
          <w:sz w:val="28"/>
          <w:szCs w:val="28"/>
          <w:rtl w:val="true"/>
          <w:lang w:bidi="fa-IR"/>
        </w:rPr>
        <w:t>عقلی</w:t>
      </w:r>
    </w:p>
    <w:p>
      <w:pPr>
        <w:pStyle w:val="BookText"/>
        <w:rPr/>
      </w:pPr>
      <w:r>
        <w:rPr>
          <w:rFonts w:ascii="IRNazanin" w:hAnsi="IRNazanin" w:eastAsia="IRNazanin"/>
          <w:color w:val="111111"/>
          <w:sz w:val="28"/>
          <w:sz w:val="28"/>
          <w:szCs w:val="28"/>
          <w:rtl w:val="true"/>
          <w:lang w:bidi="fa-IR"/>
        </w:rPr>
        <w:t>عقول</w:t>
      </w:r>
    </w:p>
    <w:p>
      <w:pPr>
        <w:pStyle w:val="BookText"/>
        <w:rPr/>
      </w:pPr>
      <w:r>
        <w:rPr>
          <w:rFonts w:ascii="IRNazanin" w:hAnsi="IRNazanin" w:eastAsia="IRNazanin"/>
          <w:color w:val="111111"/>
          <w:sz w:val="28"/>
          <w:sz w:val="28"/>
          <w:szCs w:val="28"/>
          <w:rtl w:val="true"/>
          <w:lang w:bidi="fa-IR"/>
        </w:rPr>
        <w:t>انسان‌ها</w:t>
      </w:r>
    </w:p>
    <w:p>
      <w:pPr>
        <w:pStyle w:val="BookText"/>
        <w:rPr/>
      </w:pPr>
      <w:r>
        <w:rPr>
          <w:rFonts w:ascii="IRNazanin" w:hAnsi="IRNazanin" w:eastAsia="IRNazanin"/>
          <w:color w:val="111111"/>
          <w:sz w:val="28"/>
          <w:sz w:val="28"/>
          <w:szCs w:val="28"/>
          <w:rtl w:val="true"/>
          <w:lang w:bidi="fa-IR"/>
        </w:rPr>
        <w:t>ادراکات و</w:t>
      </w:r>
    </w:p>
    <w:p>
      <w:pPr>
        <w:pStyle w:val="BookText"/>
        <w:rPr/>
      </w:pPr>
      <w:r>
        <w:rPr>
          <w:rFonts w:ascii="IRNazanin" w:hAnsi="IRNazanin" w:eastAsia="IRNazanin"/>
          <w:color w:val="111111"/>
          <w:sz w:val="28"/>
          <w:sz w:val="28"/>
          <w:szCs w:val="28"/>
          <w:rtl w:val="true"/>
          <w:lang w:bidi="fa-IR"/>
        </w:rPr>
        <w:t>احساسات عقلی</w:t>
      </w:r>
    </w:p>
    <w:p>
      <w:pPr>
        <w:pStyle w:val="BookText"/>
        <w:rPr/>
      </w:pPr>
      <w:r>
        <w:rPr>
          <w:rFonts w:ascii="IRNazanin" w:hAnsi="IRNazanin" w:eastAsia="IRNazanin"/>
          <w:color w:val="111111"/>
          <w:sz w:val="28"/>
          <w:sz w:val="28"/>
          <w:szCs w:val="28"/>
          <w:rtl w:val="true"/>
          <w:lang w:bidi="fa-IR"/>
        </w:rPr>
        <w:t>حکمت</w:t>
      </w:r>
    </w:p>
    <w:p>
      <w:pPr>
        <w:pStyle w:val="BookText"/>
        <w:rPr/>
      </w:pPr>
      <w:r>
        <w:rPr>
          <w:rFonts w:ascii="IRNazanin" w:hAnsi="IRNazanin" w:eastAsia="IRNazanin"/>
          <w:color w:val="111111"/>
          <w:sz w:val="28"/>
          <w:sz w:val="28"/>
          <w:szCs w:val="28"/>
          <w:rtl w:val="true"/>
          <w:lang w:bidi="fa-IR"/>
        </w:rPr>
        <w:t>عقلی</w:t>
      </w:r>
    </w:p>
    <w:p>
      <w:pPr>
        <w:pStyle w:val="BookText"/>
        <w:rPr/>
      </w:pPr>
      <w:r>
        <w:rPr>
          <w:rFonts w:ascii="IRNazanin" w:hAnsi="IRNazanin" w:eastAsia="IRNazanin"/>
          <w:color w:val="111111"/>
          <w:sz w:val="28"/>
          <w:sz w:val="28"/>
          <w:szCs w:val="28"/>
          <w:rtl w:val="true"/>
          <w:lang w:bidi="fa-IR"/>
        </w:rPr>
        <w:t>طریق</w:t>
      </w:r>
    </w:p>
    <w:p>
      <w:pPr>
        <w:pStyle w:val="BookText"/>
        <w:rPr/>
      </w:pPr>
      <w:r>
        <w:rPr>
          <w:rFonts w:ascii="IRNazanin" w:hAnsi="IRNazanin" w:eastAsia="IRNazanin"/>
          <w:color w:val="111111"/>
          <w:sz w:val="28"/>
          <w:sz w:val="28"/>
          <w:szCs w:val="28"/>
          <w:rtl w:val="true"/>
          <w:lang w:bidi="fa-IR"/>
        </w:rPr>
        <w:t>شهودی</w:t>
      </w:r>
    </w:p>
    <w:p>
      <w:pPr>
        <w:pStyle w:val="BookText"/>
        <w:rPr/>
      </w:pPr>
      <w:r>
        <w:rPr>
          <w:rFonts w:ascii="Amiri" w:hAnsi="Amiri" w:eastAsia="Amiri" w:cs="Amiri"/>
          <w:color w:val="111111"/>
          <w:sz w:val="28"/>
          <w:sz w:val="28"/>
          <w:szCs w:val="28"/>
          <w:rtl w:val="true"/>
          <w:lang w:bidi="ar-SA"/>
        </w:rPr>
        <w:t>اِشهاد</w:t>
      </w:r>
    </w:p>
    <w:p>
      <w:pPr>
        <w:pStyle w:val="BookText"/>
        <w:rPr/>
      </w:pPr>
      <w:r>
        <w:rPr>
          <w:rFonts w:ascii="IRNazanin" w:hAnsi="IRNazanin" w:eastAsia="IRNazanin"/>
          <w:color w:val="111111"/>
          <w:sz w:val="28"/>
          <w:sz w:val="28"/>
          <w:szCs w:val="28"/>
          <w:rtl w:val="true"/>
          <w:lang w:bidi="fa-IR"/>
        </w:rPr>
        <w:t>باطنی</w:t>
      </w:r>
    </w:p>
    <w:p>
      <w:pPr>
        <w:pStyle w:val="BookText"/>
        <w:rPr/>
      </w:pPr>
      <w:r>
        <w:rPr>
          <w:rFonts w:ascii="IRNazanin" w:hAnsi="IRNazanin" w:eastAsia="IRNazanin"/>
          <w:color w:val="111111"/>
          <w:sz w:val="28"/>
          <w:sz w:val="28"/>
          <w:szCs w:val="28"/>
          <w:rtl w:val="true"/>
          <w:lang w:bidi="fa-IR"/>
        </w:rPr>
        <w:t>قلوب</w:t>
      </w:r>
    </w:p>
    <w:p>
      <w:pPr>
        <w:pStyle w:val="BookText"/>
        <w:rPr/>
      </w:pPr>
      <w:r>
        <w:rPr>
          <w:rFonts w:ascii="IRNazanin" w:hAnsi="IRNazanin" w:eastAsia="IRNazanin"/>
          <w:color w:val="111111"/>
          <w:sz w:val="28"/>
          <w:sz w:val="28"/>
          <w:szCs w:val="28"/>
          <w:rtl w:val="true"/>
          <w:lang w:bidi="fa-IR"/>
        </w:rPr>
        <w:t>انسان‌ها</w:t>
      </w:r>
    </w:p>
    <w:p>
      <w:pPr>
        <w:pStyle w:val="BookText"/>
        <w:rPr/>
      </w:pPr>
      <w:r>
        <w:rPr>
          <w:rFonts w:ascii="IRNazanin" w:hAnsi="IRNazanin" w:eastAsia="IRNazanin"/>
          <w:color w:val="111111"/>
          <w:sz w:val="28"/>
          <w:sz w:val="28"/>
          <w:szCs w:val="28"/>
          <w:rtl w:val="true"/>
          <w:lang w:bidi="fa-IR"/>
        </w:rPr>
        <w:t>معارف</w:t>
      </w:r>
    </w:p>
    <w:p>
      <w:pPr>
        <w:pStyle w:val="BookText"/>
        <w:rPr/>
      </w:pPr>
      <w:r>
        <w:rPr>
          <w:rFonts w:ascii="IRNazanin" w:hAnsi="IRNazanin" w:eastAsia="IRNazanin"/>
          <w:color w:val="111111"/>
          <w:sz w:val="28"/>
          <w:sz w:val="28"/>
          <w:szCs w:val="28"/>
          <w:rtl w:val="true"/>
          <w:lang w:bidi="fa-IR"/>
        </w:rPr>
        <w:t>شهودی</w:t>
      </w:r>
    </w:p>
    <w:p>
      <w:pPr>
        <w:pStyle w:val="BookText"/>
        <w:rPr/>
      </w:pPr>
      <w:r>
        <w:rPr>
          <w:rFonts w:ascii="IRNazanin" w:hAnsi="IRNazanin" w:eastAsia="IRNazanin"/>
          <w:color w:val="111111"/>
          <w:sz w:val="28"/>
          <w:sz w:val="28"/>
          <w:szCs w:val="28"/>
          <w:rtl w:val="true"/>
          <w:lang w:bidi="fa-IR"/>
        </w:rPr>
        <w:t>حکمت</w:t>
      </w:r>
    </w:p>
    <w:p>
      <w:pPr>
        <w:pStyle w:val="BookText"/>
        <w:rPr/>
      </w:pPr>
      <w:r>
        <w:rPr>
          <w:rFonts w:ascii="IRNazanin" w:hAnsi="IRNazanin" w:eastAsia="IRNazanin"/>
          <w:color w:val="111111"/>
          <w:sz w:val="28"/>
          <w:sz w:val="28"/>
          <w:szCs w:val="28"/>
          <w:rtl w:val="true"/>
          <w:lang w:bidi="fa-IR"/>
        </w:rPr>
        <w:t>ذوقی</w:t>
      </w:r>
    </w:p>
    <w:p>
      <w:pPr>
        <w:pStyle w:val="BookText"/>
        <w:rPr/>
      </w:pPr>
      <w:r>
        <w:rPr>
          <w:rFonts w:ascii="IRNazanin" w:hAnsi="IRNazanin" w:eastAsia="IRNazanin"/>
          <w:color w:val="111111"/>
          <w:sz w:val="28"/>
          <w:sz w:val="28"/>
          <w:szCs w:val="28"/>
          <w:rtl w:val="true"/>
          <w:lang w:bidi="fa-IR"/>
        </w:rPr>
        <w:t>طریق</w:t>
      </w:r>
    </w:p>
    <w:p>
      <w:pPr>
        <w:pStyle w:val="BookText"/>
        <w:rPr/>
      </w:pPr>
      <w:r>
        <w:rPr>
          <w:rFonts w:ascii="IRNazanin" w:hAnsi="IRNazanin" w:eastAsia="IRNazanin"/>
          <w:color w:val="111111"/>
          <w:sz w:val="28"/>
          <w:sz w:val="28"/>
          <w:szCs w:val="28"/>
          <w:rtl w:val="true"/>
          <w:lang w:bidi="fa-IR"/>
        </w:rPr>
        <w:t>وحیانی</w:t>
      </w:r>
    </w:p>
    <w:p>
      <w:pPr>
        <w:pStyle w:val="BookText"/>
        <w:rPr/>
      </w:pPr>
      <w:r>
        <w:rPr>
          <w:rFonts w:ascii="IRNazanin" w:hAnsi="IRNazanin" w:eastAsia="IRNazanin"/>
          <w:color w:val="111111"/>
          <w:sz w:val="28"/>
          <w:sz w:val="28"/>
          <w:szCs w:val="28"/>
          <w:rtl w:val="true"/>
          <w:lang w:bidi="fa-IR"/>
        </w:rPr>
        <w:t>ایحاء</w:t>
      </w:r>
    </w:p>
    <w:p>
      <w:pPr>
        <w:pStyle w:val="BookText"/>
        <w:rPr/>
      </w:pP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صاحب شریعت</w:t>
      </w:r>
    </w:p>
    <w:p>
      <w:pPr>
        <w:pStyle w:val="BookText"/>
        <w:rPr/>
      </w:pPr>
      <w:r>
        <w:rPr>
          <w:rFonts w:ascii="IRNazanin" w:hAnsi="IRNazanin" w:eastAsia="IRNazanin"/>
          <w:color w:val="111111"/>
          <w:sz w:val="28"/>
          <w:sz w:val="28"/>
          <w:szCs w:val="28"/>
          <w:rtl w:val="true"/>
          <w:lang w:bidi="fa-IR"/>
        </w:rPr>
        <w:t>کلام</w:t>
      </w:r>
    </w:p>
    <w:p>
      <w:pPr>
        <w:pStyle w:val="BookText"/>
        <w:rPr/>
      </w:pPr>
      <w:r>
        <w:rPr>
          <w:rFonts w:ascii="IRNazanin" w:hAnsi="IRNazanin" w:eastAsia="IRNazanin"/>
          <w:color w:val="111111"/>
          <w:sz w:val="28"/>
          <w:sz w:val="28"/>
          <w:szCs w:val="28"/>
          <w:rtl w:val="true"/>
          <w:lang w:bidi="fa-IR"/>
        </w:rPr>
        <w:t>وحیانی</w:t>
      </w:r>
    </w:p>
    <w:p>
      <w:pPr>
        <w:pStyle w:val="BookText"/>
        <w:rPr/>
      </w:pPr>
      <w:r>
        <w:rPr>
          <w:rFonts w:ascii="IRNazanin" w:hAnsi="IRNazanin" w:eastAsia="IRNazanin"/>
          <w:color w:val="111111"/>
          <w:sz w:val="28"/>
          <w:sz w:val="28"/>
          <w:szCs w:val="28"/>
          <w:rtl w:val="true"/>
          <w:lang w:bidi="fa-IR"/>
        </w:rPr>
        <w:t>حکمت</w:t>
      </w:r>
    </w:p>
    <w:p>
      <w:pPr>
        <w:pStyle w:val="BookText"/>
        <w:rPr/>
      </w:pPr>
      <w:r>
        <w:rPr>
          <w:rFonts w:ascii="IRNazanin" w:hAnsi="IRNazanin" w:eastAsia="IRNazanin"/>
          <w:color w:val="111111"/>
          <w:sz w:val="28"/>
          <w:sz w:val="28"/>
          <w:szCs w:val="28"/>
          <w:rtl w:val="true"/>
          <w:lang w:bidi="fa-IR"/>
        </w:rPr>
        <w:t>نقلی</w:t>
      </w:r>
    </w:p>
    <w:p>
      <w:pPr>
        <w:pStyle w:val="BookText"/>
        <w:rPr/>
      </w:pPr>
      <w:r>
        <w:rPr>
          <w:rFonts w:ascii="IRNazanin" w:hAnsi="IRNazanin" w:eastAsia="IRNazanin"/>
          <w:color w:val="111111"/>
          <w:sz w:val="28"/>
          <w:sz w:val="28"/>
          <w:szCs w:val="28"/>
          <w:rtl w:val="true"/>
          <w:lang w:bidi="fa-IR"/>
        </w:rPr>
        <w:t>طریق</w:t>
      </w:r>
    </w:p>
    <w:p>
      <w:pPr>
        <w:pStyle w:val="BookText"/>
        <w:rPr/>
      </w:pPr>
      <w:r>
        <w:rPr>
          <w:rFonts w:ascii="IRNazanin" w:hAnsi="IRNazanin" w:eastAsia="IRNazanin"/>
          <w:color w:val="111111"/>
          <w:sz w:val="28"/>
          <w:sz w:val="28"/>
          <w:szCs w:val="28"/>
          <w:rtl w:val="true"/>
          <w:lang w:bidi="fa-IR"/>
        </w:rPr>
        <w:t>وحیانی</w:t>
      </w:r>
    </w:p>
    <w:p>
      <w:pPr>
        <w:pStyle w:val="BookText"/>
        <w:rPr/>
      </w:pPr>
      <w:r>
        <w:rPr>
          <w:rFonts w:ascii="Amiri" w:hAnsi="Amiri" w:eastAsia="Amiri" w:cs="Amiri"/>
          <w:color w:val="111111"/>
          <w:sz w:val="28"/>
          <w:sz w:val="28"/>
          <w:szCs w:val="28"/>
          <w:rtl w:val="true"/>
          <w:lang w:bidi="ar-SA"/>
        </w:rPr>
        <w:t>اِنباء</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معصوم</w:t>
      </w:r>
    </w:p>
    <w:p>
      <w:pPr>
        <w:pStyle w:val="BookText"/>
        <w:rPr/>
      </w:pPr>
      <w:r>
        <w:rPr>
          <w:rFonts w:ascii="IRNazanin" w:hAnsi="IRNazanin" w:eastAsia="IRNazanin"/>
          <w:color w:val="111111"/>
          <w:sz w:val="28"/>
          <w:sz w:val="28"/>
          <w:szCs w:val="28"/>
          <w:rtl w:val="true"/>
          <w:lang w:bidi="fa-IR"/>
        </w:rPr>
        <w:t>سنت</w:t>
      </w:r>
    </w:p>
    <w:p>
      <w:pPr>
        <w:pStyle w:val="BookText"/>
        <w:rPr/>
      </w:pPr>
      <w:r>
        <w:rPr>
          <w:rFonts w:ascii="IRNazanin" w:hAnsi="IRNazanin" w:eastAsia="IRNazanin"/>
          <w:color w:val="111111"/>
          <w:sz w:val="28"/>
          <w:sz w:val="28"/>
          <w:szCs w:val="28"/>
          <w:rtl w:val="true"/>
          <w:lang w:bidi="fa-IR"/>
        </w:rPr>
        <w:t>معصوم</w:t>
      </w:r>
    </w:p>
    <w:p>
      <w:pPr>
        <w:pStyle w:val="BookText"/>
        <w:rPr/>
      </w:pPr>
      <w:r>
        <w:rPr>
          <w:rFonts w:ascii="IRNazanin" w:hAnsi="IRNazanin" w:eastAsia="IRNazanin"/>
          <w:color w:val="111111"/>
          <w:sz w:val="28"/>
          <w:sz w:val="28"/>
          <w:szCs w:val="28"/>
          <w:rtl w:val="true"/>
          <w:lang w:bidi="fa-IR"/>
        </w:rPr>
        <w:t>حکمت</w:t>
      </w:r>
    </w:p>
    <w:p>
      <w:pPr>
        <w:pStyle w:val="BookText"/>
        <w:rPr/>
      </w:pPr>
      <w:r>
        <w:rPr>
          <w:rFonts w:ascii="IRNazanin" w:hAnsi="IRNazanin" w:eastAsia="IRNazanin"/>
          <w:color w:val="111111"/>
          <w:sz w:val="28"/>
          <w:sz w:val="28"/>
          <w:szCs w:val="28"/>
          <w:rtl w:val="true"/>
          <w:lang w:bidi="fa-IR"/>
        </w:rPr>
        <w:t>نقلی</w:t>
      </w:r>
    </w:p>
    <w:p>
      <w:pPr>
        <w:pStyle w:val="BookText"/>
        <w:rPr/>
      </w:pPr>
      <w:r>
        <w:rPr>
          <w:rFonts w:ascii="IRNazanin" w:hAnsi="IRNazanin" w:eastAsia="IRNazanin"/>
          <w:color w:val="111111"/>
          <w:sz w:val="28"/>
          <w:sz w:val="28"/>
          <w:szCs w:val="28"/>
          <w:rtl w:val="true"/>
          <w:lang w:bidi="fa-IR"/>
        </w:rPr>
        <w:t xml:space="preserve">چنان‌که ملاحظه می‌شود همه‌ی مجاری،از مراحل و فرایندموازیِ کمابیش مشابهی برخوردارند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ربوبی،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افاضی،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مهبِط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ساحت بشری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مُفاضه،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سیرفرایند طولی افاضه‌ی معرفت از سپهر ربوبی به ساحت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نشئه‌ی مادی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قهراًباعوامل عرضی دخیل در تکون معرفت،سر و کار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اطراف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معرفت را تشکیل می‌دهد و برای دستیابی به آگاهی قدسی که معرفت صائب است، باید این عوامل به‌درستی مدیریت شوند؛ والا معرفت حقیقی و حقیق فراچنگ انسان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به اقتضای محدود و مشروط‌بودن وجود انسان، همه‌ی داشته‌های او ازجمله معرفتش محدود و مشروط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توجه داریم که محدود و مشروط‌بودن ملازم با خطابودن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توضیح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معرفت درساحت انسانی، در روند تعامل اضلاع اربعه‌ی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وپیراشناخت‌ها که خود به دودسته‌ی شناخت یا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تجربه و مشاهده نیز در زمره‌ی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وشناخت‌شکن‌ها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می‌شوند،تحقق پیدامی‌کند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مجموعه‌ی اضلاع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فرایند افقی ساخت </w:t>
      </w:r>
    </w:p>
    <w:p>
      <w:pPr>
        <w:pStyle w:val="BookText"/>
        <w:rPr/>
      </w:pP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به‌صورت زیر نمودار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شرح بندهای زیر می‌توان توضیح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خصائل ذاتی نوعی موثر بر سطح و سعه‌ی معرفت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به‌مثابه رکن قابل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انسان‌ها ظرفیت و وضعیت واحدی ندارند، بلکه هرکدام از آحاد انسانی دارای خصائص شخصی سلبی و ایجابی گوناگونی هستند و این خصائص کمابیش بر فرایند تکون معرفت آنان تأثیر می‌گذارند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اموری که متعلق معرفت قرار می‌گیرند نیز همگی دارای سرشت و صفات‌یکسانی نیستند؛ از این‌رو، عناصر متعلق شناسا، در نوع و نحوه، حد و حیث تعلق معرفت، و شناخت‌پذیری و شناخت‌ناپذیری، دیریابی و زودیابی، نمی‌توانند به یک اندازه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دو رکن شناختگر و شناخته که بازیگران اصلی و رکنی فرایند تکون معرفت </w:t>
      </w:r>
    </w:p>
    <w:p>
      <w:pPr>
        <w:pStyle w:val="BookText"/>
        <w:rPr/>
      </w:pP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یکی فعال و دیگری منفعل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پیراشناخت‌ها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به‌صورت ایجابی و سلبی، در فرایند ساخت معرفت، نقش‌آفرین هستند؛ بنابر این، معرفت، در فرایند 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و دادوستد چندسویه‌ی اضلاع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عوامل و عناصر عرضی مؤثر در تکون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حس در زمره‌ی معدات به شمار می‌رود، اما در فرایند 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افقی، خاصه در قلمروی علوم مربوط به نشئه‌ی مادی، کاربست ابزارهای حسی از جایگاه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نظرگاه قرآن، استفاده از حواس، به‌ویژه مشاهده، حتا در حوزه‌ی معارف دینی، از نوعی حجیت برخوردار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فرض‌های متنوعی که از ترکیب‌های محتمل و قابل تحقق میان مؤلفه‌ها و عناصر هر یک از اضلاع اربعه‌ی فرایند عرضی تکون معرفت، با دیگری پدید می‌آید، برایندِ فرایندِ تکون معرفت می‌تواند یکی از وضعیت‌های چهارگانه‌ی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تبعُّد از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ورطه‌ی انحراف از واقع افتادن و دورشدن از وضعیت اولیه‌ای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شناختگر قبلاً در آن قرار داشت؛ زیرا وقتی به جای واقع، ناواقع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بنشیند، آدمی با جهل ساده فاصله گرفته، از واقع دورتر گشته،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تحجُّب از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بر جهل ساده‌ی نخستینه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حصول دریافت‌های نارس و ناقص از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هرچند واقع، کما هو، فراچنگ انسان نیافتاده است، اما او به واقع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به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حصول معرفت صائب به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مفصل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 واقع‌گرای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حاجتمند بحث و تبیین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تفصیل، بلکه تکمیل این نظریه، دست‌کم توضیحاتی به‌شرح زیر را می‌طلبد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کلمات و ترکیب‌های کلیدی به کار رفته در متن نظریه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اقامه‌ی ادله‌ی عقلی و نقلی لازم و ارائه‌ی شواهد و امثله‌ی کافی برای محورها و مدعیات اصلی نظریه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تعادل و تراجیح مجاری معرفت با یکدیگر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 و استقصای تفصیلی عناصر و اجزای هریک از اضلاع سه یا چهارگانه‌ی فرایند افقی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تشریح کارکردهای سلبی و ایجابی هریک از اضلاع فرایند افقی و عناصر مرتبط به هر یک از آنها، در فرایند تکون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نسبت و مناسبات‌اضلاع و احیاناً عناصر هرکدام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پیراشناخت‌ها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انواع ترکیب‌های محتملِ عوامل عرضی و وضعیت‌های چهارگانه‌ی معرفتی ممکن و متوقع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تبعّد، تحجّب، تقرّب و تعرّف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تفاوت این نظریه با نظریه‌های معرفت‌شناسی سنتی و معاصر، و دفع شائبه‌ی ناکارآمدی و نسبیت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دستاوردهای نظریه، در باب هر یک از حوزه‌های چهارگانه‌ی هندسه‌ی معرفتی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پیاوردهای نظریه در حل معضلات معرفت‌شناختی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در عنوان نظریه،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سعی موجه برای دست‌یابی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به نظر راقم، این تقریر از معرفت‌شناسی می‌تواند در تولید علم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در حوزه‌ی علوم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و اعتماد قرار گیرد، و در تولید علم دینی نمی‌توان بر معرفت‌شناسی مبناگرا ابرام ورزید؛ التزام به معرفت‌شناسی مبناگرا، که نظریه‌ی مختارِ حکمای اسلامی است، در قلمروی علوم حقیقیه‌ی محضه، محسن و ممکن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 این نظریه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فرایند 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مطرح‌شده، </w:t>
      </w:r>
      <w:bookmarkStart w:id="24" w:name="pg5923_64845"/>
    </w:p>
    <w:p>
      <w:pPr>
        <w:pStyle w:val="BookText"/>
        <w:rPr/>
      </w:pPr>
      <w:bookmarkEnd w:id="24"/>
      <w:r>
        <w:rPr>
          <w:rFonts w:ascii="IRNazanin" w:hAnsi="IRNazanin" w:eastAsia="IRNazanin"/>
          <w:color w:val="111111"/>
          <w:sz w:val="28"/>
          <w:sz w:val="28"/>
          <w:szCs w:val="28"/>
          <w:rtl w:val="true"/>
          <w:lang w:bidi="fa-IR"/>
        </w:rPr>
        <w:t xml:space="preserve">و اتصاف آن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معطوف به لوازم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تذکار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اینجا مذکور افتاد، مقدمه‌ی عام مبحث مبانی معرفت‌شناختی، از جمله کارایی و کارکردهای عقل در تولید علم دینی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خاص بحث،عبارت ازاین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آدمی به جهت کمیت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کارکردها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از حیث کیفی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کارکردهای جایگزین‌ناپذیر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که در ادامه به آنها اشاره خواهیم کرد، نقش نمایان وسهم سزاواری در تولید معرفت، معرفت دینی و از جمله علم دینی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خطیر خرد در زمینه‌ی اثبات حجیتِ دیگر مَدارک و مُدرِک‌ها،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دیگرمَدارک و مُدرِک‌ها و داده‌های هر یک از آنها، همچنین سهم عقل در مقام اجرای دستاوردهای علم دینی، از کارکردهای بی‌بدیل خرد آدمی قلمداد می‌شود، که درتقسیم ارائه‌شده ازسو‌ی بعضی از بزرگان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تصریح درخور واقع نشدهاست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Heading3"/>
        <w:numPr>
          <w:ilvl w:val="2"/>
          <w:numId w:val="1"/>
        </w:numPr>
        <w:rPr/>
      </w:pPr>
      <w:bookmarkStart w:id="25" w:name="__RefHeading___Toc5522532_581953129"/>
      <w:bookmarkStart w:id="26" w:name="_Toc9"/>
      <w:bookmarkEnd w:id="25"/>
      <w:r>
        <w:rPr/>
        <w:t>2</w:t>
      </w:r>
      <w:r>
        <w:rPr>
          <w:rtl w:val="true"/>
        </w:rPr>
        <w:t xml:space="preserve">. </w:t>
      </w:r>
      <w:r>
        <w:rPr>
          <w:rtl w:val="true"/>
        </w:rPr>
        <w:t>نقش و سهم عقل در تولید علم و تحصیل معرفت</w:t>
      </w:r>
      <w:bookmarkEnd w:id="26"/>
    </w:p>
    <w:p>
      <w:pPr>
        <w:pStyle w:val="BookText"/>
        <w:rPr/>
      </w:pPr>
      <w:r>
        <w:rPr>
          <w:rFonts w:ascii="IRNazanin" w:hAnsi="IRNazanin" w:eastAsia="IRNazanin"/>
          <w:color w:val="111111"/>
          <w:sz w:val="28"/>
          <w:sz w:val="28"/>
          <w:szCs w:val="28"/>
          <w:rtl w:val="true"/>
          <w:lang w:bidi="fa-IR"/>
        </w:rPr>
        <w:t>چون این مقال، به قصد تأکید خاص بر کارایی وکارکردهای عقل در تولید علم دینی و علی الخصوص علوم انسانی سامان گرفته، در اینجا فهرست این کارکردها راآورده، در حد میسور راجع به هر یک از موارد، اندک توضیحی نیزارائه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مساهمت گسترده در تولید فلسفه‌ی علم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فلسفه‌ی‌علم، معرفتی عقلانی‌ست، عقل منبع اصلی آن قلمداد می‌شود و عمده‌ی مباحث آن به مدد عقل تولیدمی‌شود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حتی اثبات مبدا المبادی و ام‌القضایای عقاید؛ یعنی گزاره‌ی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،وامدارعقل است و عقل است که این قضیه را اثبات می‌کند و بانقل نمی‌توان چنین قضیه‌ای را اثبات کرد؛ زیرا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چنین قضیه‌ای دستاوردهای بسیاری درهمه‌ی حوزه‌های معرفت و معیشت،ازجمله عرصه‌ی تولید علم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به‌کار بردیم،زیرادیگرمجاری معرفت نیزدرتولیدمبانی علم دینی 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موضوع علم دینی مانند همه‌ی علوم در گروی کاربرد عقل و به</w:t>
      </w:r>
    </w:p>
    <w:p>
      <w:pPr>
        <w:pStyle w:val="BookText"/>
        <w:rPr/>
      </w:pPr>
      <w:r>
        <w:rPr>
          <w:rFonts w:ascii="IRNazanin" w:hAnsi="IRNazanin" w:eastAsia="IRNazanin"/>
          <w:color w:val="111111"/>
          <w:sz w:val="28"/>
          <w:sz w:val="28"/>
          <w:szCs w:val="28"/>
          <w:rtl w:val="true"/>
          <w:lang w:bidi="fa-IR"/>
        </w:rPr>
        <w:t>عهده‌ی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فهرست کارکردها برمی‌آید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سهامدار اصلی دیگر مبادی علم دینی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اکتشاف و اثبات حجیت و اعتبار بخشی به دیگر مُدرِکات و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اگرکارکرد عقل نمی‌بود، بسا حتا راهی برای اثبات حجیت کتاب وسنت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منابع اصلی علم دینی‌اند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قضایایی که حجیت کتاب و سنت بر ساخته برآنهاست، دستاورد عقل‌اند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دیگرمُدرک‌هاومَدارک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قواعد احراز مصادیق و انواع ادله به‌طور عمده کار خرد است؛مثلاً تشخیص اینکه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است یا نه؟برعهده‌ی عقل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ادله‌ی نقلی نیز می‌توان به رد حجیت قیاس در قلمروی فهم دین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معناگری و گویانندگی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معتبردیگر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،استنطاق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شیوه‌های کاربست مدارک نقلی از خدمات معرفتی مهم خرد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سنجشگری و درستی‌آزمایی معرفت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کارکردهای عقل آن است که معرفت علمی تولید شده را موردسنجش قرار داده صواب از ناصواب و سره از ناسره را بازمی‌شناساند؛ اینکه آیاآنچه ازکتاب فهمیده‌ایم، یا از سنت دریافته‌ایم، ویاتصورمی‌کنیم مورد دلالت فطرت است، و نیزآنچه شهودش می‌انگاریم، درست است؟ از کارکردهای بنیادین و بسیارپراهمیت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نسبت به عملکرد سایر منابع و معرفت فراچنگ‌آمده ازسایرمنابع ومدارک نقش داورانه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مساهمت چشمگیر درآسیب‌شناسی فرایند تولید علم دینی و فرایند تحول وتکامل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درستی‌آزمایی شد، عقل می‌تواند علل خطاهای معرفتی را تشخیص دهد؛ البته دیگر مدارک نیز در این زمینه کارآمد‌اند، اماسهم عقل در این تشخیص افزون‌تر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آسیب‌زدایی وعلاج خطاهای واقع‌شده درمعرفت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صواب و </w:t>
      </w:r>
    </w:p>
    <w:p>
      <w:pPr>
        <w:pStyle w:val="BookText"/>
        <w:rPr/>
      </w:pPr>
      <w:r>
        <w:rPr>
          <w:rFonts w:ascii="IRNazanin" w:hAnsi="IRNazanin" w:eastAsia="IRNazanin"/>
          <w:color w:val="111111"/>
          <w:sz w:val="28"/>
          <w:sz w:val="28"/>
          <w:szCs w:val="28"/>
          <w:rtl w:val="true"/>
          <w:lang w:bidi="fa-IR"/>
        </w:rPr>
        <w:t>ناصواب باز شناخته شد، رخنه‌های فرایندتولیدعلم روشن گشت، در اندیشه‌ی آنیم که چه کنیم که دوباره خطا رخ ندهد؟ طریق جبران و علاج خطاها، از جمله بر عهده‌ی عقلاست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چاره‌جویی برای انواع تقابل‌های ممکن‌الوقوع یا واقع‌شده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مدارک و مدرک‌ها، و مدالیل آنها تقابل‌هایی متصور یا متوقع است؛ حل و رفع تقابل‌ها، از جمله بر ذمه‌ی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اختلاف میان منابع حجت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آنچه از منابع و مجاری معرفت فراچنگ آمده، ممکن است تقابل اتفاق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یافته‌ای را از یک منبع به دست بیاوریم ویافته‌ی دیگر را از منبع دیگر و این دو یافته با هم در تعارض باشند و مفروض ما این است که میان 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حجت، تقابل واقعی و ثبوتی وجود ندارد، ولی در افق معرفت اکنون با دو معرفت موجه مواجهیم؛ چگونگی رفع این تقابل کار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افق اجرا نیز اگر دو قضیه‌ی دستوری سلبی و ایجابی یا دو دستور ایجابی یا دو دستور سلبی با هم در تزاحم بیفتند، عقل می‌تواند نقش مؤثری در حل این تقابل‌ها ایفاءکند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مساهمت چشمگیر در قاعده‌سازی و ضابطه‌پردازی برای حل مسئله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نقش بی‌بدیلی در مباحث منطق علوم، با رویکردهای مختلف، ایفا می‌کند؛ هم در درک فرایند تکون آنها، هم در درک فرایند حل مسئله‌در متن هر یک از علوم، هم در روش‌گذاری و روش‌گزینی برای تولید علم مطلوب و حل مطلوب مسئله‌ی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در این سرفصل دو امر اخیر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تصور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روش‌شناسی‌های مربوط به هر علمی علی‌الاطلاق جزءفلسفه‌ی آن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با پنج مسئله مواجهیم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محقق برای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 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محقق برای حل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علم محقق،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تطور یک علم، بسا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حل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مطلوب برای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 مطلوب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مطلوب برای حل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در یک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یا روش‌های به کار رفته برای حل مسئله در یک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بخش از روش‌شناسی که صورت هستی‌شناختی و معرفت‌شناختی پیدا می‌کند، و مطالعه‌ی سرشت وخصائل وجودی و معرفتی آن قلمداد می‌شود، جزء فلسفه‌ی آن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مطلب اول و دوم از مسائل فلسفه‌ی علم است، مطلب سوم و چهارم از جنس منطق است و مطلب پنجم بر عهده‌ی تاریخ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فلسفه‌ی 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دو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فهم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هر سه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معرفت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 میان این مباحث خلط شده و همگی از مباحث فلسفه‌ی مضاف انگاشته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فلسفه غیر از منطق و هر دو جز تاریخ‌اند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اینجا مراد ماست مطلب سوم و چهارم است؛ اینکه یک علم چگونه باید تولید‌شود؟ و اینکه در درون یک علم مسئله‌های آن چگونه باید حل شوند؟ پس اینجا حداقل به دو دسته قاعده نیازمندیم که عقل از عهده‌ی تولید آنها برمی‌آید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تولیدمعظم مبانی بعیده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فراپیش‌انگاره‌ها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ونیزعمده‌ی مبانی وسیطه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پیش‌انگاره‌ها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مبانی قریبه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 دینی بالواسطه و بلاواسطه بر آنها مبتنی است، برعهده‌ی عقلاست؛ مثلاً مبانی‌یی مانند واقع‌مندی جهان، امکان فهم و کشف حقایق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روش‌مندی کشف حقایق، و مهم‌ترازهمه، مبدأ مدار بودن هستی و توحید بنیان بودن جهان که اصل الاصول معرفت دینی است، همچنین اصلِ اصیل احسن‌انگاری جهان موجود، که خودْ به افزون برده اصل تقسیم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اطلاعات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رشاد، پاییز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عقلی‌اند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مساهمت چشمگیر در تولید انواع قضایای علمی؛ ازجمله کارکردهای خرد، تولیدگزاره‌ی علمی اخباری وگزارشی، الزامی ودستوری، ونیزهنجاری وارزشی‌ست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این‌همه، بخشی از کارکردهای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 مقام اجرای دستاوردهای علم دینی نیز از کارایی درخور توجهی </w:t>
      </w:r>
      <w:bookmarkStart w:id="27" w:name="pg5923_64849"/>
    </w:p>
    <w:p>
      <w:pPr>
        <w:pStyle w:val="BookText"/>
        <w:rPr/>
      </w:pPr>
      <w:bookmarkEnd w:id="27"/>
      <w:r>
        <w:rPr>
          <w:rFonts w:ascii="IRNazanin" w:hAnsi="IRNazanin" w:eastAsia="IRNazanin"/>
          <w:color w:val="111111"/>
          <w:sz w:val="28"/>
          <w:sz w:val="28"/>
          <w:szCs w:val="28"/>
          <w:rtl w:val="true"/>
          <w:lang w:bidi="fa-IR"/>
        </w:rPr>
        <w:t>برخوردار است که شرح آن را به فرصتی دیگر موکول می‌کنیم</w:t>
      </w:r>
      <w:r>
        <w:rPr>
          <w:rFonts w:eastAsia="IRNazanin" w:cs="IRNazanin"/>
          <w:color w:val="111111"/>
          <w:sz w:val="28"/>
          <w:szCs w:val="28"/>
          <w:rtl w:val="true"/>
          <w:lang w:bidi="fa-IR"/>
        </w:rPr>
        <w:t>.</w:t>
      </w:r>
    </w:p>
    <w:p>
      <w:pPr>
        <w:pStyle w:val="Heading3"/>
        <w:numPr>
          <w:ilvl w:val="2"/>
          <w:numId w:val="1"/>
        </w:numPr>
        <w:rPr/>
      </w:pPr>
      <w:bookmarkStart w:id="28" w:name="__RefHeading___Toc5522534_581953129"/>
      <w:bookmarkStart w:id="29" w:name="_Toc10"/>
      <w:bookmarkEnd w:id="28"/>
      <w:r>
        <w:rPr>
          <w:rtl w:val="true"/>
        </w:rPr>
        <w:t>نتیجه‌گیری</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یک پدیده، با اضلاع و عناصر ششگانه‌ی زیر در پیوند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وسائط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شناخت‌افزارها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معِدّات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شناخت‌شکن‌ها؛</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شناحتگر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تکون معرفت، برایند دو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که در عرصه‌ی اطراف ششگانه‌ی بالا صورت می‌بندد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معرفت،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با طی فرایند خاص و مناسب هر یک از وسائط،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ساحت بشری در بستر تعامل میان اضلاع و عناصر این فرایند صورت می‌بندد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دستیابی به آگاهی قدسی که معرفت صائب است، باید عوامل دخیل در تکون معرفت به درستی مدیریت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علم دینی نیز از فرایند و سازکارهای مذکور در تبیین نظریه‌ی معرفت‌شناسی واقع‌گرای دینی، تبعیت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در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دینی، و نیز در مقام اجرای دستاوردهای علم دینی دارای کارکردهای مهم و گاه بی‌بدیلی برخوردار است</w:t>
      </w:r>
      <w:r>
        <w:rPr>
          <w:rFonts w:eastAsia="IRNazanin" w:cs="IRNazanin"/>
          <w:color w:val="111111"/>
          <w:sz w:val="28"/>
          <w:szCs w:val="28"/>
          <w:rtl w:val="true"/>
          <w:lang w:bidi="fa-IR"/>
        </w:rPr>
        <w:t>.</w:t>
      </w:r>
    </w:p>
    <w:p>
      <w:pPr>
        <w:pStyle w:val="Heading3"/>
        <w:numPr>
          <w:ilvl w:val="2"/>
          <w:numId w:val="1"/>
        </w:numPr>
        <w:rPr/>
      </w:pPr>
      <w:bookmarkStart w:id="30" w:name="__RefHeading___Toc5522536_581953129"/>
      <w:bookmarkStart w:id="31" w:name="_Toc11"/>
      <w:bookmarkEnd w:id="30"/>
      <w:r>
        <w:rPr>
          <w:rtl w:val="true"/>
        </w:rPr>
        <w:t>منابع و مآخذ</w:t>
      </w:r>
      <w:bookmarkEnd w:id="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جوادی آملی؛شریعت در آینه معرفت؛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رشاد، علی‌اکبر؛نظریه‌ی‌ابتناء؛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پژوهشگاه فرهنگ و اندیشه ی اسلامی،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قدسی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قبسات، سال نهم، پاییز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ناز علوم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http://www.drsoroush.com/persian/by_drsoroush/p-nws-13890712-razvanazoloomensani</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محمدهادی؛ التمهید فی علوم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مؤسسه‌ی فرهنگی تمهید،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5923_64852"/>
      <w:bookmarkStart w:id="33" w:name="pg5923_64852"/>
      <w:bookmarkEnd w:id="33"/>
    </w:p>
    <w:p>
      <w:pPr>
        <w:pStyle w:val="Heading2"/>
        <w:numPr>
          <w:ilvl w:val="1"/>
          <w:numId w:val="1"/>
        </w:numPr>
        <w:rPr/>
      </w:pPr>
      <w:bookmarkStart w:id="34" w:name="pg5923_64852"/>
      <w:bookmarkStart w:id="35" w:name="__RefHeading___Toc5522538_581953129"/>
      <w:bookmarkStart w:id="36" w:name="_Toc12"/>
      <w:bookmarkEnd w:id="34"/>
      <w:bookmarkEnd w:id="35"/>
      <w:r>
        <w:rPr>
          <w:rtl w:val="true"/>
        </w:rPr>
        <w:t xml:space="preserve">دلالت متون دینی از نگاه نواعتزالیان </w:t>
      </w:r>
      <w:r>
        <w:rPr>
          <w:rtl w:val="true"/>
        </w:rPr>
        <w:t xml:space="preserve">/ </w:t>
      </w:r>
      <w:r>
        <w:rPr>
          <w:rtl w:val="true"/>
        </w:rPr>
        <w:t>محمد عرب‌صالحی</w:t>
      </w:r>
      <w:bookmarkEnd w:id="36"/>
    </w:p>
    <w:p>
      <w:pPr>
        <w:pStyle w:val="Heading3"/>
        <w:numPr>
          <w:ilvl w:val="2"/>
          <w:numId w:val="1"/>
        </w:numPr>
        <w:rPr/>
      </w:pPr>
      <w:bookmarkStart w:id="37" w:name="__RefHeading___Toc5522540_581953129"/>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محمد عرب‌صالحی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13/12/92</w:t>
      </w:r>
    </w:p>
    <w:p>
      <w:pPr>
        <w:pStyle w:val="Heading3"/>
        <w:numPr>
          <w:ilvl w:val="2"/>
          <w:numId w:val="1"/>
        </w:numPr>
        <w:rPr/>
      </w:pPr>
      <w:bookmarkStart w:id="39" w:name="__RefHeading___Toc5522542_581953129"/>
      <w:bookmarkStart w:id="40" w:name="_Toc14"/>
      <w:bookmarkEnd w:id="39"/>
      <w:r>
        <w:rPr>
          <w:rtl w:val="true"/>
        </w:rPr>
        <w:t>چکیده</w:t>
      </w:r>
      <w:bookmarkEnd w:id="40"/>
    </w:p>
    <w:p>
      <w:pPr>
        <w:pStyle w:val="BookText"/>
        <w:rPr/>
      </w:pPr>
      <w:r>
        <w:rPr>
          <w:rFonts w:ascii="IRNazanin" w:hAnsi="IRNazanin" w:eastAsia="IRNazanin"/>
          <w:color w:val="111111"/>
          <w:sz w:val="28"/>
          <w:sz w:val="28"/>
          <w:szCs w:val="28"/>
          <w:rtl w:val="true"/>
          <w:lang w:bidi="fa-IR"/>
        </w:rPr>
        <w:t>نص دینی،</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بنابراین مراد از نص، اعم از آن چیزی است که درکلمات فقها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نص به متنی اطلاق می‌شود که صریح در معنا بوده، دلالت یقینی داشته باشد؛ درمقابل ظواهرکه دلالت ظنی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 از کتاب و سنت از ابتدا دو منبع اصلی و عمده شناخت دین مبین اسلام بوده است و حجیت کتاب و همچنین حجیت سنت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سنت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اجماع علمای فریقین است؛ البته اخباریان فهم کتاب را در معصومان منحصر می‌دانند؛ اما همین کتاب و سنت واقعی در نگاه بسیاری از نواعتزالیان،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 کیفیت شکل‌گیری و هم در بقا به انحای مختلف دارای اشکال بوده، در حجیت بسیاری از آموزه‌های آن دو، دست‌کم برای غیر زمان پیامبر تشکیک، بلکه انکار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دلیل ضیق مجال تنها به نقد و بررسی حیث سیالیت دلالت و معنای نصوص دینی از نگاه اعتزال‌نو پرداخته شده است؛ آنچه اکنون در اختیار ماست، متن کتاب آسمانی و متون روایی است که حامل و ناقل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این گروه دلالت متون و از جمله متون دینی، نه تابع وضع و اراده مؤلف و مولا، بلکه سیال و تابع شرایط زمانه است و معنای متن در طی زمان تغییر یافته، از این رهگذر آموزه‌های دینی نیز تاریخ‌مند و زمان‌مند می‌گردد؛ مقاله حاضر ضمن بررسی این مسئله در</w:t>
      </w:r>
      <w:bookmarkStart w:id="41" w:name="pg5923_64853"/>
    </w:p>
    <w:p>
      <w:pPr>
        <w:pStyle w:val="BookText"/>
        <w:rPr/>
      </w:pPr>
      <w:bookmarkEnd w:id="41"/>
      <w:r>
        <w:rPr>
          <w:rFonts w:ascii="IRNazanin" w:hAnsi="IRNazanin" w:eastAsia="IRNazanin"/>
          <w:color w:val="111111"/>
          <w:sz w:val="28"/>
          <w:sz w:val="28"/>
          <w:szCs w:val="28"/>
          <w:rtl w:val="true"/>
          <w:lang w:bidi="fa-IR"/>
        </w:rPr>
        <w:t>هرمنوتیک فلسفی به دلیل اثرپذیری برخی از نواعتزالیان از آن و پس از بیان گفته‌های اعتزالیان جدید، به نقد این ایده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دینی، سیالیت معنا، دلالت متن، تاریخ‌مندی</w:t>
      </w:r>
      <w:r>
        <w:rPr>
          <w:rFonts w:eastAsia="IRNazanin" w:cs="IRNazanin"/>
          <w:color w:val="111111"/>
          <w:sz w:val="28"/>
          <w:szCs w:val="28"/>
          <w:rtl w:val="true"/>
          <w:lang w:bidi="fa-IR"/>
        </w:rPr>
        <w:t>.</w:t>
      </w:r>
    </w:p>
    <w:p>
      <w:pPr>
        <w:pStyle w:val="Heading3"/>
        <w:numPr>
          <w:ilvl w:val="2"/>
          <w:numId w:val="1"/>
        </w:numPr>
        <w:rPr/>
      </w:pPr>
      <w:bookmarkStart w:id="42" w:name="__RefHeading___Toc5522544_581953129"/>
      <w:bookmarkStart w:id="43" w:name="_Toc15"/>
      <w:bookmarkEnd w:id="42"/>
      <w:r>
        <w:rPr>
          <w:rtl w:val="true"/>
        </w:rPr>
        <w:t>الف</w:t>
      </w:r>
      <w:r>
        <w:rPr>
          <w:rtl w:val="true"/>
        </w:rPr>
        <w:t xml:space="preserve">) </w:t>
      </w:r>
      <w:r>
        <w:rPr>
          <w:rtl w:val="true"/>
        </w:rPr>
        <w:t>مقدمه</w:t>
      </w:r>
      <w:r>
        <w:rPr>
          <w:rtl w:val="true"/>
        </w:rPr>
        <w:t xml:space="preserve">: </w:t>
      </w:r>
      <w:r>
        <w:rPr>
          <w:rtl w:val="true"/>
        </w:rPr>
        <w:t>بیان نظر رقیب</w:t>
      </w:r>
      <w:bookmarkEnd w:id="43"/>
    </w:p>
    <w:p>
      <w:pPr>
        <w:pStyle w:val="Heading4"/>
        <w:numPr>
          <w:ilvl w:val="3"/>
          <w:numId w:val="1"/>
        </w:numPr>
        <w:rPr/>
      </w:pPr>
      <w:bookmarkStart w:id="44" w:name="__RefHeading___Toc5522546_581953129"/>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از موضوعات مهمی که در هرمنوتیک فلسفی مطرح شده و بسیاری از اعتزالیان جدید، همچون نصر حامد ابوزید، حسن حنفی، علی حرب، سلامه موسی، طیب تیزینی و عبدالکریم سروش نیز به آن تأسی کرده، نتیجه آن را پذیرفتند و حتی به متون دینی هم سریان داده‌اند، بحث سیالیت دلالت متن است؛ البته برخی دیگر از اعتزالیان نظیر آرکون مبنای دیگری هم در سیالیت معنای متن دارند که متأثر از نشانه‌شناسی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ایده در یک کلمه سیالیت محتوای دین و معنای متون دینی و در نتیجه تاریخ‌مندی بسیاری از آموزه‌های دینی است که قائلان به این نظر هم ابایی از پذیرش این مسئله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اصولیان تقریباً اتفاق نظر دارند که هر متنی معنای متعینی دارد و این معنا تابع وضع و ارادۀ متکلم و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اینجانظر رقیب را مطرح کرده، سپس به نقد آن خواهیم پرداخت</w:t>
      </w:r>
      <w:r>
        <w:rPr>
          <w:rFonts w:eastAsia="IRNazanin" w:cs="IRNazanin"/>
          <w:color w:val="111111"/>
          <w:sz w:val="28"/>
          <w:szCs w:val="28"/>
          <w:rtl w:val="true"/>
          <w:lang w:bidi="fa-IR"/>
        </w:rPr>
        <w:t>.</w:t>
      </w:r>
    </w:p>
    <w:p>
      <w:pPr>
        <w:pStyle w:val="Heading4"/>
        <w:numPr>
          <w:ilvl w:val="3"/>
          <w:numId w:val="1"/>
        </w:numPr>
        <w:rPr/>
      </w:pPr>
      <w:bookmarkStart w:id="46" w:name="__RefHeading___Toc5522548_581953129"/>
      <w:bookmarkStart w:id="47" w:name="_Toc17"/>
      <w:bookmarkEnd w:id="46"/>
      <w:r>
        <w:rPr/>
        <w:t>1</w:t>
      </w:r>
      <w:r>
        <w:rPr>
          <w:rtl w:val="true"/>
        </w:rPr>
        <w:t xml:space="preserve">. </w:t>
      </w:r>
      <w:r>
        <w:rPr>
          <w:rtl w:val="true"/>
        </w:rPr>
        <w:t>سیالیت دلالت و معنا در هرمنوتیک فلسفی</w:t>
      </w:r>
      <w:bookmarkEnd w:id="47"/>
    </w:p>
    <w:p>
      <w:pPr>
        <w:pStyle w:val="BookText"/>
        <w:rPr/>
      </w:pPr>
      <w:r>
        <w:rPr>
          <w:rFonts w:ascii="IRNazanin" w:hAnsi="IRNazanin" w:eastAsia="IRNazanin"/>
          <w:color w:val="111111"/>
          <w:sz w:val="28"/>
          <w:sz w:val="28"/>
          <w:szCs w:val="28"/>
          <w:rtl w:val="true"/>
          <w:lang w:bidi="fa-IR"/>
        </w:rPr>
        <w:t>انکار معنا و دلالت ذاتی متن و قول به سیلان و کثرت معنایی متن از جمله اندیشه هایی است که برگرفته از هرمنوتیک و هیستوریسیزم فلسفی در باب فهم و معنای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گادامر در نفی معنای ذاتی متن و تأیید کثرت معنایی متن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مؤلف و نه مخاطبان اولیه آن، هیچ‌کدام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افق معنایی متن را محدود کنند و تا زمانی که رهایی و استقلال از مؤلف و مخاطبان اولیه فراهم نشده است، امکان ارتباط تازه، مسدود و منتفی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Gadamer, 1994, p.395</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هرمنوتیک فلسفی گادامر متن، مستقل از نویسنده، نقش اساسی در فهم دارد؛ لکن در نظر او متن، معنای واحدی ندارد که به عنوان ابژه باید دنبال آن بود، بلکه معنای متن، امری سیال و وابسته به زمان و مکان و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است که از سوی مخاطبان به سوی آن </w:t>
      </w:r>
      <w:bookmarkStart w:id="48" w:name="pg5923_64854"/>
    </w:p>
    <w:p>
      <w:pPr>
        <w:pStyle w:val="BookText"/>
        <w:rPr/>
      </w:pPr>
      <w:bookmarkEnd w:id="48"/>
      <w:r>
        <w:rPr>
          <w:rFonts w:ascii="IRNazanin" w:hAnsi="IRNazanin" w:eastAsia="IRNazanin"/>
          <w:color w:val="111111"/>
          <w:sz w:val="28"/>
          <w:sz w:val="28"/>
          <w:szCs w:val="28"/>
          <w:rtl w:val="true"/>
          <w:lang w:bidi="fa-IR"/>
        </w:rPr>
        <w:t>افکنده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معنای متن را فقط از طریق دستیابی به افق پرسش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فهمیم؛ افقی که فی حدّ ذاته و بالضروره حامل امکان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هر جمله مربوط به پرسشی است که متن، پاسخ به آن است؛ اما این امر مستلزم آن است که معنای متن ضرورتاً افزون بر آن چیزی باشد که در آن گفته شده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جهت گادامر سنت را هم که بخشی از آن توسط متون به ما منتقل می‌شود، امری سیال و تاریخمند می‌داند، نه ثابت و ایستا؛ سنت فقط چیزی نیست که همچون پسمانده یا بازمانده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گذشته، بررسی و تفسیر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راه سنت زبانی به ما رسیده است، پس‌مانده نیست، بلکه چیزی است که به ما منتقل شده و به ما گفته شده است که گاه به صورت شفاهی مثل اسطوره، افسانه، آداب و رسوم و گاه به شکل مکتوب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دنیای گذشته نیست، بلکه همواره خود را فراتر از این جریان، به سوی گستره‌ا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از معنا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خود بیانگر آن است،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زبانی است که سنت را نه قطعه ای از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بلکه به نحو تداوم خاطره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Continuity ofMemory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ما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سنت را بخشی از جهان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گذشته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 بلکه گذشته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به حال حاضر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pp.390-391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کلام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چون سنت، حیث زبانی دارد، در هر زمانی با انسان و به زبان او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زبان آنها را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به شکل پویا و جدید به نسل بعد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نه سنت و نه زبان و نه فهم و نه تجربه، هیچ‌کدام شکل ایستا و ثابت ندارند، بلکه دائماً در پویایی و تغییرند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زبان دارد و با زبان خود در فرهنگ و سنت تأثیر می‌گذارد و همزمان از آن تأثیر می‌پذیرد و این تأثیر و تأثرات را به فرهنگ بعدی منتقل می‌کند و در طول زمان ادامه می‌یابد و چه بسا برسد زمانی که متن از معنای اولیه خود که مؤلف اراده کرده بود، منسلخ شده، معنای جدیدی به خود بگیرد</w:t>
      </w:r>
      <w:r>
        <w:rPr>
          <w:rFonts w:eastAsia="IRNazanin" w:cs="IRNazanin"/>
          <w:color w:val="111111"/>
          <w:sz w:val="28"/>
          <w:szCs w:val="28"/>
          <w:rtl w:val="true"/>
          <w:lang w:bidi="fa-IR"/>
        </w:rPr>
        <w:t>.</w:t>
      </w:r>
    </w:p>
    <w:p>
      <w:pPr>
        <w:pStyle w:val="Heading4"/>
        <w:numPr>
          <w:ilvl w:val="3"/>
          <w:numId w:val="1"/>
        </w:numPr>
        <w:rPr/>
      </w:pPr>
      <w:bookmarkStart w:id="49" w:name="__RefHeading___Toc5522550_581953129"/>
      <w:bookmarkStart w:id="50" w:name="_Toc18"/>
      <w:bookmarkEnd w:id="49"/>
      <w:r>
        <w:rPr/>
        <w:t>2</w:t>
      </w:r>
      <w:r>
        <w:rPr>
          <w:rtl w:val="true"/>
        </w:rPr>
        <w:t xml:space="preserve">. </w:t>
      </w:r>
      <w:r>
        <w:rPr>
          <w:rtl w:val="true"/>
        </w:rPr>
        <w:t>سیالیت دلالت و معنای متن در نگاه اعتزالیان جدید</w:t>
      </w:r>
      <w:bookmarkEnd w:id="5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اعتزالیان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ایده را پذیرفته اند و به گفتۀ محمد عماره جمله‌ای در بین آنها درباره نصوص مطرح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هذه کلها اوعیة نضع فیها المضمون الذی نرید؛ نصوص دینی به منزلۀ ظروف و قالب‌های خالی‌اند که ما هر مضمون و معنایی که بخواهیم به آنها می‌دهیم و در این ظرف می‌گذاریم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عماره،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راستاست که طیب تیزینی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القرآن یقول کل شیء دون ان یقول شیئاً بعینه علی نحو تفصیلی قطعی؛ قرآن در عین اینکه از خود معنی قطعی تفصیلی خاصی ندارد، همه معانی را میپذیرند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تیزینی،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می‌گوید مخاطب وظیفه‌ای در اخذ به آنچه خود نص می‌گوید، ندارد، بلکه برای او مهم این است که از سلطۀ نص خارج شود تا آنچه را نص نمی‌گوید، بفهمد؛ او محتاج چشمی است که آنچه را خود مؤلف در متن ندیده و به ذهن او هم خطور نکرده است،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یتَّسع للکلِّ، ویتَّسع لکلِّ الأوجه والمستویات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ظرفیت پذیرش همۀ معانی را در تمام سطوح و جوانب داراست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سروش می‌توان معنای واقعی متن و نه معنای مراد را بهتر از متکلم و مؤلف فهمید؛ چراکه معنای واقعی متن در طول زمان متغیر و سیال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ابوزید هم به تبعیت از گادامر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می‌گوییم دلالت متون، تاریخ‌مند است، به معنای ثابت ماندن معنای دین در مرحلۀ شکل گیری متون نیست؛ زیرا زبان، ساکن و ثابت نیست، بلکه با فرهنگ و واقعیت شکل می‌گیرد و دگرگون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ابوزید،</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عناصر جوهری ثابتی ندارند، بلکه هر قرائت، در معنی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خود ماهیتی دارد که آن را در متن کشف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همان،ص</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از جهت الفاظ خود متن دینی ثابتی است، اما از جهت دخالت عقل و فهم انسانی در تفسیر آن، از جهت مفهومی ثابت نیست؛ چراکه همان الفاظ و جملات ظاهراً ثابت، همواره در معرض تحول است و از نظر معنایی تغییرپذیر،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جهت الفاظ مقدس است، ولی از جهت مفهومی پیوسته </w:t>
      </w:r>
    </w:p>
    <w:p>
      <w:pPr>
        <w:pStyle w:val="BookText"/>
        <w:rPr/>
      </w:pPr>
      <w:r>
        <w:rPr>
          <w:rFonts w:ascii="IRNazanin" w:hAnsi="IRNazanin" w:eastAsia="IRNazanin"/>
          <w:color w:val="111111"/>
          <w:sz w:val="28"/>
          <w:sz w:val="28"/>
          <w:szCs w:val="28"/>
          <w:rtl w:val="true"/>
          <w:lang w:bidi="fa-IR"/>
        </w:rPr>
        <w:t>متغیر و لذا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به طور تلویحی دلالت ذاتی متن را انکار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آرکون معتقداست که قرآن نصی است که به روی همۀ معانی باز است و هیچ تفسیر و تأویلی نمی تواند آن را به روی دیگر معانی ببندد یا معنای نهایی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آرکون،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حنفی به محدثان نسبت داده است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مرده است، ولی متن و نص در حال زندگی است؛ ما از کجا بدانیم که مؤلف وقتی متنی را می‌نوشت، تماماً مطابق آنچه در ذهن او می‌گذشت،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درگذشته و نص او باقی مانده است و این نص است که از این پس با ما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به منزلۀ آینۀ صامتی است که به خودی خود چیزی را نشان نمی‌دهد؛ بلکه صرفاً نمایانگر اموری است که در مقابل او نهاده شود؛ نص منعکس‌کنندۀ قرائت‌های اعصار تاریخی است که از آن انجام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عماره،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می‌نویسد اینکه مخاطب و مفسر باید نص را احیا کند، به معنای تطبیق آن با مراد مؤلف نیست، بلکه باید با مفسر مطابقت کند؛ مفسر و تأویل‌کننده، خود، مؤلف دوم متن است، بلکه در حال حاضر همو مؤلف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گنگ و صامت است و مفسر باید آن را به سخن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دیگر معنای موضوعی خاص و معیار خاصی برای تشخیص آن معنا وجود ندارد و سخن از صواب و خطا در میان نیست و در یک کلام عقاید و داشته‌های ما مستخرج از نصوص نیستند، بلکه این معانی نصوص‌اند که مستخرج از عقاید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حنفی،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سیالیت معنا و دلالت نظریه، تعین معناست که مورد قبول هم اصولیان در دانش اصول فقه و هم داعیه داران هرمنوتیک کلاسیک، همچون شلایر ماخر و دیلتای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تعین معنا، معنای واحد برای متن نیست؛ بلکه تعین معنا با استعمال لفظ در اکثر از معنا هم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قول به بطون معانی قرآن و روایات هم، حتی اگر از باب دلالت لفظی باشد،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بالاتر، قول به تعین معنا با قول به دلالت نامتناهی آیات قرآن و </w:t>
      </w:r>
    </w:p>
    <w:p>
      <w:pPr>
        <w:pStyle w:val="BookText"/>
        <w:rPr/>
      </w:pPr>
      <w:r>
        <w:rPr>
          <w:rFonts w:ascii="IRNazanin" w:hAnsi="IRNazanin" w:eastAsia="IRNazanin"/>
          <w:color w:val="111111"/>
          <w:sz w:val="28"/>
          <w:sz w:val="28"/>
          <w:szCs w:val="28"/>
          <w:rtl w:val="true"/>
          <w:lang w:bidi="fa-IR"/>
        </w:rPr>
        <w:t xml:space="preserve">سنت واقعی که اخیراً برخی از محققان ابراز و آن را برگزیده‌اند نیز قابل جمع است؛ گرچه نویسنده در بین هرمنوتیست‌ها از کسی که قائل به بواطن معنایی متن یا دلالت چندلایه یا نامتناهی متن باشد، ندیده و نشنیده است، ولی در هر صورت هیچ‌یک از این اقوال، منافاتی با تعین معنا ندارند و همه غیر از سیالیت معنای متن است که قائلان به هرمنوتیک فلسفی و برخی دیگر اختیار کرده‌اند و اصولاً قائل به دلالت نامتناهی متون الهی، نظریه خود را پاسخی مناسب و درخور به هرمنوتیک فلسفی و ایده سیلان معنا در هرمنوتیک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حسنی و دیگران،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605</w:t>
      </w:r>
      <w:r>
        <w:rPr>
          <w:rFonts w:eastAsia="IRNazanin" w:cs="IRNazanin"/>
          <w:color w:val="111111"/>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متن مصاحبه با استاد عابدی شاهرودی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مراد از تعین معنای یک متن، آن است که متن از ابتدا تا انتهای زمان، معنای مشخصی دارد و آنگونه نیست که آن معنا با عوض شدن شرایط تغییر کند؛ این معنا همانی است که مؤلف و گوینده از ابتدا آن را قصد کرده‌اند؛ حال اگر از ابتدا یک معنای واحد مراد بوده تا آخر همان معنا برای متن ثابت است و اگر از ابتدا استعمال لفظ در اکثر از معنا داشته تا آخر و در همه شرایط همان معانی کثیر برای متن خواهد بود و اگر معانی متعدد و بطون لایه لایه و مراتب متکثر معنا هم مراد بوده است، همین معنا تا آخر برای متن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متن از ابتدا تا آخر این معانی را با خود دارد؛ در حالی که آنچه در هرمنوتیک فلسفی از آن به سیالیت معنا تعبیر می‌شود، مراد فقدان معنای جوهری برای متون و تغییر و تعیین معنا به حسب تغییر شرایط، اوضاع، احوال و تغییر فرهنگ‌ها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متنی در هر فرهنگی، معنایی غیر از آنچه همین متن در فرهنگ دیگر یا زمانه دیگر داشته است، از خود بروز می‌دهد و این معانی هرگز یکجا با هم جمع نمی‌شوند، بلکه چه بسا یکدیگر را تخطئه کرده، با هم تناقض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معنای متن، منقطع از مؤلف و مخاطبان اولیۀ آن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See: Gadamer, 1994, p.395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علاوه در نظریه سیالیت دلالت و معنا، دلالت‌های گوناگون و معانی مختلف برای یک متن به طور یکجا جمع نشده است، بلکه هر کدام در یک فرهنگ خاص و زمان خاصی است و هر فرهنگی معنای مورد نظر خود را صائب دانسته، سایر معانی متن در دیگر فرهنگ ها را نمی‌پذیرد و چه بسا تخطئه کند؛ در حالی که در دلالت بر بطون معانی اگر از باب دلالت </w:t>
      </w:r>
      <w:bookmarkStart w:id="51" w:name="pg5923_64858"/>
    </w:p>
    <w:p>
      <w:pPr>
        <w:pStyle w:val="BookText"/>
        <w:rPr/>
      </w:pPr>
      <w:bookmarkEnd w:id="51"/>
      <w:r>
        <w:rPr>
          <w:rFonts w:ascii="IRNazanin" w:hAnsi="IRNazanin" w:eastAsia="IRNazanin"/>
          <w:color w:val="111111"/>
          <w:sz w:val="28"/>
          <w:sz w:val="28"/>
          <w:szCs w:val="28"/>
          <w:rtl w:val="true"/>
          <w:lang w:bidi="fa-IR"/>
        </w:rPr>
        <w:t>لفظی باشد، همه معانی یکجا در متن جمع است و دلالت بر این معانی هم همیشگی است و به علاوه هیچ معنایی، معنای دیگر و دلالت دیگر را تخطئه نمی‌کند</w:t>
      </w:r>
      <w:r>
        <w:rPr>
          <w:rFonts w:eastAsia="IRNazanin" w:cs="IRNazanin"/>
          <w:color w:val="111111"/>
          <w:sz w:val="28"/>
          <w:szCs w:val="28"/>
          <w:rtl w:val="true"/>
          <w:lang w:bidi="fa-IR"/>
        </w:rPr>
        <w:t>.</w:t>
      </w:r>
    </w:p>
    <w:p>
      <w:pPr>
        <w:pStyle w:val="Heading3"/>
        <w:numPr>
          <w:ilvl w:val="2"/>
          <w:numId w:val="1"/>
        </w:numPr>
        <w:rPr/>
      </w:pPr>
      <w:bookmarkStart w:id="52" w:name="__RefHeading___Toc5522552_581953129"/>
      <w:bookmarkStart w:id="53" w:name="_Toc19"/>
      <w:bookmarkEnd w:id="52"/>
      <w:r>
        <w:rPr>
          <w:rtl w:val="true"/>
        </w:rPr>
        <w:t>ب</w:t>
      </w:r>
      <w:r>
        <w:rPr>
          <w:rtl w:val="true"/>
        </w:rPr>
        <w:t xml:space="preserve">) </w:t>
      </w:r>
      <w:r>
        <w:rPr>
          <w:rtl w:val="true"/>
        </w:rPr>
        <w:t>نقد نظریه رقیب</w:t>
      </w:r>
      <w:bookmarkEnd w:id="53"/>
    </w:p>
    <w:p>
      <w:pPr>
        <w:pStyle w:val="Heading4"/>
        <w:numPr>
          <w:ilvl w:val="3"/>
          <w:numId w:val="1"/>
        </w:numPr>
        <w:rPr/>
      </w:pPr>
      <w:bookmarkStart w:id="54" w:name="__RefHeading___Toc5522554_581953129"/>
      <w:bookmarkStart w:id="55" w:name="_Toc20"/>
      <w:bookmarkEnd w:id="54"/>
      <w:r>
        <w:rPr/>
        <w:t>1</w:t>
      </w:r>
      <w:r>
        <w:rPr>
          <w:rtl w:val="true"/>
        </w:rPr>
        <w:t xml:space="preserve">. </w:t>
      </w:r>
      <w:r>
        <w:rPr>
          <w:rtl w:val="true"/>
        </w:rPr>
        <w:t>هسته های ثابت معنایی، ناقض نظریه سیالیت</w:t>
      </w:r>
      <w:bookmarkEnd w:id="55"/>
    </w:p>
    <w:p>
      <w:pPr>
        <w:pStyle w:val="BookText"/>
        <w:rPr/>
      </w:pPr>
      <w:r>
        <w:rPr>
          <w:rFonts w:ascii="IRNazanin" w:hAnsi="IRNazanin" w:eastAsia="IRNazanin"/>
          <w:color w:val="111111"/>
          <w:sz w:val="28"/>
          <w:sz w:val="28"/>
          <w:szCs w:val="28"/>
          <w:rtl w:val="true"/>
          <w:lang w:bidi="fa-IR"/>
        </w:rPr>
        <w:t>به نظر می‌رسد سیالیت معنای متن با معضل مهمی روبه‌روست و آن اینکه هر متنی در طول تاریخ یک هسته ثابت معنایی دارد که هرگز تغییر نمی‌کند و نشانه آن هم سلب های بیان تهایی است که همواره و طی تاریخ و در فرهنگ‌های مختلف و زمان و مکان‌های متفاوت از یک متن به طور یکنواخت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سلب‌ها خود دلیل آن است که متن یک حیطۀ معنایی خاصی دارد که همواره با او ثابت می‌ماند و تا این معنا فهمیده نشود، فهم متن میسور نیست و تفاهمی هم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قالب یک مثال توضیح می‌دهیم؛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دعوت خود به مردم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نظریه سیالیت معنا این جمله در هر فرهنگ و زمانه‌ای معنای خاصی پیدا میکند و از خود، جوهرۀ ثابت معنایی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آن معنایی را به خود می‌گیرد که فرهنگ زمانه به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ما این است که آیا ممکن است در یک زمان یا یک فرهنگ این جمله، این معنا را به خود بگیرد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انسان پرید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آسمان صاف است تا باران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کسی احتمال این معنا را در هیچ فرهنگ و زمانه‌ای برای این جمله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نمی‌دهد؛ پس تا بینهایت می توانیم معانی‌ای را بشماریم که در همه زمان‌ها و فرهنگ‌ها از این جمله قابل سلب است؛ چرا همه این امور از معنای جمله سلب می‌شوند؟ این سلبها نشانه و دلیل آن است که اصل جمله از یک هسته ثابت معنایی برخوردار است که اجازه نمی‌دهد هر معنایی بر آن بار شود و وجود هسته ثابت معنایی به معنای مرگ نظریه سیالیت معناست</w:t>
      </w:r>
      <w:r>
        <w:rPr>
          <w:rFonts w:eastAsia="IRNazanin" w:cs="IRNazanin"/>
          <w:color w:val="111111"/>
          <w:sz w:val="28"/>
          <w:szCs w:val="28"/>
          <w:rtl w:val="true"/>
          <w:lang w:bidi="fa-IR"/>
        </w:rPr>
        <w:t>.</w:t>
      </w:r>
    </w:p>
    <w:p>
      <w:pPr>
        <w:pStyle w:val="Heading4"/>
        <w:numPr>
          <w:ilvl w:val="3"/>
          <w:numId w:val="1"/>
        </w:numPr>
        <w:rPr/>
      </w:pPr>
      <w:bookmarkStart w:id="56" w:name="__RefHeading___Toc5522556_581953129"/>
      <w:bookmarkStart w:id="57" w:name="_Toc21"/>
      <w:bookmarkEnd w:id="56"/>
      <w:r>
        <w:rPr/>
        <w:t>2</w:t>
      </w:r>
      <w:r>
        <w:rPr>
          <w:rtl w:val="true"/>
        </w:rPr>
        <w:t xml:space="preserve">. </w:t>
      </w:r>
      <w:r>
        <w:rPr>
          <w:rtl w:val="true"/>
        </w:rPr>
        <w:t>لزوم تفکیک بین تغییر معنای متن و توسعه و تعمیق معرفت</w:t>
      </w:r>
      <w:bookmarkEnd w:id="5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دیگر این است که نباید معارف جدیدی را که انسان در بارۀ موضوع مورد بحث در یک متن پیدا می‌کند، به حساب تغییر معنای متن گذاشت؛ بلکه معرفت‌های جدیدی هستند در کنار معنای متن و افزون بر آنچه متن به ما می‌رساند که شناخت ما از یک </w:t>
      </w:r>
      <w:bookmarkStart w:id="58" w:name="pg5923_64859"/>
    </w:p>
    <w:p>
      <w:pPr>
        <w:pStyle w:val="BookText"/>
        <w:rPr/>
      </w:pPr>
      <w:bookmarkEnd w:id="58"/>
      <w:r>
        <w:rPr>
          <w:rFonts w:ascii="IRNazanin" w:hAnsi="IRNazanin" w:eastAsia="IRNazanin"/>
          <w:color w:val="111111"/>
          <w:sz w:val="28"/>
          <w:sz w:val="28"/>
          <w:szCs w:val="28"/>
          <w:rtl w:val="true"/>
          <w:lang w:bidi="fa-IR"/>
        </w:rPr>
        <w:t>موضوع را توسعه می‌بخشند و چه بسا معنای متن را تخطئه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یکی از ادلۀ سیالیت معنای متون، حیث زبانی داشتن معنا بود؛ به این معناکه واژه‌های به کار برده شده در یک متن در فرهنگ‌های مختلف و در اثر مرور زمان، معنای جدیدی پیدا می‌کنند و این تغییر معنا به ترکیب‌های ادبی هم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بدون اینکه مخاطب خود متوجه تغییر معنا باشد، متن ناخودآگاه برای او معنای جدیدی پیدا خواهد کرد و سیالیت معنای متن هم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امکان تغییر معنای واژه‌ها فی‌الجمله پذیرفته شده است؛ اما اینکه این تغییر، لزوماً به تغییر معنای متن هم سرایت کند، اول کلام است؛ امکان سرایت هست، اما ضروری و گریزناپذیر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مخاطب و مفسر متوجه تغییر معنایی کلمات می‌شود و پی به معنای اولیه کلمات هم می‌برد و اصولاً وظیفه مفسر در هرمنوتیک کلاسیک نیز همین است؛ گرچه این امر در هرمنوتیک فلسفی مورد اشکال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انتقال دلالی لفظ از یک معنا به معنای دیگر، اصولاً موجب تغییر معنای متن نمی‌شود، بلکه از زمان انتقال دلالی هر جا آن لفظ استعمال شد، باید به معنای جدید گرفت و متون قبل از آن باید به همان معنای پیشین معنا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نوع معانی جدیدی که وارد علوم می‌شوند، خود، واژه‌های جدیدی برای خود دارند و قضایا و گزاره‌های خاص خود را دارند و اینگونه نیست که با اکتشاف ها و اطلاعات جدید در هر موضوعی لزوماً این معانی جدید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پیشین قرار گیرند؛ چنانکه همه صفات و خصوصیات پیشین یک موضوع هم لزوماً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نشده بودند</w:t>
      </w:r>
      <w:r>
        <w:rPr>
          <w:rFonts w:eastAsia="IRNazanin" w:cs="IRNazanin"/>
          <w:color w:val="111111"/>
          <w:sz w:val="28"/>
          <w:szCs w:val="28"/>
          <w:rtl w:val="true"/>
          <w:lang w:bidi="fa-IR"/>
        </w:rPr>
        <w:t>.</w:t>
      </w:r>
    </w:p>
    <w:p>
      <w:pPr>
        <w:pStyle w:val="Heading4"/>
        <w:numPr>
          <w:ilvl w:val="3"/>
          <w:numId w:val="1"/>
        </w:numPr>
        <w:rPr/>
      </w:pPr>
      <w:bookmarkStart w:id="59" w:name="__RefHeading___Toc5522558_581953129"/>
      <w:bookmarkStart w:id="60" w:name="_Toc22"/>
      <w:bookmarkEnd w:id="59"/>
      <w:r>
        <w:rPr/>
        <w:t>3</w:t>
      </w:r>
      <w:r>
        <w:rPr>
          <w:rtl w:val="true"/>
        </w:rPr>
        <w:t xml:space="preserve">. </w:t>
      </w:r>
      <w:r>
        <w:rPr>
          <w:rtl w:val="true"/>
        </w:rPr>
        <w:t>موضوع‌له در اسمهای عام</w:t>
      </w:r>
      <w:bookmarkEnd w:id="6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گفته‌های آقای سروش در تأیید سیالیت معنای کلمات و واژه ها به اسمای عام مثال زده می‌شود؛ مثلاً گفته شده زمانی کلمه آب برای همین مایع بیرنگ وضع شده بود، بشر اطلاع دیگری از آب نداشت؛ اما به مرور زمان علم او درباره آب افزایش یافت و فهمید که آب از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عنصر اکسیژن و هیدروژن تشکیل شده است و مقدار یکی، دو برابر دیگری است؛ سپس پی برد که آب واجد املاح فراوان دیگری بوده، خواص درمانی دارد و</w:t>
      </w:r>
      <w:r>
        <w:rPr>
          <w:rFonts w:eastAsia="IRNazanin" w:cs="IRNazanin"/>
          <w:color w:val="111111"/>
          <w:sz w:val="28"/>
          <w:szCs w:val="28"/>
          <w:rtl w:val="true"/>
          <w:lang w:bidi="fa-IR"/>
        </w:rPr>
        <w:t xml:space="preserve">... . </w:t>
      </w:r>
      <w:bookmarkStart w:id="61" w:name="pg5923_64860"/>
    </w:p>
    <w:p>
      <w:pPr>
        <w:pStyle w:val="BookText"/>
        <w:rPr/>
      </w:pPr>
      <w:bookmarkEnd w:id="61"/>
      <w:r>
        <w:rPr>
          <w:rFonts w:ascii="IRNazanin" w:hAnsi="IRNazanin" w:eastAsia="IRNazanin"/>
          <w:color w:val="111111"/>
          <w:sz w:val="28"/>
          <w:sz w:val="28"/>
          <w:szCs w:val="28"/>
          <w:rtl w:val="true"/>
          <w:lang w:bidi="fa-IR"/>
        </w:rPr>
        <w:t>امروز وقتی کلمه آب گفته شود، همه این معانی به ذهن می‌آید و معنای آب، همه این معانی را می‌رساند؛ یا مثلاً گفته شده است زمانی بشر، آسمان را بالای خود می‌دید و آن را سقف زمین می‌انگاشت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از آسمان به سقف مرفوع یاد می‌کند؛ اما امروزه دیگر آسمان را سقف زمین نمی‌داند و از این جمله قرآنی، معنای جدیدی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سخن آن است که اگر بپذیریم در وضع اسمای عام، صفات شیء خارجی در نظر گرفته می‌شود و لفظ برای آن صفات وضع می‌شود، اولاً دلیلی ندارد لفظ برای تمام صفاتی که هنگام وضع از آن شیء در نظر واضع است و او علم به آنها دارد، وضع شود، بلکه نوعاً این‌گونه است که صفات شاخص و ممتاز یک شیء لحاظ شده، لفظ را برای آن وضع می‌کنند؛ ثانیاً بر فرض برای همه صفات هم وضع شود، دلیلی ندارد که هر وصف دیگری که در آینده از آب ظاهر شود، لفظ دوباره برای آن وضع تعیینی یا تعینی شود؛ مشخصات و اوصاف جدیدی که در آینده متعلق علم و آگاهی ما قرار می‌گیرد، دانش جدیدی است در بارۀ آب، نه اینکه معنای آب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پاسخ نهایی این است که وقتی صفاتی که شیء هنگام وضع دارد، همه مورد لحاظ واضع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که پس از وضع به آن علم پیدا می‌کند، به طریق اولی در معنا داخل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نخست درباره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السقف المرفوع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امروز نیز مردم، آسمان را سقفی که بر فراز زمین برافراشته شده باشد، می‌بینند و این یک امر اعتباری است؛ یعنی آنها آسمان را به این عنوان اعتبار کرده‌اند، نه اینکه واقعاً آسمان سقف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دوم نیز این است که از قضا آسمان در واقع هم سقفی حفاظتی بر فراز زمین است و در جای خود اثبات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عرب‌صالحی،</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Heading4"/>
        <w:numPr>
          <w:ilvl w:val="3"/>
          <w:numId w:val="1"/>
        </w:numPr>
        <w:rPr/>
      </w:pPr>
      <w:bookmarkStart w:id="62" w:name="__RefHeading___Toc5522560_581953129"/>
      <w:bookmarkStart w:id="63" w:name="_Toc23"/>
      <w:bookmarkEnd w:id="62"/>
      <w:r>
        <w:rPr/>
        <w:t>4</w:t>
      </w:r>
      <w:r>
        <w:rPr>
          <w:rtl w:val="true"/>
        </w:rPr>
        <w:t xml:space="preserve">. </w:t>
      </w:r>
      <w:r>
        <w:rPr>
          <w:rtl w:val="true"/>
        </w:rPr>
        <w:t>خلط بین شرح اللفظ و مای حقیقیه</w:t>
      </w:r>
      <w:bookmarkEnd w:id="6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پاسخ پیشین روشن شد که آنچه ما در طول زمان درباره آب به آن پی می‌بریم، در واقع آگاهی ما به حقیقت آب را افزایش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 حقیقیه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اینکه معنای کلمه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مرور زمان آگاهی ما درباره حقیقت و صفات آب تغییر یا تعمیق و توسعه پیدا می‌کند، نه اینکه معنای لفظ آب تغییر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64" w:name="pg5923_64861"/>
    </w:p>
    <w:p>
      <w:pPr>
        <w:pStyle w:val="BookText"/>
        <w:rPr/>
      </w:pPr>
      <w:bookmarkEnd w:id="64"/>
      <w:r>
        <w:rPr>
          <w:rFonts w:ascii="IRNazanin" w:hAnsi="IRNazanin" w:eastAsia="IRNazanin"/>
          <w:color w:val="111111"/>
          <w:sz w:val="28"/>
          <w:sz w:val="28"/>
          <w:szCs w:val="28"/>
          <w:rtl w:val="true"/>
          <w:lang w:bidi="fa-IR"/>
        </w:rPr>
        <w:t>ابتدا وضع کلمه آب تا امروز هر جا این کلمه استعمال شود، همین مایع بی‌رنگ خارجی به ذهن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اگر از معنای کلمه آب پرسیده شود، پاسخ آن، اشاره به همین مایع خارجی خاص است؛ اما اگر از حقیقت و ماهیت آب پرسیده شود، قطعاً با افزایش آگاهی های بشر از آن، پاسخ هم تغییر پیدا خواهد کرد و آنچه موجب تغییر معانی متون می‌شود، تغییر در معانی الفاظ و مفردات متون است و نه تغییر در دانش ما به حقیقت یک شیء</w:t>
      </w:r>
      <w:r>
        <w:rPr>
          <w:rFonts w:eastAsia="IRNazanin" w:cs="IRNazanin"/>
          <w:color w:val="111111"/>
          <w:sz w:val="28"/>
          <w:szCs w:val="28"/>
          <w:rtl w:val="true"/>
          <w:lang w:bidi="fa-IR"/>
        </w:rPr>
        <w:t>.</w:t>
      </w:r>
    </w:p>
    <w:p>
      <w:pPr>
        <w:pStyle w:val="Heading4"/>
        <w:numPr>
          <w:ilvl w:val="3"/>
          <w:numId w:val="1"/>
        </w:numPr>
        <w:rPr/>
      </w:pPr>
      <w:bookmarkStart w:id="65" w:name="__RefHeading___Toc5522562_581953129"/>
      <w:bookmarkStart w:id="66" w:name="_Toc24"/>
      <w:bookmarkEnd w:id="65"/>
      <w:r>
        <w:rPr/>
        <w:t>5</w:t>
      </w:r>
      <w:r>
        <w:rPr>
          <w:rtl w:val="true"/>
        </w:rPr>
        <w:t xml:space="preserve">. </w:t>
      </w:r>
      <w:r>
        <w:rPr>
          <w:rtl w:val="true"/>
        </w:rPr>
        <w:t>انتقال دلالی یا انحراف دلالی</w:t>
      </w:r>
      <w:bookmarkEnd w:id="6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سیالیت معنا و کلمات اعتزالیان در این زمینه برمی‌آید، به انحراف دلالی نزدیک‌تر است تا انتقال دلالی؛ توضیح اینکه تطورات دلالی یک لفظ از معنایی به معنای دیگر صور مختلفی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تخصیص است؛ مثل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هر محرّمی دلالت می‌کرد، امروزه در خصوص جنس زن استعمال می‌کنند 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قصد است و سپس به معنای خاص آهنگ خانه خداکردن به کار رفته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تعمیم است؛ 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خصوص جنگ بوده است؛ اما بعد در مطلق شدت و سختی به کار می‌رود؛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انتقال دلالت است؛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بند و نگاهدارنده است، در معنای قوۀ مفکره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حقایق شرعیه مثل حج، صیام، صلات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همه موارد استعمال لفظ در معنای مجازی با قرینه، از باب انتقال دلالی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تطورات دلالی از این چهار دسته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موارد دیگری هم ذکر شده است، اما آنچه مورد ادعای هرمنوتیک فلسفی و اعتزالیان جدید است، هیچ‌کدام از این موارد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برخی از آنان، الفاظ قرآنی گاهی از دلالت ساقط شده‌اند و معنای مفهومی برای امروز ندارند و برخی معنای قبلی را از دست داده‌اند و بدون قرینه‌ای بر مجاز، معنای جدید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در واقع به انحراف دلالت می‌انجامد، نه تطور دلالی؛ زیرا اولاً علاقه‌ای بین معنای اول و معنای دوم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در سیالیت معنای متن هیچ قرینه‌ای بر این استعمال‌ها در معنای مجازی جدید وجود ندارد و استعمال لفظ در معنای جدید بدون قرینه، چیزی جز انحراف از دلالت لفظ نیست </w:t>
      </w:r>
      <w:bookmarkStart w:id="67" w:name="pg5923_64862"/>
    </w:p>
    <w:p>
      <w:pPr>
        <w:pStyle w:val="BookText"/>
        <w:rPr/>
      </w:pPr>
      <w:bookmarkEnd w:id="67"/>
      <w:r>
        <w:rPr>
          <w:rFonts w:ascii="IRNazanin" w:hAnsi="IRNazanin" w:eastAsia="IRNazanin"/>
          <w:color w:val="111111"/>
          <w:sz w:val="28"/>
          <w:sz w:val="28"/>
          <w:szCs w:val="28"/>
          <w:rtl w:val="true"/>
          <w:lang w:bidi="fa-IR"/>
        </w:rPr>
        <w:t>و هیچ یک از ادیبان و لغت‌شناسان این امر را در هیچ متنی، چه رسد به متون الهی،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هر کدام از موارد دیگر از تطور دلالی هم اگر در متن یا کلمات پیدا شود، دلیلی براین نیست که بتوان معنای متون سابق بر این تطورات را هم متناسب با آن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متون سابق، همان معنای سابق است و متون لاحقِ بر تطور را باید بر حسب تطور معنایی جدید معنا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4"/>
        <w:numPr>
          <w:ilvl w:val="3"/>
          <w:numId w:val="1"/>
        </w:numPr>
        <w:rPr/>
      </w:pPr>
      <w:bookmarkStart w:id="68" w:name="__RefHeading___Toc5522564_581953129"/>
      <w:bookmarkStart w:id="69" w:name="_Toc25"/>
      <w:bookmarkEnd w:id="68"/>
      <w:r>
        <w:rPr/>
        <w:t>6</w:t>
      </w:r>
      <w:r>
        <w:rPr>
          <w:rtl w:val="true"/>
        </w:rPr>
        <w:t xml:space="preserve">. </w:t>
      </w:r>
      <w:r>
        <w:rPr>
          <w:rtl w:val="true"/>
        </w:rPr>
        <w:t>انکار امر واقع</w:t>
      </w:r>
      <w:bookmarkEnd w:id="69"/>
    </w:p>
    <w:p>
      <w:pPr>
        <w:pStyle w:val="BookText"/>
        <w:rPr/>
      </w:pPr>
      <w:r>
        <w:rPr>
          <w:rFonts w:ascii="IRNazanin" w:hAnsi="IRNazanin" w:eastAsia="IRNazanin"/>
          <w:color w:val="111111"/>
          <w:sz w:val="28"/>
          <w:sz w:val="28"/>
          <w:szCs w:val="28"/>
          <w:rtl w:val="true"/>
          <w:lang w:bidi="fa-IR"/>
        </w:rPr>
        <w:t>نکتةدیگراینکه سیالیت دلالت ومعنای متن، بر خلاف آن چیزی است که بالعیان در مورد نوع متون، اعم ازدینی و غیردینی، می‌یابیم؛ نوع متون چنان است که در طول زمان بسیاری از افراد بشر، با مراجعه به آن، همان معنایی را فهمیده‌اندکه مخاطبان اولیه ازآن فهمیده‌اند؛ وجود فهم واحد و معنای یکسان از یک متن در طول زمان نه با سیالیت دلالت سازگار است و نه با سیالیت معنای متن</w:t>
      </w:r>
      <w:r>
        <w:rPr>
          <w:rFonts w:eastAsia="IRNazanin" w:cs="IRNazanin"/>
          <w:color w:val="111111"/>
          <w:sz w:val="28"/>
          <w:szCs w:val="28"/>
          <w:rtl w:val="true"/>
          <w:lang w:bidi="fa-IR"/>
        </w:rPr>
        <w:t>.</w:t>
      </w:r>
    </w:p>
    <w:p>
      <w:pPr>
        <w:pStyle w:val="Heading4"/>
        <w:numPr>
          <w:ilvl w:val="3"/>
          <w:numId w:val="1"/>
        </w:numPr>
        <w:rPr/>
      </w:pPr>
      <w:bookmarkStart w:id="70" w:name="__RefHeading___Toc5522566_581953129"/>
      <w:bookmarkStart w:id="71" w:name="_Toc26"/>
      <w:bookmarkEnd w:id="70"/>
      <w:r>
        <w:rPr/>
        <w:t>7</w:t>
      </w:r>
      <w:r>
        <w:rPr>
          <w:rtl w:val="true"/>
        </w:rPr>
        <w:t>.</w:t>
      </w:r>
      <w:r>
        <w:rPr>
          <w:rtl w:val="true"/>
        </w:rPr>
        <w:t>سدّ باب مفاهمه</w:t>
      </w:r>
      <w:bookmarkEnd w:id="71"/>
    </w:p>
    <w:p>
      <w:pPr>
        <w:pStyle w:val="BookText"/>
        <w:rPr/>
      </w:pPr>
      <w:r>
        <w:rPr>
          <w:rFonts w:ascii="IRNazanin" w:hAnsi="IRNazanin" w:eastAsia="IRNazanin"/>
          <w:color w:val="111111"/>
          <w:sz w:val="28"/>
          <w:sz w:val="28"/>
          <w:szCs w:val="28"/>
          <w:rtl w:val="true"/>
          <w:lang w:bidi="fa-IR"/>
        </w:rPr>
        <w:t>طبق این دیدگاه در باب فهم و معنای متن، مفاهمه بین افراد بشر باید امری ناممکن دانسته شود؛ زیرا در این دیدگاه هرکس، متن و سخن دیگری را باتوجه به عقل و فهم خود و پیش‌فرض‌های خاصی که دارد، دریافت می‌کند و نباید انتظار داشت همان را که گوینده قصد کرده است، شنونده دریافت کند؛ این در حالی است که انکار وجود مفاهمة واقعی بین افراد بشر در طول تاریخ، حتی در بین کسانی که از دو زبان و فرهنگ متفاوت بوده‌اند، همچون انکار خورشید به هنگام ظهر است</w:t>
      </w:r>
      <w:r>
        <w:rPr>
          <w:rFonts w:eastAsia="IRNazanin" w:cs="IRNazanin"/>
          <w:color w:val="111111"/>
          <w:sz w:val="28"/>
          <w:szCs w:val="28"/>
          <w:rtl w:val="true"/>
          <w:lang w:bidi="fa-IR"/>
        </w:rPr>
        <w:t>.</w:t>
      </w:r>
    </w:p>
    <w:p>
      <w:pPr>
        <w:pStyle w:val="Heading4"/>
        <w:numPr>
          <w:ilvl w:val="3"/>
          <w:numId w:val="1"/>
        </w:numPr>
        <w:rPr/>
      </w:pPr>
      <w:bookmarkStart w:id="72" w:name="__RefHeading___Toc5522568_581953129"/>
      <w:bookmarkStart w:id="73" w:name="_Toc27"/>
      <w:bookmarkEnd w:id="72"/>
      <w:r>
        <w:rPr/>
        <w:t>8</w:t>
      </w:r>
      <w:r>
        <w:rPr>
          <w:rtl w:val="true"/>
        </w:rPr>
        <w:t xml:space="preserve">. </w:t>
      </w:r>
      <w:r>
        <w:rPr>
          <w:rtl w:val="true"/>
        </w:rPr>
        <w:t xml:space="preserve">تفکیک بین معنای مراد مؤلف و </w:t>
      </w:r>
      <w:r>
        <w:rPr>
          <w:rtl w:val="true"/>
        </w:rPr>
        <w:t>«</w:t>
      </w:r>
      <w:r>
        <w:rPr>
          <w:rtl w:val="true"/>
        </w:rPr>
        <w:t>معنا برای ما</w:t>
      </w:r>
      <w:r>
        <w:rPr>
          <w:rtl w:val="true"/>
        </w:rPr>
        <w:t>»</w:t>
      </w:r>
      <w:bookmarkEnd w:id="7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سیالیت معنای متن را در غرب اندیشمندانی چون هیرش در کتاب اعتبار در تفسیر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ValidityinInterpretation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حقوقدان ایتالیایی، امیلیوبتی </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نقدهایش در کتاب هرمنوتیک معاصر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Contemporary Hermeneutics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ایتالیایی به انگلیسی، ترجمه و چاپ شده است، بررسی و نقدکرده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هیرش برخلاف گادامر، از یک سو مؤلف‌محور است و از سوی دیگر معتقد است قائلان به تاریخ‌مندی معنای متن، بین معنای لفظی واصلی متن و معنای اضافی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Meaning -to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آن خلط کرده‌اند؛ درنظر </w:t>
      </w:r>
    </w:p>
    <w:p>
      <w:pPr>
        <w:pStyle w:val="BookText"/>
        <w:rPr/>
      </w:pPr>
      <w:r>
        <w:rPr>
          <w:rFonts w:ascii="IRNazanin" w:hAnsi="IRNazanin" w:eastAsia="IRNazanin"/>
          <w:color w:val="111111"/>
          <w:sz w:val="28"/>
          <w:sz w:val="28"/>
          <w:szCs w:val="28"/>
          <w:rtl w:val="true"/>
          <w:lang w:bidi="fa-IR"/>
        </w:rPr>
        <w:t xml:space="preserve">وی متن معنای ثابتی دارد که همان معنای مراد مؤلف است و آن معنا که تاریخ‌مند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رشتة الفاظ به طور خاص هیچ معنایی ندارند، مگر معنایی که به وسیلةگوینده و مؤلف آن قصد شده است که آن را به دیگران بفهماند؛ ورای آگاهی آدمیان چیزی به نام سرزمین جادویی معانی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که معنا نسبتی با الفاظ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شخصی این ارتباط را برقرارکرده‌است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Hirsh, 1968, p.4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معنای متن، امری متعین و ثابت است و همانی است که مؤلف از آن قصدکرده و این، تغییرناپذیراست و چنین معنای ثابت واحد این قابلیت را داردکه به وسیلة اشخاص مختلف در موقعیت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مختلف، متعلق آگاهی و التفات انسان قرارگیرد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هیرش اندیشة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خودمختاری معنایی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Semantic Autonomy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دردورة متأخر و به علل مختلفی به‌وسیلة هیدگر و پیروانش پیشرفته‌است؛ طرفداران این نظریه وقتی نتوانستند اصول کافی ومتناسب برای قضاوت و حکم به اعتبار یک تفسیر بیابند، به‌ناچار به طور ظالمانه‌ای مؤلف را که عامل تعیین‌کنندة معنای متن بود، ازگردونة فهم متن اخراج وعنان اختیار معنا را برگردن متن نهادند؛ درحالی که آنچه در واقع رخداده است، متن‌محوری نیست؛ بلکه نتیجةکارآنان این شدکه قرائت دیگری یا دیگران از متن را غاصبانه جایگزین معنای مراد مؤلف متن کردند و همین امر موجب درگیری‌های تئوریکی کنونی ماشده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مؤلف اصلی به عنوان تعیین‌کنندةمعنا، انکار و رد تنها اصل ومعیار ایجابی‌ای است که می‌توانست به یک تفسیر اعتبار بخشد و در این صورت منجربه هرج و مرج درتفسیرمی‌گردد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pp.1-2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اگرمعنا بتواند هویتش را تغییر دهد و در واقع تغییر هم می دهد، دیگر هیچ معیاری برای داوری اینکه آیا ما وارد حوزة معنای واقعی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یا نه،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معنای متن در اوصاف و مشخصه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تغییرپذیر است، دیگر راهی برای یافتن سیندرلای واقعی از بین این همه نیست؛ بنابراین وقتی من می‌گویم که معنای لفظی متعین است، اولاً منظورم این است که این معنا هویتی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متعین وقائم به خویش</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Self - Identical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است و ثانیاً این هویت متعین، پایدار و ثابت </w:t>
      </w:r>
      <w:bookmarkStart w:id="74" w:name="pg5923_64864"/>
    </w:p>
    <w:p>
      <w:pPr>
        <w:pStyle w:val="BookText"/>
        <w:rPr/>
      </w:pPr>
      <w:bookmarkEnd w:id="74"/>
      <w:r>
        <w:rPr>
          <w:rFonts w:ascii="IRNazanin" w:hAnsi="IRNazanin" w:eastAsia="IRNazanin"/>
          <w:color w:val="111111"/>
          <w:sz w:val="28"/>
          <w:sz w:val="28"/>
          <w:szCs w:val="28"/>
          <w:rtl w:val="true"/>
          <w:lang w:bidi="fa-IR"/>
        </w:rPr>
        <w:t>است و از یک لحظه و دوره به لحظه ودوره دیگرتغییر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لفظی همانی است که هست و نه چیزدیگر و همواره هم همانی است که هست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 p.46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مطالعه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عرب‌صالحی،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Heading4"/>
        <w:numPr>
          <w:ilvl w:val="3"/>
          <w:numId w:val="1"/>
        </w:numPr>
        <w:rPr/>
      </w:pPr>
      <w:bookmarkStart w:id="75" w:name="__RefHeading___Toc5522570_581953129"/>
      <w:bookmarkStart w:id="76" w:name="_Toc28"/>
      <w:bookmarkEnd w:id="75"/>
      <w:r>
        <w:rPr/>
        <w:t>9</w:t>
      </w:r>
      <w:r>
        <w:rPr>
          <w:rtl w:val="true"/>
        </w:rPr>
        <w:t xml:space="preserve">. </w:t>
      </w:r>
      <w:r>
        <w:rPr>
          <w:rtl w:val="true"/>
        </w:rPr>
        <w:t>لزوم تفکیک بین تغییر معنای متن و ظهور لایه‌های پنهان معنا</w:t>
      </w:r>
      <w:bookmarkEnd w:id="76"/>
    </w:p>
    <w:p>
      <w:pPr>
        <w:pStyle w:val="BookText"/>
        <w:rPr/>
      </w:pPr>
      <w:r>
        <w:rPr>
          <w:rFonts w:ascii="IRNazanin" w:hAnsi="IRNazanin" w:eastAsia="IRNazanin"/>
          <w:color w:val="111111"/>
          <w:sz w:val="28"/>
          <w:sz w:val="28"/>
          <w:szCs w:val="28"/>
          <w:rtl w:val="true"/>
          <w:lang w:bidi="fa-IR"/>
        </w:rPr>
        <w:t>در خصوص متون دینی باید بین تغییر معنای متن با آنچه اهل معنا در بارۀ درک معانی گوناگون از یک متن بر حسب مراتب هستی و کمال انسان می‌گویند، تمایز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بیشتر در متون و نصوص دینی مطرح شده است که از ناحیه مبدأ نامحدود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این معانی از یک دید طبیعی و ظاهری از الفاظ برداشت نمی‌شود، بلکه در اثر ارتباط با باطن هستی درک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بطون معانی آیات وارد شده و به عنوان مراتب مختلف شناخت از یک نص دینی مطرح است، امری بیگانه از سیالیت معنای متن و تغییر آن است؛ زیرا در این موارد یک نص می‌تواند در آنِ واحد متحمل همۀ معانی باشد و همه هم درست باشد و هر کس به تناسب مراتب روحی خود معنا یا معانی خاصی را از آیه برداشت کند و چه بسا کسی که همۀ مراتب وجودی کمال را پیموده باشد، همه معانی را یکجا از متن یک آیه یا نص دینی بفهمد؛ در حالی که بنا بر سیالیت معنای متن، وقتی متن معنای جدیدی به خود گرفت، دیگر معنای سابق را ندارد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یک معنی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عمیق‌تر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اهل معنی و عرفان در فهم قرآن مطرح شده است که به نظر می‌رسد نظریه صائب و درستی 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قرآن است به مراتب هستی که معادل است با هستی خود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فرض کنید در قرآن تعبیر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انگورمی‌خورند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این جمله درست است، ولی معنای عمیق‌تری نیز دارد؛ به این دلیل که عنب مادی متناسب با مرحله مادی از وجود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مرحله عمیق‌تر، انسان صرفاً بدن مادی نیست و خداوند که به انسان خطاب کرده است که تو به بهشت می‌روی، ممکن نیست بهشت تنها جهات مادی او را تأمین کند و به بقیه مراتب وجودی او توجهی نشود؛ در حالی که خطاب به انسان باتمام مراتب وجودی‌اش تعلق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به بدن مادی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مرحوم علامه و فیض در مقدمه تفسیر خود و بیشتر عرفا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حکیم در حاشیه کفایه از </w:t>
      </w:r>
    </w:p>
    <w:p>
      <w:pPr>
        <w:pStyle w:val="BookText"/>
        <w:rPr/>
      </w:pPr>
      <w:r>
        <w:rPr>
          <w:rFonts w:ascii="IRNazanin" w:hAnsi="IRNazanin" w:eastAsia="IRNazanin"/>
          <w:color w:val="111111"/>
          <w:sz w:val="28"/>
          <w:sz w:val="28"/>
          <w:szCs w:val="28"/>
          <w:rtl w:val="true"/>
          <w:lang w:bidi="fa-IR"/>
        </w:rPr>
        <w:t>یکی از اساتید اهل معنا در نجف گزارش می‌دهد که آن بزرگ در سی روز یک آیه را سی بارمعنی کرد و شاگردان اذعان می‌کردند که معنی ارائه‌شده از آن آیه در هر روز عمیق‌تر از معنای ارائه‌شده روز قبل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می‌خواهیم بفهمیم که این عمیق‌ترشدن معنی چیست؟ راهی که اهل معنی دارند، پذیرفتنی است، اما مورد بحث ما نیست؛ بحث ما در دید طبیعی و عادی است که همگان از آن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عمیق‌تربودن معنی در این دید به چه صورت است؟ چون در فقه ما با همین معنای عادی که همگان از متن استظهار می‌کنند، سروکار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تعمق اهل معنی در مرتبه ظاهر نیست و خود آنها نیز چنین ادعایی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باطن و مراتب هستی تعمیق معنی را تفسیر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تقریرات درس خارج اصول استاد آملی لاریجانی، جلسه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9/8/79</w:t>
      </w:r>
      <w:r>
        <w:rPr>
          <w:rFonts w:ascii="IRNazanin" w:hAnsi="IRNazanin" w:eastAsia="IRNazanin"/>
          <w:color w:val="111111"/>
          <w:sz w:val="28"/>
          <w:sz w:val="28"/>
          <w:szCs w:val="28"/>
          <w:rtl w:val="true"/>
          <w:lang w:bidi="fa-IR"/>
        </w:rPr>
        <w:t>،جزوه تایپ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مرتبط با همین بحث، محقق و صاحب‌نظر دیگری چنین می‌نویسد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مبحث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نامحدود قرار گرفته‌ایم؛ زیرا کتاب خدا از آنجا که حاوی علم خداست، هیچ محدودیت ندارد و احادیث از حیث صدور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علم لدنی می‌باشند و علم لدنی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احادیث نیز از حیث صدور از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حیث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محدودیت ندارند؛ چنان‌که متن کتاب خدا حاوی همۀ معانی ممکن و اکتشاف‌پذیر از متن می‌باشد و مراتب معانی را هم پوشش می‌دهد و حتی مراتب نفس‌الامر را در مدلول‌های خود منظور می‌دارد و بدین جهت هیچ‌گاه توانایی دلالت آن پایان نمی‌پذیرد و شگفتی‌هایش سپری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صادر‌شده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چون دربردارندۀ علم لدنی‌اند، دربردارندۀ همۀ معانی ممکن و اکتشاف‌پذیر و همۀ مراتب آنها در دلالت و در نفس‌الامر می‌باشند؛ اما ما محدود و تدریجی‌العلم هستیم و افزون بر این در معرض خطا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محدود و تدریجی می‌توانیم معانی متون را از طریق دلالات آنها تحصیل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می‌توانیم به اندازه ظرفیت خویش از متون دینی اکتشاف نماییم و سپس به استخراج و آن‌گاه به استنباط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که استوار‌شدۀ بر عنصر کاشفیت و دلالت است، در کلیت خود روش اکتشافی </w:t>
      </w:r>
      <w:bookmarkStart w:id="77" w:name="pg5923_64866"/>
    </w:p>
    <w:p>
      <w:pPr>
        <w:pStyle w:val="BookText"/>
        <w:rPr/>
      </w:pPr>
      <w:bookmarkEnd w:id="77"/>
      <w:r>
        <w:rPr>
          <w:rFonts w:ascii="IRNazanin" w:hAnsi="IRNazanin" w:eastAsia="IRNazanin"/>
          <w:color w:val="111111"/>
          <w:sz w:val="28"/>
          <w:sz w:val="28"/>
          <w:szCs w:val="28"/>
          <w:rtl w:val="true"/>
          <w:lang w:bidi="fa-IR"/>
        </w:rPr>
        <w:t xml:space="preserve">تفسیر متون است که از حیث مشخصه‌ها متمایز است از روش هرمنوتیک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مصاحبه با استاد عابدی شاهرودی،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605</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نگاه، حتی اگر فی‌الجمله پذیرفته شود، متون دینی، مراتب معنا یا معانی ثابتی دارند و این معرفت ماست که سیال است و این ما هستیم که به دلیل محدودیت خود به یکباره توان تحمل و درک همه مراتب معانی متون و نصوص دینی را نداریم و چه بسا با رسیدن به معنایی جدید بپنداریم که معنای متن تغییر کرده است؛ در حالی که متن از اول حاوی و حامل همه این معانی یا مراتب معنا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محذورات نظریه سیالیت دلالت و معنا در خصوص متون دینی بسیار بیشتر از موارد مذکور در مورد مطلق متون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انتقال دین واقعی به انسان، بشری‌شدن دین و خطاپذیری آن، لزوم تغییر مستمر دین، عصری‌شدن دین، هرج‌ومرج دینی، انکار معیارها و آموزه‌های ثابت برای دین از جمله این محذورات است که البته بسیاری از نواعتزالیان این محذورات را می‌پذیرند و مورد اعتقاد آنان نیز هست؛ اما نکته اصلی در اینجاست که دینی با چنین خصوصیات، الزامی بر پایبندی به آن نیست؛ هیچ عقلی انسان را ملزم نمی‌کند که به آورده بشری مثل خودش که خطاپذیر و تاریخمند است، متعهد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عرب‌صالحی،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Heading3"/>
        <w:numPr>
          <w:ilvl w:val="2"/>
          <w:numId w:val="1"/>
        </w:numPr>
        <w:rPr/>
      </w:pPr>
      <w:bookmarkStart w:id="78" w:name="__RefHeading___Toc5522572_581953129"/>
      <w:bookmarkStart w:id="79" w:name="_Toc29"/>
      <w:bookmarkEnd w:id="78"/>
      <w:r>
        <w:rPr>
          <w:rtl w:val="true"/>
        </w:rPr>
        <w:t>نتیجه‌گیری</w:t>
      </w:r>
      <w:bookmarkEnd w:id="7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برایند مباحث در این مقاله به اینجا منتهی می‌شود که دیدگاه اعتزال نو در سیال‌دانستن دلالت و معنای متن نوعاً برگرفته از هرمنوتیک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سیالیت معنای متن فی‌نفسه دچار اشکالات فراوانی است و در خصوص متون دینی دچار ایرادهای دوچندانی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هسته‌های ثابت معنایی، امری است که با سیالیت معنای متن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بین تعمیق و توسعه معرفت با سیالیت دلالت و معنا، خلط بین شرح‌اللفظ با مای حقیقیه، وجود معانی ثابت برای متون در طول تاریخ، سد باب مفاهمه و لزوم انحراف دلالی به جای انتقال دلالی از دیگر مواردی بود که این نظر در مطلق متون با آن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پاسخ‌ها به این نکته هم پرداخته شد که فرق است بین سیالیت معنای متن و ظهور لایه‌های پنهان معنا؛ </w:t>
      </w:r>
      <w:bookmarkStart w:id="80" w:name="pg5923_64867"/>
    </w:p>
    <w:p>
      <w:pPr>
        <w:pStyle w:val="BookText"/>
        <w:rPr/>
      </w:pPr>
      <w:bookmarkEnd w:id="80"/>
      <w:r>
        <w:rPr>
          <w:rFonts w:ascii="IRNazanin" w:hAnsi="IRNazanin" w:eastAsia="IRNazanin"/>
          <w:color w:val="111111"/>
          <w:sz w:val="28"/>
          <w:sz w:val="28"/>
          <w:szCs w:val="28"/>
          <w:rtl w:val="true"/>
          <w:lang w:bidi="fa-IR"/>
        </w:rPr>
        <w:t>همچنان‌که بین سیالیت معنا و بطون معنایی که در روایات برای قرآن قائل شده است، تمایز داده شد</w:t>
      </w:r>
      <w:r>
        <w:rPr>
          <w:rFonts w:eastAsia="IRNazanin" w:cs="IRNazanin"/>
          <w:color w:val="111111"/>
          <w:sz w:val="28"/>
          <w:szCs w:val="28"/>
          <w:rtl w:val="true"/>
          <w:lang w:bidi="fa-IR"/>
        </w:rPr>
        <w:t>.</w:t>
      </w:r>
    </w:p>
    <w:p>
      <w:pPr>
        <w:pStyle w:val="Heading3"/>
        <w:numPr>
          <w:ilvl w:val="2"/>
          <w:numId w:val="1"/>
        </w:numPr>
        <w:rPr/>
      </w:pPr>
      <w:bookmarkStart w:id="81" w:name="__RefHeading___Toc5522574_581953129"/>
      <w:bookmarkStart w:id="82" w:name="_Toc30"/>
      <w:bookmarkEnd w:id="81"/>
      <w:r>
        <w:rPr>
          <w:rtl w:val="true"/>
        </w:rPr>
        <w:t>منابع و مآخذ</w:t>
      </w:r>
      <w:bookmarkEnd w:id="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آرکون، محمد؛ تاریخیة الفکر العربی الاسلامی؛ ترجمه هاشم صالح؛ الطبعة الثانیة،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الانماء القومی و المرکز الثقافی العربی،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ابوزید، نصر حامد؛ نقد گفتمان دینی؛ ترجمه حسن یوسفی اشکوری و محمد جواهرکلام؛ چ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یادآوران،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تیزینی، طیب؛ النص القرآنی امام اشکالیة البنیة و القراءة؛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دارالینابیع،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سیدحمید‌رضا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جایگاه‌شناسی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به سوی تحول؛ چ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مرکز مدیریت حوزه علمیه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حنفی،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الهرمنیوطیقا و علوم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قضایا اسلامیة معاصرة؛ ش</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العقیدة الی الثورة؛ القاهره، مکتبة مدبولی،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سروش، عبدالکریم؛ بسط تجربه نبوی؛ چ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صراط،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قبض و بسط تئوریک شریعت؛ چ پنجم،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صراط،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وحی و نبوت، پیرامون بسط تجربه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ماهنامه آفتاب، ش</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الشافعی، حسنی محمد بهی‌الدین؛ التیار العلمانی الحدیث و موقفه من تفسیر القرآن الکریم؛ الطبعة الاولی، 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الیسر،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عرب‌صالحی، محمد؛ فهم در دام تاریخی‌نگری؛ چ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پژوهشگاه فرهنگ و اندیشه اسلامی،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جریان‌شناسی نواعتزال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جریان‌شناسی و نقد اعتزال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اندیشه اسلامی،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تاریخی‌نگری و دین؛ چ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پژوهشگاه فرهنگ و اندیشه اسلامی،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حرب؛ نقد النص؛ الطبعة الرابعة،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البیضاء،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عماره، محمد؛ قراءة النص الدینی بین التأویل الغربی و التأویل الاسلامی؛الطبعة الاولی، 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الشروق الدولیة،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گلی، جواد و حسن یوسفیان؛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شناسی نومعتزله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کلامی،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لاریجانی،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خارج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جزوه تایپی،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مختاری، حمزه‌علی؛ اعتبار در تفسیر نزد هیرش؛ پایان نامه کارشناسی ارشد، دانشگاه پردیس قم،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Gadamer, Hans-Georg; Truth and Method; Second Revised Edition Translated by</w:t>
      </w:r>
    </w:p>
    <w:p>
      <w:pPr>
        <w:pStyle w:val="BookText"/>
        <w:rPr/>
      </w:pPr>
      <w:r>
        <w:rPr>
          <w:rFonts w:eastAsia="Times New Roman" w:cs="Times New Roman" w:ascii="Times New Roman" w:hAnsi="Times New Roman"/>
          <w:color w:val="111111"/>
          <w:sz w:val="28"/>
          <w:szCs w:val="28"/>
          <w:lang w:val="en-US" w:bidi="en-US"/>
        </w:rPr>
        <w:t>Joel Weinsheimer and Donald G. Marshal; New York,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Hirsch, E. D.; Validity in Interpretation; New Haven and London, Yale university</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press, 1967</w:t>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5923_64870"/>
      <w:bookmarkStart w:id="84" w:name="pg5923_64870"/>
      <w:bookmarkEnd w:id="84"/>
    </w:p>
    <w:p>
      <w:pPr>
        <w:pStyle w:val="Heading2"/>
        <w:numPr>
          <w:ilvl w:val="1"/>
          <w:numId w:val="1"/>
        </w:numPr>
        <w:rPr/>
      </w:pPr>
      <w:bookmarkStart w:id="85" w:name="pg5923_64870"/>
      <w:bookmarkStart w:id="86" w:name="__RefHeading___Toc5522576_581953129"/>
      <w:bookmarkStart w:id="87" w:name="_Toc31"/>
      <w:bookmarkEnd w:id="85"/>
      <w:bookmarkEnd w:id="86"/>
      <w:r>
        <w:rPr>
          <w:rtl w:val="true"/>
        </w:rPr>
        <w:t xml:space="preserve">یقین در فلسفة اشراق </w:t>
      </w:r>
      <w:r>
        <w:rPr>
          <w:rtl w:val="true"/>
        </w:rPr>
        <w:t xml:space="preserve">/ </w:t>
      </w:r>
      <w:r>
        <w:rPr>
          <w:rtl w:val="true"/>
        </w:rPr>
        <w:t>مهدی عباس‌زاده</w:t>
      </w:r>
      <w:bookmarkEnd w:id="87"/>
    </w:p>
    <w:p>
      <w:pPr>
        <w:pStyle w:val="Heading3"/>
        <w:numPr>
          <w:ilvl w:val="2"/>
          <w:numId w:val="1"/>
        </w:numPr>
        <w:rPr/>
      </w:pPr>
      <w:bookmarkStart w:id="88" w:name="__RefHeading___Toc5522578_581953129"/>
      <w:bookmarkStart w:id="89" w:name="_Toc32"/>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مهدی عباس‌زاده</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9/8/92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21/10/92</w:t>
      </w:r>
    </w:p>
    <w:p>
      <w:pPr>
        <w:pStyle w:val="Heading3"/>
        <w:numPr>
          <w:ilvl w:val="2"/>
          <w:numId w:val="1"/>
        </w:numPr>
        <w:rPr/>
      </w:pPr>
      <w:bookmarkStart w:id="90" w:name="__RefHeading___Toc5522580_581953129"/>
      <w:bookmarkStart w:id="91" w:name="_Toc33"/>
      <w:bookmarkEnd w:id="90"/>
      <w:r>
        <w:rPr>
          <w:rtl w:val="true"/>
        </w:rPr>
        <w:t>چکیده</w:t>
      </w:r>
      <w:bookmarkEnd w:id="9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بسیار اساسی معرفت‌شناسی است؛ تا آنجا که شاید هیچ مکتب معرفت‌شناختی مطرحی را نتوان یافت که اثباتاً یا نفیاً دربارة یقین و امکان و شرایط آن، بحثی به میان نیاورده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معرفت‌شناسی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معرفت‌شناسی 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است یقین‌گرا؛ بدین معناکه شناخت غیریقینی را معرفت حقیقی تلقی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اجمالاً بر دو بخش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معرفت‌شناختی و یقین روان‌شناختی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معرفت‌شناختی، یقینی است که از نظرگاه منطقی و فلسفی یقین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معرفت‌شناختی، به نوبة خود، بر دوبخش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و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عقلی، حاصل استدلال عقلی و برهان است و یقین شهودی، حاصل تجربة مستقیم انسان از واقعیتِ برون‌ذهنی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درون‌ذهنی، بدون واسطة صورت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روان‌شناختی عمدتاً از سنخ اقناع است و از نظرگاه منطقی و فلسفی یقین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به یقین معرفت‌شناختی و اقسام آن در </w:t>
      </w:r>
      <w:bookmarkStart w:id="92" w:name="pg5923_64871"/>
    </w:p>
    <w:p>
      <w:pPr>
        <w:pStyle w:val="BookText"/>
        <w:rPr/>
      </w:pPr>
      <w:bookmarkEnd w:id="92"/>
      <w:r>
        <w:rPr>
          <w:rFonts w:ascii="IRNazanin" w:hAnsi="IRNazanin" w:eastAsia="IRNazanin"/>
          <w:color w:val="111111"/>
          <w:sz w:val="28"/>
          <w:sz w:val="28"/>
          <w:szCs w:val="28"/>
          <w:rtl w:val="true"/>
          <w:lang w:bidi="fa-IR"/>
        </w:rPr>
        <w:t>تفکر سهروردی همراه با اشاره‌ای اجمالی به دیدگاه او دربارة یقین روان‌شناختی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سهروردی، یقین، معرفت، برهان، شهود، بدیهی، اشراق</w:t>
      </w:r>
      <w:r>
        <w:rPr>
          <w:rFonts w:eastAsia="IRNazanin" w:cs="IRNazanin"/>
          <w:color w:val="111111"/>
          <w:sz w:val="28"/>
          <w:szCs w:val="28"/>
          <w:rtl w:val="true"/>
          <w:lang w:bidi="fa-IR"/>
        </w:rPr>
        <w:t>.</w:t>
      </w:r>
    </w:p>
    <w:p>
      <w:pPr>
        <w:pStyle w:val="Heading3"/>
        <w:numPr>
          <w:ilvl w:val="2"/>
          <w:numId w:val="1"/>
        </w:numPr>
        <w:rPr/>
      </w:pPr>
      <w:bookmarkStart w:id="93" w:name="__RefHeading___Toc5522582_581953129"/>
      <w:bookmarkStart w:id="94" w:name="_Toc34"/>
      <w:bookmarkEnd w:id="93"/>
      <w:r>
        <w:rPr/>
        <w:t>1</w:t>
      </w:r>
      <w:r>
        <w:rPr>
          <w:rtl w:val="true"/>
        </w:rPr>
        <w:t xml:space="preserve">. </w:t>
      </w:r>
      <w:r>
        <w:rPr>
          <w:rtl w:val="true"/>
        </w:rPr>
        <w:t>معنای یقین</w:t>
      </w:r>
      <w:bookmarkEnd w:id="94"/>
    </w:p>
    <w:p>
      <w:pPr>
        <w:pStyle w:val="BookText"/>
        <w:rPr/>
      </w:pPr>
      <w:r>
        <w:rPr>
          <w:rFonts w:ascii="IRNazanin" w:hAnsi="IRNazanin" w:eastAsia="IRNazanin"/>
          <w:color w:val="111111"/>
          <w:sz w:val="28"/>
          <w:sz w:val="28"/>
          <w:szCs w:val="28"/>
          <w:rtl w:val="true"/>
          <w:lang w:bidi="fa-IR"/>
        </w:rPr>
        <w:t>در یک نگاه کلی، یقین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معرفت‌شناختی و یقین روان‌شناختی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سهروردی در التلویحات اللوحیة و العرشیة یقین معرفت‌شناختی 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یقین عبارت است از باور به اینکه چیزی چنان است و تصور نمی‌شود که آن چیز، مطابق با امرِ فی‌نفسه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تعریف فوق، توجه به چند نکته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آنگونه که ابن‌کمّونه در شرح التلویحات توضیح می‌دهد، بخش نخست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به اینکه چیزی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مطرح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تعریف خارج سازد؛</w:t>
      </w:r>
      <w:r>
        <w:rPr>
          <w:rStyle w:val="FootnoteAnchor"/>
          <w:rtl w:val="true"/>
        </w:rPr>
        <w:footnoteReference w:id="7"/>
      </w:r>
      <w:r>
        <w:rPr>
          <w:rFonts w:ascii="IRNazanin" w:hAnsi="IRNazanin" w:eastAsia="IRNazanin"/>
          <w:color w:val="111111"/>
          <w:sz w:val="28"/>
          <w:sz w:val="28"/>
          <w:szCs w:val="28"/>
          <w:rtl w:val="true"/>
          <w:lang w:bidi="fa-IR"/>
        </w:rPr>
        <w:t xml:space="preserve">چه اگر انسان به معلوم یا متعلَق معرفت خویش باور یا اعتقاد جازم نداشته باشد، در واقع نه در حالت یقین، بلکه در حالت ظن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ابن‌کمّونه،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توضیح ابن‌کمّونه، بخش دوم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نمی‌شود که آن چیز، مطابق با امرِ فی‌نفسه، چنان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مطرح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تعریف خارج سازد؛ چه اگر تصور شود که آن چیز در نفس‌الأمر چنان نیست، اولاً آن علم در واقع عدم علم یا جهل بوده است، چه متضاد آن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همین عدم علم یا جهل نیز برای انسان مجهول بوده است و این، به معنای جهل مرکّب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ابن‌کمّونه،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معرفت‌شناختی خود بر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معرفت‌شناختی عام </w:t>
      </w:r>
    </w:p>
    <w:p>
      <w:pPr>
        <w:pStyle w:val="BookText"/>
        <w:rPr/>
      </w:pPr>
      <w:r>
        <w:rPr>
          <w:rFonts w:ascii="IRNazanin" w:hAnsi="IRNazanin" w:eastAsia="IRNazanin"/>
          <w:color w:val="111111"/>
          <w:sz w:val="28"/>
          <w:sz w:val="28"/>
          <w:szCs w:val="28"/>
          <w:rtl w:val="true"/>
          <w:lang w:bidi="fa-IR"/>
        </w:rPr>
        <w:t>عبارت است از این که یک معرفت یا یک گزاره مطابق با نفس‌الأمر است، همراه با عدم امکان تصور اینکه آن معرفت یا گزاره مطابق با نفس الأمر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معرفت‌شناختی خاص نیز آنگاه تحقق می‌یابد که زوال دو مورد پیشین در آینده نیز محال باشد و چنین یقینی از یقین عام، معتبرتر است و مراد از یقین معرفت‌شناختی در تفکر اسلامی، به معنای دقیق کلمه، همین بخش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ابن‌سینا اینگونه یقین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است؛ در مقابل یقین غیردائم که خصوصیت همیشگی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چنان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در بدو امر نشان دهد که علم آن‌گاه پدید می‌آید که تصدیق یا حکمی صورت گرفته باشد؛ یعنی محمولی بر موضوعی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آن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باشد؛ یعنی علم صرفاً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گزاره‌ای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propositionalknowledge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اینکه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knowledgethat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اطلاق می‌شود؛ چنان‌که اکثریت قریب‌به اتفاق معرفت‌شناسان جدید و معاصر غربی بر این باورند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سهروردی تصورات را نیز علم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درالمشارع و المطارحات توضیح می‌دهد که برخی تردید دارند که آیا علم صرفاً تصدیق است یا تصور 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اگر علم صرفاً تصدیق باشد، تصور علم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سخن، درست نیست؛ چه مسلّم است که تصور یا مفهوم اشیا نزد نفس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یا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علم صرفاً بر تصور اطلاق شود، تصدیق علم نخواهد بود؛ زیرا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تصورات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فی‌نفسه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نیز درست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رأی و نظر در این‌باره که چیزی چنان است و اینکه تصور نمی‌شود که آن چیز، مطابق با امرِ فی‌نفسه، چنان نیست و طبق این تعریف، حصول علم به واسطة تصدیق و حکم صورت می‌گیرد و لذا نمی‌توان تصدیق را علم ندانست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623</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به باور سهروردی، علم به نحو مشترک بر تصور و تصدیق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پرسش شود که تقسیم علم به تصور و تصدیق چگونه درست است، پاسخ </w:t>
      </w:r>
    </w:p>
    <w:p>
      <w:pPr>
        <w:pStyle w:val="BookText"/>
        <w:rPr/>
      </w:pPr>
      <w:r>
        <w:rPr>
          <w:rFonts w:ascii="IRNazanin" w:hAnsi="IRNazanin" w:eastAsia="IRNazanin"/>
          <w:color w:val="111111"/>
          <w:sz w:val="28"/>
          <w:sz w:val="28"/>
          <w:szCs w:val="28"/>
          <w:rtl w:val="true"/>
          <w:lang w:bidi="fa-IR"/>
        </w:rPr>
        <w:t>سهروردی این است که علم، مشترک لفظی است؛ اما مفاهیم یا معانی آن بر حسب اصطلاح‌ها مختلف می‌شوند و بدین‌سان علم هم تصور را در بر می‌گیرد و هم تصدیق را؛ لکن اطلاق علم بر تصور به یک معناست و اطلاق آن بر تصدیق، به معنایی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نباید پنداشت که علم، به معنای واحد، بر تصور و تصدیق اطلاق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سهروردی در عین حال توضیح می‌دهد که تقسیم علم به تصور و تصدیق در ابتدای کتب منطقی به نحو تسامحی است؛ چه در این مواضع اساساً جای تدقیق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احتیاط‌آمیزترین تقسیمات علم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یا تصورِ صرف است و یا تصوری که تصدیق با آن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تصور در هر دو قسم لحاظ شده، هر دو قسم در تصور، مشترکاند و تنها بر قسم دوم است که تصدیق افزوده شده و تصدیق همان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به نظر سهروردی در این تعریف نیز در واقع علم صرفاً بر تصور اطلاق شده است، به سه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تصور به تصور ساده و تصور همراه با تصدیق تقسیم شده است و لذا برای تصدیق، شأن استقلالی 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تصدیق همان حکم است و حکم نیز همان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وقوع نسبتِ میان موضوع و محمول یا قطع نسبتِ میان 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ادراکِ فعل، همان 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آن‌گاه که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تعقل کردیم، آن فعل را تصور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تصور گاه تصورِ امور خارجی است و گاه تصورِ احکام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تصدیقات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623</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یقینی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با امرِ فی‌نفسه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معرفتی مطابق با واقع نباشد، صادق نخواهد بود و لذا هیچ یقینی به دست نخواهد داد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نفس‌الأمر یا واقع صرفاً معادل عالَم خارج نیست، بلکه در مورد گزاره‌های مختلف، متفاوت است؛ مثلاً نفس‌الأمر یا واقع در گزاره‌های ذهنیه، خودِ ذهن است؛ در گزاره‌های خارجیه، عین و خارج است و در گزاره‌های حقیقیه، ظرفِ بالفعل یا غیر بالفعلِ تحقق موضوعِ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نفس‌الأمر یا واقع، اعم از ذهن و خارج است و </w:t>
      </w:r>
    </w:p>
    <w:p>
      <w:pPr>
        <w:pStyle w:val="BookText"/>
        <w:rPr/>
      </w:pPr>
      <w:r>
        <w:rPr>
          <w:rFonts w:ascii="IRNazanin" w:hAnsi="IRNazanin" w:eastAsia="IRNazanin"/>
          <w:color w:val="111111"/>
          <w:sz w:val="28"/>
          <w:sz w:val="28"/>
          <w:szCs w:val="28"/>
          <w:rtl w:val="true"/>
          <w:lang w:bidi="fa-IR"/>
        </w:rPr>
        <w:t>در هر گزاره‌ای مطابقت با نفس‌الأمر یا واقع خاصِ همان گزاره مطرح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یقین نزد سهروردی مجموعاً دارای سه مؤلّفه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مفاد گزاره، باور به انتفای نقیض و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مؤلفه‌های اول و دوم قابل ادغاماند و در این صورت از ادغام آنها 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و لذا یقین دارای دو عنصر جزم و صدق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یقین را می‌توان از سنخ یقین معرفت‌شناختی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و شهودی</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یقین عقلی، نتیجة استدلال عقلی و به‌ویژه برهان است و یقین شهودی، حاصل تجربة مستقیم انسان از واقعیتِ برون‌ذهنی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درون‌ذهنی، بدون وساطت صورت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شهودی، در تفکر سهروردی، دارای چهار قسم یا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حاصل از ادراک ذات یا خودآگاهی، یقین حاصل از شهود حسی، یقین حاصل از شهود امور خیالی یا مثالی و یقین حاصل از شهود قلبی</w:t>
      </w:r>
      <w:r>
        <w:rPr>
          <w:rFonts w:eastAsia="IRNazanin" w:cs="IRNazanin"/>
          <w:color w:val="111111"/>
          <w:sz w:val="28"/>
          <w:szCs w:val="28"/>
          <w:rtl w:val="true"/>
          <w:lang w:bidi="fa-IR"/>
        </w:rPr>
        <w:t>.</w:t>
      </w:r>
      <w:r>
        <w:rPr>
          <w:rStyle w:val="FootnoteAnchor"/>
          <w:rtl w:val="true"/>
        </w:rPr>
        <w:footnoteReference w:id="1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شهودِ ناظر به ادراک ذات یا 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انسان به واقعیت درون‌ذهنی، مشتمل بر علم انسان به خود، به قوا و شئون و حالات خود و به وجود بدن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علم انسان به مفاهیم و احکامِ موجود در ذهن خود به نحو مستقیم و بدون وساطت صورت ذهنی و لذا از سنخ علم حضوری شهودی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حسی عبارت است از درکِ حسی مستقیم خودِ اشیای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شهود خیالی یا مثالی عبارت است از درک حسی مستقیمِ امور خیالی یا مثالی و شهود قلبی عبارت است از درک مستقیم و بدون </w:t>
      </w:r>
      <w:bookmarkStart w:id="95" w:name="pg5923_64875"/>
    </w:p>
    <w:p>
      <w:pPr>
        <w:pStyle w:val="BookText"/>
        <w:rPr/>
      </w:pPr>
      <w:bookmarkEnd w:id="95"/>
      <w:r>
        <w:rPr>
          <w:rFonts w:ascii="IRNazanin" w:hAnsi="IRNazanin" w:eastAsia="IRNazanin"/>
          <w:color w:val="111111"/>
          <w:sz w:val="28"/>
          <w:sz w:val="28"/>
          <w:szCs w:val="28"/>
          <w:rtl w:val="true"/>
          <w:lang w:bidi="fa-IR"/>
        </w:rPr>
        <w:t>وساطتِ صورت ذهنی از انوار و مجردات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یقین شهودی در نوشتار حاضر صرفاً شهود قلبی است که به باور سهروردی، برترین مرتبة شهود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روان‌شناختی نیز به معنای سکون و آرامش قلبی انسان نسبت به مطلقِ آگاهیِ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 که واقعاً صادق باشد یا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عمدتاً از سنخ اقناع است و از نظر منطقی و فلسفی، یقینِ حقیقی به شمار نمی‌رود؛ اما 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پس از این ملاحظه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بسیار اجمالی بدان اشاره‌کرده است</w:t>
      </w:r>
      <w:r>
        <w:rPr>
          <w:rFonts w:eastAsia="IRNazanin" w:cs="IRNazanin"/>
          <w:color w:val="111111"/>
          <w:sz w:val="28"/>
          <w:szCs w:val="28"/>
          <w:rtl w:val="true"/>
          <w:lang w:bidi="fa-IR"/>
        </w:rPr>
        <w:t>.</w:t>
      </w:r>
    </w:p>
    <w:p>
      <w:pPr>
        <w:pStyle w:val="Heading3"/>
        <w:numPr>
          <w:ilvl w:val="2"/>
          <w:numId w:val="1"/>
        </w:numPr>
        <w:rPr/>
      </w:pPr>
      <w:bookmarkStart w:id="96" w:name="__RefHeading___Toc5522584_581953129"/>
      <w:bookmarkStart w:id="97" w:name="_Toc35"/>
      <w:bookmarkEnd w:id="96"/>
      <w:r>
        <w:rPr/>
        <w:t>2</w:t>
      </w:r>
      <w:r>
        <w:rPr>
          <w:rtl w:val="true"/>
        </w:rPr>
        <w:t xml:space="preserve">. </w:t>
      </w:r>
      <w:r>
        <w:rPr>
          <w:rtl w:val="true"/>
        </w:rPr>
        <w:t>یقین از طریق برهان</w:t>
      </w:r>
      <w:bookmarkEnd w:id="97"/>
    </w:p>
    <w:p>
      <w:pPr>
        <w:pStyle w:val="BookText"/>
        <w:rPr/>
      </w:pPr>
      <w:r>
        <w:rPr>
          <w:rFonts w:ascii="IRNazanin" w:hAnsi="IRNazanin" w:eastAsia="IRNazanin"/>
          <w:color w:val="111111"/>
          <w:sz w:val="28"/>
          <w:sz w:val="28"/>
          <w:szCs w:val="28"/>
          <w:rtl w:val="true"/>
          <w:lang w:bidi="fa-IR"/>
        </w:rPr>
        <w:t>سهروردی در دوره مشائی تفکر خویش، در بخش منطق التلویحات، برهان را مهم‌ترین و محکم‌ترین قسم قیاس و طبعاً به شرط وجود ماده و صورت صحیح، یقین‌آور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طبق تعریف او، عبارت است از قیاسی که از مقدمات یقینی تألیف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توضیح می‌دهد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برهان، بهتر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واجبهًْ‌القبول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مشائیان در تعریف برهان به کار 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برهان گاه از مقدماتی تشکیل می‌شود که نه بذاتها بیّن اند و نه واجبة القبول، اما یقینی‌اند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اعم از بیّن بذاته و دیگر اقسام یقینیات باشد، قیدِ پیش‌گفته مناسب خواهد بود و اساساً برهان همین‌گونه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547</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سهروردی در بخش منطق حکمة‌الإشراق نیز آشکارا اذعان می‌کند که علم و معرفت حقیقی و یقین‌آور، علمی است که روش برهانی را به کار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حقیقی صرفاً از برهان بهره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 در توضیح دیدگاه سهروردی بیان می‌دارد که برهان از این جهت مهم‌ترین بخش قیاس است که آنچه را انسان به واسطة آن عالِم و حکیم می‌شود،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اقسام دیگر قیاس نمی‌توانند چنین کمالی را به دست دهند، بلکه انسان را در نهایت و در بهترین فرض، جدلی یا خطیب یا سفسطی یا شاعر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قیاس برهانی که مایه یقین است، همانا علم حقیقی، ثابت و دائمی است که با ظن، تخیل و غلط آمیخته نمی‌شود و تأیید یک فرد یا </w:t>
      </w:r>
    </w:p>
    <w:p>
      <w:pPr>
        <w:pStyle w:val="BookText"/>
        <w:rPr/>
      </w:pPr>
      <w:r>
        <w:rPr>
          <w:rFonts w:ascii="IRNazanin" w:hAnsi="IRNazanin" w:eastAsia="IRNazanin"/>
          <w:color w:val="111111"/>
          <w:sz w:val="28"/>
          <w:sz w:val="28"/>
          <w:szCs w:val="28"/>
          <w:rtl w:val="true"/>
          <w:lang w:bidi="fa-IR"/>
        </w:rPr>
        <w:t xml:space="preserve">اعتراف عموم، اعتباری در آن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صدرالمتألّهین،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 همچنین ماده قیاس برهانی را ترتیب‌یافته از معلومات یقینی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از آنجا که یقین را به دست می‌دهد، ضروری است که ماده آن، امور یقینی باشد؛ یعنی همان گزاره‌های ضروریه و دائمه و اینها گزاره‌هایی هستند که همواره تصدیق آنها برای عقل واجب است، خواه ضروری باشند و خواه ممکن؛ چه امکان نیز برای امر ممکن گاه ضروری و لذا یقینی است و می‌تواند مبدأ برهان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گروهی گمان کرده‌اند که چون مقدمات برهان و نتایج آن ضروریاند، برهان نیز باید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ابن‌سینا این مطلب را در الشفاء رد کرده و بیان داشته است که مراد از یقینی‌بودنِ برهان همانا وجوب قبولِ مقدمات و نتایج آن است، خواه این مقدمات و نتایج ضروری باشند و خواه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 درنهایت مطلب را این‌گونه جمع‌بندی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متعلَّق برهان، گزاره‌های ضروری‌اند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در علوم یا معارف حقیقی صرفاً از امور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امور ممکن نیز در برهان وارد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گزاره‌ها نیستند، بلکه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ی‌محمول‌ها هستند؛ یعنی جهتِ گزاره‌های حاویِ اجزای ممکن باید ضرورت باشد، نه امکان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برهان، یقینی‌الانتاج است و لذا برهان از اقسام قیاس است، نه از اقسام استقرا و تمثیل؛ زیرا این دو مورد اخیر یقینی الانتاج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 برهان، عقل خالص و ناآمیخته با وهم، تخیل و تقلید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غایت برهان، انتاج علوم یقینی و کسب یقین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صدرالمتألّهین،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صدرالمتألّهین همچنین توضیح می‌دهد که دربارة ماده قیاس‌های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دیدگاه سهروردی که معتقد است برهان از گزاره‌های یقینی ترتیب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دیدگاه دیگر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 این باورند که برهان از گزاره‌های واجب تشکیل می‌شود و برخی دیگر برهان را متشکل از گزاره‌های صادق می‌دانند، لکن ابن‌سینا در الإشارات و التّنبیهات دیدگاه نخست را مناسب‌تر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توضیح او، </w:t>
      </w:r>
    </w:p>
    <w:p>
      <w:pPr>
        <w:pStyle w:val="BookText"/>
        <w:rPr/>
      </w:pPr>
      <w:r>
        <w:rPr>
          <w:rFonts w:ascii="IRNazanin" w:hAnsi="IRNazanin" w:eastAsia="IRNazanin"/>
          <w:color w:val="111111"/>
          <w:sz w:val="28"/>
          <w:sz w:val="28"/>
          <w:szCs w:val="28"/>
          <w:rtl w:val="true"/>
          <w:lang w:bidi="fa-IR"/>
        </w:rPr>
        <w:t xml:space="preserve">بسیاری دیگر از منطقیان و فیلسوفان نیز همین دیدگاه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صدرالمتألّهین،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که ماده برهان، امور یقینی یا بدیهیات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بدیهیات نزد منطقیان و فیلسوفان مشائی بر شش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اولیات، فطریات یا گزاره‌هایی که قیاس‌های آنها همراه خود آنهاست،</w:t>
      </w:r>
      <w:r>
        <w:rPr>
          <w:rStyle w:val="FootnoteAnchor"/>
          <w:rtl w:val="true"/>
        </w:rPr>
        <w:footnoteReference w:id="11"/>
      </w:r>
      <w:r>
        <w:rPr>
          <w:rFonts w:ascii="IRNazanin" w:hAnsi="IRNazanin" w:eastAsia="IRNazanin"/>
          <w:color w:val="111111"/>
          <w:sz w:val="28"/>
          <w:sz w:val="28"/>
          <w:szCs w:val="28"/>
          <w:rtl w:val="true"/>
          <w:lang w:bidi="fa-IR"/>
        </w:rPr>
        <w:t>محسوسات، حدسیات، مجربات و متواترات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در برابر، ابتدا بدیهیات شش‌گانه را به سه دسته کلی فرو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اولیات، مشاهدات و حدسیات؛ سپس هر یک از مشاهدات و حدسیات را بر دو قسم جزئی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را به محسوسات و وجدانیّات و حدسیات را به مجربات و متواترات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قطب‌الدین شیرازی، بازگشت بدیهیات شش‌گانه به سه مورد را در قالب این استدلال،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دو طرف گزاره، اگر به واسطة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برای تصدیق به نسبت میان آن دو بسنده است و یا برای تصدیق به نسبت میان آن دو بسنده نیست؛ اگر بسنده باشد این، همان اولیات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گزاره‌هایی که قیاس‌های آنها همراه خود آنهاست نیز به سبب نزدیکی به اولیات ملحق به اولیات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سهروردی اشاره‌ای به این مطلب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بسنده نباشد، بلکه تصدیق به نسبت میان دو طرف گزاره متوقف بر امر دیگری باشد، این امر دیگر یا یکی از قوای حسی ظاهری و باطنی است بدون پیوستن چیز دیگری به آن و این قسم مشاهدات است، یا پس از تصور دو طرف گزاره، افزون بر یکی از قوای حسی ظاهری و باطنی، نیاز است که چیز دیگری به آن بپیوندد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حدسیات نزد جمهور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عموم منطقیان و مشائیان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هم سهروردی اشاره‌ای به آن نکرده،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حدسیات طبق قواعد اشراقی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زیرا قسم نخست هم به لحاظ لفظ و هم به لحاظ معنا، داخل در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چیز </w:t>
      </w:r>
    </w:p>
    <w:p>
      <w:pPr>
        <w:pStyle w:val="BookText"/>
        <w:rPr/>
      </w:pPr>
      <w:r>
        <w:rPr>
          <w:rFonts w:ascii="IRNazanin" w:hAnsi="IRNazanin" w:eastAsia="IRNazanin"/>
          <w:color w:val="111111"/>
          <w:sz w:val="28"/>
          <w:sz w:val="28"/>
          <w:szCs w:val="28"/>
          <w:rtl w:val="true"/>
          <w:lang w:bidi="fa-IR"/>
        </w:rPr>
        <w:t>دیگر یا یک قیاس پنهان است و این قسم مجربات است، یا چیز دیگری از قبیل یکسانیِ گواهی‌های بسیار است و این، همان متواترات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سهروردی، این دو از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حدسیات طبق قواعد اشراقی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قطب‌الدین شیرازی،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سهروردی بدیهیات سه‌گانة مورد نظر خود را چنین تبیین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 گزاره‌هایی که تصدیق آنها صرفاً متوقف بر تصور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اولیات یقینی‌ترین نوع گزاره هایند؛ چه پس از تصور حدود آنها امکان انکار رابطة میان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امتناع اجتماع نقیضین و اصل هوهویت، نمونه‌هایی بنیادین از این گزاره‌هایند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گزاره‌هایی مانند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مساوی با یک چیز عیناً با هم مساویاند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و سفیدی با هم در یکجا 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سنخ اولیات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سهروردی در التلویحات، اولیات را گزاره‌هایی می‌داند که عقل، لذاته آنها را واجب می‌سازد و در نسبت برخی از اجزای آنها به برخی دیگر، خود تصورِ اجزا بسنده است و نیازی به مشاهده یا علتی بیرون از آنها نیست؛ مانند این دو گزاره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بزرگ‌تر از جزءِ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شخص در یک حالت در دو مکان جای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اگر عقل در تصدیق به اینگونه گزاره‌ها درنگ کند، این امر صرفاً به سبب درنگ در تصور آنهاست، نه به سببی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آگاهی‌هایی هستند که از راه قوای حسی ظاهری و باطنی انسان به دست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مشاهدات انسان برای افراد دیگری که عیناً همان آگاهی‌های مشاهده‌ای را نداشته‌اند، حجت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بر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محسوسات و وجدانیات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محسوسات اموری هستند که از طریق حواس ظاهری ادراک می‌شوند؛ مانند این گزاره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نورانی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وجدانیات، اموری هستند که از طریق حواس باطنی ادراک می‌شوند؛ مانند علم هر انسانی به اینکه دارای شهوت و غضب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داده‌هایی هستند که با فهم سریع و بدون نیاز به معلّم و آموزش فهمیده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قواعد اشراقی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باور سهروردی،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مجربات و متواترات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عبارت‌اند از مشاهداتِ حسیِ مکرّری که به واسطة تکرار، پدیدآورندة یقیناند و نفس را از اتفاقی‌پنداشتنِ آنها در امان می‌دارند؛ مانند این گزاره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با چوب، دردآور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انسان در تجربه، نهایتاً‌به نتیجه‌ای کلی درباره ذات و ماهیت چیزی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تجربه عبارت است از مشاهده حسیِ جزئیات، به علاوه تکرار، به علاوه یک قیاس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مشتمل بر این گزاره کلی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اتفاقی نباید اکثری و دائمی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منتهی به نتیجه‌ای کلی درباره ذات یا ماهیت چیزی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یزدان‌پناه،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سهروردی توجه می‌دهد که گزارة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با چوب، دردآور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راه استقرا به دست نیامده است؛ چه استقرا گاه مفید یقین نیست؛ در حالی که مجرباتِ صحیح همواره مفید یقیناند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 گزاره‌هایی ممکن که انسان به جهت گواهی‌های بسیار، به یقینی‌بودن آنها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چیزی فی‌نفسه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نفس در اثر یکسانی گواهی‌ها بر وجود آن خاطرجمع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فراوانی گواهی‌ها همان یقینی است که در نهایت به دست می‌آید و نمی‌توان برای فراوانی گواهی‌های یقین‌آور کمیتی را تعیین کرد؛ چه گاه باشد که از گواهی‌های اندک هم یقین به دست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نمونه، این گزاره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در قرن هفتم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متواترات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سهروردی یادآوری می‌کند که قراین و شواهد نیز در فهم درستی یا نادرستیِ همة حدسیات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مجربات و متواترات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مدخلیتی تام دارند؛ چه انسان با کمک آنها اموری را حدس می‌زند، اگرچه حدسیات نیز برای افراد دیگری که عیناً همان آگاهی‌های حدسی را نداشته‌اند، حجت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42</w:t>
      </w:r>
      <w:r>
        <w:rPr>
          <w:rFonts w:eastAsia="IRNazanin" w:cs="IRNazanin"/>
          <w:color w:val="111111"/>
          <w:sz w:val="28"/>
          <w:szCs w:val="28"/>
          <w:rtl w:val="true"/>
          <w:lang w:bidi="fa-IR"/>
        </w:rPr>
        <w:t>).</w:t>
      </w:r>
      <w:r>
        <w:rPr>
          <w:rStyle w:val="FootnoteAnchor"/>
          <w:rtl w:val="true"/>
        </w:rPr>
        <w:footnoteReference w:id="1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از منظر 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مشائیان نیز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در یک قیاس برهانی گاه علت نسبتِ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انتساب حدّ اکبر به حدّ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و عین است و این، برهان لمّ است و گاه علت نسبت دو طرف صرفاً در ذهن است؛ یعنی فقط علت تصدیق است و این، برهان انّ است؛ چه تنها بر انیّتِ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حکم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نه بر لمیّت فی‌نفسه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حکم در عالَم خارج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توضیح قطب‌الدین شیرازی برهان لمّ، هم بر تصدیق ذهنی دلالت می‌کند هم بر ثبوت عینی؛ مانند این برهان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چوب در برخورد با آتش است و هر آنچه در برخورد با آتش باشد، می‌سوزد؛ پس این چوب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نمونه، برخورد با آتش، هم علت تصدیق ذهنی سوختنِ چوب است هم علت ثبوت سوختن چوب در عین و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انّ، اما، تنها بر تصدیق ذهنی دلالت می‌کند؛ مانند این برهان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چوب سوخته است و هر آنچه سوخته است، در برخورد با آتش بوده است؛ پس این چوب در برخورد با آتش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نمونه، انسان برخورد این چوبِ سوخته با آتش را در عین و خارج ندیده است،بلکه تنها سوختن چوب را دیده است؛ پس در ذهن خویش حکم می‌کند که این چوب حتماً با آتش برخورد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قطب‌الدین شیرازی،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اینکه در برهان لمّ از علت به وجود معلول پی برده می‌شود و در برهان انّ از معلول به وجود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لمّ، از آنجا که هم بر تصدیق ذهنی دلالت می‌کند هم بر ثبوت عینی اکبر برای اصغر، محکم‌تر و معتبرتر از برهان 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صدرالمتألّهین می‌افزاید که استدلال از معلول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نوبة خود بر دو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علت دارای دو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ذاتش به ذاتش و اعتبار نسبتش با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به اعتبار نخست، علت حقیقی است، اما علت به اعتبار دوم به نحوی معلولِ معلولش است؛ چه اگر معلول وجود نمی‌داشت، چنین نسبتی میان آن و معلولش برقرار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حدّ وسط در برهان، معلولِ وجودِ اکبر در اصغر باشد،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جوهرِ اکبر را اثبات می‌کند که در این صورت دلیل نامیده می‌شود یا 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برای اصغر را اثبات می‌کند که در این صورت انّ مطلق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دو غیر از </w:t>
      </w:r>
    </w:p>
    <w:p>
      <w:pPr>
        <w:pStyle w:val="BookText"/>
        <w:rPr/>
      </w:pPr>
      <w:r>
        <w:rPr>
          <w:rFonts w:ascii="IRNazanin" w:hAnsi="IRNazanin" w:eastAsia="IRNazanin"/>
          <w:color w:val="111111"/>
          <w:sz w:val="28"/>
          <w:sz w:val="28"/>
          <w:szCs w:val="28"/>
          <w:rtl w:val="true"/>
          <w:lang w:bidi="fa-IR"/>
        </w:rPr>
        <w:t>یکدیگرند؛ چه در دلیل، وجودِ جوهر اکبر فی‌نفسه مطرح است، اما در انّ مطلق، انیت اکبر برای اصغر؛ برای نمونه می‌توان به این دو مثال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چوب سوخته است و هر چیزی که سوخته است، آتش به آن رسیده است؛ پس به این چوب آتش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است؛ زیرا وجود جوهر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معیّن اثبات شده است؛ یعنی به اعتبار ذات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چوب سوخته است و هر چیزی که سوخته است، سوزاننده‌ای دارد؛ پس این چوب سوزاننده‌ای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 مطلق است؛ زیرا انیت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مطلق و نامعیّن برای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شده است؛ یعنی به اعتبار نسبت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سوزاننده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معلولش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سوخته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صدرالمتألّهین،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سهروردی باز هم تأکید می‌کند که تنها گزاره‌ای می‌تواند ماده برهان لحاظ شود که یقینی باشد و گزاره‌ای یقینی است که یا فطری</w:t>
      </w:r>
      <w:r>
        <w:rPr>
          <w:rStyle w:val="FootnoteAnchor"/>
          <w:rtl w:val="true"/>
        </w:rPr>
        <w:footnoteReference w:id="13"/>
      </w:r>
      <w:r>
        <w:rPr>
          <w:rFonts w:ascii="IRNazanin" w:hAnsi="IRNazanin" w:eastAsia="IRNazanin"/>
          <w:color w:val="111111"/>
          <w:sz w:val="28"/>
          <w:sz w:val="28"/>
          <w:szCs w:val="28"/>
          <w:rtl w:val="true"/>
          <w:lang w:bidi="fa-IR"/>
        </w:rPr>
        <w:t>باشد یا در جریان استدلال قیاسیِ صحیح، به گزارة فطری بینجامد؛</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برهان صرفاً باید از امر یقینی بهره بُرد، خواه فطری باشد خواه مبتنی بر امر فطری در یک قیاس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سهروردی همچنین بر این باور است که مادة برهان باید از گزاره‌های کلی، ایجابی و ضروری تشکیل شود تا یقین مورد نظر برای انسان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یا علم حقیقی در غایی‌ترین شکل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 موجبه کلیه ضروریه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می‌گیرد؛ یعنی رابطة معرفت حقیقی از یک سو و ایجاب، کلیت و ضرورت از سوی دیگر، رابطه‌ای مستقیم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صص</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سهروردی در مرحلة مشائی تفکرش بر لزوم اتکا به برهان و یقین‌آوری آن تأکید فراوان می‌کند، اذعان می‌دارد که نباید همة معارف انسانی را یکسره مبتنی بر برهان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هرگاه در علوم، مبرهن گردد که بخشندة علم همانا چیزی غیر از برهان و مقدمات آن است و برهان صرفاً بستر‌ساز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بعید نیست که برخی از نفوسِ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اندک اشاره خطابی بسنده باشد که او را آماده سازد تا امر مفارق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یقینی به او بخشد و چه بسا برهانِ مدلّل و قاطع به اندازه برخی از اعتبارات اقناعی که جوهر نفس را متنبّه می‌سازند، اطمینان‌بخش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که برای مطالب مهم در علوم حقیقی، دسته‌ای از استبصارات وجود داشته باشند؛ چه اینها آثاری دارند و سود اینها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مجموع امور اقناعی همان نقشی را در افادة یقین ایفا میکند که بسیاریِ گواهی‌های تواتری ایفا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سهروردی همچنین برخی دیگر از امور غیر برهانی را نام می‌برد که گاه نفس انسان را حتی به نحو غیر ارادی تحت تأثیر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می‌توانند همانند برهان اطمینان‌بخش و گاه از بسیاری از استدلال‌ها سودمندتر باشند؛ برای نمونه، خطاب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خطاب‌های متالّهان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حکمای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چنان تأثیر روحانی بر جوهر آدمیاند که نفس را با اشاره‌ای لطیف از خوابِ ناآگاهی بیدار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549</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سهروردی در مواضع فوق، به نقش معرفت‌شناختی سه عامل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فعال، استبصارات و امور اقناعی، خطاب الهی و متالّهان،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 که مشائیان مسلمان و بهویژه ابن‌سینا اذعان کرده است، آنچه حقیقتاً بخشندة معرفتِ یقینی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نهایت عقل فعال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عاملِ اصلی است که معقولات و در نهایت یقین را به نفس ناطقة انسانی افاضه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استبصارات، آگاهی‌های غیر برهانی، اما اطمینان‌بخش است که عمدتاً از سنخ یقین روان‌شناختی‌اند، که پیش‌تر بدان اشارت رفت</w:t>
      </w:r>
      <w:r>
        <w:rPr>
          <w:rFonts w:eastAsia="IRNazanin" w:cs="IRNazanin"/>
          <w:color w:val="111111"/>
          <w:sz w:val="28"/>
          <w:szCs w:val="28"/>
          <w:rtl w:val="true"/>
          <w:lang w:bidi="fa-IR"/>
        </w:rPr>
        <w:t xml:space="preserve">. </w:t>
      </w:r>
      <w:bookmarkStart w:id="98" w:name="pg5923_64883"/>
    </w:p>
    <w:p>
      <w:pPr>
        <w:pStyle w:val="BookText"/>
        <w:rPr/>
      </w:pPr>
      <w:bookmarkEnd w:id="9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خطاب‌های الهی و متالّهان نیز اگرچه از نظرگاه منطقی و فلسفی 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نمی‌روند، اما اطمینان‌بخش‌اند</w:t>
      </w:r>
      <w:r>
        <w:rPr>
          <w:rFonts w:eastAsia="IRNazanin" w:cs="IRNazanin"/>
          <w:color w:val="111111"/>
          <w:sz w:val="28"/>
          <w:szCs w:val="28"/>
          <w:rtl w:val="true"/>
          <w:lang w:bidi="fa-IR"/>
        </w:rPr>
        <w:t>.</w:t>
      </w:r>
    </w:p>
    <w:p>
      <w:pPr>
        <w:pStyle w:val="Heading3"/>
        <w:numPr>
          <w:ilvl w:val="2"/>
          <w:numId w:val="1"/>
        </w:numPr>
        <w:rPr/>
      </w:pPr>
      <w:bookmarkStart w:id="99" w:name="__RefHeading___Toc5522586_581953129"/>
      <w:bookmarkStart w:id="100" w:name="_Toc36"/>
      <w:bookmarkEnd w:id="99"/>
      <w:r>
        <w:rPr/>
        <w:t>3</w:t>
      </w:r>
      <w:r>
        <w:rPr>
          <w:rtl w:val="true"/>
        </w:rPr>
        <w:t xml:space="preserve">. </w:t>
      </w:r>
      <w:r>
        <w:rPr>
          <w:rtl w:val="true"/>
        </w:rPr>
        <w:t>یقین از طریق شهود</w:t>
      </w:r>
      <w:bookmarkEnd w:id="100"/>
    </w:p>
    <w:p>
      <w:pPr>
        <w:pStyle w:val="BookText"/>
        <w:rPr/>
      </w:pPr>
      <w:r>
        <w:rPr>
          <w:rFonts w:ascii="IRNazanin" w:hAnsi="IRNazanin" w:eastAsia="IRNazanin"/>
          <w:color w:val="111111"/>
          <w:sz w:val="28"/>
          <w:sz w:val="28"/>
          <w:szCs w:val="28"/>
          <w:rtl w:val="true"/>
          <w:lang w:bidi="fa-IR"/>
        </w:rPr>
        <w:t xml:space="preserve">سهروردی در مرحلة اشراقی تفکر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را نه در برهان، بلکه در شهود قلبی یا مشاهدة حقایق یا انوارِ برینِ عالَمِ وجود، معرفی می‌کند؛ اگرچه این مهم، به باور او، در غایی‌ترین معنای آن از طریق تجرید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خلع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ریاضت و مجاهدت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سهروردی در التلویحات،حدّ نهایی یقین را منوط به تجرد نفس از بدن می‌داند و مایه‌های اشراقی تفکر خویش را در کتابی عمدتاً به سبک مشائی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افلاطون نقل می‌کند که نفسش را از بدن جدا ساخته، خود را مجرد و بی‌بدن و عاری از شواغل طبیعی و هیولی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ذاتِ صرف شده، اموری شگفت از قبیل انوار برین را در خویشتن مشاهده کرده و جزئی از اجزای عالم برین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بر این باور است که ارسطو نیز این نورها را مشاهده کرده است؛</w:t>
      </w:r>
      <w:r>
        <w:rPr>
          <w:rStyle w:val="FootnoteAnchor"/>
          <w:rtl w:val="true"/>
        </w:rPr>
        <w:footnoteReference w:id="15"/>
      </w:r>
      <w:r>
        <w:rPr>
          <w:rFonts w:ascii="IRNazanin" w:hAnsi="IRNazanin" w:eastAsia="IRNazanin"/>
          <w:color w:val="111111"/>
          <w:sz w:val="28"/>
          <w:sz w:val="28"/>
          <w:szCs w:val="28"/>
          <w:rtl w:val="true"/>
          <w:lang w:bidi="fa-IR"/>
        </w:rPr>
        <w:t>هرمس</w:t>
      </w:r>
      <w:r>
        <w:rPr>
          <w:rStyle w:val="FootnoteAnchor"/>
          <w:rtl w:val="true"/>
        </w:rPr>
        <w:footnoteReference w:id="16"/>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حکمای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نه فیلسوف‌نمایان و روآورندگان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ملکة تجرید نفس یا خلع بدن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صوفیة مسلمان نیز به نظر او به چنین جایگاهی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سهروردی تصریح می‌کند که این افراد جملگی اعتراف می‌کنند که هر کس بتواند نفسش را مجرد سازد و جسمش را خلع کند و به طورکلی حواسش را از میان بردارد، خواهد توانست به مشاهدة انوار برین دست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سهروردی در المطارحات نیز تحت تأثیر عرفا و بر اساس تجاربِ شهودیِ شخصیِ خویش، شهود قلبی را نتیجة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نفس از بدن یا خلع بدن در اثرِ مجاهدت و 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 یا اشراق انوار الهی و نورهای برین بر نفس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p>
    <w:p>
      <w:pPr>
        <w:pStyle w:val="BookText"/>
        <w:rPr/>
      </w:pP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نخست، اشاره به این مطلب دارد که هر چقدر سطح توان انسان در مجاهدت و ریاضت و در نتیجه در تجرید یا خلع بیشتر باشد، به همان اندازه بهره بیشتری از معرفت شهودی و طبعاً یقین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عامل دوم، شهود را مستقیماً با اشراق و نور پیوند می‌زند و بر خصوصیت کاملاً اشراقی آن تأکید می‌کند؛ بدین‌سان معرفت اشراقی، در غایی‌ترین معنایش، عبارت است از شهود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این‌دو عامل همچنین با یکدیگر ارتباط مستقیم دارند؛ چه خلع و تجرید نفس و مجاهدت و ریاضت سبب فراهم‌آمدن زمینة مساعد برای دریافت انوار الهی و برین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سهروردی در حکمة الإشراق، در مقدمه کتاب، بیان می‌دارد که این کتاب در طوری ورای طور حجتِ برهانی و در واقع با روش و رویکرد اشراقی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سیاقی دیگر و راهی نزدیک‌تر از آن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نظام‌یافته‌تر و ضابطه‌مند‌تر است و دستیابی به آن خستگی کمتری دارد و ابداً به واسطة فکر برای من به دست نیامده، بلکه دستیابی به آن به واسطة امری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آن حجت آوردم، تا اینکه مثلاً اگر نگاه از حجت را بردارم، هیچ شک‌کننده‌ای نتواند مرا در آن به شک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شهرزوری توضیح می‌دهد که در حکمت اشراقی، یقین در غایی‌ترین معنای آن، به واسطة حجت و برهان فراچنگ بشر نمی‌آید، بلکه با کشف و 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عینی و رودررو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می‌شود؛ حجت و برهان، خود باید مبتنی بر کشف و عیان باشد و چنین یقینی قطعاً شک‌ناپذیر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شهرزوری،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سهروردی در فرازی دیگر، بیان می‌دارد که همه افرادِ دارای توان مشاهده و جداشدن از کالبد، مانند پیامبران و اساطین حکمت یونانی، ایرانی و هندی این نورها را در عالَم برین بالعیان مشاهده و بر وجود آنها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درباره اعتبار و یقین‌آوری مشاهدة عینی، یا به تعبیر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استدلال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رصد یک شخص یا دو شخص در امور فلکی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علم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باشد، چگونه گفتار اساطین حکمت و </w:t>
      </w:r>
    </w:p>
    <w:p>
      <w:pPr>
        <w:pStyle w:val="BookText"/>
        <w:rPr/>
      </w:pPr>
      <w:r>
        <w:rPr>
          <w:rFonts w:ascii="IRNazanin" w:hAnsi="IRNazanin" w:eastAsia="IRNazanin"/>
          <w:color w:val="111111"/>
          <w:sz w:val="28"/>
          <w:sz w:val="28"/>
          <w:szCs w:val="28"/>
          <w:rtl w:val="true"/>
          <w:lang w:bidi="fa-IR"/>
        </w:rPr>
        <w:t>نبوت دربارة چیزی که در ارصادِ روحانیِ خود مشاهده کرده‌اند، معتبر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تفکر اشراقی سهروردی، شهودِ قلبیِ حکمای بزرگ، یا به تعبیر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بدیهیاتِ سه‌گانه پیش‌گفته‌ای که مواد برهان واقع می‌شوند و حتی در جایگاهی برتر از این بدیهیات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امور بدیهی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به مثابه اعطاکننده حدّ نهایی یقین به شمار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سهروردی همچنین گاه از شهود قلبی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پروردگار</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به بیان باورهای خویش در گذشته می پردازد؛ هنگامی که از دیدگاه مشائیان درباره عقول ده‌گانه، انکار حکمت اشراقی و ردّ عالَم انوار جانبداری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تصریح می‌کند که اگر برهان پروردگار را ندیده بود، همچنان بر آن باورها اصرار می‌ورزید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پروردگار چیست؟ شهرزوری پاسخ می‌دهد که برهان پروردگار چیزی غیر از برهان عقلی است و در واقع معرفتی یقینی از سنخ شهود و اشراق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برهان پروردگار همانا مشاهده‌و معاینة‌علل مجرد عالَم یا همان نورهای عالم برین است، آنگاه که نفس انسانی در اثر مجاهدت و ریاضت فراوان، از بدن و ارتباطات آن تجرد یافته، به انوار برین پیوسته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شهرزوری،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سهروردی، مشاهدات نفس انسان 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حالت انسلاخ شدید نفس از بدن و شواغل جسمانی، حتی یقینی‌تر از ابصارِ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رودررویِ اشیاء مادی و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اصحاب عروجِ نفس، در حالت انسلاخ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تجرید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بدن، مشاهدة آشکاری را تجربه کرده‌اند که تمام‌تر از مشاهدة چشم است و آنها در این هنگام یقین داشته‌اند که اموری که مشاهده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قوای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ذهنی آن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بدون وساطت صورت ذهنی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حالی‌که مشاهدة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ابصار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همچنان با نور تدبیرکننده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 ناطقة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قطب‌الدینشیرازی توضیح می‌دهد که اموری که توسط اهل عروج مشاهده می‌شوند، ذوات قدسی و قائم به ذاتی هستند که در محل و مکان و زمان وجود ندارند، بلکه متعالی و مجردند و سهروردی بر بقای مشاهدة بدنی یا ابصار در این حالت تأکید می‌ورزد، تا گمان نرود که این امور شهودی، خیالیِ محضاند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قطب‌الدین شیرازی،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 نیز مراد سهروردی را مشاهدة صور عقلی به واسطة بصیرت یا بینش یا مشاهدة مستقیم انوار عقلی در قالب‌های مثالی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این‌حالت طبعاً غیر از تفکر عقلی است و در واقع از سنخ شهود است که، به نوبة خود، نیازمند مجاهدت در راه خدا و سرکوب‌کردن شهوت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سهروردی باز هم در همین اثر از ادراک بدون وساطت صورت ذهنی، یعنی ادراک شهودی حضوری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ادراکی به باور او آن‌گاه تمام می‌شود که نفس در اثر ریاضت و مجاهدت از بدن،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انوار برین را مشاهده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آن‌گونه که شایسته خداست در راه خدا مجاهدت کند و بر تاریکی‌ها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بدنی و امور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چیره شود، انوار عالَم برین را می‌بیند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تمام‌تر از دیدنی‌های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نورهای چیره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انوار عالم برین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واسطة رؤیت نور اسپهبد</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 ناطقة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واسطة رؤیت یکدیگر، دیدنی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مجرد جملگی بیننده‌اند و رؤیت آنها به علم آنها بازنمی‌گردد، بلکه علم آنها به رؤیت آنها بازمی‌گردد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101" w:name="pg5923_64887"/>
    </w:p>
    <w:p>
      <w:pPr>
        <w:pStyle w:val="BookText"/>
        <w:rPr/>
      </w:pPr>
      <w:bookmarkEnd w:id="101"/>
      <w:r>
        <w:rPr>
          <w:rFonts w:ascii="IRNazanin" w:hAnsi="IRNazanin" w:eastAsia="IRNazanin"/>
          <w:color w:val="111111"/>
          <w:sz w:val="28"/>
          <w:sz w:val="28"/>
          <w:szCs w:val="28"/>
          <w:rtl w:val="true"/>
          <w:lang w:bidi="fa-IR"/>
        </w:rPr>
        <w:t>در نهایت به باور سهروردی، برهان اگرچه در سطح عقلی، یقین‌آور است، اما آنچه حقیقتاً و در برترین سطح یقین‌آور است، شهود قلبی است که مبتنی بر بدیهی‌ترین چیز، یعنی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یقینیِ حاصل از شهود، بی‌واسطة صورت ذهنی و از سنخ علم حضوری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رضوی،</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گفت مشاهده، برتر از تعقل است؛ چون تعقل و استدلال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استقرا، تمثیل و قیاس و طبعاً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یکسره تابع زمان است؛ در حالی که مشاهده، بی‌زمان و فرازمان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دهباشی،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Heading3"/>
        <w:numPr>
          <w:ilvl w:val="2"/>
          <w:numId w:val="1"/>
        </w:numPr>
        <w:rPr/>
      </w:pPr>
      <w:bookmarkStart w:id="102" w:name="__RefHeading___Toc5522588_581953129"/>
      <w:bookmarkStart w:id="103" w:name="_Toc37"/>
      <w:bookmarkEnd w:id="102"/>
      <w:r>
        <w:rPr>
          <w:rtl w:val="true"/>
        </w:rPr>
        <w:t>نتیجه‌گیری</w:t>
      </w:r>
      <w:bookmarkEnd w:id="103"/>
    </w:p>
    <w:p>
      <w:pPr>
        <w:pStyle w:val="BookText"/>
        <w:rPr/>
      </w:pPr>
      <w:r>
        <w:rPr>
          <w:rFonts w:ascii="IRNazanin" w:hAnsi="IRNazanin" w:eastAsia="IRNazanin"/>
          <w:color w:val="111111"/>
          <w:sz w:val="28"/>
          <w:sz w:val="28"/>
          <w:szCs w:val="28"/>
          <w:rtl w:val="true"/>
          <w:lang w:bidi="fa-IR"/>
        </w:rPr>
        <w:t>نگارنده دربارة دیدگاه سهروردی در بخش یقین از طریق برهان، ملاحظة تازه‌ای ندارد؛ چه مطالب سهروردی در این بخش با اندکی تغییر نزد منطقیان و فیلسوفان مشائی مسلمان و غربیِ پیش و پس از او نیز مطرح بوده، در طول تاریخ تفکر، به ویژه نزد فلاسفة غربی با ملاحظات و پاسخ‌هایی مواجه شده است که عمدتاً نزد اهل فلسفه مشهور است و نیازی به تکرار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متفکران مسلمان نیز نقدهایی را بر دیدگاه سهروردی مبنی بر لزوم بازگشت همة گزاره‌ها به گزاره‌های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 کلیه ضروریه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وصول به حدّ یقینِ نهایی، وارد ساخته‌اند که در جای خود، قابل ملاحظه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ملاحظه نقدها به در بحث گزاره‌های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 کلیه ضروریه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قطب‌الدین شیرازی،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صدرالمتألّهین،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یزدان‌پناه،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غیر از عرفای مسلمان،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به‌ویژه با سهروردی آغاز می‌گردد، یقین از طریق شهود است که چند ملاحظه دربارة آن قابل طرح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در مرحلة اشراقی تفکر خویش، یقین برهانی را رد نمی‌کند یا حتی آن را کنار نمی‌گذارد، بلکه آن را به مثابه مدخلی و مرحله‌ای از یقین تلقی می‌کند که در جای خود بسیار ضروری و کارآمد است؛ لکن به باور او باید بدان رسید و از آن گذر کرد و به مرتبة یقین شهودی ارتقا یافت؛ چه یقینِ ناشی از مشاهدة عینی و بی‌واسطه در واقع حدّ نهایی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با نظر به متن حکمةالإشراق آشکار می‌شود؛ چه به تصریح </w:t>
      </w:r>
    </w:p>
    <w:p>
      <w:pPr>
        <w:pStyle w:val="BookText"/>
        <w:rPr/>
      </w:pPr>
      <w:r>
        <w:rPr>
          <w:rFonts w:ascii="IRNazanin" w:hAnsi="IRNazanin" w:eastAsia="IRNazanin"/>
          <w:color w:val="111111"/>
          <w:sz w:val="28"/>
          <w:sz w:val="28"/>
          <w:szCs w:val="28"/>
          <w:rtl w:val="true"/>
          <w:lang w:bidi="fa-IR"/>
        </w:rPr>
        <w:t xml:space="preserve">سهروردی، این کتاب هم برای جویای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شهود قلبی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برای جویای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بحثی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روش عقلی و برهانی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کتاب را کسی درمی‌یابد که در شیوة مشائیان ورزیده و در عین حال دوستدار نور الهی یا اشراق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حکمت اشراقی سهروردی را باید آمیزه‌ای از تالّه و بحث دانست، گرچه مرتبة شهود قلبی بسیار برتر از برهان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سهروردی شهود قلبی را ذیل مبحث منطق بحث کرده، آن را جزو بدیهیات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چهار ایراد اصلی وارد شده است که خلاصه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قواعد فکر است؛ در حالی که شهود اساساً از سنخ تفکر نیست و لذا نباید ذیل منطق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منطق قابل تعمیم اند، یعنی برای همه قابل استفاده‌اند؛ در حالی که شهود، غیر قابل تعمیم است و حداکثر برای فردی که دارای آن است، قابل استفاده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شهودِ هر فردی بدون ارزیابی و داوریِ دقیق نمی‌تواند صادق و یقینی فرض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شهود، اکتسابی است و نه بدیهی؛ زیرا نیازمند مقدماتی از قبیل سلوک و مجاهدت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یثربی،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چهار ایراد فوق، به ترتیب، پاسخ‌های زیر قابل طرح و تأمل به نظر می‌رسند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عبارتی که در بخش منطق حکمة الإشراق وجود دارد و سهروردی در آن از بداهت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عبارت زیر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و خطور 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نکند و مجهول از اموری نباشد که وصول به آن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می‌گیرد، مشاهده‌ای که از آنِ حکمای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گزیری نیست از معلوماتی که به آن مجهول می‌رسند؛ معلوماتی که دارای چنان ترتیبی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رساننده به آن مجهول 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تعبیر </w:t>
      </w:r>
    </w:p>
    <w:p>
      <w:pPr>
        <w:pStyle w:val="BookText"/>
        <w:rPr/>
      </w:pPr>
      <w:r>
        <w:rPr>
          <w:rFonts w:ascii="IRNazanin" w:hAnsi="IRNazanin" w:eastAsia="IRNazanin"/>
          <w:color w:val="111111"/>
          <w:sz w:val="28"/>
          <w:sz w:val="28"/>
          <w:szCs w:val="28"/>
          <w:rtl w:val="true"/>
          <w:lang w:bidi="fa-IR"/>
        </w:rPr>
        <w:t xml:space="preserve">معرفت‌شناختی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فطریات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می‌انجامند؛ در غیر این صورت هر مطلوبی برای انسان متوقف بر حصولِ امورِ نامتناهیِ پیشین است و برای انسان هیچ‌گاه نخستین علم حاصل نمی‌شود و این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عبارات فوق می‌توان این فرض را مطرح کرد که قصد سهروردی اساساً جای‌دادن مشاهدة حقه در ذیل مبحث منطق نیست، بلکه او در این عبارات صرفاً‌مشاهده حقه را همانند بدیهیاتِ منطقی یا در جایگاهی برتر از آنها لحاظ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این، به معنای جای‌دادن شهود ذیل منطق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شهرزوری مفاهیم و معارف حاصل از تنبیه و خطور به دل را با مهم‌ترین قسم از بدیهیات سه‌گانه برابر می‌گیرد و توضیح می‌دهد که تنبیه و خطور به دل، حالتی از معرفت بدیهی و یقین‌آور است که مثلاً در مورد ضروریات یا اولیات برای انسان اتفاق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شهرزوری،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قطب‌الدین شیرازی مشاهده حقه را توانایی مشاهده صحیح و مستقیمِ نفوس و عقول کلی و دیگر نورهای محض مجرد از طریق ریاضت و مجاهدت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قطب‌الدین شیرازی،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چنین اظهار نظر کرد که سهروردی در مرحلة اشراقیِ تفکر خویش، مفاهیم و معارف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مجموعاً بر سه دسته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بدیهیات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مفاهیم و معارف حاصل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و خطور 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مفاهیم و معارف حاصل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توانایی شهود حقیقی نیز فطریاند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شد که سهروردی مشاهدات و حدسیات یک فرد را برای افراد دیگری که فاقد همان آگاهی‌های مشاهده‌ای یا حدسی‌اند، حجت ندانسته است؛ لذا می‌توان استنباط کرد که او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را نیز برای افراد دیگری که فاقد آن‌اند، حجت نمی‌داند و لذا مجموعاً شهود را نیز تعمیم‌ناپذیر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این تعمیم‌ناپذیری اساساً ایرادی بر شهود نیست،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هیچیک از 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 نیز شهود را تعمیم‌پذیر ندانسته‌اند، بلکه برآن اند که سالک باید خود در طی مراحل سلوک و ریاضت و تحت نظر راهنمای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یا به تعبیر 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بر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دریافت ادارکات شهودی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 اینحال، سهروردی در مقدمه حکمة الإشراق از گونه‌ای از امکانِ انتقال‌پذیریِ شهود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حکمهًْ‌الإشراق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ابداً به واسطة فکر برای من به دست نیامده، بلکه دستیابی به آن به واسطة امری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آن حجت آوردم، تا اینکه مثلاً اگر نگاه از حجت را بردارم، هیچ شککننده‌ای نتواند مرا در آن به شک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می‌شود که سهروردی در عبارت فوق صراحتاً از امکان استدلال بر یافته‌های شهودی شخصی و لذا امکان مفهوم‌سازی و انتقال آنها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ضمن اینکه او دررسالة فی اعتقاد الحکماء، اذعان داشته است که شهود می‌تواند فکر و عقل انسان را هماهنگ و موافق با خود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ریاضت آن‌گاه که علوم برایشان حاصل شود و در معلومات خودشان، از مسبّب‌الأسباب و مبدَعاتِ فروترِ وی، به تفکرِ لطیف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فکرشان با قلبشان سازگار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است که شهود سالک بدون ارزیابی و داوری دقیق نمی‌تواند صادق و یقینی فرض شود؛ چنانکه حکما و عرفا نیز همة ادراکات شهودی سالک را دربست و یکسره صادق ندانسته‌اند، بلکه گاه از ورود القائات شیطانی در تجارب شهودی برخی از افراد نیز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سهروردی از ترکیب وصفی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شاید تلویحاً دالّ بر این باشد که گاه مشاهدة ناحق نیز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 و معرفت‌شناسی، بداهت اجمالاً به معنای عدم نیاز به تعریف یا استدلال در ادراکِ تصوری یا تصدیقی است و نه به معنای عدم نیاز به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تفکر 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مقدماتی مانند سلوک و مجاهدت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مقولة عمل اند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ربطی به نظر و استدلال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شهود مؤثرند، اگرچه هیچ آسیبی به بداهت آن وارد نمی‌سازند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ممکن است و می‌توان از طریق سلوک و مجاهدت، به شهود که به لحاظ معرفت‌شناختی بدیهی و شاید یقینی‌تر از دیگر بدیهیات است،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بدیهی است و بی‌نیاز از تعریف و استدلال است، اگرچه بی‌نیاز از سلوک و مجاهدت نیست</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5923_64893"/>
      <w:bookmarkStart w:id="105" w:name="pg5923_64893"/>
      <w:bookmarkEnd w:id="105"/>
    </w:p>
    <w:p>
      <w:pPr>
        <w:pStyle w:val="Heading3"/>
        <w:numPr>
          <w:ilvl w:val="2"/>
          <w:numId w:val="1"/>
        </w:numPr>
        <w:rPr/>
      </w:pPr>
      <w:bookmarkStart w:id="106" w:name="pg5923_64893"/>
      <w:bookmarkStart w:id="107" w:name="__RefHeading___Toc5522590_581953129"/>
      <w:bookmarkStart w:id="108" w:name="_Toc38"/>
      <w:bookmarkEnd w:id="106"/>
      <w:bookmarkEnd w:id="107"/>
      <w:r>
        <w:rPr>
          <w:rtl w:val="true"/>
        </w:rPr>
        <w:t>منابع و مآخذ</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ابن‌سینا، ابوعلی حسین‌بن عبدالله؛ الإشارات و التنبیهات؛ چاول،قم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البلاغة،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الشفاء–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تحقیق سعید زاید و دیگران؛ چاول،قم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 الله المرعشی،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الإلهیات؛ تحقیق الأب قنواتی و سعید زاید؛ چاول،تهران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ذویالقربی،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فی احوال النفس؛ تحقیق احمد فؤاد الأهوانی؛ الطبعهًْ الاولی،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الکتب العربیّهًْ،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ابن‌کمّونه، عزّالدولهًْ سعدبنمنصور؛ شرح التلویحات اللوحیهًْ و العرشیهًْ؛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 و مقدمه نجفقلی حبیبی؛ چاول،تهران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پژوهشی میراث مکتوب،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رضوی، مهدی؛ سهروردی و مکتب اشراق؛ ترجمة مجدالدّین کیوانی؛چاول،تهران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دهباشی،مهدی؛مبانی پدیدارشناسی در فلسفةشیخ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نخستین کنگرةبین‌المللی شهاب‌الدیّن 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،جمعی ازاساتیدونویسندگان؛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،چاول،زنجان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هویت‌شناسی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فلسفی، سال دوم،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سجادی، سیدجعفر؛فرهنگ علوم فلسفی و کلامی؛چاول،تهران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کبیر،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شهاب‌الدین یحیی بن حبش بن امیرک؛ التلویحات اللوحیهًْ و العرشیهًْ؛تصحیح و مقدمةنجفقلی حبیبی؛چاول،تهران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موسسةپژوهشی حکمت و فلسفه ایران،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المشارع و المطارحات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الاوّل؛تصحیح مقصود محمدی و اشرف عالی‌پور؛چاول،تهران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حق یاوران،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حکمهًْ‌الإشراق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مصنفات شیخ اشراق؛ج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تصحیح و مقدمة هنری کُربن؛چ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مطالعات و تحقیقات فرهنگی،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فی اعتقاد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مصنفات شیخ اشراق؛ج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تصحیح و مقدمه هنری کربن؛چ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تحقیقات فرهنگی،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شهرزوری، شمس الدین؛شرح حکمهًْ‌الإشراق؛مقدمه و تحقیق حسین ضیائی تربتی؛چاول،تهران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مطالعات و تحقیقات فرهنگی،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شیرازی، قطب الدین؛شرح حکمهًْ‌الإشراق؛به اهتمام عبدالله نورانی و مهدی محقق؛چاول،تهران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انجمن آثار و مفاخر فرهنگی،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صدرالمتالّهین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محمدبنابراهیم قوام؛التعلیقات علی شرح حکمهًْ الإشراق؛ج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تصحیح و تحقیق سیدمحمد موسوی؛ چاول،تهران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حکمت،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التعلیقات علی شرح حکمهًْ الإشراق قطب الدین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 فی الانوار الاهیّهًْ؛چاپ سنگی،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ضیائی، حسین؛شهاب الدین 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مکتب اشراق؛ترجمة یوسف شاقولو سیما 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فلسفه اسلامی؛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زیر نظر سیّدحسین نصرو الیور لیمن، ترجمة جمعی از مترجمان؛چاول،تهران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حکمت،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 محمدتقی؛درآمدی بر معرفت‌شناسی معاصر و دینی؛چ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معارف،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محمدعلی محمد، محمود؛المنطق الأشراقی عند شهاب‌الدّین السهروردی؛الطبعهًْ الاولی، 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العربیّهًْ للنشر و الوزیع،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یثربی، سیدیحیی؛حکمت اشراق سهروردی؛ گزارش حکمت اشراق با تطبیق و نقد همراه با متن حکمهًْ الإشراق؛چ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بوستان کتاب،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یزدان‌پناه، سیدیدالله؛ حکمت اشراق؛ گزارش، شرح و سنجش دستگاه فلسفی شیخ شهاب‌الدین سهروردی؛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 ونگارش مهدی علی‌پور؛ چاول،تهران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با همکاری 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5923_64896"/>
      <w:bookmarkStart w:id="110" w:name="pg5923_64896"/>
      <w:bookmarkEnd w:id="110"/>
    </w:p>
    <w:p>
      <w:pPr>
        <w:pStyle w:val="Heading2"/>
        <w:numPr>
          <w:ilvl w:val="1"/>
          <w:numId w:val="1"/>
        </w:numPr>
        <w:rPr/>
      </w:pPr>
      <w:bookmarkStart w:id="111" w:name="pg5923_64896"/>
      <w:bookmarkStart w:id="112" w:name="__RefHeading___Toc5522592_581953129"/>
      <w:bookmarkStart w:id="113" w:name="_Toc39"/>
      <w:bookmarkEnd w:id="111"/>
      <w:bookmarkEnd w:id="112"/>
      <w:r>
        <w:rPr>
          <w:rtl w:val="true"/>
        </w:rPr>
        <w:t>ارزیابی تطبیقیِ جامعه</w:t>
      </w:r>
      <w:r>
        <w:rPr>
          <w:rtl w:val="true"/>
        </w:rPr>
        <w:softHyphen/>
      </w:r>
      <w:r>
        <w:rPr>
          <w:rtl w:val="true"/>
        </w:rPr>
        <w:t xml:space="preserve">شناسی معرفت کارل مانهایم و نظریه پارادایمی تامس کوهن </w:t>
      </w:r>
      <w:r>
        <w:rPr>
          <w:rtl w:val="true"/>
        </w:rPr>
        <w:t xml:space="preserve">/ </w:t>
      </w:r>
      <w:r>
        <w:rPr>
          <w:rtl w:val="true"/>
        </w:rPr>
        <w:t>غلامحسین مقدم حیدری</w:t>
      </w:r>
      <w:bookmarkEnd w:id="113"/>
    </w:p>
    <w:p>
      <w:pPr>
        <w:pStyle w:val="Heading3"/>
        <w:numPr>
          <w:ilvl w:val="2"/>
          <w:numId w:val="1"/>
        </w:numPr>
        <w:rPr/>
      </w:pPr>
      <w:bookmarkStart w:id="114" w:name="__RefHeading___Toc5522594_581953129"/>
      <w:bookmarkStart w:id="115" w:name="_Toc40"/>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غلامحسین مقدم حیدری</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17/10/92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24/12/92</w:t>
      </w:r>
    </w:p>
    <w:p>
      <w:pPr>
        <w:pStyle w:val="Heading3"/>
        <w:numPr>
          <w:ilvl w:val="2"/>
          <w:numId w:val="1"/>
        </w:numPr>
        <w:rPr/>
      </w:pPr>
      <w:bookmarkStart w:id="116" w:name="__RefHeading___Toc5522596_581953129"/>
      <w:bookmarkStart w:id="117" w:name="_Toc41"/>
      <w:bookmarkEnd w:id="116"/>
      <w:r>
        <w:rPr>
          <w:rtl w:val="true"/>
        </w:rPr>
        <w:t>چکیده</w:t>
      </w:r>
      <w:bookmarkEnd w:id="11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مانهایم در کتاب ایدئولوژی و اتوپیا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کوشد مقومات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معرفت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تمامی معارف، به جز معرفت علمی، دارای خاستگاه و بستر اجتماعی‌اند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تامس کوهن، فیلسوف علم امریکایی،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کتاب معروف ساختار انقلاب های علمی، شیوه مشابهی را در بررسی معرفت علمی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ارائه نظریه پارادایمی خود چگونگی تأثیر عوامل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در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تحول معرفت علمی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هیچ شاهد تاریخی مبنی بر اقتباس کوهن از مانهایم وجود ندارد، تشابه میان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دو از اهمیت بسزایی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توازی میان نظریه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معرفت مانهایم و نظریه پارادایمی علم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بنیان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گذاران ایده اصلی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معرفت و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معرفت علمی شیوه یکسانی را برای نشان‌دادن تأثیر عوامل اجتماعی در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علمی به کار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می‌کوشد به ارزیابی تطبیقی مشابهت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w:t>
      </w:r>
      <w:bookmarkStart w:id="118" w:name="pg5923_64897"/>
    </w:p>
    <w:p>
      <w:pPr>
        <w:pStyle w:val="BookText"/>
        <w:rPr/>
      </w:pPr>
      <w:bookmarkEnd w:id="118"/>
      <w:r>
        <w:rPr>
          <w:rFonts w:ascii="IRNazanin" w:hAnsi="IRNazanin" w:eastAsia="IRNazanin"/>
          <w:color w:val="111111"/>
          <w:sz w:val="28"/>
          <w:sz w:val="28"/>
          <w:szCs w:val="28"/>
          <w:rtl w:val="true"/>
          <w:lang w:bidi="fa-IR"/>
        </w:rPr>
        <w:t>اختلافات میان آرا،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کارگرفته شده و پی آمدهای آنها میان این دو متفکر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گشتالت،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پارادایم، قیاس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ناپذیری، گسست ارتباطی، نسبی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نسبت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w:t>
      </w:r>
      <w:r>
        <w:rPr>
          <w:rFonts w:eastAsia="IRNazanin" w:cs="IRNazanin"/>
          <w:color w:val="111111"/>
          <w:sz w:val="28"/>
          <w:szCs w:val="28"/>
          <w:rtl w:val="true"/>
          <w:lang w:bidi="fa-IR"/>
        </w:rPr>
        <w:t>.</w:t>
      </w:r>
    </w:p>
    <w:p>
      <w:pPr>
        <w:pStyle w:val="Heading3"/>
        <w:numPr>
          <w:ilvl w:val="2"/>
          <w:numId w:val="1"/>
        </w:numPr>
        <w:rPr/>
      </w:pPr>
      <w:bookmarkStart w:id="119" w:name="__RefHeading___Toc5522598_581953129"/>
      <w:bookmarkStart w:id="120" w:name="_Toc42"/>
      <w:bookmarkEnd w:id="119"/>
      <w:r>
        <w:rPr>
          <w:rtl w:val="true"/>
        </w:rPr>
        <w:t>مقدمه</w:t>
      </w:r>
      <w:bookmarkEnd w:id="120"/>
    </w:p>
    <w:p>
      <w:pPr>
        <w:pStyle w:val="BookText"/>
        <w:rPr/>
      </w:pPr>
      <w:r>
        <w:rPr>
          <w:rFonts w:ascii="IRNazanin" w:hAnsi="IRNazanin" w:eastAsia="IRNazanin"/>
          <w:color w:val="111111"/>
          <w:sz w:val="28"/>
          <w:sz w:val="28"/>
          <w:szCs w:val="28"/>
          <w:rtl w:val="true"/>
          <w:lang w:bidi="fa-IR"/>
        </w:rPr>
        <w:t>ایده اساسی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شناسی معرفت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اجتماعی درباره گسترش و تعیین تأثیرات گروهی و اجتماعی در زندگی مردم و مبانی فرهنگی و اجتماعی شناخت و ادراک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Mc Carthy,1996,p.11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گرچه می توان در میان متفکران سده های هفدهم و هجدهم آرای مشابهی درباره تأثیر عوامل اجتماعی بر معرفت یافت، اما باید اذعان کرد که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معرفت، ریشه در دو سنت مارکسیستی آلمان و دورکیمی فرانسه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دو سنت،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اساسی در مبانی خود دارند، لکن غالب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زمینه از این دو سنت آغاز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تحلیلی مارکسیستی در حوزه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معرفت، مثل بسیاری از حوزه های دیگر، تأثیر نیرومندی بر تفکر آلمانی پس از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بسیاری از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 اوایل قرن بیستم آلمان 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آنچه تقریباً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معرفت نامید، وجود دارد،اما نقش اصلی در این زمینه از آن کارل مانهایم است که بدنه اصلی نظریه را به صورتی تشکیل داد که به صورت یک رشته تخصصی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به سنت مارکسیستی تعلق نداشت، سخت تحت تأثیر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همان اندازه که تفسیر مارکسیستی را تعمیم داد، آن را از کلیه پیرایه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جدال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آثار بنیانگذاران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کوشید آنچه را که برای مارکس در ابتدا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برای حمله به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مخالفان، به صورت یک ابزار کلی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تحلیل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کوزر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پیش از این سلاح فکری یک حزب بود، به طور کلی به روش تحقیق در تاریخ اجتماعی فکری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تفکر هر گروه ناشی از شرایط زندگی آن گروه به شمار می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کوزر،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تلاش مانهایم در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بنیادهای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شناسی معرفت در کتاب ایدئولوژی و </w:t>
      </w:r>
    </w:p>
    <w:p>
      <w:pPr>
        <w:pStyle w:val="BookText"/>
        <w:rPr/>
      </w:pPr>
      <w:r>
        <w:rPr>
          <w:rFonts w:ascii="IRNazanin" w:hAnsi="IRNazanin" w:eastAsia="IRNazanin"/>
          <w:color w:val="111111"/>
          <w:sz w:val="28"/>
          <w:sz w:val="28"/>
          <w:szCs w:val="28"/>
          <w:rtl w:val="true"/>
          <w:lang w:bidi="fa-IR"/>
        </w:rPr>
        <w:t xml:space="preserve">اتوپیا </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این نکته تأکید دارد که اندیشه، مستقل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اندیشه موضوعی فوق اجتماعی، فوق انسانی نیست که در این نوع سنخ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شناسی خود را در مقولات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Mannheim, 1936, p.273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 در این کتاب اصول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معرفت را بیانکرده، مفاهیم مهم و شاخه‌های مختلف این رشته و همچنین روش بررسی عملی را در آن توضیح داده و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مفاهیمی که او بدان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چشم‌انداز، تحلیل معنای مفاهیم مورد استفاده، پدیده مفهوم ضد و هستی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از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فرضشده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قابل تأمل در پروژه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معرفت مانهایم این است که از نظر او معرفت علمی و ریاضیات، حسابی جداگانه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مانهایم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تصدیق که دو ضرب در دو برابر است با چهار، معلوم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کی، کجا و توسط چه کسی فرمول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گردیده است؛ در صورتی که در مورد یک اثر تحقیقی در علوم اجتماعی همیشه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ملهم شده است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پوزیتیویسم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از اینها در چه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سیر تحولش ظاهر شده است؟ در اظهاراتی از این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پایگاه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در نتایج تحقیقی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رابطه این اظهار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بنیادین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خاص معرفت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جداییناپذیری معرفت از میل و انگیزش ناشی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از دیدگاهمانهایم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علوم دقیقه مانند ریاضیات و فیزیک، مستقل از امیال و انگیزه های دانشمندان‌اند؛ از این 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علوم را به شرایط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جایگاه و مقام دانشمندی که به گسترش و توسعه آنها مشغول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عوامل اجتماعی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در نتایج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تأثیرگذار باشند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نمایان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اصل و منشأ انسانی آنهاست، در این علوم هویدا نیست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مانهایم معتقد است ما در بررسی معرفت نباید به دنبال رسیدن از رخدادهای عینی واقعی به حقایق فی نفسه باشیم؛ بلکه باید تلاش کنیم معرفت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در بستر </w:t>
      </w:r>
    </w:p>
    <w:p>
      <w:pPr>
        <w:pStyle w:val="BookText"/>
        <w:rPr/>
      </w:pPr>
      <w:r>
        <w:rPr>
          <w:rFonts w:ascii="IRNazanin" w:hAnsi="IRNazanin" w:eastAsia="IRNazanin"/>
          <w:color w:val="111111"/>
          <w:sz w:val="28"/>
          <w:sz w:val="28"/>
          <w:szCs w:val="28"/>
          <w:rtl w:val="true"/>
          <w:lang w:bidi="fa-IR"/>
        </w:rPr>
        <w:t>اجتماع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درک و فهم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رسیدن از رخدادهای عینی واقعی به حقایق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برای آن وجوه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ارزش روشنگرانه دارد که بتوان با مثال آنها را نشان داد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مانهایم این است که علوم دقیقه مانند ریاضیات و فیزیک، قابلیت دستیابی به حقیقت فی‌نفسه را دارند؛ در حالی که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معرفت به هیچ روی این توانایی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مانهایمرا درباره اینکه معرفت علمی از هر گونه تبیین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معاف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صورت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علمی از پایگاه اجتماعی پژوهشگر و امیال و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مستقل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علمی قابلیت رسیدن به حقیقت فی نفسه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مواضع توسط تامس کوهن، فیلسوف علم آمریکایی،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کتاب ساختار انقلاب‌های علمی</w:t>
      </w:r>
      <w:r>
        <w:rPr>
          <w:rStyle w:val="FootnoteAnchor"/>
          <w:rtl w:val="true"/>
        </w:rPr>
        <w:footnoteReference w:id="20"/>
      </w:r>
      <w:r>
        <w:rPr>
          <w:rFonts w:ascii="IRNazanin" w:hAnsi="IRNazanin" w:eastAsia="IRNazanin"/>
          <w:color w:val="111111"/>
          <w:sz w:val="28"/>
          <w:sz w:val="28"/>
          <w:szCs w:val="28"/>
          <w:rtl w:val="true"/>
          <w:lang w:bidi="fa-IR"/>
        </w:rPr>
        <w:t>شدیداً به چالش کشیده شد؛کوهن نشان داد یک جامعه علمی دارای باورها و تعهدات متافیزیکی مختص زمان خویش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هر دانشمند متعلق به آن جامعه، جهان را از منظر پندارها و باورهای جامعه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باورها، پندارها و تعهدات متافیزیکی ونظری گردهم آمده، پارادایم و سنت علمی جامعه مربوطه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محققانی که در جامعه علمی مشغول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مبتنی بر سنت علمی آن جامعه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کوهن یک جامعه علمی عبارت است از مجموع کسانی که در یک تخصص علمی با یکدیگر شریک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چنین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تعلیمات مشابهی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به صورت یکسانی ورود به جامعه خود را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به‌مرور ایام با ادبیات فنی یکسانی آشنا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مشابه را از آن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هر جامعه علمی موضوع بحثی مختص به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جوامع علمی، مکاتب متفاوت وجود دارد که هر یک از آنها به موضوع واحد از دیدگاهی ناسازگار با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w:t>
      </w:r>
      <w:r>
        <w:rPr>
          <w:rFonts w:eastAsia="IRNazanin" w:cs="IRNazanin"/>
          <w:color w:val="111111"/>
          <w:sz w:val="28"/>
          <w:szCs w:val="28"/>
          <w:rtl w:val="true"/>
          <w:lang w:bidi="fa-IR"/>
        </w:rPr>
        <w:softHyphen/>
        <w:t xml:space="preserve"> </w:t>
      </w:r>
    </w:p>
    <w:p>
      <w:pPr>
        <w:pStyle w:val="BookText"/>
        <w:rPr/>
      </w:pPr>
      <w:r>
        <w:rPr>
          <w:rFonts w:ascii="IRNazanin" w:hAnsi="IRNazanin" w:eastAsia="IRNazanin"/>
          <w:color w:val="111111"/>
          <w:sz w:val="28"/>
          <w:sz w:val="28"/>
          <w:szCs w:val="28"/>
          <w:rtl w:val="true"/>
          <w:lang w:bidi="fa-IR"/>
        </w:rPr>
        <w:t>ها پیوسته با یکدیگر رقابت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رقابت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معمولاً به سرعت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بنابراین اعضای یک جامعه علمی، خود را به طور انحصاری مسئول دنبال کردن یک رشته هدف</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 مشترک و از جمله تربیت‌کردن جانشینان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دیگران نیز به آنان به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هرازچندی، دانشمندان در پژوهش با اعوجاج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روبه‌رو می‌شوند که معمولاً با نسبتدادن به ابزارهای آزمایش یا خطای آزمایشگر و یا زدن تبصره و استثنا ذیل قانون یا نظریه مورد نظر، آنها را برطرف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چنین راهکارهایی مؤثر واقع نشوند، جامعه علمی با بحران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بهمرور بحران عمیق‌تر می‌شود تا جایی که سبب بروز بحث‌های فلسفی و متافیزیکی درباره اصول حاکم بر پارادایم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دانشمندان، پارادایم را به‌سبب ناکارآمدی کنار نمی‌گذارند، تا زمانی که پارادایم جدیدی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طرفداران پارادایم جدید در نهایت پارادایم بحران‌زای پیشین طرد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کوهن چنین تحولی را با انقلاب‌های سیاسی مقایسه می‌کند و آن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 نو، نویدبخش است و مشکلات ظاهراً حل‌نشدنی ندارد و از این پس فعالیت علمی متعارف جدید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تا وقتی است که این پارادایم هم با مشکلاتی جدی روبه‌رو شود و بحران جدیدی بزاید که به‌دنبال آن، انقلاب جدیدی ظاهر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درواقع، آنچه با یک انقلاب علمی رُخ می‌نماید، آن است که با جایگزینشدن پارادایم جدید، به‌جای پارادایم قدیم،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که با یک شکل زندگی علمیِ خاصی آشنا بودند و در قالب آن فکر می‌کردند، جهان را می‌دیدند و برای تبیین آن از واژگان خاصی استفاده می‌کردند و کارهای پژوهشی خود را براساس راه و روش‌های آن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برای خود برمی‌گزینند؛ از این‌رو انتخاب بین پارادایم‌های رقیب در عمل، انتخابی بین شیوه‌های متعارض زندگی اجتماعی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Kuhn, 1970, p.94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آنچه در چنین گزینشی اهمیت خاصی دارد، اقبال جامعه مزبور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همین سبب، کوهن معتقد است در گزینش میان پارادایم‌های رقیب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میزانی بالاتر از توافق جامعه مربوط وجود ندارد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اگر بخواهیم عوامل چنین توافقی را بررسی کنیم، نه‌تنها باید تأثیر طبیعت و استدلال‌های منطقی را در نظر بگیریم، بلکه لازم است راه و رسم‌های استدلال‌های اقناعی مؤثر در گروه خاصی را که جامعه علمی از آنها تشکیل شده است نیز بررسی کنیم؛ بنابراین همان‌گونه که فهم گزینش‌هایی که دانشمند خاصی انجام داده است، مستلزم فهم ارزش‌هایی است که او بدان‌ها ارج می‌نهد و خود این امر متضمن پژوهش روان‌شناختی است، گزینش‌هایی هم که یک جامعه انجام می‌دهد به آنچه در آن جامعه گرامی داشته می‌شود، بستگی دارد و شناخت آن انتخاب‌ها مستلزم پژوهشی جامعه‌شناختی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کوهن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معرفت علمی، همچون همه معارف دیگر، خاستگاهی اجتماعی دارد و تا زمانی که خاستگاه اجتماعی معرفت علمی در پرده ابهام باقی بماند،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باید و شاید قابل فهم و درک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پروژه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معرفت تنها به علوم انسانی و اجتماعی منحصر نیست و معرفت علمی را نیز دربر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کوهن آرا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از مانهایم برگرفته است، موضوع بحث این مقاله نیست؛ زیرا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متضمن پژوهشی تاریخی در این زمینه است و تا جایی که نگارنده بررسی کرده است، منبع و مدرک مشخصی وجود ندارد که آگاهی کوهن از آرای مانهایم را نشان دهد؛</w:t>
      </w:r>
      <w:r>
        <w:rPr>
          <w:rStyle w:val="FootnoteAnchor"/>
          <w:rtl w:val="true"/>
        </w:rPr>
        <w:footnoteReference w:id="21"/>
      </w:r>
      <w:r>
        <w:rPr>
          <w:rFonts w:ascii="IRNazanin" w:hAnsi="IRNazanin" w:eastAsia="IRNazanin"/>
          <w:color w:val="111111"/>
          <w:sz w:val="28"/>
          <w:sz w:val="28"/>
          <w:szCs w:val="28"/>
          <w:rtl w:val="true"/>
          <w:lang w:bidi="fa-IR"/>
        </w:rPr>
        <w:t>اما میان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مفاهیم و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مانهایم به یاری آن به تحلیل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معرفت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مفاهیم و شیوه کوهن در بررسی معرفت علمی در کتاب ساختار، مشابهتهای قابل تأمل و جدی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 که طبق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دو شیوه را حاصل رویکرد واحدی به معرفت دانست؛ مثلاً اصطلاح کلیدی نظریه کوهن، یعنی پارادایم، نقش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را در تبیین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معرفت علمی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یا </w:t>
      </w:r>
      <w:bookmarkStart w:id="121" w:name="pg5923_64902"/>
    </w:p>
    <w:p>
      <w:pPr>
        <w:pStyle w:val="BookText"/>
        <w:rPr/>
      </w:pPr>
      <w:bookmarkEnd w:id="121"/>
      <w:r>
        <w:rPr>
          <w:rFonts w:ascii="IRNazanin" w:hAnsi="IRNazanin" w:eastAsia="IRNazanin"/>
          <w:color w:val="111111"/>
          <w:sz w:val="28"/>
          <w:sz w:val="28"/>
          <w:szCs w:val="28"/>
          <w:rtl w:val="true"/>
          <w:lang w:bidi="fa-IR"/>
        </w:rPr>
        <w:t>امکان گفت‌وگو میان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اندازهای مختلف نزد مانهایم همان مسئله گسست ارتباطی مطرح‌شده در نظریه کوهن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نقشی که تغییر معنای مفاهیم و واژگان در این میان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هم کوهن و هم مانهایم بدان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مهمی نیز میان این دو رویکرد وجود دارد که نسبی گرایی یا نسبت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یکی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خواهیم کوشید به بررسی این مشابهت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اختلافات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بررسی این موضوع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 که چگونه روایت معوج متون درسی فلسفی و منطقی از معرفت و متون درسی فیزیک و شیمی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معرفت علمی سبب شدند کوهن و مانهایم با رویکردی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کنند</w:t>
      </w:r>
      <w:r>
        <w:rPr>
          <w:rFonts w:eastAsia="IRNazanin" w:cs="IRNazanin"/>
          <w:color w:val="111111"/>
          <w:sz w:val="28"/>
          <w:szCs w:val="28"/>
          <w:rtl w:val="true"/>
          <w:lang w:bidi="fa-IR"/>
        </w:rPr>
        <w:t>.</w:t>
      </w:r>
    </w:p>
    <w:p>
      <w:pPr>
        <w:pStyle w:val="Heading3"/>
        <w:numPr>
          <w:ilvl w:val="2"/>
          <w:numId w:val="1"/>
        </w:numPr>
        <w:rPr/>
      </w:pPr>
      <w:bookmarkStart w:id="122" w:name="__RefHeading___Toc5522600_581953129"/>
      <w:bookmarkStart w:id="123" w:name="_Toc43"/>
      <w:bookmarkEnd w:id="122"/>
      <w:r>
        <w:rPr/>
        <w:t>1</w:t>
      </w:r>
      <w:r>
        <w:rPr>
          <w:rtl w:val="true"/>
        </w:rPr>
        <w:t xml:space="preserve">. </w:t>
      </w:r>
      <w:r>
        <w:rPr>
          <w:rtl w:val="true"/>
        </w:rPr>
        <w:t>متون درسی فلسفی و علمی</w:t>
      </w:r>
      <w:bookmarkEnd w:id="12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مانهایم در پروژه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معرفت خویش قصد دارد به مسائلی بپردازد که در کتب متداول فلسفی و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مطرح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مسائلی وجود دارند که نه در متون درسی و نه در سیستم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سازگار دقیق،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نوشته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یک عصر در بر دارد که گویی نه کاملاً درک شده و نه کاملاًبا تأمل بدانها نگریسته شده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Mannheim, 1936, p.47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نظر او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این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این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عمل چگونه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مانهایم معتقد است پاسخ به این پرسش معمولاً از همان سنخ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متداولی است که در کتب درسی منطق یا فلسفه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خاستگاه همه افکار و عقاید در ذهن خود فرد است؛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مکتب فکری خاصی را بررسی کنیم، تنها به بررسی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مقدمات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فلسفی به روشنی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اندیشه و فکر چنان ارزشی قائل‌ایم که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این فعالیت بشر شاید با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او،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در عرصه زندگی اجتماعی وی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به چنین ربط و نسبتی اذعان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در واقع میکوشیم، نشان دهیم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چگونه سبب تأثیر و تغییر در </w:t>
      </w:r>
    </w:p>
    <w:p>
      <w:pPr>
        <w:pStyle w:val="BookText"/>
        <w:rPr/>
      </w:pPr>
      <w:r>
        <w:rPr>
          <w:rFonts w:ascii="IRNazanin" w:hAnsi="IRNazanin" w:eastAsia="IRNazanin"/>
          <w:color w:val="111111"/>
          <w:sz w:val="28"/>
          <w:sz w:val="28"/>
          <w:szCs w:val="28"/>
          <w:rtl w:val="true"/>
          <w:lang w:bidi="fa-IR"/>
        </w:rPr>
        <w:t>سایر وجوه زندگی بشر از جمله زندگی اجتماعی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اجتماعی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نشان دهیم فکر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خاص سبب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بیان ربط و نسبت میان اندیشه و شرایط اجتماعی، همواره به ارتباطی یک سویه از طرف اندیشه به سوی جامعه، قائل‌ایم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مانهایم معتقد است چنین رویکردی به معرفت، بدان سبب است که فیلسوفان، زمان طولانی از طریق پرداختن به فکرکردن خویش، به این پرسش پاسخ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درباره تفکر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در واقع درباره تاریخ خودشان و فلسفه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تأملات آنها تنها تحت شرایط خاصی قابل به کارگیری است و مستقیماً به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زندگی بشری قابل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در این‌میان، خود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تفکر ناشناخته مانده، بدان پرداخته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مانهایم می‌کوشد همین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تفکر را بررسی و ارزشیابی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صفحه نخست ایدئولوژی و اتوپیا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این مسئله مرتبط است که بشر چگونه در عمل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مطالعات، پژوهش درباره اینکه چگونه فکرکردن به شیوه ای که در متون درسی منطق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نیست؛ بلکه این است که چگونه فکرکردن عملاً در زندگی عمومی و سیاسی به مثابه ابزار عمل جمعی به کار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اگر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مسائل مطرح توسط مانهایم را درباره معرفت علمی بپرسیم با این پرسش مواجه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که دانشمندان در عمل چگونه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گفتیم از آنجا که مانهایم معرفت علمی را از معارف دیگر مستثنا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پاسخی بدین پرسش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اما تامس کوهن در نیمه دوم قرن بیستم برای پاسخ به این پرسش، پژوهش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تلقی ما از نحوه عمل و تفکر دانشمندان معمولاً از متون درسی علمی همچون متون درسی فیزیک، شیمی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شده است؛متونی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ناظر بر محتوایی می‌دانند که خاصه با مشاهدات، قوانین و نظریه‌هایی شرح و بسط داده شده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Kuhn, 1970, p.1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مطابق چنین برداشتی، روش علمی با جمع‌آوری </w:t>
      </w:r>
    </w:p>
    <w:p>
      <w:pPr>
        <w:pStyle w:val="BookText"/>
        <w:rPr/>
      </w:pPr>
      <w:r>
        <w:rPr>
          <w:rFonts w:ascii="IRNazanin" w:hAnsi="IRNazanin" w:eastAsia="IRNazanin"/>
          <w:color w:val="111111"/>
          <w:sz w:val="28"/>
          <w:sz w:val="28"/>
          <w:szCs w:val="28"/>
          <w:rtl w:val="true"/>
          <w:lang w:bidi="fa-IR"/>
        </w:rPr>
        <w:t>داده‌های مشاهده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آغاز و سپس با به‌کارگیری روش‌های پژوهشی و قواعد منطق، به نظریه‌ها و قوانین علمی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اگر علم مجموعه‌ای خوشه‌وار از امور واقع، نظریه‌ها و روش‌های گردآمده در کُتب درسی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انسان‌هایی‌اند که، موفق یا ناموفق، تلاش می‌کنند عنصر دیگری را به این مجموعه خاص بیفزایند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مجموعه مشاهدات دانشمندان، مجموعه‌ای منسجم و سازگار از یافته‌هاست؛ یعنی یافته‌های مشاهده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 بر یافته‌های مشاهده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پیشین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فرایند تحول علم، رشدی انباشتی دارد و با گذر زمان روزبه‌روز بر وسعت معرفت علمی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متون معمولاً مدت زمانی بعد از اینکه کشفی رخ داده یا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استقرار پیدا کرده است،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غالباً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منظور برآوردن اهداف آموزشی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کوشند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موجز و مفید، نظریه مورد نظر را به دانشجویان آموزش دهند؛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اطلاعات درباره اینکه چگونه کشف مورد نظر رخ داده است یا نظریه مورد نظر پذیرفته شده است، جزو توضیحات اضافه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ممکن است نویسنده بدان بپردازد یا نپردازد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کوهن معتقد است متون درسی تأثیر مستقیم و غیرمستقیم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مستقیم آنها از این جنبه است که تنها منبع آشنایی دست اول مردم با علوم فیزیکی‌اند؛ اما این متون دارای تأثیر غیرمستقیم عمیق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درسی یا معادل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انبان منحصربه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فردی از دست آوردهای پایان یافته دانشمندان علوم فیزیکی مدرن اند که با تحلیل و انتشار این دست آوردها همراه اند و با بیشتر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فلسفه علم و تفاسیر علم برای غیر دانشمندان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برخی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نویس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گواهی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حتی دانشمند پژوهشگر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همیشه خود را از تصور حاصل از متون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طول مواجهه اولیه او با علم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سازد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Kuhn, 1977, pp.180-181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سبک ارائه متون درسی به طور ناگزیری گمراه کننده 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p.181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فیلسوفانی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به علم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فلسفی بپردازند، غالباً تصور خود از علم را از چنین متونی به دست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محل مناسبی برای فیلسوفان باشند که در آن، به کشف ساختار منطقی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پایان یافته بپردازند؛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برای کسانی که درباره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تولید کننده علم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 بیش از آنکه مفید باشد، گمراه کننده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همه مواردی که در بالا درباره متون درسی علمی ذکر شد، باید گفت کسانی که برای پاسخ دادن به این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در عمل چگونه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میکنند، فیلسوف اند و آنها نیز به نوبه خود، همان شیوه فیلسوفان را در پاسخ به این پرسش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یعنی خاستگاه همه آرا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تنها در ذهن خود در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معرفت علمی را بررسی کنند، آن را صرفاً نظامی از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به بررسی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مقدمات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شیوه تأمل فلسفی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به وضوح در آرای پوزیتیویست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پوپر مشاهده کنیم؛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غالباً مکاتب فلسفه علم از ربط و نسبت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با شرایط اجتماعی شان غافل می‌مانند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ملاحظه شد، هم کوهن و هم مانهایم در این نکته متفق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القول اند که درک ما از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معرفت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متون درسی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یا علمی است و آنچه در این میان اهمیت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این است که این فهم، معوج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درک درستی از معرفت،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عالمان یا دانشمندان تولید میکنند، به ما بدهد؛ زیرا این متون فلسفی یا علمی، از جنبه خاصی و به منظور خاص نوشته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همه شرایط تولید معرفت و عوامل دخیل در آن را در نظر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فلسفی از منظر فرد خودبسنده که به تأمل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به چگونگی تولید معرفت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علمی هم به منظور آموزش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همین دلیل،نخستین مواجهه فرد با معرفت علمی است؛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تصور دانشمند، مورخ یا فیلسوف علم، خودآگاه یا ناخودآگاه متأثر و برگرفته از این متون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معوجی که از این متون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مورد تأمل فلسفی فیلسوفانی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که خود آموزش‌دیده متون فلسفی رایج هستند؛ پس تأمل </w:t>
      </w:r>
      <w:bookmarkStart w:id="124" w:name="pg5923_64906"/>
    </w:p>
    <w:p>
      <w:pPr>
        <w:pStyle w:val="BookText"/>
        <w:rPr/>
      </w:pPr>
      <w:bookmarkEnd w:id="124"/>
      <w:r>
        <w:rPr>
          <w:rFonts w:ascii="IRNazanin" w:hAnsi="IRNazanin" w:eastAsia="IRNazanin"/>
          <w:color w:val="111111"/>
          <w:sz w:val="28"/>
          <w:sz w:val="28"/>
          <w:szCs w:val="28"/>
          <w:rtl w:val="true"/>
          <w:lang w:bidi="fa-IR"/>
        </w:rPr>
        <w:t>فلسفی خودبسنده این فیلسوفان با فهم حاصل از متون علمی همراه شده، فهم معوج مضاعفی از علم به ما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مانهایم و کوهن با نشان دادن این بدفهمی تلاش میکنند درک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از معرفت یا به طور ویژه معرفت علمی،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مانهایم برای رسیدن به این درک با نوشتن کتاب ایدئولوژی و اتوپیا، پروژه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معرفت را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کوهن با کتاب تاثیرگذار ساختارمیکوشد نشان دهد معرفت علمی در عمل چگونه تولید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کار وی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معرفت علمی نیست، با نشان دادن تأثیر عوامل اجتماعی در چگونگی پیدایش و تکون معرفت علمی، راه را برای آغاز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معرفت علمی، توسط مکاتبی همچون مکتب اجتماعی ادینبورا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مانهایم و کوهن هر دو ارکان مشترکی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گشتالتی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مکاتبی است که شکل‌دهنده نگرش آنها به معرفت است</w:t>
      </w:r>
      <w:r>
        <w:rPr>
          <w:rFonts w:eastAsia="IRNazanin" w:cs="IRNazanin"/>
          <w:color w:val="111111"/>
          <w:sz w:val="28"/>
          <w:szCs w:val="28"/>
          <w:rtl w:val="true"/>
          <w:lang w:bidi="fa-IR"/>
        </w:rPr>
        <w:t>.</w:t>
      </w:r>
    </w:p>
    <w:p>
      <w:pPr>
        <w:pStyle w:val="Heading3"/>
        <w:numPr>
          <w:ilvl w:val="2"/>
          <w:numId w:val="1"/>
        </w:numPr>
        <w:rPr/>
      </w:pPr>
      <w:bookmarkStart w:id="125" w:name="__RefHeading___Toc5522602_581953129"/>
      <w:bookmarkStart w:id="126" w:name="_Toc44"/>
      <w:bookmarkEnd w:id="125"/>
      <w:r>
        <w:rPr/>
        <w:t>2</w:t>
      </w:r>
      <w:r>
        <w:rPr>
          <w:rtl w:val="true"/>
        </w:rPr>
        <w:t xml:space="preserve">. </w:t>
      </w:r>
      <w:r>
        <w:rPr>
          <w:rtl w:val="true"/>
        </w:rPr>
        <w:t>ادراک گشتالتی در علوم انسانی و تجربی</w:t>
      </w:r>
      <w:bookmarkEnd w:id="12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مانهایم شیوه رایج تفکر فلسفی سبب شده است معرفت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بر دو رکن موضوعِ شناسایی و فاعلِ شناسایی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کار خود را با حوزه موضوعات شناسایی آغاز کند،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انگارد که گویی همه آنها آشنا هستند و بر اساس این تصور، به بررسی وضعیت فاعل شناسایی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اما اگر کار خود را بر مبنای فاعل شناسایی آغاز کند، آن را چون داده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واسطه و غیرقابل تردید در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کوشد امکان شناسایی معتبر را از آن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کوشش، اعتقاد به این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فرض است که فاعل شناسایی به طور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واسطه در دسترس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نگرش، تنها آن چیزی از اعتبار برخوردار است که فرد بتواند در ادراک خود، آن را کنترل کند و در فعالیت تجربی فرد تأیید و تقویت گردد یا فرد بتواند آن را به وجود آورد یا بتواند آن را در ذهن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مانهایم تصور فرد ایزوله و خودکفا،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فرض این نوع معرفت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با این فرد ایزوله و خودبسنده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گویی او از ابتدا در ذاتش همه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 وجود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بشری از جمله توانایی شناسایی معرفت ناب را دربرداشته </w:t>
      </w:r>
    </w:p>
    <w:p>
      <w:pPr>
        <w:pStyle w:val="BookText"/>
        <w:rPr/>
      </w:pPr>
      <w:r>
        <w:rPr>
          <w:rFonts w:ascii="IRNazanin" w:hAnsi="IRNazanin" w:eastAsia="IRNazanin"/>
          <w:color w:val="111111"/>
          <w:sz w:val="28"/>
          <w:sz w:val="28"/>
          <w:szCs w:val="28"/>
          <w:rtl w:val="true"/>
          <w:lang w:bidi="fa-IR"/>
        </w:rPr>
        <w:t>است و گویی معرفتش از جهان را از درون خودش به تنهایی و از راه مجاورتِ صرف با جهان خارجی، تولید کرده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Mannheim, 1936, p.25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نگرش سبب رویکرد پوزیتیویستی به جهان شده است که طبق آن، ادراک ما به مشاهدات جداگانه و مجزا تجزیه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مانهایم معتقد است در برابر این نگرش، نظریه گشتالتی، ادراک ضد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علمی و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در برابر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پوزیتیویستی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p.148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روان شناسی گشتالت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که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اجزا مقدم است و فهم اولیه ما از اجزا به واسطه کل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p.189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مانهایم شیوه فهم تاریخی را از این سنخ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معنای زمان تاریخی به عنوان یک کلیت معنادار که به رویدادها نظم می بخشد، بر اجزا مقدم است و به واسطه این کلیت، ما در ابتدا مسیر رویدادها و جایگاه خود در آن را می فهمیم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بر این اساس فرد به ندرت، چیزی را بدون آنکه به برخی از اهداف او مربوط باشد،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را هستی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فرد به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معناهایی که هستی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یگانه ساختن واحدهای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ما را توانا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در بافتی یک دست و متشکل، تک‌تک عناصر مشاهده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در غیر این صورت جدا از هم می‌ماندند، ببینیم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pp.18-19</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هدفدار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محیط را فعالانه جست وجو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او کمک می‌کنند یا مانع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فرد در برابر آن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معنایی را در موضوع شناسایی نیابد، بدان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هستی شناسی بر معرفت تجربی مقدم نباشد،این معرفت به کلی تصورناپذیر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زیرا ما معانی عینیت یافته را تنها در صورتی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از واقعیتی داده شده استخراج کنیم که قادر باشیم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هوشمندانه و روشنگرانه مطرح کنیم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باید توجه کرد که موضوع 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میدان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میدان، شامل موضوع شناسایی و بستر روانی پیچیده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اهداف و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فرد را هماهنگ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مهمی که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است که این میدان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و این اهداف و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فرد را چه عامل هایی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آورند؟ </w:t>
      </w:r>
    </w:p>
    <w:p>
      <w:pPr>
        <w:pStyle w:val="BookText"/>
        <w:rPr/>
      </w:pPr>
      <w:r>
        <w:rPr>
          <w:rFonts w:ascii="IRNazanin" w:hAnsi="IRNazanin" w:eastAsia="IRNazanin"/>
          <w:color w:val="111111"/>
          <w:sz w:val="28"/>
          <w:sz w:val="28"/>
          <w:szCs w:val="28"/>
          <w:rtl w:val="true"/>
          <w:lang w:bidi="fa-IR"/>
        </w:rPr>
        <w:t>مانهایم می گوید این عامل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گرو شرایط اجتماعی است که فرد در آن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که فرد در جامعه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معمولاً تصور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زندگی جمعی تنها نیازهای مادی او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هیچ تأثیری بر حوزه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بر شیوه اندیشیدن وی ندارد؛ اما ما به گروه تعلق</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داریم، نه فقط به دلیل اینکه در آن متولد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نه تنها برای آنکه به متعلق بودن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در نهایت نه به دلیل آنکه دست وفاداری و بیعت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بلکه اساساً به این سبب که جهان و برخی چیزهای آن را به همان شیوه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گروه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یعنی بر حسب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معانی گروه مزبور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گروهی که فرد در بافت و قالب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اندیشد و تجربه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گفتن اینکه فرد، واحد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 است که بگوییم او در اندیشیدن در آنچه دیگر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 از او اندیشیده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شرکت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تحلیل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صرف منطقی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درک کاملی از یک اندیشه دست یافت، بلکه باید توجه کرد که اندیشه، مجموعه پیچیده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راحتی از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عاطفی و حیاتی آن جدا شود و نه از محیط و موقعیتی که این اندیشه در آن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مانهایم در کتاب ایدئولوژی و اتوپیا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کوشد با نگرش گشتالتی، رابطه میان اندیشه فردی و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فرد بدان تعلق دارد، در حوزه علوم انسانی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علوم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برای ادراک در معرفت علمی شأنی جدا قائل است، آن را بررسی و پردازش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حال آنکه کار اصلی تامس کوهن در کتاب ساختار، بررسی ارتباط میان معرفت علمی و جامعه علمی است؛ اما باید به این نکته اشاره کرد که تامس کوهن نیز همچون مانهایم به شدت تحت تأثیر نگرش گشتالتی به ادراک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مقدمه کتاب ساختار اشاره می‌کند که چگونه به پیشنهاد یکی از همکارانش به مطالعه روان‌شناسی گشتالت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Kuhn, 1970, p.viii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 در کتابش بارها از تغییر گشتالتی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Gestalt Switch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جریان انقلاب علمی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طوری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یکی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مقومات نظریه پارادایمی او درباره علم دانست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Kuhn,1970, pp.vi, 63, 85,111-114, 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کوهن از منظر گشتالتی، درباره اساسی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عنصر معرفت علمی، یعنی ادراک تجربی کاوش و تحقیق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مشاهده صرفاً ادراکی نیست که دستگاه عصبی دانشمند آن را ثبت می‌کند؛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فرد می‌بیند، هم به چیزی که بدان می‌نگرد و هم به تجربه مفهومی بصری پیشین او که دیدن را به وی آموخته، وابسته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 p.311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سخن در واقع همان نظر مانهایم است؛ اما کوهن با بیان آن در حوزه معرفت علمی، آن را با دقت و ظرافت فوق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این تجربه مفهومی بصری، برخاسته از سنت علم متعارفی است که حاصل پارادایم حاکم بر جامعه علمی‌ای است که شخص در آن آموزش دیده است؛ مثلاً در فیزیک ارسطویی، دانشمندان با این تجربه مفهومی بصری آشنا بودند که جسم سنگین، بنا به طبیعت خود از وضع بالاتر به حالت سکونِ در وضع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هنگامی که با جسم سنگینی مواجه می‌شدند که به ریسمانی آویخته بود و چندان پس و پیش می‌رفت تا سرانجام به حالت سکون درآید، نوسان آن را افتادن‌های همراه با دشواری می‌دیدند که بند متصل به جسم سبب آن شده بود؛ حال آنکه دانشمندی که در فیزیک نیوتنی به پژوهش مشغول بود، با نگریستن به جسم آویخته به ریسمان،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 زیرا به‌واسطه تجربه مفهومی بصری پیشین وی که برگرفته از آموزش‌های گالیله بود، جسمی را می‌دید که در حرکتی متناوب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پرسش مهم مطرح می‌شود که آیا مشاهدات ارسطوییان و گالیله‌ای‌ها، دو مشاهده کاملاً متمایز از یکدیگر بودند یا اینکه تفسیرهای متفاوتی از بخش ثابت و مشترک مشاهدات آنها بود؟ به عبارت دیگر آیا تنها بخش تجربه مفهومی بصری مشاهده تغییر کرده است و آیا می‌توانیم از بخشی از مشاهده که صرفاً یک ادراک ثابت برای همه مشاهده‌گرهاست، صحبت کنیم؟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کوهن معتقد است اولاً ادراکات تجربی، خالی از ابهام نیستند و درنتیجه خودِ ادراکاتی که دانشمندان از پدیده‌های مختلف دارند با یکدیگر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گرچه مشاهده، هم به آنچه شخص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تجربه مفهومی بصری پیشین او بستگی </w:t>
      </w:r>
    </w:p>
    <w:p>
      <w:pPr>
        <w:pStyle w:val="BookText"/>
        <w:rPr/>
      </w:pPr>
      <w:r>
        <w:rPr>
          <w:rFonts w:ascii="IRNazanin" w:hAnsi="IRNazanin" w:eastAsia="IRNazanin"/>
          <w:color w:val="111111"/>
          <w:sz w:val="28"/>
          <w:sz w:val="28"/>
          <w:szCs w:val="28"/>
          <w:rtl w:val="true"/>
          <w:lang w:bidi="fa-IR"/>
        </w:rPr>
        <w:t>دارد، اما مجموع این دو جزء نیست؛ بلکه فرایند واحدی، حاصل تعامل این دو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انقلاب علمی رُخ می‌دهد، تجربه مفهومی بصری دانشمند کاملاً دگرگون می‌شود؛ به‌طوری‌که وی پدیدارهای طبیعی را از منظری یکسره متفاوت با گذشته می‌بیند؛ به عبارت دیگر دانشمندان پیش و پس از انقلاب گرچه به یک چیز می‌نگرند، اما یک چیز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دانشمندان پیش و پس از انقلاب به تصویری، ابزاری، تیغه شیشه‌ایِ میکروسکوپی یا هر چیز دیگری نگاه می‌کنند، به لحاظی همگی با همان چیز مواجه‌اند و به همان چیز نگاه می‌کنند یا به تعبیری، همان چیز را می‌بینند؛ ولی نمی‌توان نتیجه گرفت که آنان تجارب ادراکی همانندی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آنها همان چیز را نمی‌بینند، معنای بسیار مهمی دارد و بر همین اساس، آنچه را در طول یک انقلاب علمی رُخ می‌دهد، نمی‌توان کاملاً به تفسیر مجددی از داده‌های ثابت و منفرد ارجاع داد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p.121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حواس، نماینده مستقیم اشیای مادی در محیط جغرافیایی‌شان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ادراک می‌کنیم مجموعه‌ای از داده‌های خام از طبیعت نیست؛ بلکه این ادراکات در میدانی فرا دست می‌آید که شامل طبیعت، مشاهده‌گر، ابزارهای اندازه‌گیری و محیط فرهنگی اجتماعی خاصی است که مشاهده‌گر در آن به مشاهده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اصطلاحاً مشاهدات خالص تجربی می‌نامیم، به نظریه‌های موجود در جامعه‌ای که فرد مشاهده‌گر در آن آموزش دیده است،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جامعه نقشی مهم در بنیادین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عنصر معرفت علمی، یعنی مشاهدات تجربی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کوهناعضای یک جامعه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جامعه علمی فیزیکدانان، شیمیدانان یا زیست‌شناسان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تخصص علمی با یکدیگر شریک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چنین جوامعی تعلیمات مشابهی را فرامی‌گیرند و به صورت یکسانی وارد جامعه علمی خود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بهمرور با ادبیات علمی مشترکی آشنا می‌شوند و نتیجه‌های مشابهی از آن به‌دست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علمی عموماً موضوع بحثی خاص خود دارد؛ بنابراین اعضای یک جامعه علمی خود را به‌طور انحصاری مسئول دنبالکردن یک رشته هدف‌های مشترک، ازجمله تربیت جانشینان خویش می‌بینند و دیگران نیز همین انتظار را از آنان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افراد چنین گروه‌هایی ارتباط کامل </w:t>
      </w:r>
    </w:p>
    <w:p>
      <w:pPr>
        <w:pStyle w:val="BookText"/>
        <w:rPr/>
      </w:pPr>
      <w:r>
        <w:rPr>
          <w:rFonts w:ascii="IRNazanin" w:hAnsi="IRNazanin" w:eastAsia="IRNazanin"/>
          <w:color w:val="111111"/>
          <w:sz w:val="28"/>
          <w:sz w:val="28"/>
          <w:szCs w:val="28"/>
          <w:rtl w:val="true"/>
          <w:lang w:bidi="fa-IR"/>
        </w:rPr>
        <w:t>برقرار است و داوری حرفه‌ای درباره ادعاهای جدید علمی به اتفاق آرا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جوامع تولیدکنندگان و فراهمآورندگان حجیت و اعتبار برای شناخت علمی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p.871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فوق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مانهایم بنابر نگرش گشتالتی معتقد است ادراک فرد از جهان به همان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بدان تعلق دارد،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ادراک تجربی را از این امر مستثنا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حال آنکه کوهن متأثر از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گشتالت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ادراکات تجربی نیز مجموعه‌ای از داده‌های خام از طبیعت نیست؛ بلکه این ادراکات به نظریه‌های موجود در جامعه‌ای که فرد مشاهده‌گر در آن آموزش دیده است،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دانشمند متعلق به جامعه شیمی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دانان، فیزیکدانان، ستاره شناسان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آن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فرایند ادراک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اساسی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بنیادی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عنصر در آرای کوهن و مانهایم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آنان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نشان دهند که چگونه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یا غیرعلمی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میان رویکردهای آنان به قدری است که هنگام بررسی آرای ایشان 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گویا هر دو سعی داشتند یک پروژه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کنند؛ اما یکی در حوزه معرفت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دیگری در حوزه معرفت علمی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مشابهت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 قابل انکاری میان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مفاهیم، گفت وگوی میان چشم اندازها در پروژه مانهایم با پاردایم، تغییر معنایی، قیاس ناپذیری و گسست ارتباطی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 که هر دو این پروژه ها به سبب دلالت های نسبی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سبب مناقشاتی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رویکرد مانهایم و کوهن در این باره دارای اختلافاتی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با نشان دادن مشابهت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اختلافات میان مقومات و نتایج این دو پروژه به مقایسه آنها بپردازیم</w:t>
      </w:r>
      <w:r>
        <w:rPr>
          <w:rFonts w:eastAsia="IRNazanin" w:cs="IRNazanin"/>
          <w:color w:val="111111"/>
          <w:sz w:val="28"/>
          <w:szCs w:val="28"/>
          <w:rtl w:val="true"/>
          <w:lang w:bidi="fa-IR"/>
        </w:rPr>
        <w:t>.</w:t>
      </w:r>
      <w:r>
        <w:rPr>
          <w:rStyle w:val="FootnoteAnchor"/>
          <w:rtl w:val="true"/>
        </w:rPr>
        <w:footnoteReference w:id="22"/>
      </w:r>
      <w:bookmarkStart w:id="127" w:name="pg5923_64912"/>
    </w:p>
    <w:p>
      <w:pPr>
        <w:pStyle w:val="Heading3"/>
        <w:numPr>
          <w:ilvl w:val="2"/>
          <w:numId w:val="1"/>
        </w:numPr>
        <w:rPr/>
      </w:pPr>
      <w:bookmarkStart w:id="128" w:name="__RefHeading___Toc5522604_581953129"/>
      <w:bookmarkStart w:id="129" w:name="_Toc45"/>
      <w:bookmarkEnd w:id="127"/>
      <w:bookmarkEnd w:id="128"/>
      <w:r>
        <w:rPr/>
        <w:t>3</w:t>
      </w:r>
      <w:r>
        <w:rPr>
          <w:rtl w:val="true"/>
        </w:rPr>
        <w:t xml:space="preserve">. </w:t>
      </w:r>
      <w:r>
        <w:rPr>
          <w:rtl w:val="true"/>
        </w:rPr>
        <w:t>چشم انداز</w:t>
      </w:r>
      <w:r>
        <w:rPr>
          <w:rtl w:val="true"/>
        </w:rPr>
        <w:t xml:space="preserve">- </w:t>
      </w:r>
      <w:r>
        <w:rPr>
          <w:rtl w:val="true"/>
        </w:rPr>
        <w:t>پارادایم</w:t>
      </w:r>
      <w:bookmarkEnd w:id="129"/>
    </w:p>
    <w:p>
      <w:pPr>
        <w:pStyle w:val="BookText"/>
        <w:rPr/>
      </w:pPr>
      <w:r>
        <w:rPr>
          <w:rFonts w:ascii="IRNazanin" w:hAnsi="IRNazanin" w:eastAsia="IRNazanin"/>
          <w:color w:val="111111"/>
          <w:sz w:val="28"/>
          <w:sz w:val="28"/>
          <w:szCs w:val="28"/>
          <w:rtl w:val="true"/>
          <w:lang w:bidi="fa-IR"/>
        </w:rPr>
        <w:t>مجموعه باورها،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پندارها، تعصبات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یک گروه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مانهایم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بر روشی دلالت دارد که شخص با آن روش به یک موضوع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آنچه در آن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چگونه آن را در فکرش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بنابراین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چیزی بیش از تعین صوریِ محضِ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عناصر کیفی در ساختار اندیشه دلالت دارد؛ عناصری که ضرورتاً باید توسط منطق صوری محض نادیده گرفته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Mannheim, 1936, p.244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فرد متعلق به این گروه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اندیشد که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آن گروه معین می کند و جهان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گروه، آن را ترسیم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مقومات یک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هستی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یک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در نحوه اندیشه و ادراک شخصی که جهان را از آن منظر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اهمیت بنیادین دارد؛ به طوری که مانهایم معتقد است اگر هستی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بر معرفت تجربی مقدم نباشد، این معرفت به کلی تصورناپذیر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واقع شخص جهان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وی آن را ترسیم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برای مثال فردگرایی هسته هستی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لیبرالسم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آشنای لیبرالی در برابر آزادی، مدارا و حقوق فردی از همین فرض ناشی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منحصراً به سنت لیبرالیسم تعلق ندارند؛ زیرا بسیاری از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اساسی لیبرالیسم را در نحله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فکری دیگر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لیبرالیسم را به یک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تاریخی منحصربه فرد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اعتقاد به این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بلکه چگونگی تعریف و تنظیم مجدد آنها در چهارچوب هستی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متأثر از مفهوم فردگرایانه بورژوایی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لیبرال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انسان واحد درجه بالایی از کمال و خودکفایی قائل باشند و در نتیجه جدایی و خودمختاری را کیفیت بنیادین متافیزیک انسان به شمار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یک گروه اجتماعی نه تنها شیوه اندیشیدن، بلکه شیوه عملکردن اعضای آن گروه را در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برای نمونه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فردگرایی لیبرالی در ربع پایانی قرن شانزدهم در هلند را در نظر بگیرید؛ این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وعده مدارا، آزادبودن از تفتیش عقاید، مختاربودن در انجام هر مقدار تکالیف مذهبی و آزادی نشر عقاید برای روشنفکران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لیبرالی تنها در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نظری و فلسفی در باب مدارا و آزادی منحصر نشد، بلکه سبب گسترش تجارت و سیاست خارجی شد که منفعت طلبی اساس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سودجویی سبب شد هلندی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پیش‌گرفتن مدارای مذهبی، شمار فراوانی از تجار و بازرگانان را از هر دین و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هلند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تجاری چنان اخلاقیات فردگرایانه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وجود آورد که به لحاظ نوبودن، هر ببینده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شگفت‌زده میکرد؛ به طوریکه دکارت در توصیف آمستردام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شهر به جز من هیچکس نیست که مشغول تجارت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چنان در پی منافع خویش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سراسر عمر خود را در اینجا سپری کنم، بدون آنکه یک موجود فانی ببینم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آربلاستر،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کوهن نشان داد که دانشمندان علوم طبیعی نیز همچون همه افراد دیگر، یک شکلِ زندگی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Form of Life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اجتماعی دارند که ما آنها را جامعه علمی فیزیکدانان، شیمی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دانان، ستارهشناسان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اجتماعی نیز همچون همه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دارای یک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است که کوهن آن را پارادایم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پارادایم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باورها 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جامعه علمی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Kuhn, 1970, p.17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شامل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تعهدات متافیزیکی، نظری و ابزاری میشود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Kuhn, 1977, p.294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کوهن در کتاب ساختار با دقت شگفتانگیزی سازوکار تحقیق پژوهشگران درون یک پارادایم را تشریح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آنچه را مانهایم درباره تأثیر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در شیوه اندیشیدن و عملکردن اعضای یک گروه اجتماعی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مورد یک جامعه علمی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پژوهشگران درون یک پارادایم، خواه طرفدار فیزیک نیوتنی باشند یا نجوم بطلمیوسی یا هر چیز دیگر، به کاری مشغول‌اند که کوهن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ِدانشمندانی </w:t>
      </w:r>
    </w:p>
    <w:p>
      <w:pPr>
        <w:pStyle w:val="BookText"/>
        <w:rPr/>
      </w:pPr>
      <w:r>
        <w:rPr>
          <w:rFonts w:ascii="IRNazanin" w:hAnsi="IRNazanin" w:eastAsia="IRNazanin"/>
          <w:color w:val="111111"/>
          <w:sz w:val="28"/>
          <w:sz w:val="28"/>
          <w:szCs w:val="28"/>
          <w:rtl w:val="true"/>
          <w:lang w:bidi="fa-IR"/>
        </w:rPr>
        <w:t xml:space="preserve">که در شرایط متعارف و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مشغول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مبتنی بر پارادایم حاکم بر جامعه علمی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پارادایم است که به دانشمند می‌گوید چه چیزی مسئله است و باید برای یافتن پاسخ‌هایی برای آن به جست‌وجو بپردازد و این پاسخ‌ها باید در قالب کدامین مفاهیم و اصطلاحات صورت‌بندی شود و با کدام اصول و نظریه‌ها تناسب داشته باشد؛ یا هنگامی که به آزمایشگاه پا می‌گذارد، با به‌کارگیری چه ابزاری به مشاهده پدیده‌ها بپردازد و آنها را آزمایش کند یا از مشاهده چه چیزهایی صرفنظر کند تا پژوهش وی منجر به رشد ثمربخش علم متعارف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جهات دانشمندانی که در جامعه علمی خاصی به کار مشغول‌اند، برای کاوش علمی از قوانین و موازین یکسانی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تعهدات و اجماع‌های آشکارِ مولودِ پارادایم، لازمه توسعه علم متعارف، یعنی پیدایش و ادامه سنت‌های پژوهش علمی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Kuhn, 1970, p.11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ذکر این نکته بسیار مهم است که چون کوهن شدیداً تحت تأثیر نگرش گشتالتی است، مفهوم پارادایم در کتاب ساختار،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 کل گشتالتی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سنت‌های پژوهشی چنان تصویر یکپارچه‌ای از جهان نشان می‌دهند که فهم آن برای کسی که در پارادایم مزبور به پژوهش مشغول نیست،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کوهن در ساختار پس از توصیف پارادایم، بلافاصله بر یکپارچهبودن این مفهوم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فرض تأکید می‌کنم که بعضی از مثال‌های پذیرفتهشده به‌مثابه یک کار علمی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مثال‌هایی که توأمان قانون، نظریه، کاربرد آنها و ابزار را شامل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الگوهایی از سنت‌های پژوهشی علمی یکپارچه را ارائه می‌کنند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p.10</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سخن، بدان معنا نیست که پارادایم نمی‌تواند اجزایی داشته باشد؛ بلکه منظور این است که پارادایم می‌تواند شامل بخش‌هایی همچون قانون، نظریه، کاربرد و ابزار اندازه‌گیری و غیره باشد؛ اما نقش آن در پژوهش‌های علمی مستقل از نقش اجزایش است و حکم یک واحد یکپارچه را دارد؛همچون هر کل گشتالتی، نقش پارادایم را نمی‌توان با تحویل به اجزای مقوّم و سازنده‌اش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کوهن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پارادایم </w:t>
      </w:r>
    </w:p>
    <w:p>
      <w:pPr>
        <w:pStyle w:val="BookText"/>
        <w:rPr/>
      </w:pPr>
      <w:r>
        <w:rPr>
          <w:rFonts w:ascii="IRNazanin" w:hAnsi="IRNazanin" w:eastAsia="IRNazanin"/>
          <w:color w:val="111111"/>
          <w:sz w:val="28"/>
          <w:sz w:val="28"/>
          <w:szCs w:val="28"/>
          <w:rtl w:val="true"/>
          <w:lang w:bidi="fa-IR"/>
        </w:rPr>
        <w:t>مشترک میان جامعه علمی برای دانشجوی سیر تحول علمی، حکم یک واحد بنیادی را دارد که نمی‌توان آن را بهطور منطقی، کاملاً به اجزای اتمی سازنده‌اش تحویل کرد تا این اجزا بهجای آن عمل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 p.11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موضع کل‌گرایانه در نظریه علمی کوهن از چنان اهمیتی برخوردار است که وی فصلی از کتاب ساختار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پارادایم‌ها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کوهن در این بخش بر این نکته تأکید دارد که علی‌رغم اینکه به‌نظر می‌رسد برای پژوهش، وجود مجموعه کاملی از قواعد الزامی است، اما پارادایم می‌تواند در غیاب چنین قواعدی موجبات تحول علم متعارف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فیزیکدانی که در پارادایم نیوتنی به تحقیق مشغول است، با قواعد نیوتن درباره حرکت و قانون گرانش وی آشناست؛ اما اینکه وقتی با پدیده‌ای مواجه می‌شود، آن را به‌صورت کمیات عددی و در قالب‌های ریاضی درمی‌آورد، چیزی نیست که او از هیچ اصل یا قاعده‌ای آموخته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قاعده‌ای به او نمی‌گوید زمان کمیتی یکسویه است که از گذشته به سوی حال و آینده روان است و همزمانی امری مطلق است یا اینکه فضا مسطح و همگن است و او باید در حل مسائل فیزیکی آنها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قواعد را از آموزش‌های خود در کلاس‌ها، آزمایشگاه‌ها و هنگامی که در مقام دانشجو یا دستیار محقق ارشدی مشغول به کار بوده،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پارادایم نیوتنی یک سنت تربیتی به‌وجود آورده است که پژوهشگر فیزیک این اصول و قواعد را نه به‌صورت مجرد، بلکه حین آموزش فراگرفته است؛ از این‌رو وجود یک پارادایم حتی استعمال مجموعه کاملی از قواعد را ایجاب نمی‌کند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حتی اگر چنین قواعدی موجود باشند، نقش پارادایم در پژوهش علمی مقدم‌تر، الزام‌آورتر و کامل‌تر از هر مجموعه‌ای از قواعد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p.64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تصریحات بیانگر ویژگی کل‌انگارانه گشتالتی از مفهوم پارادایم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مقدم بر اجزایش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هم مانهایم و هم کوهن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و پارادایم را مجموعه باورها،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پندارها، تعصبات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 گروه اجتماعی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معتقدند اعضای یک گروه بر اساس این باورها جهان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درباره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اندیشند و عمل میکنند؛ اما باید توجه کرد که </w:t>
      </w:r>
      <w:bookmarkStart w:id="130" w:name="pg5923_64916"/>
    </w:p>
    <w:p>
      <w:pPr>
        <w:pStyle w:val="BookText"/>
        <w:rPr/>
      </w:pPr>
      <w:bookmarkEnd w:id="130"/>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مانهایم درباره همه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حال آنکه پارادایم کوهن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جوامع علمی را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برخی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کوهن درباره پارادایم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حل معما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خاص جوامع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پی‌آمدهای مشترکی که میان این دو شیوه نگرش به جوامع وجود دارد، این است که 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و تاریخی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جوامع مختلف، چشماندازهای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حوزه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به علم تجربی محدود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که جوامع علمی 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تاریخی گوناگون دارای پارادایمهای متفاوتی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پرسش مهم مطرح می‌شود که ربط و نسبت میان این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اندازها و پارادایم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چیست؟</w:t>
      </w:r>
    </w:p>
    <w:p>
      <w:pPr>
        <w:pStyle w:val="Heading3"/>
        <w:numPr>
          <w:ilvl w:val="2"/>
          <w:numId w:val="1"/>
        </w:numPr>
        <w:rPr/>
      </w:pPr>
      <w:bookmarkStart w:id="131" w:name="__RefHeading___Toc5522606_581953129"/>
      <w:bookmarkStart w:id="132" w:name="_Toc46"/>
      <w:bookmarkEnd w:id="131"/>
      <w:r>
        <w:rPr/>
        <w:t>4</w:t>
      </w:r>
      <w:r>
        <w:rPr>
          <w:rtl w:val="true"/>
        </w:rPr>
        <w:t xml:space="preserve">. </w:t>
      </w:r>
      <w:r>
        <w:rPr>
          <w:rtl w:val="true"/>
        </w:rPr>
        <w:t>چشم اندازهای گوناگون و قیاس</w:t>
      </w:r>
      <w:r>
        <w:rPr>
          <w:rtl w:val="true"/>
        </w:rPr>
        <w:softHyphen/>
      </w:r>
      <w:r>
        <w:rPr>
          <w:rtl w:val="true"/>
        </w:rPr>
        <w:t>ناپذیری پارادایم</w:t>
      </w:r>
      <w:r>
        <w:rPr>
          <w:rtl w:val="true"/>
        </w:rPr>
        <w:softHyphen/>
      </w:r>
      <w:r>
        <w:rPr>
          <w:rtl w:val="true"/>
        </w:rPr>
        <w:t>ها</w:t>
      </w:r>
      <w:bookmarkEnd w:id="13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مانهایم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اندازهای گوناگونی دارند و جهان را به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برای مثال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لیبرالی جوامع غربی امروزی نسبت به انسان و جامعه با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مسیحیان قرون وسطی نهتنها بهکلی متفاوت است، بلکه در تضاد با آن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قرون وسطی هر یک از افراد را بهتنهایی، ناقص و کمالنیافته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اعضای بدن، تنها بهسان جزئی از یک کل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معمولی قائم به 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قائم به ذات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از دولت است، مانند خداوند بوده به هیچروی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بخشی از اجتماع به شمار آید؛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خودمختاری فرد، یک آرمان به حساب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زیرا امری تحقق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و صرفاً آرمانی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و کمال به اجتماع یا شهر تعلق داشت و از جمله صفات فرد انسانی به شمار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زیرا وابستگی فرد به دیگر افراد و جامعه، به رسمیت شناخته و پذیرفته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آربلاستر،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نگرش به انسان و جامعه،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مسیحیان قرون وسطی به انسان و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این دوران، با چنان برداشتی از انسان و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جامعه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روییم که بهروشنی در مقابل فردگرایی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چشمانداز مسیحیان قرون وسطی، اجتماع بنا بر ماهیتش بر فرد مقدم است و این، اصلی بدیهی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در حالی که برای فردگرایی لیبرالیسم جدید، عکس این قضیه </w:t>
      </w:r>
    </w:p>
    <w:p>
      <w:pPr>
        <w:pStyle w:val="BookText"/>
        <w:rPr/>
      </w:pPr>
      <w:r>
        <w:rPr>
          <w:rFonts w:ascii="IRNazanin" w:hAnsi="IRNazanin" w:eastAsia="IRNazanin"/>
          <w:color w:val="111111"/>
          <w:sz w:val="28"/>
          <w:sz w:val="28"/>
          <w:szCs w:val="28"/>
          <w:rtl w:val="true"/>
          <w:lang w:bidi="fa-IR"/>
        </w:rPr>
        <w:t>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مانهایم آنچه برای یکی شاه بود، برای دیگری حاکم ستمگری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Mannheim, 1936, p.20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گفته مانهایم بر این نکته دلالت دارد که میان دو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تفاوتی بنیادین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کوهن نیز بر همین نکته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از مفاهیم نگرش گشتالتی، بهویژه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گشتالتی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پارادایم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قیاس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کوهن، در زمان‌های بحران، هنگامی که دانشمندان جامعه علمی به نارسایی و عدم کارایی پارادایم‌شان کاملاً آگاه می‌شوند و در برطرف‌کردن مشکلات و اصلاح آن می‌کوشند، با کل یکپارچه‌ای مواجه می‌شوند که مفاهیم، قوانین و اصول آن در شبکه‌ای از باورها و تعهدات متافیزیکی، نظری و ابزاری چنان به‌هم ممزوج شده که همچون تاروپود یک بافته درهمتافته شده است و تصویری از جهان ارائه می‌کند که تغییر و اصلاح هیچ بخش از آن امکان‌پذیر نیست؛ مگر آنکه کل این تصویر طرد و تصویر نویی از جهان ارائه شود و انقلاب علمی در واقع مرحله‌ای است که این تغییر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چنان به‌نظر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حرفه‌ای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سیاره‌ای دیگر انتقال یافته است که در آن چیزهای آشنا در پرتوی متفاوت دیده می‌شود و نیز چیزهایناآشنا بدان پیوسته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جهان دانشمندِ قبل از انقلاب، اردک دیده می‌شد، پس از آن خرگوش دیده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Kuhn, 1970, p.111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کوهن معتقد است چنین تغییراتی در جهان دانشمند را تنها می‌توان در قالب یک تغییر گشتالت بصری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 بنیادی‌ترین مثالی که حاکی از چنین تغییراتی در جهانِ دانشمند است، نمایش‌های مشابه در تغییر گشتالت بصری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همان‌طورکه در گشتالت بصری، شخص باید بتواند تصویر اولی را کنار نهد و به‌گونه‌ای دیگر به صفحه تصویر بنگرد تا بتواند تصویر دوم را نیز ببیند؛ در زمان‌های انقلاب نیز هنگامی که سنت علمی متعارف تغییر می‌کند، دریافت دانشمند از محیط خود نیز باید از نو بازسازی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بیاموزد در بعضی از وضعیت‌های آشنا، گشتالت تازه‌ای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چنین کاری صورت گرفت، جهان پژوهش وی در اینجا و آنجابا جهانی که پیش‌تر </w:t>
      </w:r>
      <w:bookmarkStart w:id="133" w:name="pg5923_64918"/>
    </w:p>
    <w:p>
      <w:pPr>
        <w:pStyle w:val="BookText"/>
        <w:rPr/>
      </w:pPr>
      <w:bookmarkEnd w:id="133"/>
      <w:r>
        <w:rPr>
          <w:rFonts w:ascii="IRNazanin" w:hAnsi="IRNazanin" w:eastAsia="IRNazanin"/>
          <w:color w:val="111111"/>
          <w:sz w:val="28"/>
          <w:sz w:val="28"/>
          <w:szCs w:val="28"/>
          <w:rtl w:val="true"/>
          <w:lang w:bidi="fa-IR"/>
        </w:rPr>
        <w:t>در آن می‌زیست، قیاس‌ناپذیر خواهد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p.211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طرفداران پارادایم‌های رقیب در جهان‌های متفاوتی به کار مشغول‌اند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گفته مانهایم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چشم یکی شاه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برای دیگری سلطان مستبدی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کوهن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جهان دانشمندِ قبل از انقلاب، اردک دیده می‌شد، پس از آن خرگوش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بر این موضوع دلالت دارند که تفاوت میان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اندازها یا پارادایم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حدی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باشد که یکی را نتوان اصلاحشده دیگری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تغییری را تنها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تصاویر گشتالت بصری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پی‌آمدهای مهم میان تفاوت میان چشماندازها یا قیاس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ناپذیری پارادایم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تغییر مفاهیم میان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اندازها یا تغییر معنایی در گذر از یک پارادایم به دیگری اشاره کرد</w:t>
      </w:r>
      <w:r>
        <w:rPr>
          <w:rFonts w:eastAsia="IRNazanin" w:cs="IRNazanin"/>
          <w:color w:val="111111"/>
          <w:sz w:val="28"/>
          <w:szCs w:val="28"/>
          <w:rtl w:val="true"/>
          <w:lang w:bidi="fa-IR"/>
        </w:rPr>
        <w:t>.</w:t>
      </w:r>
    </w:p>
    <w:p>
      <w:pPr>
        <w:pStyle w:val="Heading3"/>
        <w:numPr>
          <w:ilvl w:val="2"/>
          <w:numId w:val="1"/>
        </w:numPr>
        <w:rPr/>
      </w:pPr>
      <w:bookmarkStart w:id="134" w:name="__RefHeading___Toc5522608_581953129"/>
      <w:bookmarkStart w:id="135" w:name="_Toc47"/>
      <w:bookmarkEnd w:id="134"/>
      <w:r>
        <w:rPr/>
        <w:t>5</w:t>
      </w:r>
      <w:r>
        <w:rPr>
          <w:rtl w:val="true"/>
        </w:rPr>
        <w:t xml:space="preserve">. </w:t>
      </w:r>
      <w:r>
        <w:rPr>
          <w:rtl w:val="true"/>
        </w:rPr>
        <w:t>مفاهیم و تغییر معنایی</w:t>
      </w:r>
      <w:bookmarkEnd w:id="13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مانهایم یک کلمه به خودی خود معنا ندارد؛ بلکه معنای هر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ارتباط با معنای کلمات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به نوبه خود همیشه به معنایی دیگر دلالت میکند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Mannheim, 1936, p.61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بنابراین ما با شبکه بههم‌پیوسته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معانی سروکار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بههمپیوسته حاصل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حاکم بر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کلمات در آن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روند؛به عبارت دیگر اندیشه در تطابق با آنچه مورد انتظار گروه اجتماعی خاصی است، جهت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p.245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 مفهوم وحدت و همبستگی درونی معنا در یک دوره زمانی همیشه مبنای تعبیر و تفسیر آن دوره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p.61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آنچه معنای یک کلمه را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حاکم بر دوره تاریخی و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آن کلمه در آن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 کلمه را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مفهوم یا معنایی از آن 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مطابق انتظارات گروه اجتماعی خاصی باشد؛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ورای داده تجربی ممکن، هر مفهومی تنها آن جزئی را درون خود ترکیب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از نظر تمایلات پژوهشگر درککردن و جذبنمودن آن ضروری 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p.245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وقتی کلمه واحدی توسط افرادی با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اندازهای مختلف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معانی بسیار گوناگونی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مختلف تاریخی، این سیستم بههموابسته معناها، هم در تمام </w:t>
      </w:r>
    </w:p>
    <w:p>
      <w:pPr>
        <w:pStyle w:val="BookText"/>
        <w:rPr/>
      </w:pPr>
      <w:r>
        <w:rPr>
          <w:rFonts w:ascii="IRNazanin" w:hAnsi="IRNazanin" w:eastAsia="IRNazanin"/>
          <w:color w:val="111111"/>
          <w:sz w:val="28"/>
          <w:sz w:val="28"/>
          <w:szCs w:val="28"/>
          <w:rtl w:val="true"/>
          <w:lang w:bidi="fa-IR"/>
        </w:rPr>
        <w:t>اجزای خود و هم در کلیت خود از یک دوره تاریخی تا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موارد دیگر در حوزه مفاهیم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اندازهای متفاوت حکایت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نمونه مفهوم محافظهکارانه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نوزدهم، یک مفهوم ضد در مقابل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اوقات فقدان برخی مفهوم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نهتنها بر فقدان برخی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اندازها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نمایش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فقدان تمایل خاصی به درگیرشدن با برخی مسائل زندگانی است؛ برای مثال پیدایش مفهوم نسبتاً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بر این دلالت دارد که مسائل پنهان در مفهوم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هرگز طرح نشده بودند و به همین جهت وجه معینی از تجربه که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پیش از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در حوزه زندگانی اجتماعی، هیچ جا به اندازه حوزه معنای کلمات، به بستگی متقابل با جامعه که اینچنین آشکار و قابل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و نسبت به تغییر تا این حد حساس باشد، برخورد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کلمه و معنایی که بدان پیوسته است، واقعیتی جمعی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نوسان در کل سیستم اندیشه، در یک کلمه منفرد و معانی که همراه دارد، منعکس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p.74</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معنای یک واژه و چگونگی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کارگیری آن در زندگی اجتماعی، موضوعی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سنگبنای آرای ویتگنشتاین متأخر درباره بازی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زبان دانست و کوهن متأثر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انقلاب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پارادایم جای خود را به پارادایم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کوهن معتقد است برخلاف تصور متداول، معنای یک واژه از لغت‌نامه‌ها به‌دست نمی‌آید، بلکه در حین استعمال آن محقق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بچه‌ای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میان همه انسان‌ها به همه زنان و سپس به مادرش اطلاق می‌کند، یاد نمی‌گیرد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چه معنایی می‌دهد یا چه کسی مادر اوست، بلکه او به‌طور همزمان، همان‌قدر که تفاوت‌های میان زنان و مردان را می‌آموزد، یاد می‌گیرد که تنها یکی از آن زنان رفتارشان متوجه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این ادراک، واکنش‌ها، انتظارات و اعتقاداتش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بخشی از جهان ادراک‌شده‌اش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Kuhn, 1970, p.128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فرد، معنای یک واژه را در کاربردهای زبانی جامعه‌ای که بدان متعلق است، فرا می‌گیرد؛ یعنی یک واژه در ارتباط با واژگان دیگر معنای واقعی خود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واژه در شبکه درهم‌تنیده‌ای از واژگان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مفاهیم این شبکه را به یکدیگر مرتبط می‌سازد، قوانین، نظریه‌ها و کاربردهای پارادایمی است که این شبکه زبانی بدان متعلق است؛ پارادایمی که سبب بهوجودآمدن جامعه‌ای خاص و شبکه زبانی مختص آن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زبانی‌ای که همه افراد جامعه‌ای خاص مثل جامعه فیزیکدانان، منجمان یا زیست‌شناسان در آن مشترکاند، افراد آن جامعه را قادر می‌سازد که از یک واژه، معنای یکسانی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این جامعه متعلق و با آن شبکه زبانی آشنا نباشد، نهتنها معنای واژگانی را که افراد آن جامعه به کار می‌گیرند، بهطور کامل نمی‌فهمد، بلکه بعضی اوقات حتی قادر به درک معنای واژه‌ها نیست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انقلاب علمی، با تغییر پارادایم، شبکه زبانی پارادایم پیش از انقلاب، کنار گذاشته شده، شبکه زبانی جدیدی جایگزین آن می‌شود؛ از این‌رواصطلاحات قدیمی، مفاهیم و آزمایش‌ها در ارتباطات جدیدی با یکدیگر قرار می‌گیرند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p.142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گرچه بسیاری از واژگان به‌کاررفته در پارادایم‌های پیش و پس از انقلاب یکسان‌اند، از آنجا که در دو شبکه زبانی متفاوت به کار رفته‌اند، معانی متفاوت دارند و بنابراین قیاس‌ناپذیرند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قیاس‌ناپذیری مفاهیم سنت‌های علمی قبل و پس از انقلاب،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مثلاً در انقلاب کوپرنیکی،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ستاره‌شناسان بطلمیوسی، خورشید، ماه، زهره و مریخ جزو سیارات بهشمار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قرن بعد، خورشید به‌عنوان مرکز حرکات سیاره‌ای جایگزین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موقعیت منحصربه‌فرد نجومی خود را از دست داده، یکی از چند سیاره متحرک همچون ماه، زهره و مریخ شده بود؛ یعنی خورشید که در نجوم بطلمیوسی سیاره بود، در پارادایم کپرنیکی دیگر سیاره به‌شمار نمی‌آمد و زمین که در پارادایم بطلمیوسی ساکن بود، در پارادایم کپرنیکی سیاره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کوهن معتقد است</w:t>
      </w:r>
      <w:r>
        <w:rPr>
          <w:rFonts w:eastAsia="IRNazanin" w:cs="IRNazanin"/>
          <w:color w:val="111111"/>
          <w:sz w:val="28"/>
          <w:szCs w:val="28"/>
          <w:rtl w:val="true"/>
          <w:lang w:bidi="fa-IR"/>
        </w:rPr>
        <w:t xml:space="preserve">: </w:t>
      </w:r>
      <w:bookmarkStart w:id="136" w:name="pg5923_64921"/>
    </w:p>
    <w:p>
      <w:pPr>
        <w:pStyle w:val="BookText"/>
        <w:rPr/>
      </w:pPr>
      <w:bookmarkEnd w:id="136"/>
      <w:r>
        <w:rPr>
          <w:rFonts w:ascii="IRNazanin" w:hAnsi="IRNazanin" w:eastAsia="IRNazanin"/>
          <w:color w:val="111111"/>
          <w:sz w:val="28"/>
          <w:sz w:val="28"/>
          <w:szCs w:val="28"/>
          <w:rtl w:val="true"/>
          <w:lang w:bidi="fa-IR"/>
        </w:rPr>
        <w:t xml:space="preserve">کپرنیکی‌هایی که منکر عنوان سیاره برای خورشید بودند، تنها این را نیاموختند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معنایی داشت و خورشید چه بود؛ در عوض،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چنان تغییر می‌دادند که این کلمه بتواند چنان تمایزهای سودمندی در جهان فراهم آورد که نهتنها خورشید، بلکه همه اجرام فلکی به‌صورتی متفاوت با آنچه پیش از آن دیده می‌شد، دیده شوند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pp.128-129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کپرنیکی با تغییردادن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تغییر در مفاهیم بنیادین نجوم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پی‌آمدهایی که تغییر معنایی میان دو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یا دو پارادایم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است که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هیچ زبان مشترکی میان دو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یا پارادایم وجود ندارد که طرفداران آنها با تمسک به آن زبان بتوانند با یکدیگر ارتباط برقرار کنند؛ زیرا دو نفر که وضع واحدی را به دو صورت متفاوت ادراک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درعین‌حال، در بحث‌های خود واژگان یکسانی را به کار می‌برند، ناگزیر الفاظ را به معانی متفاوت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می‌توانند امید داشته باشند که حتی کمی همدیگر را متقاعد کنند؟ این مسئله به گسست ارتباطی میان پارادایم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مانهایم به این مسئله تحت عنوان مستقلی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اما آن را در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بررسی و تحلیل می‌کند</w:t>
      </w:r>
      <w:r>
        <w:rPr>
          <w:rFonts w:eastAsia="IRNazanin" w:cs="IRNazanin"/>
          <w:color w:val="111111"/>
          <w:sz w:val="28"/>
          <w:szCs w:val="28"/>
          <w:rtl w:val="true"/>
          <w:lang w:bidi="fa-IR"/>
        </w:rPr>
        <w:t>.</w:t>
      </w:r>
    </w:p>
    <w:p>
      <w:pPr>
        <w:pStyle w:val="Heading3"/>
        <w:numPr>
          <w:ilvl w:val="2"/>
          <w:numId w:val="1"/>
        </w:numPr>
        <w:rPr/>
      </w:pPr>
      <w:bookmarkStart w:id="137" w:name="__RefHeading___Toc5522610_581953129"/>
      <w:bookmarkStart w:id="138" w:name="_Toc48"/>
      <w:bookmarkEnd w:id="137"/>
      <w:r>
        <w:rPr/>
        <w:t>6</w:t>
      </w:r>
      <w:r>
        <w:rPr>
          <w:rtl w:val="true"/>
        </w:rPr>
        <w:t>.</w:t>
      </w:r>
      <w:r>
        <w:rPr>
          <w:rtl w:val="true"/>
        </w:rPr>
        <w:t>گسست ارتباطی</w:t>
      </w:r>
      <w:bookmarkEnd w:id="13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مانهایم معتقد است دو شخص که در مبحثی واحد با یکدیگر گفتوگو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شرایط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یکسانی دارند،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کاملاً متفاوت از دو شخصی که دارای مقام و پایگاه اجتماعی مختلفی هستند،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و باید به گفت‌وگوی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مانهایم می‌گوید در چنین گفتوگویی، هر شخص نماینده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گروه خاصی است و ساختار ذهنی او، به طورکلی، به هنگام مباحثه درباره یک مسئله، اغلب به طور کامل، با ساختار ذهنی دیگری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چنان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گویی اختلاف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به مسئله خاص محدود است؛ موردی که عدم توافق کنونی آنان به گرد آن متبلور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حقیقت را نادیده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که رقیبشان نه فقط در نظرش درباره نکته مورد بحث، بلکه در کل رویکردش متفاوت از آنهاست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Mannheim, 1936, P.251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هر یک از شرکت‌کنندگان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معنایی کم‌و‌بیش متفاوت دارد؛ زیرا از کل </w:t>
      </w:r>
    </w:p>
    <w:p>
      <w:pPr>
        <w:pStyle w:val="BookText"/>
        <w:rPr/>
      </w:pPr>
      <w:r>
        <w:rPr>
          <w:rFonts w:ascii="IRNazanin" w:hAnsi="IRNazanin" w:eastAsia="IRNazanin"/>
          <w:color w:val="111111"/>
          <w:sz w:val="28"/>
          <w:sz w:val="28"/>
          <w:szCs w:val="28"/>
          <w:rtl w:val="true"/>
          <w:lang w:bidi="fa-IR"/>
        </w:rPr>
        <w:t>چهارچوب مرجع مربوط به آنها سر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در نتیجه معنای آن موضوع، در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شخص دیگر، دستکم تا حدی مبهم و نامشخص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باورمانهایم در چنین مواردی نباید به روش معمول، یعنی روشی که طبق آن، دلایل طرف مقابل به طور مستقیم سنجیده و رسیدگی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شد؛ بلکه شخص باید با تعریف و تعیین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شخص مقابل و تلقی آن به عنوان کارکرد یک وضع اجتماعی معین به فهم او نایل گردد؛ به بیان دیگر همراهان ناهمگون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با این نیت به هم نزدیک شوند که از هرنقطه برخورد نظری فرصتی برای رفع سوءتفاهم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تعیین سرچشمه اختلافات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پیشفرض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گوناگونی را که به منزله نتایج و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آمدهای دو موقعیت مختلف اجتماعی در دو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مربوط نهفته اند،آشکار خواهد ساخت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p.252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همین وضعیت در عرصه معرفت علمی میان پارادایم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رقیب رخ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کوهن معتقد است طرفداران پارادایم‌های رقیب از برقرارکردن تماس کامل با دیدگاه‌های یکدیگر عاجز می‌مانند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Kuhn,1970,p.148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 این مسئله را به گسست ارتباطی میان پارادایم‌های رقیب تعبیر می‌کند و با موشکافی حیرتانگیزی به بررسی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است که این وضعیت تنها به سبب دشواری‌های زبان‌شناختی نیست و آن‌را نمی‌توان با وضع مقررات و قیدهایی در تعاریف مربوط به واژگانی که تغییر معنایی یافته‌اند، حل کرد؛ به عبارت دیگر، طرفداران نظریه‌های رقیب نمی‌توانند به زبان بی‌طرفی متوسل شوند که هر دو آن را به یک صورت به کار می‌برند و برای بیان نظریه‌های هر دو طرف یا حتی نتایج تجربی آن نظریه‌ها مناسب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p.201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این پرسش مهم روبه‌روییم که آیا این گسست ارتباطی، کامل است؟ آیا کسانی که با یک گسست ارتباطی مواجه‌اند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با یکدیگر ارتباط برقرار کنند؟ ما چگونه می‌توانیم بر این گسست ارتباطی چیره شویم؟ به نظر کوهن، کسانی که چنین گسست ارتباطی را تجربه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زبان و جهان روزمره‌شان و هم بخش عمده زبان و جهان علمی‌شان مشترک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بنابراین طرفداران نظریه‌های قیاس‌ناپذیر </w:t>
      </w:r>
    </w:p>
    <w:p>
      <w:pPr>
        <w:pStyle w:val="BookText"/>
        <w:rPr/>
      </w:pPr>
      <w:r>
        <w:rPr>
          <w:rFonts w:ascii="IRNazanin" w:hAnsi="IRNazanin" w:eastAsia="IRNazanin"/>
          <w:color w:val="111111"/>
          <w:sz w:val="28"/>
          <w:sz w:val="28"/>
          <w:szCs w:val="28"/>
          <w:rtl w:val="true"/>
          <w:lang w:bidi="fa-IR"/>
        </w:rPr>
        <w:t xml:space="preserve">قادر به ارتباط با یکدیگرند، گرچه این ارتباط، پیوندی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دیدگاه‌های یکدیگر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ارتباط چگونه می‌تواند انجام پذیرد؟ راه و رسم‌های لازم برای آن چیست؟</w:t>
      </w:r>
    </w:p>
    <w:p>
      <w:pPr>
        <w:pStyle w:val="BookText"/>
        <w:rPr/>
      </w:pPr>
      <w:r>
        <w:rPr>
          <w:rFonts w:ascii="IRNazanin" w:hAnsi="IRNazanin" w:eastAsia="IRNazanin"/>
          <w:color w:val="111111"/>
          <w:sz w:val="28"/>
          <w:sz w:val="28"/>
          <w:szCs w:val="28"/>
          <w:rtl w:val="true"/>
          <w:lang w:bidi="fa-IR"/>
        </w:rPr>
        <w:t xml:space="preserve">بنابر نظر کوهن کسانی که با یک گسست ارتباطی مواجه‌اند، می‌توانند همچون مورخان و مترجمان یکدیگر را اعضای جامعه‌هایی متکلم به زبان‌های متفاوت تصور کنند که باید به ترجمه دیدگاه‌های یکدیگر بپردازند؛ اما شرط لازم برای چنین کاری، واقفبودن به تفاوت بحث‌های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باید به این نکته توجه کرد که اصطلاحات و تغییراتی که در حوزه بحث‌های درون‌گروهی، داخل یک جامعه بدون ایجاد اشکال به کار می‌روند، اگر برای بحث‌های میان‌گروهی در دو جامعه متفاوت به کار روند، مایه ایجاد پریشانی و زحمت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اصطلاحاتی که موجب ایجاد چنین دشواری‌هایی نباشند، به طور کامل قابل ترجمه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پارادایم‌های رقیب با توجه به این موضوع می‌توانند به واژگان هر روزی مشترک متشبّث شوند و با تلاشی بیشتر پریشانی‌های خود را از میان بردارند؛ یعنی هر کس باید تلاش کند بفهمد وقتی با انگیزه یا عملی روبه‌رو می‌شود که واکنش وی نسبت بدان با طرف مقابل متفاوت است، چه چیز را خواهد دید و چه خواهد گفت و از تعبیر رفتار ناهنجار دیگری به عنوان نتیجه محض یک خطا و یا دیوانگی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کس خواهد آموخت که نظریه شخص دیگر و نتایج آن را به زبان خود ترجمه کند و درعینحال، با زبان خود جهانی که نظریه مذکور را می‌توان در آن به کار برد،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طرف‌های گسست ارتباطی می‌توانند از محاسن و معایب دیدگاه‌های یکدیگر آگاه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 p.202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ملاحظه میشود، گسست ارتباطی یکی از مهم‌ترین پی‌آمدهای نگرش هایی است که اندیشه را محصول چشم انداز یا پارادایمی میدانند که اندیشمند در آن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کوهن و مانهایم با آگاهی از این مشکل سعی میکنند به گونه ای از آن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دوی آنان در این نکته متفق القول‌اند که کسانی که در چشم اندازهای مختلف زندگی می‌کنند، باید بکوشند خود را به فرضها و موقعیت اجتماعی چشم‌انداز دیگر نزدیک کنند تا شاید بدینگونه بتوانند از سوءتفاهم‌ها اجتناب کنند و همدیگر را </w:t>
      </w:r>
      <w:bookmarkStart w:id="139" w:name="pg5923_64924"/>
    </w:p>
    <w:p>
      <w:pPr>
        <w:pStyle w:val="BookText"/>
        <w:rPr/>
      </w:pPr>
      <w:bookmarkEnd w:id="139"/>
      <w:r>
        <w:rPr>
          <w:rFonts w:ascii="IRNazanin" w:hAnsi="IRNazanin" w:eastAsia="IRNazanin"/>
          <w:color w:val="111111"/>
          <w:sz w:val="28"/>
          <w:sz w:val="28"/>
          <w:szCs w:val="28"/>
          <w:rtl w:val="true"/>
          <w:lang w:bidi="fa-IR"/>
        </w:rPr>
        <w:t>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کوهن در این میان با دقت بیشتری مسئله را بررسی می کند و می‌کوشد با ارائه روش هایی امکان فائق آمدن بر این گسست ارتباطی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امکان یک فهم کامل و همه‌جانبه از چشم انداز رقیب وجود ندارد، اما این، بدان معنا نیست که ما نمی توانیم به هیچ روشی به پارادایم رقیب نزدیک شویم و به درکی از آن نایل شویم</w:t>
      </w:r>
      <w:r>
        <w:rPr>
          <w:rFonts w:eastAsia="IRNazanin" w:cs="IRNazanin"/>
          <w:color w:val="111111"/>
          <w:sz w:val="28"/>
          <w:szCs w:val="28"/>
          <w:rtl w:val="true"/>
          <w:lang w:bidi="fa-IR"/>
        </w:rPr>
        <w:t>.</w:t>
      </w:r>
    </w:p>
    <w:p>
      <w:pPr>
        <w:pStyle w:val="Heading3"/>
        <w:numPr>
          <w:ilvl w:val="2"/>
          <w:numId w:val="1"/>
        </w:numPr>
        <w:rPr/>
      </w:pPr>
      <w:bookmarkStart w:id="140" w:name="__RefHeading___Toc5522612_581953129"/>
      <w:bookmarkStart w:id="141" w:name="_Toc49"/>
      <w:bookmarkEnd w:id="140"/>
      <w:r>
        <w:rPr/>
        <w:t>7</w:t>
      </w:r>
      <w:r>
        <w:rPr>
          <w:rtl w:val="true"/>
        </w:rPr>
        <w:t xml:space="preserve">. </w:t>
      </w:r>
      <w:r>
        <w:rPr>
          <w:rtl w:val="true"/>
        </w:rPr>
        <w:t>نسبی گرایی یا نسبت گرایی</w:t>
      </w:r>
      <w:bookmarkEnd w:id="14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طرفداران پارادایم‌های رقیب قادر به ارتباط با یکدیگرند و می‌توانند از محاسن و معایب نظریه‌های یکدیگر آگاهی یابند، بر مبنای چه معیار و میزانی نظریه‌های یکدیگر را ارزیابی می‌کنند؟کوهن معتقد است معیارهایی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پیش‌بینی، به ویژه پیشبینی کمّی، توازن بین موضوعات روزمره و دشوار و تعداد مسائل مختلف حل‌شده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سادگی، گستردگی و سازگاری با حوزه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در ارزیابی رجحان میان پارادایم های علمی مورد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کرد که معیارهایی از این قبیل ارزشهای جامعه علمی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شیوهای که این ارزشها به مدد آن تعیین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تحلیل نهایی، روانشناختی یا جامعه شناختی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باید توصیف یک نظام ارزشی یا یک ایدئولوژی باشد همراه با تحلیلی از نهادهایی که به واسطه آنها آن نظام انتقال و استحکام می‌یابد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Lakatos &amp; Musgrave,1970, p.21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همین سبب، کوهن معتقد است در گزینش میان پارادایم‌های رقیب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میزانی بالاتر از توافق جامعه مربوط وجود ندارد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Kuhn, 1970, p.94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واقع انتخاب و تصمیم‌گیری‌های دانشمندان تابعی هستند از آنچه نزد آنان واجد ارزش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گزینش، هیچ معیار کلی وجود ندارد که بر تصمیمی حکم کند که برای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منطقاً الزام 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فهم گزینش‌هایی که دانشمند خاصی انجام داده است، مستلزم فهم ارزش‌هایی است که او بدان‌ها ارج می‌نهد و خود این امر متضمن پژوهش روان‌شناختی است، گزینش‌هایی که یک جامعه انجام می‌دهد به آنچه مورد احترام آن جامعه است، بستگی دارد و شناخت آن انتخاب‌ها مستلزم پژوهشی جامعه‌شناختی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همه بر نوعی نسبی گرایی دلالت دارند که منکر معیاری کلی و غیر تاریخی برای معقولیت اند؛ معیاری که به اعتبار آن بتوان نظریه ای را برتر از دیگری دانست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مانهایم معتقد است نسبتدادن عقاید به ساختار کلی یک بستر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معین را نباید با نسبی‌گرایی فلسفی که منکر اعتبار هر گونه معیاری برای تمییز میان اظهارات درست و نادرست است، اشتباه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مانهایم معتقد است عقاید را میتوان به وجه معینی از تفسیر جهان مرتبط ساخت که به ساختار اجتماعی خاصی که موقعیت آن تفسیر را تشکیل میدهد، ارتباط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نمونه‌ای از کاری را انجام دادهایم که به شیوه نسبت گرایی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جامعه‌شناسی معرفت، تمام نموده ای فکری را در معرض این پرسش قرار میدهد که این نمودها در ارتباط با چه ساختار اجتماعی ظهور میکنند و آیا معتبرند؟ ممکن است گفته شود که اعتبار مطلق یک اظهار نظر هنگامی انکار میشود که ارتباط ساختار آن با یک موقعیت معین اجتماعی نشان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پاسخی دیگر نیز میتوان یافت؛ بدین‌معناکه نسبت هایی که جامعه‌شناسی معرفت میان یک گفته و گوینده آن برقرار میکند، درباره حقیقت و ارزش آن سخن نمیگوید؛ زیرا نحوه پیدایش یک گفته تأثیری بر درستی و اعتبار آن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مانهایم معتقد است دیدگاه اول تنها زمانی درست است که پایگاه اجتماعی خاصی سبب ارائه نظریه ای غرض آلود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اظهار عقیده از حیث اعتبار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وی بر این باور است که اگر بپنداریم جامعه شناسی معرفت کاری نمی‌کند جز تشریح شرایطی که ظهور عقاید تابع آنهاست، به خطا رفته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تحلیل کامل و همه‌جانبه جامعه‌شناختی از معرفت نظریه را هم از لحاظ محتوا و هم از لحاظ ساختار به نگرش مورد تجزیه و تحلیل قرار گرفته مقید میکند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Mannheim, 1936, p.255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عبارت دیگر نهتنها می‌کوشد وجود رابطه میان جامعه و معرفت را نشان دهد، بلکه در عین حال میکوشد حدود و وسعت اعتبار ان را جزء به جزء بیان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فرایند نسبت‌گرایی در این سطح به فرایندی جزئینگر می‌ماند؛ زیرا انسان نهتنها اظهار نظری را به یک موضع فکری ارتباط می‌دهد، </w:t>
      </w:r>
    </w:p>
    <w:p>
      <w:pPr>
        <w:pStyle w:val="BookText"/>
        <w:rPr/>
      </w:pPr>
      <w:r>
        <w:rPr>
          <w:rFonts w:ascii="IRNazanin" w:hAnsi="IRNazanin" w:eastAsia="IRNazanin"/>
          <w:color w:val="111111"/>
          <w:sz w:val="28"/>
          <w:sz w:val="28"/>
          <w:szCs w:val="28"/>
          <w:rtl w:val="true"/>
          <w:lang w:bidi="fa-IR"/>
        </w:rPr>
        <w:t>بلکه در انجام این عمل ادعایش را در مورد درست‌بودن آن عقیده که در آغاز برای یک میدان دید کموسعت‌تر مطلق به شمار می‌رفت، محدود می‌کند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جامعه‌شناسی معرفت میکوشد با تحلیل دیدگاه‌های متعدد حدود و درجه جامعیت هر یک از آنها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بررسی و تحلیل مجموعه مقولات تشکیل‌دهنده آنها و مفاهیمی که هر یک در بر دارند، سنجیده و معین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برخی معانی، مفاهیم و ارزش‌هایی که بخش جدایی‌ناپذیر یک وضع اجتماعی معین‌اند، نحوه بینش و روحیه مشروط به مقاصد جمعی گروه و دلایل نظرگاه‌های گوناگونی که یک موقعیت واحد برای مقام‌ها و پایگاه‌های گوناگون موجود در آن موقعیت پیش می‌آورد، از این راه قابل فهم‌تر و مشخص‌تر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جامعه‌شناسی معرفت از حد حقایق جزئی که نسبتگرایی صرف بدانها محدود می‌شود، گامی فراتر می‌گذارد و نقش منتقد را نیز بر عهده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ویژگی تحلیل‌های جامعه‌شناسی معرفت در این معنا، به هیچروی با تعیین حقیقت یک گفته بیارتباط نیستند؛ اما این تحلیل‌ها از سوی دیگر بهتنهایی از روی حقیقت پرده برنمیدارند؛ زیرا صرف تعیین چشم‌انداز به هیچوجه جای مباحثه مستقیم و بیواسطه میان دیدگاه های گوناگون یا جای وارسی مستقیم حقایق جزئی را نمی‌گیرد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Ibid,p.256</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پرسش مهم مطرح می‌شود که مطابق نظر مانهایم هر پژوهنده ای جهان را مطابق مقام و پایگاه اجتماعی خود میبیند و هر اندیشه ای طبق انتظارات گروه اجتماعی معینی جهت میگیرد؛ پس منظور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وارسی مستقیم حقایق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مگر نه این است که هر آنچه فرد می‌بیند و می‌اندیشد، مطابق انتظارات گروه اجتماعی است که بدان تعلق دارد، پس چگونه می توان حقایق را به طور مستقیم و به دور از تعلقات اجتماعی و گروهی بررسی کرد؟ مانهایم هیچ جا به این پرسشها پاسخ نمی دهد و به شرح و توضیح تعارض پیش آمده در اظهاراتش نمیپردازد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مانهایم یادآوری می‌کند که نسبتدادن عقاید به ساختار کلی یک بستر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معین را نباید با نسبی‌گرایی فلسفی که منکر اعتبار هر گونه معیاری برای تمییز میان اظهارات درست و نادرست است، اشتباه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نسبت‌گرایی اشاره نمیکند به اینکه در یک بحث، هیچگونه میزان درستی و نادرستی وجود ندارد، لکن بر این باور اصرار دارد که به لحاظ طبیعت، برخی اظهار عقیده‌ها، نمی‌توان آنها را به طور مطلق فرمول‌بندی کرد، بلکه فرمولبندی آنها تنها بر حسب چشم‌انداز یک موقعیت معین امکان‌پذیر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Mannheim, 1936, p.254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مانهایم هیچ جا به این معیار و میزان که می‌توان با آن، درستی یا نادرستی یک اظهار نظر را سنجید، اشاره نمی‌کند و نمی‌گویدکه این معیارها کدام‌اند وما چگونه می‌توانیم بدانها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مانهایم معتقد است ساحتی از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حقیقت فینفسه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شرایط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تنها آن را متعین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ولکر مجا و نیکو استر، دو جامعه‌شناس معروف معرفت، بر این باورند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نگرش‌های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زمان تغییر 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تغییرات هم در مورد آمادگی مانهایم برای در نظرگرفتن امکان یک جامعه‌شناسی معرفت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در نوشته‌های اولیه‌اش به طور جدی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مورد تأکید بیش از پیش او بر امکان دستیابی به حقیقت با روش بحث و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روش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Meja &amp; Stehr,1990, p.286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 و استر در مورد طرح امکان یک جامعه‌شناسی معرفت علمی توسط مانهایم، شواهدی ارائه نمیکنند؛ اما برای تغییرات یادشده در ادعای دوم خود این جملات مانهایم را از کتاب ایدئولوژی و اتوپیا شاهد می‌آوند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ناگزیر خواهیم بود هم جبر محیطی را یک عامل ذاتی در شناسایی به حساب آوریم و هم نظریه نسبت‌گرایی و نظریه بنیاد متغیر اندیشه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این تصور را مردود بدانیم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 حقیقت فی نفسه</w:t>
      </w:r>
      <w:r>
        <w:rPr>
          <w:rFonts w:eastAsia="IRNazanin" w:cs="IRNazanin"/>
          <w:color w:val="111111"/>
          <w:sz w:val="28"/>
          <w:szCs w:val="28"/>
          <w:rtl w:val="true"/>
          <w:lang w:bidi="fa-IR"/>
        </w:rPr>
        <w:t xml:space="preserve">» </w:t>
      </w:r>
      <w:bookmarkStart w:id="142" w:name="pg5923_64928"/>
    </w:p>
    <w:p>
      <w:pPr>
        <w:pStyle w:val="BookText"/>
        <w:rPr/>
      </w:pPr>
      <w:bookmarkEnd w:id="14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Sphere of “Truth inItself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منزله فرضیه توجیهناپذیر و قابل شکست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نیک بنگریم درمییابیم در علوم طبیعی نیز از بسیاری جهات در موقعیتهای کاملاً همانند قرار 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باید توجه کرد که منظور مانهایم این نیست که چون علوم طبیعی مانند دیگر شکل‌های معرفت دارای خاستگاه اجتماعیاند، سپهر حقیقت فینفسه ندارند، بلکه اگر به ادامه اظهارات مانهایم در کتاب ایدئولوژی و اتوپیا توجه کنیم، می‌بینیم که وی برای شرح و بسط نظریه اش به مثال‌هایی از فیزیک کوانتومی متوسل میشود و به این نکته اشاره می کند که در فیزیک کوانتوم امکان ندارد از نتیجه اندازه گیری ها سخن بگوییم که بتواند مستقل از ابزار مورد استفاده اندازه گیری به ضابطه و فرمول درآید و از اینرو با عدم قطعیت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معروف هایزنبرگ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مانهایم از اینکه علوم طبیعی نیز نمی‌تواند ما را به یک سپهر حقیقت فی‌نفسه برسانند، سپهر حقیقت قطعی و متعین است که فیزیک کوانتومی آن را انکار می‌کند؛ از این‌رو استشهاد مجا و استر در مورد تغییر نظر مانهایم در این زمینه قانعکننده نیست</w:t>
      </w:r>
      <w:r>
        <w:rPr>
          <w:rFonts w:eastAsia="IRNazanin" w:cs="IRNazanin"/>
          <w:color w:val="111111"/>
          <w:sz w:val="28"/>
          <w:szCs w:val="28"/>
          <w:rtl w:val="true"/>
          <w:lang w:bidi="fa-IR"/>
        </w:rPr>
        <w:t>.</w:t>
      </w:r>
    </w:p>
    <w:p>
      <w:pPr>
        <w:pStyle w:val="Heading3"/>
        <w:numPr>
          <w:ilvl w:val="2"/>
          <w:numId w:val="1"/>
        </w:numPr>
        <w:rPr/>
      </w:pPr>
      <w:bookmarkStart w:id="143" w:name="__RefHeading___Toc5522614_581953129"/>
      <w:bookmarkStart w:id="144" w:name="_Toc50"/>
      <w:bookmarkEnd w:id="143"/>
      <w:r>
        <w:rPr>
          <w:rtl w:val="true"/>
        </w:rPr>
        <w:t>نتیجه گیری</w:t>
      </w:r>
      <w:bookmarkEnd w:id="14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 کارتی معتقد است جامعه‌شناسی معرفت دارای دو رویکرد مهم است؛ بنابر رویکرد نخست معرفت توسط شرایط اجتماعی تعین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طور اجتماعی تعین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آغاز جامعه شناسی معرفت بر آن حاکم بوده است و مانهایم تعین اجتماعی را به عنوان اصل اساسی جامعه شناسی معرفت تعیین کرد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Mackarthy, 1996, p.12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البته باید یادآوری کرد که همین تعین اجتماعی واقعیت را مانهایم تنها درباره واقعیت تاریخی، اجتماعی، سیاسی میداند و در مورد واقعیت تجربی، طبیعی و فیزیکی معتقد است این واقعیت نمی‌تواند توسط شرایط تاریخی و اجتماعی تعین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دوم متعلق به پیتر برگر و توماس لاک است که با نوشتن کتاب ساخت اجتماعی واقعیت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نظم اجتماعی را میسازد و این بیان میکند که معرفت نه تنها نتیجه یک نظم اجتماعی نیست، بلکه خود عامل کلیدی در خلق و </w:t>
      </w:r>
    </w:p>
    <w:p>
      <w:pPr>
        <w:pStyle w:val="BookText"/>
        <w:rPr/>
      </w:pPr>
      <w:r>
        <w:rPr>
          <w:rFonts w:ascii="IRNazanin" w:hAnsi="IRNazanin" w:eastAsia="IRNazanin"/>
          <w:color w:val="111111"/>
          <w:sz w:val="28"/>
          <w:sz w:val="28"/>
          <w:szCs w:val="28"/>
          <w:rtl w:val="true"/>
          <w:lang w:bidi="fa-IR"/>
        </w:rPr>
        <w:t>ارتباطات یک نظم اجتماعی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به طور اجتماعی ساخته می‌شود و جامعه‌شناسی معرفت باید فرایندی را که این ساختن در آن رخ میدهد، تحلیل 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Berger, 1966, p.13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نکته جالب این است که کمتر فیلسوف و جامعه‌شناسی این دو رویکرد را درباره علوم طبیعی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 مرتون کوشید به طور محدودی نشان دهد که چگونه شرایط اجتماعی تعین بخش نظریه‌های علمی اند؛ اما کوهن سعی کرد خود معرفت علمی را درابعاد اجتماعی تاریخی بررسیکند و نشان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علمی، همچون زبان، ذاتاً مملوک مشترک یک گروه است و درغیر این صورت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فهم آن به دانستن ممیزات ویژه گروه‌هایی که آن را ایجاد و از آن استفاده می‌کنند، نیاز داریم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Kuhn, 1970, p.210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آنچه اهمیت دارد، این است که تصویر و تلقی جدید از علم رویکرد سنتی جامعه‌شناسی به معرفت علمی را بی‌اعتبار می‌کند و در نتیجه معرفت علمی را مستعد تبیین جامعه‌شناختی می‌کند، معرفتی که مثل هر نوع معرفت بشری اساساً به طور اجتماعی هم تعین مییابد و هم ساخته می‌شود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این مقاله ملاحظه کردیم گرچه کار کوهن اساساً کاری در جامعه شناسی معرفت علمی نبود، اما مفاهیم، آموزه‌ها و شیوه کار او شبیه پروژه جامعه‌شناسی معرفت مانهایم بود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توازی میان نظریه جامعه شناسی معرفت مانهایم و نظریه پارادایمی علم نشان می‌دهد که گویا حداقل بنیانگذاران این شیوه بررسی معرفت، برای نشاندادن خاستگاه اجتماعی معرفت، آن را منتسب به دوره‌هایی میکنند که زاییده تحولات اجتماعی زمان خویشاند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نمود این دوره‌های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پارادایم‌ها یا چشم‌اندازها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در زبان و مفاهیم به کارگرفته شده در آن دوره به روشنی مشاهده کرد، آنان تلاش می‌کنند </w:t>
      </w:r>
      <w:bookmarkStart w:id="145" w:name="pg5923_64930"/>
    </w:p>
    <w:p>
      <w:pPr>
        <w:pStyle w:val="BookText"/>
        <w:rPr/>
      </w:pPr>
      <w:bookmarkEnd w:id="145"/>
      <w:r>
        <w:rPr>
          <w:rFonts w:ascii="IRNazanin" w:hAnsi="IRNazanin" w:eastAsia="IRNazanin"/>
          <w:color w:val="111111"/>
          <w:sz w:val="28"/>
          <w:sz w:val="28"/>
          <w:szCs w:val="28"/>
          <w:rtl w:val="true"/>
          <w:lang w:bidi="fa-IR"/>
        </w:rPr>
        <w:t>وابستگی اندیشه به بستر اجتماعی دوره خویش را در این تغییر مفاهیم در زبان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یکی از عواملی که سبب به کارگیری این شیوه شده است، متأثربودن آنها از نگرش گشتالتی است که طبق آن، فرایند ادراک و فهم ما از کل های یکپارچه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پارادایم یا چشم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می‌توان پرسید که این شیوه تأمل درباره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طبیعی یا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ناشی از چه شرایط اجتماعی است؟ پاسخ به این پرسش در گرو نوعی به کارگیری شیوه جامعه‌شناختی معرفت است که خود نیازمند پژوهشی جداگانه بوده، باید در مقاله‌ای دیگر بدان پرداخت</w:t>
      </w:r>
      <w:r>
        <w:rPr>
          <w:rFonts w:eastAsia="IRNazanin" w:cs="IRNazanin"/>
          <w:color w:val="111111"/>
          <w:sz w:val="28"/>
          <w:szCs w:val="28"/>
          <w:rtl w:val="true"/>
          <w:lang w:bidi="fa-IR"/>
        </w:rPr>
        <w:t>.</w:t>
      </w:r>
    </w:p>
    <w:p>
      <w:pPr>
        <w:pStyle w:val="Heading3"/>
        <w:numPr>
          <w:ilvl w:val="2"/>
          <w:numId w:val="1"/>
        </w:numPr>
        <w:rPr/>
      </w:pPr>
      <w:bookmarkStart w:id="146" w:name="__RefHeading___Toc5522616_581953129"/>
      <w:bookmarkStart w:id="147" w:name="_Toc51"/>
      <w:bookmarkEnd w:id="146"/>
      <w:r>
        <w:rPr>
          <w:rtl w:val="true"/>
        </w:rPr>
        <w:t>منابع و مآخذ</w:t>
      </w:r>
      <w:bookmarkEnd w:id="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آربلاستر، آنتونی؛ لیبرالیسم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سقوط؛ ترجمه عباس مخبر؛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کوزر، لویس؛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سعید سبزیان؛ نامه علوم اجتماعی، 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Lakatos and Musgrave; Criticism and the Growth of Knowledge; Vol 4, Cambridge University Press, 1970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McCarthy,E.Doyle; Knowledge as Culture: The new sociology of Knowledge, Routledge,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Mannheim,Karl; Ideology and Utopia; London and Henley, Routledge &amp; Kegan Paul, 1975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Meja,Volker &amp; Stehr, Nico; Knowledge and Politics: The Sociology of Knowledge Dispute; London, Routledge,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Berger,Peter L. &amp; Luckmann, Thomas; The social Construction of Reality; Penguin Books, 1966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Kuhn, Thomas S.; The Essential Tension; Chicago, University of Chicago Press, 1977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Structure of Scientific Revolutions (2d ed); Chicago: University of Chicago Press, 1970</w:t>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5923_64932"/>
      <w:bookmarkStart w:id="149" w:name="pg5923_64932"/>
      <w:bookmarkEnd w:id="149"/>
    </w:p>
    <w:p>
      <w:pPr>
        <w:pStyle w:val="Heading2"/>
        <w:numPr>
          <w:ilvl w:val="1"/>
          <w:numId w:val="1"/>
        </w:numPr>
        <w:rPr/>
      </w:pPr>
      <w:bookmarkStart w:id="150" w:name="pg5923_64932"/>
      <w:bookmarkStart w:id="151" w:name="__RefHeading___Toc5522618_581953129"/>
      <w:bookmarkStart w:id="152" w:name="_Toc52"/>
      <w:bookmarkEnd w:id="150"/>
      <w:bookmarkEnd w:id="151"/>
      <w:r>
        <w:rPr>
          <w:rtl w:val="true"/>
        </w:rPr>
        <w:t xml:space="preserve">علم حضوری راه حلی برای چند مسئله در اولیات نگاهی به نظریه محمدتقی مصباح یزدی </w:t>
      </w:r>
      <w:r>
        <w:rPr>
          <w:rtl w:val="true"/>
        </w:rPr>
        <w:t xml:space="preserve">/ </w:t>
      </w:r>
      <w:r>
        <w:rPr>
          <w:rtl w:val="true"/>
        </w:rPr>
        <w:t>امیرحسن زادیوسفی، داود حسینی</w:t>
      </w:r>
      <w:bookmarkEnd w:id="152"/>
    </w:p>
    <w:p>
      <w:pPr>
        <w:pStyle w:val="Heading3"/>
        <w:numPr>
          <w:ilvl w:val="2"/>
          <w:numId w:val="1"/>
        </w:numPr>
        <w:rPr/>
      </w:pPr>
      <w:bookmarkStart w:id="153" w:name="__RefHeading___Toc5522620_581953129"/>
      <w:bookmarkStart w:id="154" w:name="_Toc53"/>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امیرحسن زادیوسفی</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داود حسینی</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16/7/92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22/10/92</w:t>
      </w:r>
    </w:p>
    <w:p>
      <w:pPr>
        <w:pStyle w:val="Heading3"/>
        <w:numPr>
          <w:ilvl w:val="2"/>
          <w:numId w:val="1"/>
        </w:numPr>
        <w:rPr/>
      </w:pPr>
      <w:bookmarkStart w:id="155" w:name="__RefHeading___Toc5522622_581953129"/>
      <w:bookmarkStart w:id="156" w:name="_Toc54"/>
      <w:bookmarkEnd w:id="155"/>
      <w:r>
        <w:rPr>
          <w:rtl w:val="true"/>
        </w:rPr>
        <w:t>چکیده</w:t>
      </w:r>
      <w:bookmarkEnd w:id="156"/>
    </w:p>
    <w:p>
      <w:pPr>
        <w:pStyle w:val="BookText"/>
        <w:rPr/>
      </w:pPr>
      <w:r>
        <w:rPr>
          <w:rFonts w:ascii="IRNazanin" w:hAnsi="IRNazanin" w:eastAsia="IRNazanin"/>
          <w:color w:val="111111"/>
          <w:sz w:val="28"/>
          <w:sz w:val="28"/>
          <w:szCs w:val="28"/>
          <w:rtl w:val="true"/>
          <w:lang w:bidi="fa-IR"/>
        </w:rPr>
        <w:t>در میان فیلسوفان اسلامی معاصر، محمدتقی مصباح یزدی در برخی از آثار خود به مناسبت هایی درباره صدق قضایای اولی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اولاً نظریه ای را در باب صدق قضایای اولی از آثار وی استخراج و این نظریه را در سه گام ارائه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گام در پاسخ به سه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چیستی قضایای اولی؛ مسئله صدق قضایای اولی و مسئله کلیت قضایای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که در نظریه وی علم حضوری نقش اصلی را در پاسخ به مسائل فوق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بررسی جایگاه علم حضوری در نظریه وی پرداخته، نشان خواهیم داد علوم حضوری مختلفی در نظریه وی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استدلال خواهیم کرد برای اینکه دیدگاه وی نظریه ای موفق باشد، این علوم حضوری کافی نیستند و باید علوم حضوری دیگری را به نظریه وی افزود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اولیات، علم حضوری، صدق، معقولات ثانیه فلسفی</w:t>
      </w:r>
      <w:r>
        <w:rPr>
          <w:rFonts w:eastAsia="IRNazanin" w:cs="IRNazanin"/>
          <w:color w:val="111111"/>
          <w:sz w:val="28"/>
          <w:szCs w:val="28"/>
          <w:rtl w:val="true"/>
          <w:lang w:bidi="fa-IR"/>
        </w:rPr>
        <w:t xml:space="preserve">. </w:t>
      </w:r>
      <w:bookmarkStart w:id="157" w:name="pg5923_64933"/>
    </w:p>
    <w:p>
      <w:pPr>
        <w:pStyle w:val="Heading3"/>
        <w:numPr>
          <w:ilvl w:val="2"/>
          <w:numId w:val="1"/>
        </w:numPr>
        <w:rPr/>
      </w:pPr>
      <w:bookmarkStart w:id="158" w:name="__RefHeading___Toc5522624_581953129"/>
      <w:bookmarkStart w:id="159" w:name="_Toc55"/>
      <w:bookmarkEnd w:id="157"/>
      <w:bookmarkEnd w:id="158"/>
      <w:r>
        <w:rPr>
          <w:rtl w:val="true"/>
        </w:rPr>
        <w:t>مقدمه</w:t>
      </w:r>
      <w:bookmarkEnd w:id="159"/>
    </w:p>
    <w:p>
      <w:pPr>
        <w:pStyle w:val="BookText"/>
        <w:rPr/>
      </w:pPr>
      <w:r>
        <w:rPr>
          <w:rFonts w:ascii="IRNazanin" w:hAnsi="IRNazanin" w:eastAsia="IRNazanin"/>
          <w:color w:val="111111"/>
          <w:sz w:val="28"/>
          <w:sz w:val="28"/>
          <w:szCs w:val="28"/>
          <w:rtl w:val="true"/>
          <w:lang w:bidi="fa-IR"/>
        </w:rPr>
        <w:t>فیلسوفان اسلامی قضایا را به دو گروه بدیهی و نظری تقسیم می‌کنند و معتقدند قضایای نظری به قضایای بدیهی ارجاع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این باورند که تصدیق به یک قضیه یا به فکر و استدلال نیاز دارد یا نیاز ندارد؛ خواه نیازمند ابزار دیگری مانند حس باشد خواه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نخست، قضیه را نظری و در صورت دوم، بدیهی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قضایای بدیهی را نیز به بخش‌هایی دیگر تقسیم می‌کنند که یکی از آنها اولیات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رایج اولیات در میان فیلسوفان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طوسی،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این‌سینا،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قضیه‌ای است که صرف تصور حدود قضیه برای جزم به وجود نسبت یا عدم وجود نسبت میان حدود آن کافی است و به چیز دیگری جز حدود قضیه برای این جزم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قضیه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اولی است اگر و تنها اگر صرف تصور اجزای قضیه برای تصدیق به آن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فیلاسوفان اسلامی معاصر، محمدتقی مصباح یزدی در برخی از آثار خود به مناسبت‌هایی در مورد صدق قضایای اولی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اولاً نظریه‌ای را در باب صدق قضایای اولی از آثار وی استخراج و این نظریه را در سه گام ارائه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گام در پاسخ به سه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چیستی قضایای اولی، مسئله صدق قضایای اولی و مسئله کلیت قضایای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که در نظریه وی علم حضوری نقش اصلی را در پاسخ به مسائل فوق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بررسی جایگاه علم حضوری در نظریه وی پرداخته، نشان خواهیم داد علوم حضوری مختلفی در نظریه وی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استدلال خواهیم کرد برای اینکه نظریه وی موفق باشد، این علوم حضوری کافی نیستند و باید علوم حضوری دیگری را به نظریه وی افزود</w:t>
      </w:r>
      <w:r>
        <w:rPr>
          <w:rFonts w:eastAsia="IRNazanin" w:cs="IRNazanin"/>
          <w:color w:val="111111"/>
          <w:sz w:val="28"/>
          <w:szCs w:val="28"/>
          <w:rtl w:val="true"/>
          <w:lang w:bidi="fa-IR"/>
        </w:rPr>
        <w:t>.</w:t>
      </w:r>
    </w:p>
    <w:p>
      <w:pPr>
        <w:pStyle w:val="Heading3"/>
        <w:numPr>
          <w:ilvl w:val="2"/>
          <w:numId w:val="1"/>
        </w:numPr>
        <w:rPr/>
      </w:pPr>
      <w:bookmarkStart w:id="160" w:name="__RefHeading___Toc5522626_581953129"/>
      <w:bookmarkStart w:id="161" w:name="_Toc56"/>
      <w:bookmarkEnd w:id="160"/>
      <w:r>
        <w:rPr/>
        <w:t>1</w:t>
      </w:r>
      <w:r>
        <w:rPr>
          <w:rtl w:val="true"/>
        </w:rPr>
        <w:t xml:space="preserve">. </w:t>
      </w:r>
      <w:r>
        <w:rPr>
          <w:rtl w:val="true"/>
        </w:rPr>
        <w:t>نظریه مصباح یزدی درباره اولیات</w:t>
      </w:r>
      <w:bookmarkEnd w:id="161"/>
    </w:p>
    <w:p>
      <w:pPr>
        <w:pStyle w:val="Heading4"/>
        <w:numPr>
          <w:ilvl w:val="3"/>
          <w:numId w:val="1"/>
        </w:numPr>
        <w:rPr/>
      </w:pPr>
      <w:bookmarkStart w:id="162" w:name="__RefHeading___Toc5522628_581953129"/>
      <w:bookmarkStart w:id="163" w:name="_Toc57"/>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نظریه مصباح یزدی از سه گام به شرح زیر تشکیل می‌شود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نخست وی می‌کوشد بیان کند که اولیات چگونه قضایایی هستند؛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 </w:t>
      </w:r>
    </w:p>
    <w:p>
      <w:pPr>
        <w:pStyle w:val="BookText"/>
        <w:rPr/>
      </w:pPr>
      <w:r>
        <w:rPr>
          <w:rFonts w:ascii="IRNazanin" w:hAnsi="IRNazanin" w:eastAsia="IRNazanin"/>
          <w:color w:val="111111"/>
          <w:sz w:val="28"/>
          <w:sz w:val="28"/>
          <w:szCs w:val="28"/>
          <w:rtl w:val="true"/>
          <w:lang w:bidi="fa-IR"/>
        </w:rPr>
        <w:t>دو پرسش در مورد این‌گونه قضایا مطرح می‌کند تا از پاسخ‌دادن به آنها به ماهیت این‌گونه قضایا پی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مفاهیم به‌کاررفته در این قضایا از چه سنخ‌اند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ذهن چگونه اینگونه قضایا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قضایای اولی گزاره‌های حملی‌ای هستند که مفاهیم به‌کاررفته در این قضایا معقولات ثانیه فلسفی‌اند و در این‌گونه قضایا محمول مندرج در موضوع است؛ لذا همه این قضایا، تحلیلی‌اند و از این طریق می‌توان برای آنها ضرورت منطقی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ذهن، اتحاد موضوع و محمول را به صورت حضوری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دوم وی به مسئله اصلی پاسخ می‌دهد که چرا قضایای اولی صادق‌اند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اول فقط این مسئله روشن شد که اولیات، قضایایی تحلیلی‌اند و اجزای تشکیل‌دهنده آنها معقولات ثانیه فلسفی است؛ ولی این مطلب به هیچ‌وجه بیان نمی‌کند که چرا این قضایا صادق و مطابق با واقع‌اند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اینکه قضیه‌ای تحلیلی و محمول آن مندرج در موضوع باشد و اتحاد میان موضوع و محمول را به علم حضوری بیابیم، در نهایت رابطه‌ای هرچند ضروری میان مفاهیم موضوع و محمول اثبات شده است، ولی هنوز معلوم نیست رابطه‌ای که میان مفاهیم وجود دارد، در واقعیت خارجی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یزدی در پاسخ به این پرسش از علم حضوری و اینکه معقولات ثانیه نشان‌دهنده خارج‌اند، کمک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می‌کوشد به تبیین این مطلب بپردازد که اولیات صرفاً رابطه بین مفاهیم در این‌گونه قضایا را بیان نمی‌کنند؛ وی تلاش می‌کند با کمک‌گرفتن از علم حضوری و نقش نشان‌دهنده خارج‌بودن معقولات ثانیه، پای این‌گونه قضایا را به خارج و واقعیت بند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و برای دفع یک اشکال، وی به پاسخ این پرسش می پردازد که اگر اولیات قضایایی‌اند که توجیه خود در صدق را از علم حضوری می‌گیرند، کلیت این‌گونه قضایا را با توجه به اینکه علم حضوری امری شخصی است، چگونه می توان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وی اگرچه موضوع و محمول این قضایا را از علم حضوری انتزاع می‌کنیم، آنها را از آن جهت که امری شخصی‌اند، از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نمی‌کنیم، بلکه آنها </w:t>
      </w:r>
      <w:bookmarkStart w:id="164" w:name="pg5923_64935"/>
    </w:p>
    <w:p>
      <w:pPr>
        <w:pStyle w:val="BookText"/>
        <w:rPr/>
      </w:pPr>
      <w:bookmarkEnd w:id="164"/>
      <w:r>
        <w:rPr>
          <w:rFonts w:ascii="IRNazanin" w:hAnsi="IRNazanin" w:eastAsia="IRNazanin"/>
          <w:color w:val="111111"/>
          <w:sz w:val="28"/>
          <w:sz w:val="28"/>
          <w:szCs w:val="28"/>
          <w:rtl w:val="true"/>
          <w:lang w:bidi="fa-IR"/>
        </w:rPr>
        <w:t>را از آن جهت انتزاع می‌کنیم که دارای یک خاصیتی کلی‌اند و هر جا آن خاصیت یافت شود، آن مفاهیم آنجا هم انتزاع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تفصیل بیشتری به این نظریه می‌پردازیم</w:t>
      </w:r>
      <w:r>
        <w:rPr>
          <w:rFonts w:eastAsia="IRNazanin" w:cs="IRNazanin"/>
          <w:color w:val="111111"/>
          <w:sz w:val="28"/>
          <w:szCs w:val="28"/>
          <w:rtl w:val="true"/>
          <w:lang w:bidi="fa-IR"/>
        </w:rPr>
        <w:t>:</w:t>
      </w:r>
    </w:p>
    <w:p>
      <w:pPr>
        <w:pStyle w:val="Heading4"/>
        <w:numPr>
          <w:ilvl w:val="3"/>
          <w:numId w:val="1"/>
        </w:numPr>
        <w:rPr/>
      </w:pPr>
      <w:bookmarkStart w:id="165" w:name="__RefHeading___Toc5522630_581953129"/>
      <w:bookmarkStart w:id="166" w:name="_Toc58"/>
      <w:bookmarkEnd w:id="165"/>
      <w:r>
        <w:rPr/>
        <w:t>1-1</w:t>
      </w:r>
      <w:r>
        <w:rPr>
          <w:rtl w:val="true"/>
        </w:rPr>
        <w:t xml:space="preserve">. </w:t>
      </w:r>
      <w:r>
        <w:rPr>
          <w:rtl w:val="true"/>
        </w:rPr>
        <w:t>گام اول</w:t>
      </w:r>
      <w:bookmarkEnd w:id="166"/>
    </w:p>
    <w:p>
      <w:pPr>
        <w:pStyle w:val="Heading5"/>
        <w:numPr>
          <w:ilvl w:val="4"/>
          <w:numId w:val="1"/>
        </w:numPr>
        <w:rPr/>
      </w:pPr>
      <w:bookmarkStart w:id="167" w:name="__RefHeading___Toc5522632_581953129"/>
      <w:bookmarkStart w:id="168" w:name="_Toc59"/>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گفته شد که در گام نخست مصباح یزدی می‌کوشد این‌گونه قضایا را محدود کند؛ لذا دو مسئله در مورد این قضایا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این است که اجزای تشکیل‌دهنده این 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عبارتی دیگر موضوع و محمول این 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سنخ مفاهیمی هستند؟ مسئله دوم این است که عقل چگونه به اتحاد موضوع و محمول در این قضایا حکم می‌کند؟ ابتدا به بررسی مسئله اول می‌پردازیم و سپس مسئله دوم را مطرح می‌کنیم</w:t>
      </w:r>
      <w:r>
        <w:rPr>
          <w:rFonts w:eastAsia="IRNazanin" w:cs="IRNazanin"/>
          <w:color w:val="111111"/>
          <w:sz w:val="28"/>
          <w:szCs w:val="28"/>
          <w:rtl w:val="true"/>
          <w:lang w:bidi="fa-IR"/>
        </w:rPr>
        <w:t>.</w:t>
      </w:r>
    </w:p>
    <w:p>
      <w:pPr>
        <w:pStyle w:val="Heading5"/>
        <w:numPr>
          <w:ilvl w:val="4"/>
          <w:numId w:val="1"/>
        </w:numPr>
        <w:rPr/>
      </w:pPr>
      <w:bookmarkStart w:id="169" w:name="__RefHeading___Toc5522634_581953129"/>
      <w:bookmarkStart w:id="170" w:name="_Toc60"/>
      <w:bookmarkEnd w:id="169"/>
      <w:r>
        <w:rPr/>
        <w:t>1-1-1</w:t>
      </w:r>
      <w:r>
        <w:rPr>
          <w:rtl w:val="true"/>
        </w:rPr>
        <w:t xml:space="preserve">. </w:t>
      </w:r>
      <w:r>
        <w:rPr>
          <w:rtl w:val="true"/>
        </w:rPr>
        <w:t>مسئله اول</w:t>
      </w:r>
      <w:bookmarkEnd w:id="170"/>
    </w:p>
    <w:p>
      <w:pPr>
        <w:pStyle w:val="BookText"/>
        <w:rPr/>
      </w:pPr>
      <w:r>
        <w:rPr>
          <w:rFonts w:ascii="IRNazanin" w:hAnsi="IRNazanin" w:eastAsia="IRNazanin"/>
          <w:color w:val="111111"/>
          <w:sz w:val="28"/>
          <w:sz w:val="28"/>
          <w:szCs w:val="28"/>
          <w:rtl w:val="true"/>
          <w:lang w:bidi="fa-IR"/>
        </w:rPr>
        <w:t xml:space="preserve">اجزای تشکیل‌دهنده این قضایا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 محمول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سنخ مفاهیمی هستند؟</w:t>
      </w:r>
    </w:p>
    <w:p>
      <w:pPr>
        <w:pStyle w:val="BookText"/>
        <w:rPr/>
      </w:pPr>
      <w:r>
        <w:rPr>
          <w:rFonts w:ascii="IRNazanin" w:hAnsi="IRNazanin" w:eastAsia="IRNazanin"/>
          <w:color w:val="111111"/>
          <w:sz w:val="28"/>
          <w:sz w:val="28"/>
          <w:szCs w:val="28"/>
          <w:rtl w:val="true"/>
          <w:lang w:bidi="fa-IR"/>
        </w:rPr>
        <w:t>در فلسفه اسلامی و از دیدگاه مشهور، مفاهیم کلی به سه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نخست مفاهیمی‌اند که هم اتصافشان خارجی است هم عروضشان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دسته، مفاهیم ماهوی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مفاهیمی‌اند که اتصاف و عروضشان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قسم، معقولات ثانیه منطقی یا مفاهیم منطقی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مفاهیمی‌اند که اتصافشان خارجی و عروضشان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قسم، معقولات ثانیه فلسفی یا مفاهیم فلسفی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مصداقی در خارج ندارند، ولی وصف اشیای خارجی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مفاهیم بر اشیای خارجی حمل می‌شوند، ولی از ماهیت خاصی حکایت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مفاهیم‌اند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دسته از مفاهیم در بحث‌های آتی و نظریه مصباح یزدی نقش کلیدی دارند، توصیف ویژگی‌های این مفاهیم را صرفاً از منظر مصباح یزدی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مفاهیم را با ذکر مثالی توضیح می‌دهیم؛ برای نمونه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می‌کنیم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نفس خود و حالات روانی یا صور ذهنی یا افعال نفسانی‌مان مانند اراده‌مان را با علم </w:t>
      </w:r>
    </w:p>
    <w:p>
      <w:pPr>
        <w:pStyle w:val="BookText"/>
        <w:rPr/>
      </w:pPr>
      <w:r>
        <w:rPr>
          <w:rFonts w:ascii="IRNazanin" w:hAnsi="IRNazanin" w:eastAsia="IRNazanin"/>
          <w:color w:val="111111"/>
          <w:sz w:val="28"/>
          <w:sz w:val="28"/>
          <w:szCs w:val="28"/>
          <w:rtl w:val="true"/>
          <w:lang w:bidi="fa-IR"/>
        </w:rPr>
        <w:t>حضوری می‌یابیم و نیز می‌دانیم که انسان می‌تواند هر یک از حالات و شئون نفسانی را با خود نفس بسنجد، بدون اینکه توجهی به ماهیت هیچ‌یک از آنها داشته باشد، بلکه رابطه وجودی آنها را مورد توجه قرار می‌دهد و درمی‌یابد که نفس بدون یک‌یک آنها می‌تواند موجود باشد؛ ولی هیچ‌کدام از آنها بدون نفس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رابطه، نفس قضاوت می‌کند که هر یک از این شئون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 دارد؛ ولی نفس نیازی به آنها ندارد؛ بلکه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نفس انسان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نفس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هر یک از شئون مذکور، انتزاع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پیدایش این مفاهیم دو عامل مهم‌اند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ادراکات جزئی؛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بین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ادراکات جزئی برای ما حاصل شد، با انجام مقایسه بین آنها معقولات ثانیه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اینکه ادراکات جزئی در اینجا شامل کدام‌یک از ادراکات حسی یا حضوری است، میان فیلسوفان محل اختلاف است که در این بین مصباح یزدی معتقد است معقولات ثانیه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علم حضوری دارند، نه ادراکات حسی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عقل در مورد ادراک معقولات ثانیه فلسفی و منطقی کم‌وبیش فعالیتی انجام می‌دهد و ریشه این ادراکات عقلی در علم حضوری است، نه در ادراکات حسی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سلیمانی امیری،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اینها مصباح یزدی معتقد است تقسیم تصورات به بدیهی و نظری اختصاص به ماهیات ندارد و معقولات ثانیه فلسفی و منطقی هم به بدیهی و نظری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تقسیم تصورات به بدیهی و نظری اختصاص به ماهیات ندارد، بلکه در همه معقولات علم و جهل مطرح است؛ یعنی ممکن است یک تصور ماهوی برای ما مجهول باشد و آن را با تصورات ماهوی دیگری معلوم کنیم و ممکن است بعضی از تصورات از نوع معقولات ثانیه فلسفی برای ما مجهول باشد و آن را به وسیله معقولات ثانیه دیگری معلوم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299</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مصباح یزدی معقولات ثانیه فلسفی را به دو بخش تقسیم می‌کند؛ بخش اول، معقولات ثانیه فلسفی‌ای هستند که در مرحله اول انتزاع‌اند و بخش دوم، معقولات ثانیه </w:t>
      </w:r>
    </w:p>
    <w:p>
      <w:pPr>
        <w:pStyle w:val="BookText"/>
        <w:rPr/>
      </w:pPr>
      <w:r>
        <w:rPr>
          <w:rFonts w:ascii="IRNazanin" w:hAnsi="IRNazanin" w:eastAsia="IRNazanin"/>
          <w:color w:val="111111"/>
          <w:sz w:val="28"/>
          <w:sz w:val="28"/>
          <w:szCs w:val="28"/>
          <w:rtl w:val="true"/>
          <w:lang w:bidi="fa-IR"/>
        </w:rPr>
        <w:t>فلسفی‌ای هستند که در مراحل بعد از انتزاع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دوم، سوم، 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معقولات ثانیه‌ای که در مرحله اول انتزاع می‌شوند، از طریق مقایسه مستقیم مصادیق و معلومات حضوری، یعنی از طریق مقایسه میان حضور یک شیء و عدم آن یا مقایسه میان دو شیء حاضر انتزاع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معقولات ثانیه فلسفی انتزاع‌شده در مرحله اول را بدیهی و معقولات انتزاع شده در مراحل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سوم،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نظری می‌داند و معتقد است سایر معقولات ثانیه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دوم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با تحلیل اجزایشان و بر اساس معقولات ثانیه انتزاع‌شده در مرحله اول یا همان معقولات ثانیه بدیهی تعریف کرد؛ از این‌رو معقولات ثانیه در مرحله دوم با معقولات ثانیه مرحله اول تعریف می‌شوند و معقولات ثانیه در مرحله سوم با معقولات ثانیه در مرحله دوم تعریف می‌شوند و به‌طورکلی هر مرحله با مراحل قبلی تعریف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می‌گوییم مفاهیم بعدی را باید بر اساس مفاهیم قبلی تعریف کنیم و مفاهیم بعدی برای فهمیده‌شدن به مفاهیم قبلی نیازمندند، این نیازمندی به دو صورت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ترکیب چند مفهوم قبلی، اصطلاح جدیدی می‌سازند که در این صورت مفاهیم قبلی، اجزای مفهوم جدیدند و گاهی مفاهیم قبلی در متن مفهوم جدید داخل نیستند، بلکه سبب انتزاع مفهوم جدید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مصباح یزدی این مطلب هم در معقولات ثانیه منطقی برقرار است و هم در معقولات ثانیه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روشن‌شدن مطلب یک مثال از معقولات ثانیه منطقی نظری و یک مثال هم از معقولات ثانیه فلسفی نظری ذکر می‌کند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شکل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معقول ثانیه منطقی جدیدی است که باید قبل از فهم آن، ابتدا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فهمیدن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فهمیده باشیم؛ اما این هیئت، عین موضوع و محمول و عین صغری و کبری نیست، بلکه صغری و کبری ماده قیاس‌اند و این هیئت، معنای دیگری است که بدون آنها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منشأ انتزاع این مفهوم‌اند، نه اجزای این مفهوم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یک معقول ثانی فلسفی و عبارت است از سلب ضرورت 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تصور مفهوم امکان، به تصور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داریم تا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معلوم گردد؛ یعنی مفهوم امکان بر این چهار مفهوم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مرکب از این مفاهیم است یا این مفاهیم سبب انتزاع آن‌اند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می‌گوییم مفاهیم معقولات ثانیه فلسفی یا بدیهی‌اند و مستقیماً علم حضوری در انتزاع آنها نقش دارد یا نظری‌اند که در این صورت باید به واسطه بدیهیات تعریف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 گفت معقولات ثانیه فلسفی یا به صورت مستقیم از علم حضوری گرفته می‌شوند یا با واسطه؛ به این‌معناکه مفاهیمی که اجزا یا منشأ انتزاع معقول ثانیه فلسفی با واسطه‌اند، به معقولات ثانیه فلسفی‌ای باز می‌گردند که آنها از علم حضوری گرفته می‌شوند؛ برای مثال مفاهیمی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انتزاع قرار دارند و مستقیماً علم حضوری در انتزاع آنها نقش دارد و مفهومی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بعدی انتزاع قرار دارد و علم حضوری با واسطه در انتزاع این مفهوم نقش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صص</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مقدمات فوق، پاسخ مصباح یزدی به مسئله اول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قضایا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مفاهیم فلسفی تشکیل می‌یابند؛ مفاهیمی که به علم حضوری منتهی می‌شوند؛ یعنی نخستین دسته از مفاهیم فلسفی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معلومات بلاواسطه و وجدانیات، انتزاع می‌کنیم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مفاهیم فلسفی هم به آنها باز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باور وی مفاهیم تشکیل‌دهنده اولیات از سنخ مفاهیم نوع سوم، یعنی معقولات ثانیه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دو دسته از معقولات ثانیه فلسفی، یعنی </w:t>
      </w:r>
      <w:bookmarkStart w:id="171" w:name="pg5923_64939"/>
    </w:p>
    <w:p>
      <w:pPr>
        <w:pStyle w:val="BookText"/>
        <w:rPr/>
      </w:pPr>
      <w:bookmarkEnd w:id="171"/>
      <w:r>
        <w:rPr>
          <w:rFonts w:ascii="IRNazanin" w:hAnsi="IRNazanin" w:eastAsia="IRNazanin"/>
          <w:color w:val="111111"/>
          <w:sz w:val="28"/>
          <w:sz w:val="28"/>
          <w:szCs w:val="28"/>
          <w:rtl w:val="true"/>
          <w:lang w:bidi="fa-IR"/>
        </w:rPr>
        <w:t>معقولات ثانیه فلسفی بدیهی و معقولات ثانیه فلسفی نظری، می‌توانند در اولیات حضور داشته باشند</w:t>
      </w:r>
      <w:r>
        <w:rPr>
          <w:rFonts w:eastAsia="IRNazanin" w:cs="IRNazanin"/>
          <w:color w:val="111111"/>
          <w:sz w:val="28"/>
          <w:szCs w:val="28"/>
          <w:rtl w:val="true"/>
          <w:lang w:bidi="fa-IR"/>
        </w:rPr>
        <w:t>.</w:t>
      </w:r>
    </w:p>
    <w:p>
      <w:pPr>
        <w:pStyle w:val="Heading5"/>
        <w:numPr>
          <w:ilvl w:val="4"/>
          <w:numId w:val="1"/>
        </w:numPr>
        <w:rPr/>
      </w:pPr>
      <w:bookmarkStart w:id="172" w:name="__RefHeading___Toc5522636_581953129"/>
      <w:bookmarkStart w:id="173" w:name="_Toc61"/>
      <w:bookmarkEnd w:id="172"/>
      <w:r>
        <w:rPr/>
        <w:t>2-1-1</w:t>
      </w:r>
      <w:r>
        <w:rPr>
          <w:rtl w:val="true"/>
        </w:rPr>
        <w:t xml:space="preserve">. </w:t>
      </w:r>
      <w:r>
        <w:rPr>
          <w:rtl w:val="true"/>
        </w:rPr>
        <w:t>مسئله دوم</w:t>
      </w:r>
      <w:bookmarkEnd w:id="173"/>
    </w:p>
    <w:p>
      <w:pPr>
        <w:pStyle w:val="BookText"/>
        <w:rPr/>
      </w:pPr>
      <w:r>
        <w:rPr>
          <w:rFonts w:ascii="IRNazanin" w:hAnsi="IRNazanin" w:eastAsia="IRNazanin"/>
          <w:color w:val="111111"/>
          <w:sz w:val="28"/>
          <w:sz w:val="28"/>
          <w:szCs w:val="28"/>
          <w:rtl w:val="true"/>
          <w:lang w:bidi="fa-IR"/>
        </w:rPr>
        <w:t>عقل چگونه به اتحاد موضوع و محمول در این قضایا حکم می‌کند؟</w:t>
      </w:r>
    </w:p>
    <w:p>
      <w:pPr>
        <w:pStyle w:val="BookText"/>
        <w:rPr/>
      </w:pPr>
      <w:r>
        <w:rPr>
          <w:rFonts w:ascii="IRNazanin" w:hAnsi="IRNazanin" w:eastAsia="IRNazanin"/>
          <w:color w:val="111111"/>
          <w:sz w:val="28"/>
          <w:sz w:val="28"/>
          <w:szCs w:val="28"/>
          <w:rtl w:val="true"/>
          <w:lang w:bidi="fa-IR"/>
        </w:rPr>
        <w:t>به عقیده مصباح یزدی همه اولیات از قبیل قضایای تحلیلی اند؛ به این‌معناکه مفهوم محمول آنها از تحلیل مفهوم موضوعشان به دست می‌آید؛ به عبارتی اگر موضوع را با همه ابعادش تصور کنیم، مفهوم محمول را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باب تحلیلی‌بودن اولیات معتقد است در این‌گونه قضایا موضوع، مستلزم محمول است و منظور از استلزام هم استلزام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عقلی هم به این‌معناست که لازمه طبیعت عقل این است که تصوراتی را به دنبال هم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وی این استلزام می‌تواند انواع مختلف داشته باشد؛ مثلاً استلزام کل برای جزء، استلزام یکی از متضایفان برای دیگری و انواع دیگر استلزام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هم‌اندیشی معرفت‌شناسی، آرشیو مؤسسه امام خمینی، ترک </w:t>
      </w:r>
      <w:r>
        <w:rPr>
          <w:rFonts w:eastAsia="IRNazanin" w:cs="IRNazanin"/>
          <w:color w:val="111111"/>
          <w:sz w:val="28"/>
          <w:szCs w:val="28"/>
          <w:lang w:bidi="fa-IR"/>
        </w:rPr>
        <w:t>4100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مثال مفهوم والد، مستلزم مفهوم فرزند و نیز مفهوم کل، مستلزم مفهوم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یزدی در ضمن سه مثال به مسئله دوم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ذیل یکی از آنها را ارائه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معلولی احتیاج به علت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می‌پردازیم، به این نتیجه می‌رسیم که معلول عبارت است از موجودی که وجود آن وابسته به موجود دیگر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موجود دیگر داشته باشد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است و اتحاد آنها را با تجربه درون ذهنی می‌یابیم، به خلاف این قضیه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موجودی احتیاج به علت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از تحلیل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نمی‌آید و از این‌رو نمی‌توان آنها را از قضایای بدیهی به حساب آورد، بلکه از قضایای نظری صادق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مصباح یزدی وقتی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تحلیل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w:t>
      </w:r>
    </w:p>
    <w:p>
      <w:pPr>
        <w:pStyle w:val="BookText"/>
        <w:rPr/>
      </w:pPr>
      <w:r>
        <w:rPr>
          <w:rFonts w:ascii="IRNazanin" w:hAnsi="IRNazanin" w:eastAsia="IRNazanin"/>
          <w:color w:val="111111"/>
          <w:sz w:val="28"/>
          <w:sz w:val="28"/>
          <w:szCs w:val="28"/>
          <w:rtl w:val="true"/>
          <w:lang w:bidi="fa-IR"/>
        </w:rPr>
        <w:t xml:space="preserve">به دست می‌آوریم و چون هم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ذهن داریم و به آن حضوراً اشراف داریم و هم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ذهن خود داریم و به آن هم حضوراً اشراف داریم، با مقایسه‌آنها اتحاد آن دو را نیز حضوراً می یابیم؛ لذا حکم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معلولی احتیاج به علت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بزرگ‌تر از جزء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ابتدایی این قضیه ترکیبی به نظر می‌رسد؛ ولی حق آن است که این قضیه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ببینیم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این مفهوم یک مفهوم انتزاعی است و عینی نیست؛ در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چند چیز را به عنوان جزء تصور کرده باشیم و مجموع اینها را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اگر جزئی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نداریم و در جایی که چیزی بسیط باشد،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ببینیم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کجا آورده‌ایم؛ برای مثال یک قطره آب را وقتی جزء می‌گوییم که آن را با مجموعه‌ای مثلاً یک لیوان آب سنجیده باشیم؛ مثلاً یک قطره از آب آن لیوان را می‌گوییم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آنکه این دو مفهوم متضایفان هستند؛ یعنی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ببینیم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گوییم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بزرگ‌تر است، در صورتی که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مشتمل بر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چیزی علاوه و زاید بر آن باشد و این به اینمعناست که برای درک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درون آن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 فوق گوییم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محمول قضیه قرار دارند، همگی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قضیه است، برمی‌گردند؛ به این‌معناکه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استلزام هم استلزام عقلی است؛ یعنی طبیعت عقل لازمه‌اش این است که این تصورات را به دنبال 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گوییم مفاهیم موضوع و محمول به نحوی با هم اتحاد دارند؛ چون وقتی یکی را تصور می‌کنیم، تصور دیگر در آن مندرج است و اتحاد هم به همین معناست و این اتحاد را حضوراً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ندارند و یکی نیستند، بلکه اتحاد </w:t>
      </w:r>
      <w:bookmarkStart w:id="174" w:name="pg5923_64941"/>
    </w:p>
    <w:p>
      <w:pPr>
        <w:pStyle w:val="BookText"/>
        <w:rPr/>
      </w:pPr>
      <w:bookmarkEnd w:id="174"/>
      <w:r>
        <w:rPr>
          <w:rFonts w:ascii="IRNazanin" w:hAnsi="IRNazanin" w:eastAsia="IRNazanin"/>
          <w:color w:val="111111"/>
          <w:sz w:val="28"/>
          <w:sz w:val="28"/>
          <w:szCs w:val="28"/>
          <w:rtl w:val="true"/>
          <w:lang w:bidi="fa-IR"/>
        </w:rPr>
        <w:t>دارند؛ مثلاً متضایفان با هم اتحاد در تعقل دارند؛ برای مثال پدر را که تصور می‌کنیم، باید پسر را هم تصور کنیم و این دو با هم فهمیده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گوییم در قضیه فوق و به طور کل در اولیات عقل اتحاد بین موضوع و محمول را حضورا می‌یابد؛ چراکه هر دو مفهوم در ذهن حضور دارند و نفس ما بر هر دوی آنها اشرافی حضوری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هم‌اندیشی معرفت‌شناسی، آرشیو مؤسسه امام خمینی، ترک </w:t>
      </w:r>
      <w:r>
        <w:rPr>
          <w:rFonts w:eastAsia="IRNazanin" w:cs="IRNazanin"/>
          <w:color w:val="111111"/>
          <w:sz w:val="28"/>
          <w:szCs w:val="28"/>
          <w:lang w:bidi="fa-IR"/>
        </w:rPr>
        <w:t>4100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مصباح یزدی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بزرگ‌تر از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محمول،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از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تحلیل موضوع،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و مفهوم موضوع، مستلزم مفهوم محمول است و نیز اتحاد آن دو را حضوراً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پایان گام اول، یعنی تحدید قضایای اولی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شد که نزد مصباح یزدی اولیات قضایایی هستند که اولاً مفاهیم تشکیل‌دهنده آنها از سنخ معقولات ثانیه فلسفی‌اند؛ مفاهیمی که از علوم حضوری انتزاع می‌شوند و مطابقت آنها را با منشأ انتزاعشان حضوراً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قضایا از قبیل قضایای تحلیلی اند؛ به طوری که اتحاد موضوع و محمول را به صورت حضوری می‌یابیم؛ لذا میتوان گفت این قضایا ضرورت منطقی دارند</w:t>
      </w:r>
      <w:r>
        <w:rPr>
          <w:rFonts w:eastAsia="IRNazanin" w:cs="IRNazanin"/>
          <w:color w:val="111111"/>
          <w:sz w:val="28"/>
          <w:szCs w:val="28"/>
          <w:rtl w:val="true"/>
          <w:lang w:bidi="fa-IR"/>
        </w:rPr>
        <w:t>.</w:t>
      </w:r>
    </w:p>
    <w:p>
      <w:pPr>
        <w:pStyle w:val="Heading4"/>
        <w:numPr>
          <w:ilvl w:val="3"/>
          <w:numId w:val="1"/>
        </w:numPr>
        <w:rPr/>
      </w:pPr>
      <w:bookmarkStart w:id="175" w:name="__RefHeading___Toc5522638_581953129"/>
      <w:bookmarkStart w:id="176" w:name="_Toc62"/>
      <w:bookmarkEnd w:id="175"/>
      <w:r>
        <w:rPr/>
        <w:t>2-1</w:t>
      </w:r>
      <w:r>
        <w:rPr>
          <w:rtl w:val="true"/>
        </w:rPr>
        <w:t xml:space="preserve">. </w:t>
      </w:r>
      <w:r>
        <w:rPr>
          <w:rtl w:val="true"/>
        </w:rPr>
        <w:t>گام دوم</w:t>
      </w:r>
      <w:bookmarkEnd w:id="17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اینکه مشخص شد اولیات قضایای تحلیلی‌اند که در آنها موضوع، مستلزم محمول است و با توجه به عقیده مصباح یزدی درباره استلزام که در اینجا استلزام عقلی است، یعنی طبیعت عقل این مفاهیم را به دنبال هم می‌آورد، طبیعتاً این پرسش سر بر خواهد آورد که اینکه طبیعت عقل، مفاهیمی را به دنبال هم بیاورد و مفهومی مستلزم مفهوم دیگر باشد و نیز اینکه اتحاد بین آن دو مفهوم را حضوراً بیابیم، صرفاً رابطه ای میان مفاهیم اثبات می‌شود، از کجا معلوم در واقعیت خارجی چنین روابطی که میان مفاهیم حاکم است نیز حاکم باشد؟ به بیان دیگر، اشکال کننده میگوید اینکه گفته می‌شود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نوعی استلزام عقلی است، می پذیریم؛ ولی این، تنها، رابطهای است میان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رابطه میان مفاهیم حتی رابطه </w:t>
      </w:r>
    </w:p>
    <w:p>
      <w:pPr>
        <w:pStyle w:val="BookText"/>
        <w:rPr/>
      </w:pPr>
      <w:r>
        <w:rPr>
          <w:rFonts w:ascii="IRNazanin" w:hAnsi="IRNazanin" w:eastAsia="IRNazanin"/>
          <w:color w:val="111111"/>
          <w:sz w:val="28"/>
          <w:sz w:val="28"/>
          <w:szCs w:val="28"/>
          <w:rtl w:val="true"/>
          <w:lang w:bidi="fa-IR"/>
        </w:rPr>
        <w:t>ضروری میان آنها را به هیچ وجه ثابت نمیکند که در واقعیت خارجی نیز چنین روابطی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طرح اشکال فوق مصباح یزدی گام دوم را برای حل مسئله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وی اگر بتوانیم بگوییم همه این قضایا از علوم حضوری به دست آمده‌اند، پاسخ این اشکال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گام دوم وی می‌کوشد پای این قضایا را به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پرسش مصباح یزدی می‌گوید منشأ انتزاع مفاهیم به کاررفته در اولیات، یعنی معقولات ثانیه فلسفی، علم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علم حضوری، به معنای یافت خود واقعیت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به عقیده مصباح یزدی معقولات ثانیه فلسفی، مفاهیمی‌اند که شأنشان توجه‌دادن به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اسمای اشاره مانند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جنبه سمبلیک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مفهوم وجود که حکایت از واقعیت خارجی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روابطی که میان مفاهیم وجود دارد، نشان از روابطی دارد که در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انتزاع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چون ما این مفاهیم را بلاواسطه از واقعیت خارجی، و به بیان دیگر، از علم حضوری خود گرفتهایم و ویژگی آنها هم نشاندادن خارج است،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قضایا اشاره به واقعیت خارجی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بیان وی را اینگونه تشبیه کرد که معقولات ثانیه همچون سایه هایی رخدادهای واقعیت را نشان می‌دهند؛ به این‌معناکه از روابطی که میان معقولات ثانیه فلسفی وجود دارد، می‌توان به روابطی مشابه میان مصادیقشان در واقعیت پی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هم‌اندیشی معرفت‌شناسی، آرشیو مؤسسه امام خمینی، تِرک </w:t>
      </w:r>
      <w:r>
        <w:rPr>
          <w:rFonts w:eastAsia="IRNazanin" w:cs="IRNazanin"/>
          <w:color w:val="111111"/>
          <w:sz w:val="28"/>
          <w:szCs w:val="28"/>
          <w:lang w:bidi="fa-IR"/>
        </w:rPr>
        <w:t>4101</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ممکن است سؤال شود که چگونه می‌توان به مطابقت مفهوم با مصداقش پی برد و این مطابقت را بر رسید؟ در پاسخ باید گفت وقتی می‌توان مطابقت را میان دو چیز بررسی کرد که هر دوی آنها در دسترس ما باشند؛ مثلاً وقتی می‌خواهیم مطابقت عکس شخصی را با خود شخص چک کنیم، هم باید عکس در دسترس ما باشد و هم خود شخص در مقابل ما باشد تا بتوانیم با مقایسه میان آن دو به مطابقت میان آن دو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هر دو </w:t>
      </w:r>
      <w:bookmarkStart w:id="177" w:name="pg5923_64943"/>
    </w:p>
    <w:p>
      <w:pPr>
        <w:pStyle w:val="BookText"/>
        <w:rPr/>
      </w:pPr>
      <w:bookmarkEnd w:id="177"/>
      <w:r>
        <w:rPr>
          <w:rFonts w:ascii="IRNazanin" w:hAnsi="IRNazanin" w:eastAsia="IRNazanin"/>
          <w:color w:val="111111"/>
          <w:sz w:val="28"/>
          <w:sz w:val="28"/>
          <w:szCs w:val="28"/>
          <w:rtl w:val="true"/>
          <w:lang w:bidi="fa-IR"/>
        </w:rPr>
        <w:t>امری را که می‌خواهیم مطابقتشان را چک کنیم، در اختیار و به آنها علم داریم؛ یکی خود مفهوم و دیگری مصداق و محکی آن، لذا میتوانیم مطابقت را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 بیان که مفاهیم این قضایا را از واقعیت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 بلاواسطه و وجدانیات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ایم و مطابقت آنها را با منشأ انتزاعشان حضوراً می یابیم و نیز اینکه خصوصیت این مفاهیم نشانگر خارج بودن است، وی می‌کوشد برای این قضایا ریشه ای در خارج و واقعیت بیابد</w:t>
      </w:r>
      <w:r>
        <w:rPr>
          <w:rFonts w:eastAsia="IRNazanin" w:cs="IRNazanin"/>
          <w:color w:val="111111"/>
          <w:sz w:val="28"/>
          <w:szCs w:val="28"/>
          <w:rtl w:val="true"/>
          <w:lang w:bidi="fa-IR"/>
        </w:rPr>
        <w:t>.</w:t>
      </w:r>
    </w:p>
    <w:p>
      <w:pPr>
        <w:pStyle w:val="Heading4"/>
        <w:numPr>
          <w:ilvl w:val="3"/>
          <w:numId w:val="1"/>
        </w:numPr>
        <w:rPr/>
      </w:pPr>
      <w:bookmarkStart w:id="178" w:name="__RefHeading___Toc5522640_581953129"/>
      <w:bookmarkStart w:id="179" w:name="_Toc63"/>
      <w:bookmarkEnd w:id="178"/>
      <w:r>
        <w:rPr/>
        <w:t>3-1</w:t>
      </w:r>
      <w:r>
        <w:rPr>
          <w:rtl w:val="true"/>
        </w:rPr>
        <w:t xml:space="preserve">. </w:t>
      </w:r>
      <w:r>
        <w:rPr>
          <w:rtl w:val="true"/>
        </w:rPr>
        <w:t>گام سوم</w:t>
      </w:r>
      <w:bookmarkEnd w:id="179"/>
    </w:p>
    <w:p>
      <w:pPr>
        <w:pStyle w:val="BookText"/>
        <w:rPr/>
      </w:pPr>
      <w:r>
        <w:rPr>
          <w:rFonts w:ascii="IRNazanin" w:hAnsi="IRNazanin" w:eastAsia="IRNazanin"/>
          <w:color w:val="111111"/>
          <w:sz w:val="28"/>
          <w:sz w:val="28"/>
          <w:szCs w:val="28"/>
          <w:rtl w:val="true"/>
          <w:lang w:bidi="fa-IR"/>
        </w:rPr>
        <w:t xml:space="preserve">بعد از پیمودن گام دوم برای حل مسئله و به میان کشیده شدن علم حضوری در پاسخ به پرسش مطرح شده در گام دوم، طبیعتاً این پرسش به وجود خواهد آمد که از آنجا که علم حضوری امری شخصی و وابسته به شخص است، اگر قرار باشد مفاهیم این قضایا برگرفته از علوم حضوری باشند، کلیت این قضایا چگونه باید توجیه شود؟ به بیان دیگر وقتی در توجیه صدق قضیه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معلولی محتاج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حضوری استفاده می‌کنیم، حداکثر می‌توان گفت این قضیه در مورد معلول و علت شخصی که مدرک به علم حضوری‌اند، موجه است، نه در همه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معلولی محتاج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نمونه جانشین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نمونه جانشین های در محدوده 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من محتاج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نمونه جانشین های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محدوده عالم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محتاج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نمونه جانشن قضیه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معلولی محتاج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علم حضوری باشد، آنگاه در مورد آن نمونه جانشینها موجه ایم؛ ولی اگر نمونه جانشین‌ها غیر آن باشند، آن‌گاه در مورد آنها موجه نیستیم؛ چراکه قرار است توجیه ما برای صدق آنها بر اساس علم حضوری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به‌طورکلی در مورد قضیه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معلولی محتاج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یزدی برای حل نهایی مسئله صدق در بدیهیات باید به پرسش فوق پاسخ دهد؛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گام سوم را طی میکند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یزدی در پاسخ به این پرسش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هرچند ما از یک پدیده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اراده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معلول را انتزاع می‌کنیم، ولی نه از آن جهت که دارای ماهیت خاصی است و مثلاً از اقسام کیف نفسانی به شمار می‌رود، بلکه از آن جهت که وجود آن، وابسته به وجود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هرجا این خصوصیت یافت شود، این حکم هم برای آن ثابت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اثبات این خصوصیت برای موارد دیگر، نیازمند برهان عقلی است و از این‌روی این قضیه به تنهایی نمی تواند نیازمندی پدیده های مادی را به علت، اثبات کند، مگر آنکه با برهان عقلی، وابستگی وجودی آنها 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بهتر پاسخ مصباح یزدی به اشکال فوق لازم است به دو مقدمه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چیست؟</w:t>
      </w:r>
    </w:p>
    <w:p>
      <w:pPr>
        <w:pStyle w:val="BookText"/>
        <w:rPr/>
      </w:pPr>
      <w:r>
        <w:rPr>
          <w:rFonts w:ascii="IRNazanin" w:hAnsi="IRNazanin" w:eastAsia="IRNazanin"/>
          <w:color w:val="111111"/>
          <w:sz w:val="28"/>
          <w:sz w:val="28"/>
          <w:szCs w:val="28"/>
          <w:rtl w:val="true"/>
          <w:lang w:bidi="fa-IR"/>
        </w:rPr>
        <w:t xml:space="preserve">بهتر است ابتدا توضیح دهیم که وقتی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را از جهتی خاص انتزاع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هر پدیده را میتوان با جهت های مختلف در نظر گرفت؛ برای مثال می‌شود یک انسان را از آن جهت در نظر گرفت که ارتباطی خاص با انسان دیگر دارد و از آن جهت خاص، او را پدر نامید یا اینکه می‌شود همان انسان را از این جهت در نظر بگیریم که فعلی را انجام میدهد و از این جهت او را فاعل بنامیم یا اینکه همان انسان را از این جهت در نظر بگیریم که بر وی ستم شده است و او را مظلوم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اینجا سبب می‌شود مفاهیم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یک واقعیت خارجی انتزاع کنیم، در نظرگرفتن جهات مختلف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انتزاع مفهوم علت و معلول نیز امر به همین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شکل گیری مفهوم کلی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دید که نحوه شکل گیری مفهوم کلی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مصباح یزدی برای ساخت مفهوم کلی، نیازی نیست مصادیق متعدد آن مفهوم را داشته باشیم تا بتوانیم آن را بسازیم، بلکه وجود یک مصداق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این نظریه خود، کیفیت انتزاع مفاهیم از راه تجرید و تعمیم شماری از مصادیق جزئی را که عدهای از فیلسوفان به آن قائل‌اند، انکار </w:t>
      </w:r>
    </w:p>
    <w:p>
      <w:pPr>
        <w:pStyle w:val="BookText"/>
        <w:rPr/>
      </w:pP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درس‌های برهان شفا، جلسه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امیری،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از طرف دیگر به اعتقاد وی اینکه مفهوم بما هو مفهوم کلی است و اینکه مفهوم را به کلی و جزئی تقسیم می‌کنیم، به این دلیل نیست که مفهوم را مستقلاً ملاحظه کرده، مصداق آن را در نظر گرفته‌ایم و بینشان مقایسه و بررسی کنیم که آیا قابل انطباق بر مصادیق متعدد است یا خیر؛ زیرا طبق این لحاظ، مفاهیم جزئی هم، قابلیت صدق بر بیش از یک فرد را دارند، بلکه مفهوم را از آن جهت به کلی و جزئی تقسیم می‌کنیم که آیا مفهوم از آن جهت که مرآت مصداق است، از شخص معینی حکایت می‌کند یا خیر که با این لحاظ در صورت اول، مفهوم را متصف به جزئی و در صورت دوم مفهوم را متصف به کلی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بالا به دست می‌آید که به عقیده مصباح یزدی اولاً یک مصداق برای تشکیل مفهوم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مفهوم ذاتاً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دو آن است که علم حضوری برای ساخت مفهومی که علی‌الاصول قابل حمل بر امور دیگر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دو مقدمه فوق از گفته های مصباح یزدی در گام سوم به نظر میرسد وی قصد دارد به سه اشکال مختلف پاسخ دهد که به قرار زیرند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است که اگر منشأ انتزاع معلول، اراده است و اراده، کیف نفسانی است، آن‌گاه دایره مصادیق معلول، محدود به دایره مصادیق کیف نفسانی است؛ در حالی که ما معلول را درباره ماهیت‌های دیگر، غیر از کیف نفسانی هم، به 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محدودبودن دایره مصادیق معلول به کیف نفسانی مخالف شهود ماست؛ چراکه شهوداً علت و معلول را در مواردی غیر از محدوده کیف نفسانی خود نیز به کار می‌بریم؛ برای مثال معلول را در مورد حرارت و علت را در مورد آتش به کار می‌بریم و می‌گوییم آتش، علت حرارت و حرارت، معلول آتش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مصباح یزدی به این اشکال آن است که ما مفهوم معلول را از حیث ماهوی اراده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نمی‌کنیم؛ از این‌رو نه تنها می‌توانیم آن را در مورد ماهیت‌های مختلف به کار بریم، بلکه می‌توانیم آن را در مورد اموری که ماهیت هم ندارند به کار بریم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دوم این است که مجوز حمل معلول بر غیر از آنچه حضوراً مییابیم، چیست؟ این پرسش به این‌معناست که چون منشأ انتزاع مفهوم، معلول امری است که با علم حضوری درک می‌شود، با چه مجوزی می‌توانیم معلول را به شکل معنادار در مورد اموری خارج از حیطه علم حضوری به کار ببریم؛ برای مثال نمی‌شود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شکلی معنادار در مورد سنگ به کار برد و مثلاً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بینا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توجیه مان برای اینکه نمی‌توان بینا را در مورد سنگ به کار برد، این است که بینا را تنها در مورد موجودات زنده می‌توان به کار برد و سنگ، موجود 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برابر کسی که ادعا می‌کند معلول را فقط در مورد اموری که در دایره علم حضوریاند، به شکلی معنادار می‌توان به کار برد، چه پاسخی باید داد؟</w:t>
      </w:r>
    </w:p>
    <w:p>
      <w:pPr>
        <w:pStyle w:val="BookText"/>
        <w:rPr/>
      </w:pPr>
      <w:r>
        <w:rPr>
          <w:rFonts w:ascii="IRNazanin" w:hAnsi="IRNazanin" w:eastAsia="IRNazanin"/>
          <w:color w:val="111111"/>
          <w:sz w:val="28"/>
          <w:sz w:val="28"/>
          <w:szCs w:val="28"/>
          <w:rtl w:val="true"/>
          <w:lang w:bidi="fa-IR"/>
        </w:rPr>
        <w:t xml:space="preserve">پاسخ مصباح یزدی به این اشکال آن است که ما اراده را از نفس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شخص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نمی‌کنیم تا دیگر نتوانیم آن را در خارج از محدوده علم حضوری به کار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ما مفهوم معلول را از اراده خود که خود پدیده‌ای خاص و متشخص از پدیده‌های این عالم و نیز امری شخصی است، انتزاع می‌کنیم؛ ولی باید دقت کرد که این مفهوم را از کدام جهت آن پدیده انتزاع میکنیم؛ برای مثال اگر مفهوم معلول را از آن جهت از اراده انتزاع کنیم که امری است ویژه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مفهوم نمی‌تواند کلی باشد؛ اما اگر معلول را از اراده از آن حیث که وابسته به صاحب اراده است انتزاع کنیم، دیگر شخصی نخواهد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وی در پاسخ به دو اشکال اول بر این نکته تأکید می‌کند که ما معلول را </w:t>
      </w:r>
    </w:p>
    <w:p>
      <w:pPr>
        <w:pStyle w:val="BookText"/>
        <w:rPr/>
      </w:pPr>
      <w:r>
        <w:rPr>
          <w:rFonts w:ascii="IRNazanin" w:hAnsi="IRNazanin" w:eastAsia="IRNazanin"/>
          <w:color w:val="111111"/>
          <w:sz w:val="28"/>
          <w:sz w:val="28"/>
          <w:szCs w:val="28"/>
          <w:rtl w:val="true"/>
          <w:lang w:bidi="fa-IR"/>
        </w:rPr>
        <w:t xml:space="preserve">از دو جهت انتزاع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حیث ماهوی و دیگری حیث شخصی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 انتزاع مفهوم معلول از یکی از این دو جهت، دیگر حمل آن بر سایر موارد جایز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این است که چگونه می توان فهمید که چیزی خارج از حیطه علم حضوری از مصادیق معلول است یا نه؟ مثلاً در مورد عالم خارج چگونه می‌توان فهمید حرارت معلول آتش است؟</w:t>
      </w:r>
    </w:p>
    <w:p>
      <w:pPr>
        <w:pStyle w:val="BookText"/>
        <w:rPr/>
      </w:pPr>
      <w:r>
        <w:rPr>
          <w:rFonts w:ascii="IRNazanin" w:hAnsi="IRNazanin" w:eastAsia="IRNazanin"/>
          <w:color w:val="111111"/>
          <w:sz w:val="28"/>
          <w:sz w:val="28"/>
          <w:szCs w:val="28"/>
          <w:rtl w:val="true"/>
          <w:lang w:bidi="fa-IR"/>
        </w:rPr>
        <w:t>مصباح یزدی در پاسخ به این پرسش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شناختن رابطه علیت به‌طورکلی سه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علم حضوری در مورد آنچه در دایره نفس و پدیده‌های روانی تحقق می‌یابد و دیگری برهان عقلی محض در مورد علت‌های ماورای طبیعی و سومی برهان عقلی مبتنی بر مقدمات تجربی در مورد علت و معلول‌های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نظریه مصباح یزدی در مورد مسئله صدق در اولیات را در سه گام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نخست بیان شد که از نظر وی مفاهیم تشکیل‌دهنده اولیات، معقولات ثانیه فلسفی است و این قضایا تحلیلی‌اند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گام دوم به مسئله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اولیات صادق‌اند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کمک‌گرفتن از علم حضوری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وی این است که اولاً مفاهیم تشکیل‌دهنده این قضایا یعنی معقولات ثانیه فلسفی را از علم حضوری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علم حضوری خود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ویژگی معقولات ثانیه فلسفی این است که اشاره‌کننده به خارج‌اند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روابطی که میان این مفاهیم در این قضایا وجود دارد، در خارج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وی با استفاده از علم حضوری پای این قضایا را به واقعیت بند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سوم مصباح یزدی به چند اشکال در مورد تئوری خویش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وی به این اشکالات که استفاده از علم حضوری در توجیه صدق اولیات منجر به شخصی‌شدن این قضایا می‌شود و اینکه انتزاع این مفاهیم از ماهیاتی خاص، سبب می‌شود که نتوانیم آن مفاهیم را در مورد سایر ماهیات به کار بریم، این است که ما مفاهیم این قضایا را از این جهت که اموری وابسته به شخص‌اند و اینکه دارای ماهیتی خاص‌اند، انتزاع </w:t>
      </w:r>
      <w:bookmarkStart w:id="180" w:name="pg5923_64948"/>
    </w:p>
    <w:p>
      <w:pPr>
        <w:pStyle w:val="BookText"/>
        <w:rPr/>
      </w:pPr>
      <w:bookmarkEnd w:id="180"/>
      <w:r>
        <w:rPr>
          <w:rFonts w:ascii="IRNazanin" w:hAnsi="IRNazanin" w:eastAsia="IRNazanin"/>
          <w:color w:val="111111"/>
          <w:sz w:val="28"/>
          <w:sz w:val="28"/>
          <w:szCs w:val="28"/>
          <w:rtl w:val="true"/>
          <w:lang w:bidi="fa-IR"/>
        </w:rPr>
        <w:t>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گردید که مصباح یزدی در نظریه خود که پاسخی است برای مسئله صدق در بدیهیات اولیه، می‌کوشد این مسئله را با کمک‌گرفتن از علم حضوری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وی در نظریه خود از علم حضوری کمک گرفته است، جای شکی نیست؛ اما به نظر می‌رسد متعلق علم حضوری در این نظریه امر واحدی نیست؛ از این‌رو علم حضوری به کاررفته در این نظریه نیز امر واحدی نخواهد بود و ما با چند علم حضوری در این نظریه روبهرو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قصد ما این است که علوم حضوری به‌کاررفته در نظریه وی را شناسایی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بیدرنگ سراغ بخش بعد می‌رویم</w:t>
      </w:r>
      <w:r>
        <w:rPr>
          <w:rFonts w:eastAsia="IRNazanin" w:cs="IRNazanin"/>
          <w:color w:val="111111"/>
          <w:sz w:val="28"/>
          <w:szCs w:val="28"/>
          <w:rtl w:val="true"/>
          <w:lang w:bidi="fa-IR"/>
        </w:rPr>
        <w:t>.</w:t>
      </w:r>
    </w:p>
    <w:p>
      <w:pPr>
        <w:pStyle w:val="Heading3"/>
        <w:numPr>
          <w:ilvl w:val="2"/>
          <w:numId w:val="1"/>
        </w:numPr>
        <w:rPr/>
      </w:pPr>
      <w:bookmarkStart w:id="181" w:name="__RefHeading___Toc5522642_581953129"/>
      <w:bookmarkStart w:id="182" w:name="_Toc64"/>
      <w:bookmarkEnd w:id="181"/>
      <w:r>
        <w:rPr/>
        <w:t>2</w:t>
      </w:r>
      <w:r>
        <w:rPr>
          <w:rtl w:val="true"/>
        </w:rPr>
        <w:t xml:space="preserve">. </w:t>
      </w:r>
      <w:r>
        <w:rPr>
          <w:rtl w:val="true"/>
        </w:rPr>
        <w:t>علوم حضوری به‌کاررفته در نظریه مصباح یزدی</w:t>
      </w:r>
      <w:bookmarkEnd w:id="182"/>
    </w:p>
    <w:p>
      <w:pPr>
        <w:pStyle w:val="Heading4"/>
        <w:numPr>
          <w:ilvl w:val="3"/>
          <w:numId w:val="1"/>
        </w:numPr>
        <w:rPr/>
      </w:pPr>
      <w:bookmarkStart w:id="183" w:name="__RefHeading___Toc5522644_581953129"/>
      <w:bookmarkStart w:id="184" w:name="_Toc65"/>
      <w:bookmarkEnd w:id="183"/>
      <w:r>
        <w:rPr/>
        <w:t>2-1</w:t>
      </w:r>
      <w:r>
        <w:rPr>
          <w:rtl w:val="true"/>
        </w:rPr>
        <w:t xml:space="preserve">. </w:t>
      </w:r>
      <w:r>
        <w:rPr>
          <w:rtl w:val="true"/>
        </w:rPr>
        <w:t>علم حضوری اول</w:t>
      </w:r>
      <w:bookmarkEnd w:id="184"/>
    </w:p>
    <w:p>
      <w:pPr>
        <w:pStyle w:val="BookText"/>
        <w:rPr/>
      </w:pPr>
      <w:r>
        <w:rPr>
          <w:rFonts w:ascii="IRNazanin" w:hAnsi="IRNazanin" w:eastAsia="IRNazanin"/>
          <w:color w:val="111111"/>
          <w:sz w:val="28"/>
          <w:sz w:val="28"/>
          <w:szCs w:val="28"/>
          <w:rtl w:val="true"/>
          <w:lang w:bidi="fa-IR"/>
        </w:rPr>
        <w:t>به عقیده مصباح یزدی مفاهیم تشکیلدهنده اولیات، معقولات ثانیه فلسفی‌اند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یاد داریم که بنا بر عقیده وی در مورد معقولات ثانیه فلسفی، این مفاهیم، خود به بدیهی و نظری تقسیم میشوند و معقولات ثانیه فلسفی بدیهی مفاهیمی‌اند که مستقیماً از خود واقعیات خارجی به همراه مقایسه‌ای که میان آنها انجام می‌شود، به دست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می‌توان بین واقعیات خارجی مقایسه انجام داد و از طریق این مقایسه مفهومی جدید به دست آورد که ابتدا به آن واقعیات خارجی علم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علم ما به واقعیات خارجی در فرایند تشکیل معقولات ثانیه فلسفی بدیهی، علمی حصولی است یا حضوری؟ پاسخ مصباح یزدی این است که علم ما به واقعیات خارجی در فرایند تشکیل معقولات ثانیه فلسفی بدیهی، علمی حضوری و بی‌واسطه است و ما به صورت مستقیم به خود واقعیت خارجی علم داریم و این، نخستین علم حضوری‌ای است که در نظریه وی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علم حضوری در جایی است که ما بدون هیچ واسطه‌ای به واقعیات خارجی علم پیدا می‌کنیم؛ مثلاً برای انتزاع دو مفهوم معلول و علت ابتدا باید به نفس و اراده علم حضوری داشته باشیم</w:t>
      </w:r>
      <w:r>
        <w:rPr>
          <w:rFonts w:eastAsia="IRNazanin" w:cs="IRNazanin"/>
          <w:color w:val="111111"/>
          <w:sz w:val="28"/>
          <w:szCs w:val="28"/>
          <w:rtl w:val="true"/>
          <w:lang w:bidi="fa-IR"/>
        </w:rPr>
        <w:t>.</w:t>
      </w:r>
    </w:p>
    <w:p>
      <w:pPr>
        <w:pStyle w:val="Heading4"/>
        <w:numPr>
          <w:ilvl w:val="3"/>
          <w:numId w:val="1"/>
        </w:numPr>
        <w:rPr/>
      </w:pPr>
      <w:bookmarkStart w:id="185" w:name="__RefHeading___Toc5522646_581953129"/>
      <w:bookmarkStart w:id="186" w:name="_Toc66"/>
      <w:bookmarkEnd w:id="185"/>
      <w:r>
        <w:rPr/>
        <w:t>2-2</w:t>
      </w:r>
      <w:r>
        <w:rPr>
          <w:rtl w:val="true"/>
        </w:rPr>
        <w:t xml:space="preserve">. </w:t>
      </w:r>
      <w:r>
        <w:rPr>
          <w:rtl w:val="true"/>
        </w:rPr>
        <w:t>علم حضوری دوم</w:t>
      </w:r>
      <w:bookmarkEnd w:id="18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به این اشیا علم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دو شیء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bookmarkStart w:id="187" w:name="pg5923_64949"/>
    </w:p>
    <w:p>
      <w:pPr>
        <w:pStyle w:val="BookText"/>
        <w:rPr/>
      </w:pPr>
      <w:bookmarkEnd w:id="187"/>
      <w:r>
        <w:rPr>
          <w:rFonts w:ascii="IRNazanin" w:hAnsi="IRNazanin" w:eastAsia="IRNazanin"/>
          <w:color w:val="111111"/>
          <w:sz w:val="28"/>
          <w:sz w:val="28"/>
          <w:szCs w:val="28"/>
          <w:rtl w:val="true"/>
          <w:lang w:bidi="fa-IR"/>
        </w:rPr>
        <w:t>به کار می‌شود و بین شیء اول از جهتی با شیء دوم از جهتی مقایسه‌ای انجام می‌دهد و به این مقایسه‌اش هم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علم حضوری‌ای است که در این نظریه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این علم حضوری، همان مقایسه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شیء نخست از جهتی و شیء دوم از جهتی دیگر است؛ مثلاً پس از اینکه به نفس و اراده علم پیدا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میان اراده از این جهت که وابسته به نفس است و نفس از این جهت که مستقل از اراده است، مقایسه‌ای انجام می‌دهیم و به این مقایسه علم حضوری پیدا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 دوم</w:t>
      </w:r>
      <w:r>
        <w:rPr>
          <w:rFonts w:eastAsia="IRNazanin" w:cs="IRNazanin"/>
          <w:color w:val="111111"/>
          <w:sz w:val="28"/>
          <w:szCs w:val="28"/>
          <w:rtl w:val="true"/>
          <w:lang w:bidi="fa-IR"/>
        </w:rPr>
        <w:t>).</w:t>
      </w:r>
    </w:p>
    <w:p>
      <w:pPr>
        <w:pStyle w:val="Heading4"/>
        <w:numPr>
          <w:ilvl w:val="3"/>
          <w:numId w:val="1"/>
        </w:numPr>
        <w:rPr/>
      </w:pPr>
      <w:bookmarkStart w:id="188" w:name="__RefHeading___Toc5522648_581953129"/>
      <w:bookmarkStart w:id="189" w:name="_Toc67"/>
      <w:bookmarkEnd w:id="188"/>
      <w:r>
        <w:rPr/>
        <w:t>2-3</w:t>
      </w:r>
      <w:r>
        <w:rPr>
          <w:rtl w:val="true"/>
        </w:rPr>
        <w:t xml:space="preserve">. </w:t>
      </w:r>
      <w:r>
        <w:rPr>
          <w:rtl w:val="true"/>
        </w:rPr>
        <w:t>علم حضوری سوم</w:t>
      </w:r>
      <w:bookmarkEnd w:id="189"/>
    </w:p>
    <w:p>
      <w:pPr>
        <w:pStyle w:val="BookText"/>
        <w:rPr/>
      </w:pPr>
      <w:r>
        <w:rPr>
          <w:rFonts w:ascii="IRNazanin" w:hAnsi="IRNazanin" w:eastAsia="IRNazanin"/>
          <w:color w:val="111111"/>
          <w:sz w:val="28"/>
          <w:sz w:val="28"/>
          <w:szCs w:val="28"/>
          <w:rtl w:val="true"/>
          <w:lang w:bidi="fa-IR"/>
        </w:rPr>
        <w:t>در ادامه تشکیل معقولات ثانیه فلسفی بدیهی بعد از اینکه به دو شیء و به مقایسه هر کدام از آن دو شیء و جهت خاصی از آن با دیگری علم حضوری پیدا کردیم، آن‌گاه دو مفهوم را با هم درک می‌کنیم که یکی را از شیء اول و دیگری را از شیء دوم انتزاع می‌کنیم و به هر دوی آن مفاهیم علم حضوری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سومین علم حضوری‌ای است که در این نظریه از آن استفاده شده است؛ برای مثال وقتی که به نفس و اراده و جهاتی که در هر کدام وجود دارد و نیز مقایسه اراده از این جهت که به نفس وابسته است با نفس از این جهت که مستقل از اراده است، علم حضوری پیدا کردیم، آن‌گاه مفهوم معلول را از اراده و مفهوم علت را از نفس انتزاع می‌کنیم و به خود این مفاهیم هم علم حضوری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این علم حضوری سوم، خود مفاهیماند</w:t>
      </w:r>
      <w:r>
        <w:rPr>
          <w:rFonts w:eastAsia="IRNazanin" w:cs="IRNazanin"/>
          <w:color w:val="111111"/>
          <w:sz w:val="28"/>
          <w:szCs w:val="28"/>
          <w:rtl w:val="true"/>
          <w:lang w:bidi="fa-IR"/>
        </w:rPr>
        <w:t>.</w:t>
      </w:r>
    </w:p>
    <w:p>
      <w:pPr>
        <w:pStyle w:val="Heading4"/>
        <w:numPr>
          <w:ilvl w:val="3"/>
          <w:numId w:val="1"/>
        </w:numPr>
        <w:rPr/>
      </w:pPr>
      <w:bookmarkStart w:id="190" w:name="__RefHeading___Toc5522650_581953129"/>
      <w:bookmarkStart w:id="191" w:name="_Toc68"/>
      <w:bookmarkEnd w:id="190"/>
      <w:r>
        <w:rPr/>
        <w:t>2-4</w:t>
      </w:r>
      <w:r>
        <w:rPr>
          <w:rtl w:val="true"/>
        </w:rPr>
        <w:t xml:space="preserve">. </w:t>
      </w:r>
      <w:r>
        <w:rPr>
          <w:rtl w:val="true"/>
        </w:rPr>
        <w:t>علم حضوری چهارم</w:t>
      </w:r>
      <w:bookmarkEnd w:id="19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فصل قبل دیدیم، مصباح یزدی در گام نخست برای معرفی اولیات به دو ویژگی آنها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ویژگی این است که مفاهیم تشکیل‌دهنده این قضایا معقولات ثانیه فلسفی‌اند و دومین ویژگی این است که اولیات همگی قضایای تحلیلی‌اند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هم به این‌معناست که مفهوم محمول مندرج در مفهوم موضوع است؛ یعنی اگر در این قضایا موضوع را به جمیع ابعادش تصور و تحلیل کنیم، آن‌گاه با علم حضوری می‌یابیم که محمول در درون موضوع مندرج است؛ برای مثال اگر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محتاج علت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معلول را تحلیل کنیم علم پیدا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مندرج است؛ اما </w:t>
      </w:r>
      <w:bookmarkStart w:id="192" w:name="pg5923_64950"/>
    </w:p>
    <w:p>
      <w:pPr>
        <w:pStyle w:val="BookText"/>
        <w:rPr/>
      </w:pPr>
      <w:bookmarkEnd w:id="192"/>
      <w:r>
        <w:rPr>
          <w:rFonts w:ascii="IRNazanin" w:hAnsi="IRNazanin" w:eastAsia="IRNazanin"/>
          <w:color w:val="111111"/>
          <w:sz w:val="28"/>
          <w:sz w:val="28"/>
          <w:szCs w:val="28"/>
          <w:rtl w:val="true"/>
          <w:lang w:bidi="fa-IR"/>
        </w:rPr>
        <w:t xml:space="preserve">برای اینکه به اندراج محمول تحت موضوع علم پیدا کنیم، ابتدا باید به خود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طرف موضوع قرار دارد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که در طرف محمول قرار دارد، علم داشته باشیم تا سپس بتوانیم به اندراج محمول تحت موضوع علم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دو مفهوم همان علمی است که در قسمت قبل، از آن سخن گفتیم؛ یعنی علم حضوری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به مفاهیم موضوع و محمول علم یافتیم و موضوع را با همه ابعادش تصور کردیم علم پیدا می‌کنیم که محمول مندرج در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ما به اندراج محمول در موضوع علم حضوری چهارمی است که در این نظریه از آن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این علم حضوری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اندراج محمول تحت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93" w:name="__RefHeading___Toc5522652_581953129"/>
      <w:bookmarkStart w:id="194" w:name="_Toc69"/>
      <w:bookmarkEnd w:id="193"/>
      <w:r>
        <w:rPr/>
        <w:t>2-5</w:t>
      </w:r>
      <w:r>
        <w:rPr>
          <w:rtl w:val="true"/>
        </w:rPr>
        <w:t xml:space="preserve">. </w:t>
      </w:r>
      <w:r>
        <w:rPr>
          <w:rtl w:val="true"/>
        </w:rPr>
        <w:t>علم حضوری پنجم</w:t>
      </w:r>
      <w:bookmarkEnd w:id="194"/>
    </w:p>
    <w:p>
      <w:pPr>
        <w:pStyle w:val="BookText"/>
        <w:rPr/>
      </w:pPr>
      <w:r>
        <w:rPr>
          <w:rFonts w:ascii="IRNazanin" w:hAnsi="IRNazanin" w:eastAsia="IRNazanin"/>
          <w:color w:val="111111"/>
          <w:sz w:val="28"/>
          <w:sz w:val="28"/>
          <w:szCs w:val="28"/>
          <w:rtl w:val="true"/>
          <w:lang w:bidi="fa-IR"/>
        </w:rPr>
        <w:t>به عقیده مصباح یزدی پس از اینکه مفاهیم را درک کرده، و به آنها علم حضوری یافتیم، علم حضوری دیگری خواهیم داشت و آن، علم حضوری به مطابقت این مفاهیم با منشأ انتزاعشان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ما به مطابقت مفاهیم با منشأ انتزاعشان، پنجمین علم حضوری ای است که در این نظریه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این علم حضوری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مفهوم با منشأ انتزاع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وقتی مفهوم معلول را از اراده و مفهوم علت را از نفس انتزاع کردیم و به آن مفاهیم علم پیدا کردیم، آنگاه با علم حضوری می یابیم که مفهوم معلول، حاکی از اراده و مفهوم علت، حاکی از نفس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بندی دو نکته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نکته‌ای را درباره ترتیب علوم حضوری ای که در بالا به آنها اشاره کردیم، یادآوری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علوم حضوری پنجگانه فوق را در دو مرحله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علوم حضوری اول تا سوم در جهتی هستند که ما را از خارج به سمت تشکیل مفهوم و در مرحله دوم علوم حضوری چهارم و پنجم علوم حضوریای هستند که ما را از مفهوم های تشکیل‌شده در مرحله اول به سمت درک مطابقت این مفاهیم با منشأ انتزاعشان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در این فرایند یک مرحله از واقعیت به سمت تشکیل مفهوم داریم و یک فرایند در جهت عکس آن؛ یعنی فرایندی که از مفهوم به سوی واقعیت به منظور درک مطابقت مفهوم با منشأ </w:t>
      </w:r>
      <w:bookmarkStart w:id="195" w:name="pg5923_64951"/>
    </w:p>
    <w:p>
      <w:pPr>
        <w:pStyle w:val="BookText"/>
        <w:rPr/>
      </w:pPr>
      <w:bookmarkEnd w:id="195"/>
      <w:r>
        <w:rPr>
          <w:rFonts w:ascii="IRNazanin" w:hAnsi="IRNazanin" w:eastAsia="IRNazanin"/>
          <w:color w:val="111111"/>
          <w:sz w:val="28"/>
          <w:sz w:val="28"/>
          <w:szCs w:val="28"/>
          <w:rtl w:val="true"/>
          <w:lang w:bidi="fa-IR"/>
        </w:rPr>
        <w:t>انتزاعش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اینکه علم حضوری اول تا چهارم در گام نخست و علم حضوری پنجم در گام دوم از نظریه وی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انواع علوم حضوری را در نظریه مصباح یزدی مشخص کردیم، به بیان دو مورد از نقدهایی که به این تئوری وارد است،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نقدها آن خواهد بود که علوم حضوری فوق برای پاسخ به مسئله صدق در اولیات کافی نیست و باید برای تکمیل تئوری، دو علم حضوری دیگر هم افزود</w:t>
      </w:r>
      <w:r>
        <w:rPr>
          <w:rFonts w:eastAsia="IRNazanin" w:cs="IRNazanin"/>
          <w:color w:val="111111"/>
          <w:sz w:val="28"/>
          <w:szCs w:val="28"/>
          <w:rtl w:val="true"/>
          <w:lang w:bidi="fa-IR"/>
        </w:rPr>
        <w:t>.</w:t>
      </w:r>
    </w:p>
    <w:p>
      <w:pPr>
        <w:pStyle w:val="Heading3"/>
        <w:numPr>
          <w:ilvl w:val="2"/>
          <w:numId w:val="1"/>
        </w:numPr>
        <w:rPr/>
      </w:pPr>
      <w:bookmarkStart w:id="196" w:name="__RefHeading___Toc5522654_581953129"/>
      <w:bookmarkStart w:id="197" w:name="_Toc70"/>
      <w:bookmarkEnd w:id="196"/>
      <w:r>
        <w:rPr/>
        <w:t>3</w:t>
      </w:r>
      <w:r>
        <w:rPr>
          <w:rtl w:val="true"/>
        </w:rPr>
        <w:t xml:space="preserve">. </w:t>
      </w:r>
      <w:r>
        <w:rPr>
          <w:rtl w:val="true"/>
        </w:rPr>
        <w:t>نقدها</w:t>
      </w:r>
      <w:bookmarkEnd w:id="197"/>
    </w:p>
    <w:p>
      <w:pPr>
        <w:pStyle w:val="Heading4"/>
        <w:numPr>
          <w:ilvl w:val="3"/>
          <w:numId w:val="1"/>
        </w:numPr>
        <w:rPr/>
      </w:pPr>
      <w:bookmarkStart w:id="198" w:name="__RefHeading___Toc5522656_581953129"/>
      <w:bookmarkStart w:id="199" w:name="_Toc71"/>
      <w:bookmarkEnd w:id="198"/>
      <w:r>
        <w:rPr/>
        <w:t>3-1</w:t>
      </w:r>
      <w:r>
        <w:rPr>
          <w:rtl w:val="true"/>
        </w:rPr>
        <w:t xml:space="preserve">. </w:t>
      </w:r>
      <w:r>
        <w:rPr>
          <w:rtl w:val="true"/>
        </w:rPr>
        <w:t>نقد اول</w:t>
      </w:r>
      <w:bookmarkEnd w:id="199"/>
    </w:p>
    <w:p>
      <w:pPr>
        <w:pStyle w:val="BookText"/>
        <w:rPr/>
      </w:pPr>
      <w:r>
        <w:rPr>
          <w:rFonts w:ascii="IRNazanin" w:hAnsi="IRNazanin" w:eastAsia="IRNazanin"/>
          <w:color w:val="111111"/>
          <w:sz w:val="28"/>
          <w:sz w:val="28"/>
          <w:szCs w:val="28"/>
          <w:rtl w:val="true"/>
          <w:lang w:bidi="fa-IR"/>
        </w:rPr>
        <w:t>گفتیم ابتدا به خود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دو شیء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نفس و اراده علم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انتزاع و علم پیداکردن به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دو شیء را از جهتی خاص با یکدیگر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می‌توان دو شیء را از جهتی خاص با هم مقایسه کرد که آن جهت را بدانیم؛ به بیان دیگر به آن جهت، علم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عجیب است که جهتی را ندانیم و دو شیء را از آن جهتی که نمیدانیم با یکدیگر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دیگر مفاهیم علت و معلول ساخته می‌شوند که آن جهت خاص میان دو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اراده به نفس و استقلال نفس از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از طریق علم به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آن جهت خاص، علم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یک طرف علم به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است بر علم به جهت میان آن دو شیء و از طرف دیگر علم به جهت میان دو شیء از طریق علم به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است و این،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می‌توان راه حلی را برای این اشکال پیشنهاد کرد؛ برای روشن شدن پاسخ، ابتدا دو گزاره را از هم تفکیک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جهت میان دو شیء از طریق علم به مفاهیم امکانپذیر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مفاهیم از طریق علم به جهت امکان پذیر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گزاره نخست درمی‌یابیم که علم به جهت از طریق مفاهیم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آشکار است که اینگونه علم به جهت، علمی حصولی از طریق مفاهیم است؛ در </w:t>
      </w:r>
    </w:p>
    <w:p>
      <w:pPr>
        <w:pStyle w:val="BookText"/>
        <w:rPr/>
      </w:pPr>
      <w:r>
        <w:rPr>
          <w:rFonts w:ascii="IRNazanin" w:hAnsi="IRNazanin" w:eastAsia="IRNazanin"/>
          <w:color w:val="111111"/>
          <w:sz w:val="28"/>
          <w:sz w:val="28"/>
          <w:szCs w:val="28"/>
          <w:rtl w:val="true"/>
          <w:lang w:bidi="fa-IR"/>
        </w:rPr>
        <w:t>حالی که در گزاره دوم ادعا شده است علم به مفاهیم، متوقف است بر علم به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علم به جهت در گزاره دوم حصولی است یا حضوری؟ اگر علم به جهت را حصولی فرض کنیم، آن‌گاه نقد فوق کاملاً بجا و درست خواهد بود و با مشکل دور مواجه خواهیم بود؛ چراکه علم حصولی به جهت از طریق علم به مفاهیم است و علم به مفاهیم وابسته به علم حصولی به جهتی است که از طریق علم به همان مفاهیم حاصل می‌شود و این،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علم به جهت برای علم به مفاهیم، علمی حصولی نباشد تا گفته شود علم به جهت، متوقف است بر علم به مفاهیم، آن‌گاه دیگر دوری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بهتر، برای علم به مفاهیم علم، به جهت نیاز است؛ اما این علم به جهت برای انتزاع مفاهیم، علمی حضوری است، نه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اینکه مفاهیم انتزاع شدند، از طریق همان مفاهیم به جهت علمی حصولی هم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اینجا به دو گونه متفاوت به جهت علم پیدا می‌کنیم؛ یکی علم حضوری قبل از تشکیل مفاهیم و دیگری علم حصولی بعد از تشکیل مفاهیم و از طریق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دیگر دوری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علم به جهت که در گزاره نخست به آن اشاره شده است، علمی حصولی از طریق مفاهیم است و علم به جهتی که در گزاره دوم به آن اشاره شده است، علمی حضوری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پاسخ فوق، پیش‌فرضی دارد و آن، این است که جهات را اموری عینی و واقعی بدانیم، نه اموری نفسی و وابسته به مدرِک؛ چراکه علم حضوری علم بیواسطه به خود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فرض جهات واقعی و عینی پاسخ فوق قابل پذیرش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مصباح یزدی در صورتی می‌تواند این پاسخ را به اشکال فوق بدهد که یک علم حضوری دیگری را به مجموعه علوم حضوری به کاررفته در این نظریه اضافه کند و آن هم علم حضوری به جهات واقعی است و در صورت عدم اضافه‌کردن این علم حضوری، پاسخ فوق سودمند نخواهد بود؛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علوم حضوری پنج‌گانه به شش علم حضوری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باید پیش از علم حضوری به مقایسه دو شیء از جهتی خاص، به جهات موجود در دو شیء ابتدا علم حضوری پیدا کنیم، سپس </w:t>
      </w:r>
      <w:bookmarkStart w:id="200" w:name="pg5923_64953"/>
    </w:p>
    <w:p>
      <w:pPr>
        <w:pStyle w:val="BookText"/>
        <w:rPr/>
      </w:pPr>
      <w:bookmarkEnd w:id="200"/>
      <w:r>
        <w:rPr>
          <w:rFonts w:ascii="IRNazanin" w:hAnsi="IRNazanin" w:eastAsia="IRNazanin"/>
          <w:color w:val="111111"/>
          <w:sz w:val="28"/>
          <w:sz w:val="28"/>
          <w:szCs w:val="28"/>
          <w:rtl w:val="true"/>
          <w:lang w:bidi="fa-IR"/>
        </w:rPr>
        <w:t>جهتی خاص را در نظر بگیریم و دو شیء را از آن جهت خاص با هم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گفته شد که در تئوری مصباح یزدی پنج علم حضوری وجود دارد که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حضوری به واقعیت خارجی؛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حضوری به مقایسه دو شیء از جهتی خاص؛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حضوری به مفاهیم؛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حضوری به اندراج محمول در موضوع؛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حضوری به مطابقت مفاهیم با منشأ انتزاعشان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افزودن علم حضوری جدید، تعداد و ترتیب این علوم حضوری عبارت خواهند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حضوری به واقعیت خارجی؛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حضوری به جهات موجود در دو شیء؛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حضوری به مقایسه دو شیء از جهتی خاص؛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حضوری به مفاهیم؛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حضوری به اندراج محمول در موضوع؛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حضوری به مطابقت مفاهیم با منشأ انتزاعشان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حضوری فوق را به شکل زیر معرفی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حضوری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تشکیل معقولات ثانیه فلسفی، هنگامی که به خود واقعیات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دو واقعیت خارجی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حضوری اول پیدا شد، آن‌گاه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بتواند معقول ثانیه فلسفی را انتزاع کند، بین آن دو واقعیت خارجی مقایسه‌ای انجام می‌دهد و جهاتی را بین آن دو ملاحظه و به آن جهات علم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جهات موجود میان آن دو واقعیت خارجی نیز خود، علمی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علم حضوری‌ای است که در این نظریه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این علم حضوری، جهاتی است که میان آن دو واقعیت خارجی وجود دارد؛ مثلاً هنگامی که به نفس و اراده حضوراً علم پیدا کردیم، بین آنها مقایسه ای انجام می‌دهیم و درمی‌یابیم که نفس مستقل از اراده است و اراده وابسته به نفس است و این جهاتی را که بین اراده و نفس وجود دارد، نیز به علم حضوری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در مثال فوق دو علم حضوری از نوع دوم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جهتی که در نفس وجود دارد و آن، بی‌نیازی از اراده است و دیگری، جهتی است که در اراده وجود دارد و آن، نیازمندی و وابستگی به نفس است که به هر دوی اینها علم حضوری از نوع دوم داریم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1" w:name="__RefHeading___Toc5522658_581953129"/>
      <w:bookmarkStart w:id="202" w:name="_Toc72"/>
      <w:bookmarkEnd w:id="201"/>
      <w:r>
        <w:rPr/>
        <w:t>3-2</w:t>
      </w:r>
      <w:r>
        <w:rPr>
          <w:rtl w:val="true"/>
        </w:rPr>
        <w:t xml:space="preserve">. </w:t>
      </w:r>
      <w:r>
        <w:rPr>
          <w:rtl w:val="true"/>
        </w:rPr>
        <w:t>نقد دوم</w:t>
      </w:r>
      <w:bookmarkEnd w:id="202"/>
    </w:p>
    <w:p>
      <w:pPr>
        <w:pStyle w:val="BookText"/>
        <w:rPr/>
      </w:pPr>
      <w:r>
        <w:rPr>
          <w:rFonts w:ascii="IRNazanin" w:hAnsi="IRNazanin" w:eastAsia="IRNazanin"/>
          <w:color w:val="111111"/>
          <w:sz w:val="28"/>
          <w:sz w:val="28"/>
          <w:szCs w:val="28"/>
          <w:rtl w:val="true"/>
          <w:lang w:bidi="fa-IR"/>
        </w:rPr>
        <w:t>مصباح یزدی برای پاسخ‌دادن به اشکال مطرح‌شده در گام دوم از خاصیت اشاری‌بودن و نمایشگر خارج بودن معقولات ثانیه فلسفی و نیز اینکه این معقولات مستقیماً از معلومات حضوری انتزاع شده اند،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به این پرسش که چه دلیلی وجود دارد بر اینکه روابطی که میان مفاهیم در قضیه اولی برقرار است، در واقعیت نیز همان روابط برقرار باشد، از این بحث کمک می‌گیرد که اولاً منشأ انتزاع مفاهیم به‌کاررفته در قضایای اولی، یعنی معقولات ثانیه فلسفی، علوم حضوری است که خود واقعیت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معقولات ثانیه خاصیت اشاره به خارج را دارند؛ به این‌معناکه این مفاهیم همچون اسمای اشاره 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اندیشی معرفت‌شناسی، آرشیو مؤسسه امام خمینی، ترک</w:t>
      </w:r>
      <w:r>
        <w:rPr>
          <w:rFonts w:eastAsia="IRNazanin" w:cs="IRNazanin"/>
          <w:color w:val="111111"/>
          <w:sz w:val="28"/>
          <w:szCs w:val="28"/>
          <w:lang w:bidi="fa-IR"/>
        </w:rPr>
        <w:t>4101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نظر می‌رسد روابطی که میان مفاهیم وجود دارد، در واقعیت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پاسخ اشکالاتی وارد است که به یکی از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مطلب نخست اشکالی را که در گام دوم به نظریه وی وارد شده بود، دوباره یادآوری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کننده میپذیرفت که قضایای اولی قضایایی تحلیلی‌اند و در قضایای تحلیلی، محمول مندرج در موضوع است و اندراج محمول در موضوع را هم به علم حضوری می‌یابیم و نیز می‌پذیرفت که در قضایای تحلیلی، ضرورت منطقی در کار است؛ اما ادعا می‌کرد که مطالب پیش‌گفته در نهایت اثبات می‌کنند که مفاهیمی روابطی با مفاهیم دیگر به صورت ضرورت منطقی دارند و این،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مفاهیم است و رابطه میان مفاهیم، حتی رابطه ضروری میان آنها به هیچ وجه اثبات نمی‌کند که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مفاهیم برقرار است، در خارج و واقعیت هم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مصباح یزدی به این اشکال آن بود که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کاررفته در قضیای اولی را از علوم حضوری که عین واقعیت‌اند،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مفاهیم ارجاع و اشاره به خارج دارند؛ مثلاَ مفهوم معلول را که از اراده انتزاع کرده‌ایم، اولاً این مفهوم را از یک واقعیت انتزاع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ویژگی این مفهوم آن است که به امور خارج و واقعیت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اشکال فوق نمی‌تواند خللی به این نظریه وارد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مصباح یزدی نمیتواند از اشکال مذکور گره‌گشایی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روشن‌شدن مطلب، </w:t>
      </w:r>
      <w:bookmarkStart w:id="203" w:name="pg5923_64955"/>
    </w:p>
    <w:p>
      <w:pPr>
        <w:pStyle w:val="BookText"/>
        <w:rPr/>
      </w:pPr>
      <w:bookmarkEnd w:id="203"/>
      <w:r>
        <w:rPr>
          <w:rFonts w:ascii="IRNazanin" w:hAnsi="IRNazanin" w:eastAsia="IRNazanin"/>
          <w:color w:val="111111"/>
          <w:sz w:val="28"/>
          <w:sz w:val="28"/>
          <w:szCs w:val="28"/>
          <w:rtl w:val="true"/>
          <w:lang w:bidi="fa-IR"/>
        </w:rPr>
        <w:t>خوب است بین دو چیز تمایز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آیا تک‌تک مفاهیمی که در قضیه اولی به کار رفته است، خارج و واقع را نشان می‌دهند یا نه؟ به عبارت دیگر آیا هر کدام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به‌کاررفته در قضیه اولی، ارتباطی با واقعیت دارد یا نه؟ دوم اینکه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مفاهیم به‌کاررفته در قضیه اولی وجود دارد، در خارج نیز وجود دارد یا نه؟ در واقع در پرسش اول مسئله در خود مفاهیم است، ولی در پرسش دوم مسئله بر سر روابطی است که میان مفاهیم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مشخص‌شدن این بحث میگوییم پاسخ مصباح یزدی در واقع پاسخی است به مسئله اول، در حالی که اشکال کننده از مسئله دوم را پرسیده بود؛ از این‌رو مسئله صدق اولیات در نظریه مصباح همچنان بی‌پاسخ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یزدی قصد داشت با توسل به علم حضوری، مسئله صدق را حل کند؛ از این‌رو پنج گونه علم حضوری به کار گرفت که این‌کار را انجام دهد که ما برای پاسخ به نقد پیشین، علم حضوری ششمی هم به آن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نظریه مصباح یزدی با اقسام شش‌گانه علوم حضوری به کاررفته در این نظریه که قبلا به آنها اشاره کردیم، نظریه‌ای کامل نخواهد بود و مسئله دوم که آیا روابطی که میان مفاهیم به کاررفته در قضیه اولی وجود دارد، در خارج هم وجود دارد یا نه، بی‌پاسخ خواهد ماند و علوم حضوری شش‌گانه قادر نخواهد بود این مسئله را که در واقع پرسش اصلی این نوشتار است،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نگاهی همدلانه به نظر میرسد اگر یک علم حضوری هفتمی را به علوم حضوری شش‌گانه اضافه کنیم، این تئوری قادر خواهد بود به اشکال مذکور پاسخ دهد؛ یعنی اگر مصباح یزدی بتواند تبیین کند که ما به کمک علم حضوری هفتمی میتوانیم دریابیم که روابط حاکم میان مفاهیم عیناً در خارج هم اتفاق میافتد و از خاصیت انطباق مفاهیم فلسفی بر خارج که در مورد تک‌تک این مفاهیم استفاده کرده است،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مفاهیم هم استفاده کند، قادر خواهد بود به اشکال مذکور پاسخ دهد و تنها در این صورت است که تئوری وی مرتبط با مسئله صدق در اولیات خواهد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 w:name="__RefHeading___Toc5522660_581953129"/>
      <w:bookmarkStart w:id="205" w:name="_Toc73"/>
      <w:bookmarkEnd w:id="204"/>
      <w:r>
        <w:rPr>
          <w:rtl w:val="true"/>
        </w:rPr>
        <w:t>نتیجه گیری</w:t>
      </w:r>
      <w:bookmarkStart w:id="206" w:name="pg5923_64956"/>
      <w:bookmarkEnd w:id="205"/>
    </w:p>
    <w:p>
      <w:pPr>
        <w:pStyle w:val="BookText"/>
        <w:rPr/>
      </w:pPr>
      <w:bookmarkEnd w:id="206"/>
      <w:r>
        <w:rPr>
          <w:rFonts w:ascii="IRNazanin" w:hAnsi="IRNazanin" w:eastAsia="IRNazanin"/>
          <w:color w:val="111111"/>
          <w:sz w:val="28"/>
          <w:sz w:val="28"/>
          <w:szCs w:val="28"/>
          <w:rtl w:val="true"/>
          <w:lang w:bidi="fa-IR"/>
        </w:rPr>
        <w:t>اولاً علم حضوری‌ای که مصباح یزدی در نظریه خود به کار برده است، امر واحدی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علوم حضوری مختلف، با متعلَقهای مختلف در این نظریه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نکته به دست آمد که پنج علم حضوری در این نظریه وجود دارد؛ اما پس از بیان نقد اول به این نتیجه رسیدیم که برای کارکرد تئوری وی، باید علم حضوری به جهات عینی را نیز به علوم حضوری پنجگانه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اضافه‌کردن علم حضوری مذکور، نقد دوم ما را به این سمت سوق داد که به این نتیجه برسیم که تئوری وی در صورتی پذیرفته خواهد بود که علم حضوری به مطابقت روابط مفهومی و روابط عینی نیز باید به علوم حضوری شش‌گانه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نظریه مصباح یزدی در مسئله صدق در اولیات، باید دستکم هفت نوع علم حضوری را فرض کند</w:t>
      </w:r>
      <w:r>
        <w:rPr>
          <w:rFonts w:eastAsia="IRNazanin" w:cs="IRNazanin"/>
          <w:color w:val="111111"/>
          <w:sz w:val="28"/>
          <w:szCs w:val="28"/>
          <w:rtl w:val="true"/>
          <w:lang w:bidi="fa-IR"/>
        </w:rPr>
        <w:t>.</w:t>
      </w:r>
    </w:p>
    <w:p>
      <w:pPr>
        <w:pStyle w:val="Heading3"/>
        <w:numPr>
          <w:ilvl w:val="2"/>
          <w:numId w:val="1"/>
        </w:numPr>
        <w:rPr/>
      </w:pPr>
      <w:bookmarkStart w:id="207" w:name="__RefHeading___Toc5522662_581953129"/>
      <w:bookmarkStart w:id="208" w:name="_Toc74"/>
      <w:bookmarkEnd w:id="207"/>
      <w:r>
        <w:rPr>
          <w:rtl w:val="true"/>
        </w:rPr>
        <w:t>منابع و مآخذ</w:t>
      </w:r>
      <w:bookmarkEnd w:id="2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ابن‌سینا، حسین‌بن‌عبدالله؛ الاشارات و التنبیهات؛ شرح خواجه نصیر طوسی؛ چ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کتاب،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الشفاء، البرهان؛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آیت‌الله النجفی،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حسن‌بن‌یوسف؛ الجوهر النضید فی شرح منطق التجرید؛ چ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عسکری، سلیمانی امیری؛ منطق و شناخت‌شناسی از نظر آیت‌الله مصباح یزدی؛ چ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محمدتقی؛ آموزش فلسفه؛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 پنجم؛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 فلسفه؛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 پنجم؛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علی نهایة الحکمة؛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فی سبیل الحق،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اندیشی معرفت‌شناسی؛ آرشیو مؤسسه امام خمینی؛ ترک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4101</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5923_64958"/>
      <w:bookmarkStart w:id="210" w:name="pg5923_64958"/>
      <w:bookmarkEnd w:id="210"/>
    </w:p>
    <w:p>
      <w:pPr>
        <w:pStyle w:val="Heading2"/>
        <w:numPr>
          <w:ilvl w:val="1"/>
          <w:numId w:val="1"/>
        </w:numPr>
        <w:rPr/>
      </w:pPr>
      <w:bookmarkStart w:id="211" w:name="pg5923_64958"/>
      <w:bookmarkStart w:id="212" w:name="__RefHeading___Toc5522664_581953129"/>
      <w:bookmarkStart w:id="213" w:name="_Toc75"/>
      <w:bookmarkEnd w:id="211"/>
      <w:bookmarkEnd w:id="212"/>
      <w:r>
        <w:rPr>
          <w:rtl w:val="true"/>
        </w:rPr>
        <w:t xml:space="preserve">گونه‌شناسی مفاهیم قرآنی و قلمرو فهم عرفی </w:t>
      </w:r>
      <w:r>
        <w:rPr>
          <w:rtl w:val="true"/>
        </w:rPr>
        <w:t xml:space="preserve">/ </w:t>
      </w:r>
      <w:r>
        <w:rPr>
          <w:rtl w:val="true"/>
        </w:rPr>
        <w:t>ابوالقاسم علی‌دوست، علی‌رضا قائمی‌نیا، محمدحسین رفیعی</w:t>
      </w:r>
      <w:bookmarkEnd w:id="213"/>
    </w:p>
    <w:p>
      <w:pPr>
        <w:pStyle w:val="Heading3"/>
        <w:numPr>
          <w:ilvl w:val="2"/>
          <w:numId w:val="1"/>
        </w:numPr>
        <w:rPr/>
      </w:pPr>
      <w:bookmarkStart w:id="214" w:name="__RefHeading___Toc5522666_581953129"/>
      <w:bookmarkStart w:id="215" w:name="_Toc76"/>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ابوالقاسم علی‌دوست</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علی‌رضا قائمی‌نیا</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محمدحسین رفیعی</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22/9/92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2/11/92</w:t>
      </w:r>
    </w:p>
    <w:p>
      <w:pPr>
        <w:pStyle w:val="Heading3"/>
        <w:numPr>
          <w:ilvl w:val="2"/>
          <w:numId w:val="1"/>
        </w:numPr>
        <w:rPr/>
      </w:pPr>
      <w:bookmarkStart w:id="216" w:name="__RefHeading___Toc5522668_581953129"/>
      <w:bookmarkStart w:id="217" w:name="_Toc77"/>
      <w:bookmarkEnd w:id="216"/>
      <w:r>
        <w:rPr>
          <w:rtl w:val="true"/>
        </w:rPr>
        <w:t>چکیده</w:t>
      </w:r>
      <w:bookmarkEnd w:id="21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نظریات رایج در زبان قرآن، زبان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اینکه آیا زبان قرآن، عرف خاص است یا عام، در نگاه نخست بدیهی به نظر می‌رسد که صدور حکم واحد برای زبان قرآن و عدم تبیین همه حوزه‌ها و جوانب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به تعیین معیار در زبان قرآن نزدیک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فرایند باید به صورت‌ها و گونه‌های مختلف مفاهیم قرآنی توجه نمود؛ چراکه همه مفاهیم قرآنی از یک پهنه و حوزه مفهومی نیستند تا بتوان حکم واحد در مورد زبان عرفی و در نتیجه امکان فهم عرف از زبان قرآن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تعیین زبان قرآن، ابتدا باید گونه‌های مختلف مفاهیم را شناسایی و سپس اعتبار فهم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خاص و چه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گونه‌ها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218" w:name="pg5923_64959"/>
    </w:p>
    <w:p>
      <w:pPr>
        <w:pStyle w:val="BookText"/>
        <w:rPr/>
      </w:pPr>
      <w:bookmarkEnd w:id="218"/>
      <w:r>
        <w:rPr>
          <w:rFonts w:ascii="IRNazanin" w:hAnsi="IRNazanin" w:eastAsia="IRNazanin"/>
          <w:color w:val="111111"/>
          <w:sz w:val="28"/>
          <w:sz w:val="28"/>
          <w:szCs w:val="28"/>
          <w:rtl w:val="true"/>
          <w:lang w:bidi="fa-IR"/>
        </w:rPr>
        <w:t>نوشتار، مطالب را در دو مبحث پی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اول به تحلیل، بررسی و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مبحث دوم، گونه‌های متعدد مفاهیم و واژگان قرآنی را شناسایی و میزان اعتبار فهم عرف در هر یک از گونه‌ها را تعیین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ما، قلمرو فهم عرفی شامل برخی از گونه‌های مفاهیم قرآنی می‌شود، نه همه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فهم سایر گونه‌های مفاهیم قرآنی باید به منابع دیگر فهم و تفسیر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فهم عرفی، مفاهیم قرآنی، قلمرو فهم عرفی</w:t>
      </w:r>
      <w:r>
        <w:rPr>
          <w:rFonts w:eastAsia="IRNazanin" w:cs="IRNazanin"/>
          <w:color w:val="111111"/>
          <w:sz w:val="28"/>
          <w:szCs w:val="28"/>
          <w:rtl w:val="true"/>
          <w:lang w:bidi="fa-IR"/>
        </w:rPr>
        <w:t>.</w:t>
      </w:r>
    </w:p>
    <w:p>
      <w:pPr>
        <w:pStyle w:val="Heading3"/>
        <w:numPr>
          <w:ilvl w:val="2"/>
          <w:numId w:val="1"/>
        </w:numPr>
        <w:rPr/>
      </w:pPr>
      <w:bookmarkStart w:id="219" w:name="__RefHeading___Toc5522670_581953129"/>
      <w:bookmarkStart w:id="220" w:name="_Toc78"/>
      <w:bookmarkEnd w:id="219"/>
      <w:r>
        <w:rPr>
          <w:rtl w:val="true"/>
        </w:rPr>
        <w:t>مقدمه</w:t>
      </w:r>
      <w:bookmarkEnd w:id="220"/>
    </w:p>
    <w:p>
      <w:pPr>
        <w:pStyle w:val="BookText"/>
        <w:rPr/>
      </w:pPr>
      <w:r>
        <w:rPr>
          <w:rFonts w:ascii="IRNazanin" w:hAnsi="IRNazanin" w:eastAsia="IRNazanin"/>
          <w:color w:val="111111"/>
          <w:sz w:val="28"/>
          <w:sz w:val="28"/>
          <w:szCs w:val="28"/>
          <w:rtl w:val="true"/>
          <w:lang w:bidi="fa-IR"/>
        </w:rPr>
        <w:t>همان‌گونه که اشاره شد، نمی‌توان به صورت مطلق و بدون بررسی جزئیات، به اعتبار فهم عرفی از همه مفاهیم قرآنی حکم کرد؛ همچنان‌که در بیان برخی از اصولیان و اخیراً در برخی نوشته‌ها چنین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اعتبار فهم عرفی، مستلزم تبیین دقیق‌تری از تنوع واژگان و شناخت تمایزات مفاهیم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قرآنی جملگی متعلق به یک گروه از واژگان و مفاهیم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مقتضای نزول قرآن به لسان قوم که در برخی از آیات و روایات به آن اشاره شده است، عرف مخاطب عصر نزول به صورت طبیعی تمام قرآن را در سطح مورد نیاز، می‌فهمد و هیچ آیه یا مفهومی نیست که بیشتر مردم از فهمیدن آن عاجز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علامه طباطبایی قرآن کلام عربی آشکار است و هیچ عرب یا غیر عربی که آشنایی با لغت عرب داشته باشد، در فهم آن درمانده نمی‌شود و در میان هزاران آیه قرآن کریم، آیه‌ای نیست که در مفهوم آن، اغلاق و گره باشد، به گونه‌ای که ذهن در فهم آن در تحیّر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متشابهات قرآن هم در معنا و مفهوم، هیچگونه اغلاق و تعقیدی ندارند؛ بلکه این آیات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متشابه‌اند،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فهم مخاطب در مورد همه مفاهیم قرآنی معتبر باشد یا نه، نیازمند شفاف‌سازی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و تفکیک انواع مفاهیم قرآنی است</w:t>
      </w:r>
      <w:r>
        <w:rPr>
          <w:rFonts w:eastAsia="IRNazanin" w:cs="IRNazanin"/>
          <w:color w:val="111111"/>
          <w:sz w:val="28"/>
          <w:szCs w:val="28"/>
          <w:rtl w:val="true"/>
          <w:lang w:bidi="fa-IR"/>
        </w:rPr>
        <w:t>.</w:t>
      </w:r>
    </w:p>
    <w:p>
      <w:pPr>
        <w:pStyle w:val="Heading3"/>
        <w:numPr>
          <w:ilvl w:val="2"/>
          <w:numId w:val="1"/>
        </w:numPr>
        <w:rPr/>
      </w:pPr>
      <w:bookmarkStart w:id="221" w:name="__RefHeading___Toc5522672_581953129"/>
      <w:bookmarkStart w:id="222" w:name="_Toc79"/>
      <w:bookmarkEnd w:id="221"/>
      <w:r>
        <w:rPr>
          <w:rtl w:val="true"/>
        </w:rPr>
        <w:t>مبحث اول</w:t>
      </w:r>
      <w:r>
        <w:rPr>
          <w:rtl w:val="true"/>
        </w:rPr>
        <w:t xml:space="preserve">: </w:t>
      </w:r>
      <w:r>
        <w:rPr>
          <w:rtl w:val="true"/>
        </w:rPr>
        <w:t>بررسی و تعریف عرف</w:t>
      </w:r>
      <w:bookmarkEnd w:id="22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3" w:name="__RefHeading___Toc5522674_581953129"/>
      <w:bookmarkStart w:id="224" w:name="_Toc80"/>
      <w:bookmarkEnd w:id="223"/>
      <w:r>
        <w:rPr>
          <w:rtl w:val="true"/>
        </w:rPr>
        <w:t>الف</w:t>
      </w:r>
      <w:r>
        <w:rPr>
          <w:rtl w:val="true"/>
        </w:rPr>
        <w:t xml:space="preserve">) </w:t>
      </w:r>
      <w:r>
        <w:rPr>
          <w:rtl w:val="true"/>
        </w:rPr>
        <w:t>عرف در لغت</w:t>
      </w:r>
      <w:bookmarkStart w:id="225" w:name="pg5923_64960"/>
      <w:bookmarkEnd w:id="224"/>
    </w:p>
    <w:p>
      <w:pPr>
        <w:pStyle w:val="BookText"/>
        <w:rPr/>
      </w:pPr>
      <w:bookmarkEnd w:id="225"/>
      <w:r>
        <w:rPr>
          <w:rFonts w:ascii="IRNazanin" w:hAnsi="IRNazanin" w:eastAsia="IRNazanin"/>
          <w:color w:val="111111"/>
          <w:sz w:val="28"/>
          <w:sz w:val="28"/>
          <w:szCs w:val="28"/>
          <w:rtl w:val="true"/>
          <w:lang w:bidi="fa-IR"/>
        </w:rPr>
        <w:t xml:space="preserve">از عرف در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تتابع دو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و طمأنینه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مرتفع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سعدی ابوجیب،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مفسران و مترجمان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وَالْمُرْسَلاتِ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عرف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تتابع دو چیز پشت سر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 و عمدتاً در سایر موارد استعمال در قرآن کریم، به معنای دوم و یا مشابه آن تمایل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عموماً به معنای سوم،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شناسان فارسی‌زبان نیز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تعریف عرف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این تعدّد معانی به تکثر کاربردهای این واژه و مشتقات آن مرتبط است؛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نیکی و امر پسندیده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مکان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اقرار و اذعان،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شناسا،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پسندیده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 نظر از کاربردهای مختلف و مشتقات صرفی این واژه، به همان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تتابع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و طمأنینه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26" w:name="__RefHeading___Toc5522676_581953129"/>
      <w:bookmarkStart w:id="227" w:name="_Toc81"/>
      <w:bookmarkEnd w:id="226"/>
      <w:r>
        <w:rPr>
          <w:rtl w:val="true"/>
        </w:rPr>
        <w:t>ب</w:t>
      </w:r>
      <w:r>
        <w:rPr>
          <w:rtl w:val="true"/>
        </w:rPr>
        <w:t xml:space="preserve">) </w:t>
      </w:r>
      <w:r>
        <w:rPr>
          <w:rtl w:val="true"/>
        </w:rPr>
        <w:t>عرف در اصطلاح</w:t>
      </w:r>
      <w:bookmarkEnd w:id="227"/>
    </w:p>
    <w:p>
      <w:pPr>
        <w:pStyle w:val="BookText"/>
        <w:rPr/>
      </w:pPr>
      <w:r>
        <w:rPr>
          <w:rFonts w:ascii="IRNazanin" w:hAnsi="IRNazanin" w:eastAsia="IRNazanin"/>
          <w:color w:val="111111"/>
          <w:sz w:val="28"/>
          <w:sz w:val="28"/>
          <w:szCs w:val="28"/>
          <w:rtl w:val="true"/>
          <w:lang w:bidi="fa-IR"/>
        </w:rPr>
        <w:t xml:space="preserve">موطن اصلی 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دانش‌های اصول، فقه و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دانش‌ها تلقی نسبتاً مشترکی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در عین حال ناگفته نماند که تعریف عرف در تمام دانش های یادشده کاملاً همسان نیست؛ برای مثال در حقوق بین‌الملل، عرف معنای متفاوتی پیدا می‌کند از آنچه در سایر شاخه‌های دانش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نهایت، با قطع نظر از برخی ویژگی‌های عارضی در تعریف عرف که حسب ضرورت در شاخه‌های مختلف علوم پیدا می‌کند، عناصر اصلی و بنیادین عرف، در بیشتر تعاریف مشابه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ذیل به نمونه‌هایی از تعاریفی که نزد اهل نظر مقبولیت بیشتری دارد،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ما یغلب علی الناس من قولٍ او فعلٍ او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گفتار، فعل یا ترک فعلی است که بین مردم شهرت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محدولی قوته،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العادة و العرف ما استقر فی النفوس من جهة العقل و تلقته الطبایع السلیمة بالقبول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عرف و عادت چیزی است که به کمک عقل در نفوس رسوخ یافته و طبایع سالم آن‌را تلقی به قبول نمایند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هو ما یعرفه عقلاء المجتمع من السنن و السیرةالجاریة بینهم بخلاف ما ینکره العقل الاجتماعی من الاعمال النادرة الشاذة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چیزی است که عقلای جامعه آن را از سنت و سیره نیکوی بین خود بدانند؛ بر خلاف چیزی که عقل عمومی و عقلای اجتماع آن را از اعمال شاذّ به شمار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ماجرت علیه عادة الناس فی بیعهم و شرائهم و اجارهم و سایر معاملات هم بحیث یسوغ للمتکلم اذا اراد معنی ان یطلق اللفظ و یترک القیود اتکالاً علی فهم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چیزی است که عادت مردم در خرید و فروش و اجاره و دیگر معاملات، طبق آن باشد، به گونه‌ای که اگر گوینده معنایی را اراده کرده، آن را به صورت مطلق و بدون قید می‌آورد؛ در حالی که تکیه بر فهم عرفی از آن لفظ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رفتاری و عادی که مردم بدانها خو گرفته و پذیرفته‌اند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جبران مسعود،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 زنجانی در تعریف عرف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عملی است که اکثریت مردم آن را به طور مکرر و ارادی بدون احساس نفرت و کراهت 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عمید زنجانی،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یا بنا یا داوری مستمر و ارادی مردم که صورت قانون مجعول و مشروع نزد آنها به خود نگرفته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علی‌دوست،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ترمینولوژی حقوق عرف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مستمر قومی است در گفتار یا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لنگرودی،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447</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تعاریف ارائه 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متنوع است و از همین جهت برخی از </w:t>
      </w:r>
      <w:bookmarkStart w:id="228" w:name="pg5923_64962"/>
    </w:p>
    <w:p>
      <w:pPr>
        <w:pStyle w:val="BookText"/>
        <w:rPr/>
      </w:pPr>
      <w:bookmarkEnd w:id="228"/>
      <w:r>
        <w:rPr>
          <w:rFonts w:ascii="IRNazanin" w:hAnsi="IRNazanin" w:eastAsia="IRNazanin"/>
          <w:color w:val="111111"/>
          <w:sz w:val="28"/>
          <w:sz w:val="28"/>
          <w:szCs w:val="28"/>
          <w:rtl w:val="true"/>
          <w:lang w:bidi="fa-IR"/>
        </w:rPr>
        <w:t xml:space="preserve">صاحب‌نظران، این تعریف ها را به طوایف مختلف تفکیک نموده، به بررسی هر یک از طوایف پرداخته‌اند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غور بیش از این در این تعاریف و بیان تمایز هر یک، شاید چندان به کار نوشتار حاضر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عنوانی جداگانه، به تنقیح تعریف عرف پرداخته، مبنای این نوشتار را در تعریف این واژه تعیین کرده است و همان را مبنای اقدام تا پایان قرار خواهیم داد</w:t>
      </w:r>
      <w:r>
        <w:rPr>
          <w:rFonts w:eastAsia="IRNazanin" w:cs="IRNazanin"/>
          <w:color w:val="111111"/>
          <w:sz w:val="28"/>
          <w:szCs w:val="28"/>
          <w:rtl w:val="true"/>
          <w:lang w:bidi="fa-IR"/>
        </w:rPr>
        <w:t>.</w:t>
      </w:r>
    </w:p>
    <w:p>
      <w:pPr>
        <w:pStyle w:val="Heading4"/>
        <w:numPr>
          <w:ilvl w:val="3"/>
          <w:numId w:val="1"/>
        </w:numPr>
        <w:rPr/>
      </w:pPr>
      <w:bookmarkStart w:id="229" w:name="__RefHeading___Toc5522678_581953129"/>
      <w:bookmarkStart w:id="230" w:name="_Toc82"/>
      <w:bookmarkEnd w:id="229"/>
      <w:r>
        <w:rPr>
          <w:rtl w:val="true"/>
        </w:rPr>
        <w:t>ج</w:t>
      </w:r>
      <w:r>
        <w:rPr>
          <w:rtl w:val="true"/>
        </w:rPr>
        <w:t xml:space="preserve">) </w:t>
      </w:r>
      <w:r>
        <w:rPr>
          <w:rtl w:val="true"/>
        </w:rPr>
        <w:t>تأملی در تعاریف عرف</w:t>
      </w:r>
      <w:bookmarkEnd w:id="230"/>
    </w:p>
    <w:p>
      <w:pPr>
        <w:pStyle w:val="BookText"/>
        <w:rPr/>
      </w:pPr>
      <w:r>
        <w:rPr>
          <w:rFonts w:ascii="IRNazanin" w:hAnsi="IRNazanin" w:eastAsia="IRNazanin"/>
          <w:color w:val="111111"/>
          <w:sz w:val="28"/>
          <w:sz w:val="28"/>
          <w:szCs w:val="28"/>
          <w:rtl w:val="true"/>
          <w:lang w:bidi="fa-IR"/>
        </w:rPr>
        <w:t>از مجموع تعاریفی که درباره عرف ارائه شده است، بسیاری از تعاریف دیگر که مجال ارائه آن در این نوشتار وجود ندارد،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را داشت که عرف، امر یا فرایندی است که مردم بدان خو گرفته باشند و جزئی از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فردی و اجتماعی آنان شده باشد و بر حسب عادت بر آن اساس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عرف در اموری مانند گویش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محاوره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خورد و خوراک، پوشش، مشاغل و ارتباطات، نمود بیشتری دارد و در این عناصر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تمایز عرف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 امر عرفی آن است که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برش‌های خاصی از جامعه یا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داشته، افراد به صورت غیر منسجم و ناشناخته یا اتفاقی بر آن توافق کرده باشند؛ به گونه‌ای که مخالفت و سرپیچی از آن موجب انزجار و نفرت عموم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انزجار و نفرت، مؤلفه مهمی است که تکالیف قانونی، حقوقی و اخلاقی را برای افرادی که در محدوده شیوع این عرف قرار دارند یا از بیرون با آن مواجه می‌شوند،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موضع‌گیری افراد در مقابل بی‌احترامی به امر عرفی توافق شده خود، موجب ایجاد حق برای آنان و ایجاد تکلیف برای دیگران در مواجهه با آنان می‌شود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همانگونه که ملاحظه می‌شود، در تعاریف فوق، گاه عرف و عادت در کنار هم قرار می‌گیرد، گاه عقل یا طبع سلیم را مبنای داوری صحت امر عرفی قرار می‌دهند و گاهی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پسندیده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عرفی تأکید می‌ورزند؛ حال آنکه نه عرف و عادت مساوی هماند، نه در همه اعراف، عقل و طبع سلیم قضاوت می‌کنند و نه رجحان و نیک بودن امر عرفی در اصل تعریف عرف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مقبولیت امر عرفی در میان مردم لزوماً به معنای </w:t>
      </w:r>
      <w:bookmarkStart w:id="231" w:name="pg5923_64963"/>
    </w:p>
    <w:p>
      <w:pPr>
        <w:pStyle w:val="BookText"/>
        <w:rPr/>
      </w:pPr>
      <w:bookmarkEnd w:id="231"/>
      <w:r>
        <w:rPr>
          <w:rFonts w:ascii="IRNazanin" w:hAnsi="IRNazanin" w:eastAsia="IRNazanin"/>
          <w:color w:val="111111"/>
          <w:sz w:val="28"/>
          <w:sz w:val="28"/>
          <w:szCs w:val="28"/>
          <w:rtl w:val="true"/>
          <w:lang w:bidi="fa-IR"/>
        </w:rPr>
        <w:t>حُسن ذاتی آن فعل نیست؛ همچنان‌که هیچگونه دلالتی بر رجحان عقلی یا شرعی آن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داخل کردن این قیود در تعریف عرف، به محدودکردن بی‌مورد آن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تعاریف نیز، محدوده عرف کاملاً رها گذاشته شده، به هیچ قیدی مانند قید زمان یا قید ارادی و اختیاری مقید نگردیده است</w:t>
      </w:r>
      <w:r>
        <w:rPr>
          <w:rFonts w:eastAsia="IRNazanin" w:cs="IRNazanin"/>
          <w:color w:val="111111"/>
          <w:sz w:val="28"/>
          <w:szCs w:val="28"/>
          <w:rtl w:val="true"/>
          <w:lang w:bidi="fa-IR"/>
        </w:rPr>
        <w:t>.</w:t>
      </w:r>
    </w:p>
    <w:p>
      <w:pPr>
        <w:pStyle w:val="Heading4"/>
        <w:numPr>
          <w:ilvl w:val="3"/>
          <w:numId w:val="1"/>
        </w:numPr>
        <w:rPr/>
      </w:pPr>
      <w:bookmarkStart w:id="232" w:name="__RefHeading___Toc5522680_581953129"/>
      <w:bookmarkStart w:id="233" w:name="_Toc83"/>
      <w:bookmarkEnd w:id="232"/>
      <w:r>
        <w:rPr>
          <w:rtl w:val="true"/>
        </w:rPr>
        <w:t>د</w:t>
      </w:r>
      <w:r>
        <w:rPr>
          <w:rtl w:val="true"/>
        </w:rPr>
        <w:t xml:space="preserve">) </w:t>
      </w:r>
      <w:r>
        <w:rPr>
          <w:rtl w:val="true"/>
        </w:rPr>
        <w:t>تعریف برگزیده</w:t>
      </w:r>
      <w:bookmarkEnd w:id="233"/>
    </w:p>
    <w:p>
      <w:pPr>
        <w:pStyle w:val="BookText"/>
        <w:rPr/>
      </w:pPr>
      <w:r>
        <w:rPr>
          <w:rFonts w:ascii="IRNazanin" w:hAnsi="IRNazanin" w:eastAsia="IRNazanin"/>
          <w:color w:val="111111"/>
          <w:sz w:val="28"/>
          <w:sz w:val="28"/>
          <w:szCs w:val="28"/>
          <w:rtl w:val="true"/>
          <w:lang w:bidi="fa-IR"/>
        </w:rPr>
        <w:t>به سبب کاستی‌های پیش‌گفته در تعاریف ارائه‌شده، بهتر است عرف را این‌گونه تعریف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بنای مستمر و ارادی جمعی از افراد است در گفتار،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فعل یا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خُلقیات، محاورات و تفاهم، چه موافق با شرایع و طبایع باشد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عناصر تعریف برگزیده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 و روش‌بودن برای تعدادی از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نانوشته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باشد برای اعمال جمعی از افراد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دوام و استمرار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عرف‌ها تغییرپذیرند، اما استمرار و دوام نسبی که نتوان شروع و پایان آن را تعیین کرد،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قلمدادکردن یک امر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ارادی بودن امر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امر عرفی با توافق و اجماع بدون هماهنگی قبلی مردم تحقق یافته باشد؛ چه اینکه اگر غیر از این باشد، حکم قانون، قرارداد یا اجبار را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شیوع و اطّراد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عرفی زمانی محقق است که شیوع داشته، توسط عده قابل توجهی از افراد صورت گرفته باشد؛ لذا عادات شخصی افراد، عرف تلقی نمی‌شود؛ چه اینکه شیوع علی‌الاطلاق و جهانی یک پدیده هم در تحقق عرف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تا کنون کسی متعرض بیان محدوده شیوع و اطّراد امر عرفی نشده است، اما حق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عرفی باید در محدوده زمانی و مکانی که مورد قضاوت و ارزیابی قرار می‌گیرد، شیوع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گاهی لازم است شعاع امر عرفی، شامل جمعیت زیادی از چندین شهر و روستا گردد و گاهی نیز شامل افراد یک قبیله یا روستا و یا یک شهر</w:t>
      </w:r>
      <w:r>
        <w:rPr>
          <w:rFonts w:eastAsia="IRNazanin" w:cs="IRNazanin"/>
          <w:color w:val="111111"/>
          <w:sz w:val="28"/>
          <w:szCs w:val="28"/>
          <w:rtl w:val="true"/>
          <w:lang w:bidi="fa-IR"/>
        </w:rPr>
        <w:t xml:space="preserve">. </w:t>
      </w:r>
      <w:bookmarkStart w:id="234" w:name="pg5923_64964"/>
    </w:p>
    <w:p>
      <w:pPr>
        <w:pStyle w:val="BookText"/>
        <w:rPr/>
      </w:pPr>
      <w:bookmarkEnd w:id="23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ممکن است در گفتار،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فعل یا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خُلقیات و مفاهمه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عرفی لازم نیست مقبول شرع یا شرایع باشد؛ همانگونه که لازم نیست موافق طبع سلیم سایر عقلا و افراد خارج از آن عرف باشد، بلکه صِرف موافقت افراد حاضر در همان عرف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تردید، 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موافقت یا عدم موافقت با شرایع و طبایع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مطلق عرف، امری معقول و مقبول نیست؛ اما در مقام تأیید یک عرف و استنباط حکم یا شناخت موضوعی توسط آن، ملاحظه موافقت یا عدم موافقت با شرع و طبع سلیم، امری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 عناصر و مؤلفه‌ها که بعضی از محققان در تعریف عرف ذکر کرده‌اند، خارج از تعریف عرف است؛ چون تعاریف ناظر به مقام واقع و ثبوت است و از این جهت قیودی مانند اعتبار و استناد به عقل و شرع یا فطرت و طبع سلیم و اموری از این دست، در مقام اثبات کارآمد است، نه مقام ثبوت</w:t>
      </w:r>
      <w:r>
        <w:rPr>
          <w:rFonts w:eastAsia="IRNazanin" w:cs="IRNazanin"/>
          <w:color w:val="111111"/>
          <w:sz w:val="28"/>
          <w:szCs w:val="28"/>
          <w:rtl w:val="true"/>
          <w:lang w:bidi="fa-IR"/>
        </w:rPr>
        <w:t>.</w:t>
      </w:r>
    </w:p>
    <w:p>
      <w:pPr>
        <w:pStyle w:val="Heading3"/>
        <w:numPr>
          <w:ilvl w:val="2"/>
          <w:numId w:val="1"/>
        </w:numPr>
        <w:rPr/>
      </w:pPr>
      <w:bookmarkStart w:id="235" w:name="__RefHeading___Toc5522682_581953129"/>
      <w:bookmarkStart w:id="236" w:name="_Toc84"/>
      <w:bookmarkEnd w:id="235"/>
      <w:r>
        <w:rPr>
          <w:rtl w:val="true"/>
        </w:rPr>
        <w:t>مبحث دوم</w:t>
      </w:r>
      <w:r>
        <w:rPr>
          <w:rtl w:val="true"/>
        </w:rPr>
        <w:t xml:space="preserve">: </w:t>
      </w:r>
      <w:r>
        <w:rPr>
          <w:rtl w:val="true"/>
        </w:rPr>
        <w:t>گونه‌شناسی مفاهیم قرآنی</w:t>
      </w:r>
      <w:bookmarkEnd w:id="236"/>
    </w:p>
    <w:p>
      <w:pPr>
        <w:pStyle w:val="Heading4"/>
        <w:numPr>
          <w:ilvl w:val="3"/>
          <w:numId w:val="1"/>
        </w:numPr>
        <w:rPr/>
      </w:pPr>
      <w:bookmarkStart w:id="237" w:name="__RefHeading___Toc5522684_581953129"/>
      <w:bookmarkStart w:id="238" w:name="_Toc85"/>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همان‌گونه که بیان شد، برای تعیین قلمرو فهم عرفی لازم است گونه‌های متعدد مفاهیم قرآنی از یکدیگر شناسایی و آنگاه بررسی و اعتبارسنجی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ورود به بحث، لازم است درباره چند نکته آگاهی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تنها فهم عرفی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را بررسی خواهیم نمود و از ورود به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ناگفته نماند که فهم ترکیب‌ها و عبارات قرآنی مرهون فهم مفردات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للمرکّب وضع آخر غیر وضع مفرداته، بل لا معنی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سخنان نافی نقش ترکیبات و عبارات در معناسازی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فهم عرفی در این بحث به معنای محدودیت فهم مفاهیم به همان فهم عرفی و بی‌اعتباردانستن فهم‌های تخصصی و عرف خاص نیست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آخر اینکه حسب وظیفه این نوشتار، تمام مفاهیمی که برای نمونه بیان می‌گردند، </w:t>
      </w:r>
      <w:bookmarkStart w:id="239" w:name="pg5923_64965"/>
    </w:p>
    <w:p>
      <w:pPr>
        <w:pStyle w:val="BookText"/>
        <w:rPr/>
      </w:pPr>
      <w:bookmarkEnd w:id="239"/>
      <w:r>
        <w:rPr>
          <w:rFonts w:ascii="IRNazanin" w:hAnsi="IRNazanin" w:eastAsia="IRNazanin"/>
          <w:color w:val="111111"/>
          <w:sz w:val="28"/>
          <w:sz w:val="28"/>
          <w:szCs w:val="28"/>
          <w:rtl w:val="true"/>
          <w:lang w:bidi="fa-IR"/>
        </w:rPr>
        <w:t>مفاهیم استفاده‌شده در قرآن کریم‌اند، اما به دلیل فراوانی مثال‌ها و جلوگیری از طولانی‌شدن نوشتار، جز در مواردی اندک، از ذکر کامل آیات خودداری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دانش منطق و فلسفه، به صورت متعارف، مفاهیم را در گروه‌های متعددی شناسایی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گروه‌بندی به اعتبار روابطی است که میان اشیا و مفاهیم از یک طرف و حسی یا ذهنی بودن آنها از طرف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تفکیک مفاهیم، ناظر به ماهیت وجودی مفاهیم و کیفیت شکل‌گیری آن است و از همین جهت، کمک شایانی به بررسی کیفیت و اعتبار فهم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ما به دنبال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ملاحظه اعتبار فهم عرفی از مفاهیم، لازم است تفکیک عینی‌تری، البته با نظرداشت مفاهیم قرآنی،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تفکیک به اعتبار کاربرد و اشتهار الفاظ میان عرف عصر نزول، اشتهار میان عرف عالمان و شعرا و سایر اعراف خاص و نیز به اعتبار گوناگونی مصادیق واژگان،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تفکیک مفاهیم، نقش بهتری در گشودن مسیر تعیین اعتبار یا عدم اعتبار فهم عرفی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یادآور شد که ممکن است برخی مفاهیم در بیش از یک گروه از واژگان قرار گرفته، از جهات متعددی قابل بررسی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ضمن شناسایی گونه‌های مختلف مفاهیم قرآنی، قلمرو فهم عرفی را در هر یک از گونه‌ها تعیین خواهیم کرد</w:t>
      </w:r>
      <w:r>
        <w:rPr>
          <w:rFonts w:eastAsia="IRNazanin" w:cs="IRNazanin"/>
          <w:color w:val="111111"/>
          <w:sz w:val="28"/>
          <w:szCs w:val="28"/>
          <w:rtl w:val="true"/>
          <w:lang w:bidi="fa-IR"/>
        </w:rPr>
        <w:t>.</w:t>
      </w:r>
    </w:p>
    <w:p>
      <w:pPr>
        <w:pStyle w:val="Heading4"/>
        <w:numPr>
          <w:ilvl w:val="3"/>
          <w:numId w:val="1"/>
        </w:numPr>
        <w:rPr/>
      </w:pPr>
      <w:bookmarkStart w:id="240" w:name="__RefHeading___Toc5522686_581953129"/>
      <w:bookmarkStart w:id="241" w:name="_Toc86"/>
      <w:bookmarkEnd w:id="240"/>
      <w:r>
        <w:rPr/>
        <w:t>1</w:t>
      </w:r>
      <w:r>
        <w:rPr>
          <w:rtl w:val="true"/>
        </w:rPr>
        <w:t xml:space="preserve">. </w:t>
      </w:r>
      <w:r>
        <w:rPr>
          <w:rtl w:val="true"/>
        </w:rPr>
        <w:t>اَعلام و واژگان پرکاربرد و متعارف</w:t>
      </w:r>
      <w:bookmarkEnd w:id="24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واژگان قرآنی همان واژگان متعارف و پرکاربرد میان مردم عصر نزول است بدون اینکه مردم نسبت به لفظ و یا معنا و مصداق آن بیگانه باشند؛ مانند اسامی برخی حیوانات یا اماکن اطراف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عصر نزول با تعابیر مختلف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که در قرآن کریم آمده است، کاملاً آشناست و هم معانی آن را می‌داند و هم مصادیق بیرونی آن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معانی و مصادیق عباراتی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اسامی را به راحتی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قریب به‌اتفاق اعلام در قرآن کریم با حوزه زندگی مردم مکه و مدینه مرتبط بوده، برای مردم عصر نزول قابل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برخی اسامی که مربوط به سایر اقوام </w:t>
      </w:r>
      <w:bookmarkStart w:id="242" w:name="pg5923_64966"/>
    </w:p>
    <w:p>
      <w:pPr>
        <w:pStyle w:val="BookText"/>
        <w:rPr/>
      </w:pPr>
      <w:bookmarkEnd w:id="242"/>
      <w:r>
        <w:rPr>
          <w:rFonts w:ascii="IRNazanin" w:hAnsi="IRNazanin" w:eastAsia="IRNazanin"/>
          <w:color w:val="111111"/>
          <w:sz w:val="28"/>
          <w:sz w:val="28"/>
          <w:szCs w:val="28"/>
          <w:rtl w:val="true"/>
          <w:lang w:bidi="fa-IR"/>
        </w:rPr>
        <w:t>یا اماکن است، نیاز به دقت یا پرسیدن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مانند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از نامهای اشخاص و اماکن، برخی از مفاهیم که اسم برای مصادیق ارزشی، اخلاقی، گفتار، امکانات، نعمت‌ها، بیماری‌ها، خوشی‌ها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نیز در میان عرف،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امکان تغییر معنا و اراده معنای تازه یا دادن بار معنایی تازه به مفاهیم ارزشی هم وجود دارد که باید با قرینه‌های لازم معرفی گردد و در صورت عدم وجود قرینه بر اراده معنایی دیگر، همان تلقی متعارف،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فهم عرف از معانی واژگانی که به صورت تجربی و ملموس با او مواجه است، فهمی دقیق و مترقی است و مفسر در فرایند تفسیر باید آن را مبنای کار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شناخت معنا و مصداق این واژگان، عرف زمان نزول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میان برخی مخاطبان در فهم این مفاهیم، اختلافاتی نیز وجود داشته باشد، اما این موضوع، مانع از لزوم اخذ به فهم اکثریت نیست</w:t>
      </w:r>
      <w:r>
        <w:rPr>
          <w:rFonts w:eastAsia="IRNazanin" w:cs="IRNazanin"/>
          <w:color w:val="111111"/>
          <w:sz w:val="28"/>
          <w:szCs w:val="28"/>
          <w:rtl w:val="true"/>
          <w:lang w:bidi="fa-IR"/>
        </w:rPr>
        <w:t>.</w:t>
      </w:r>
    </w:p>
    <w:p>
      <w:pPr>
        <w:pStyle w:val="Heading4"/>
        <w:numPr>
          <w:ilvl w:val="3"/>
          <w:numId w:val="1"/>
        </w:numPr>
        <w:rPr/>
      </w:pPr>
      <w:bookmarkStart w:id="243" w:name="__RefHeading___Toc5522688_581953129"/>
      <w:bookmarkStart w:id="244" w:name="_Toc87"/>
      <w:bookmarkEnd w:id="243"/>
      <w:r>
        <w:rPr/>
        <w:t>2</w:t>
      </w:r>
      <w:r>
        <w:rPr>
          <w:rtl w:val="true"/>
        </w:rPr>
        <w:t xml:space="preserve">. </w:t>
      </w:r>
      <w:r>
        <w:rPr>
          <w:rtl w:val="true"/>
        </w:rPr>
        <w:t>واژگان بیگانه</w:t>
      </w:r>
      <w:bookmarkEnd w:id="24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برای انتقال برخی پیام‌ها، در مواردی از واژگان بیگانه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واژگان در سوره‌های مکی یافت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واژگان دخیل در قرآن مجید نیز به مکی یا مکی متقدم بودن بسیاری از واژگان بیگانه تصریح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وجود واژگان بیگانه در قرآن کریم،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پیدایش اختلاف نظر، تصریح قرآن کریم به عربی بودن است و این تصریح، در ظاهر با وجود واژگان دخیل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اندیشمندانی مانند ابن‌فارس، شافعی، ابن‌جریر، قاضی ابوبکر و ابوعبیده معتقدند واژگان غیرعربی در قرآن نیست؛ چراکه قرآن به زبان عربی مبین نازل شده است؛ اما عمده صاحب‌نظران تمایل به پذیرش وجود واژگان بیگانه در قرآن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اندرو ریپین،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عموماً نیز آن را با عربی‌بودن قرآن ناسازگار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واژگان بیگانه‌ای که در قرآن به کار گرفته شده است، برخی از واژگان در میان مردم متداول بوده است؛ مانند اسامی برخی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تنها برای تعدادی از قبایل عرب ناآشنا بوده است، نه برای 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ابنعطیه اندلسی،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245" w:name="pg5923_64967"/>
    </w:p>
    <w:p>
      <w:pPr>
        <w:pStyle w:val="BookText"/>
        <w:rPr/>
      </w:pPr>
      <w:bookmarkEnd w:id="245"/>
      <w:r>
        <w:rPr>
          <w:rFonts w:ascii="IRNazanin" w:hAnsi="IRNazanin" w:eastAsia="IRNazanin"/>
          <w:color w:val="111111"/>
          <w:sz w:val="28"/>
          <w:sz w:val="28"/>
          <w:szCs w:val="28"/>
          <w:rtl w:val="true"/>
          <w:lang w:bidi="fa-IR"/>
        </w:rPr>
        <w:t>اما سایر واژگان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مقتضای عرف محاوره‌ای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افراد در زبان خود از واژگان بیگانه هم کمک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به صورت محدود، مورد استفاده در عرف محاوره عرب بوده است که در این صورت حس متفاوتی از این واژگان ندارند و همان معانی رایج میان آنان معتبر است، مگر اینکه از قراین، معنای دیگری فهمیده شود؛ مانند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معتقدند این واژگان فارسی، از مدت‌ها قبل از نزول قرآن، در اشعار عرب مورد استفاده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فرشچیان و باقری،</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برخی، ابتدا این واژگان عربی شده، سپس به استخدام قرآن کریم درآمده‌اند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ابنعطیه اندلسی،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برای فهم معنای این واژگان، با توجه به امکان تغییریافتن معنای آنها در زبان مقصد، باید به عرف زمان نزول قرآن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 متعارف عرب‌زبانان زمان نزول، مبنای شناخت معنای این واژگان است، نه معنای اصلی این واژگان در زبان اصلی و 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مفاهیم جدیدالورودی بوده، تا کنون در عرف محاوره عرب استفاده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طبیعی است که معنای اراده شده از آن لفظ باید از طریق نشان‌دادن خصوصیات و قرائن لازم به مخاطب القا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 این واژگان تنها از بررسی کاربرد آنها در قرآن به دست می‌آید، نه مراجعه به عرف عصر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اینکه استخدام این واژه در قرآن کریم، حسب ضرورت بوده است، از همینرو ممکن است در معنای اصلی آن تغییراتی ایجاد شده باشد؛ لذا مراجعه به لغت زبان اصلی هم کارساز نیست و تنها باید به کاربرد آن در قرآن توجه شود</w:t>
      </w:r>
      <w:r>
        <w:rPr>
          <w:rFonts w:eastAsia="IRNazanin" w:cs="IRNazanin"/>
          <w:color w:val="111111"/>
          <w:sz w:val="28"/>
          <w:szCs w:val="28"/>
          <w:rtl w:val="true"/>
          <w:lang w:bidi="fa-IR"/>
        </w:rPr>
        <w:t>.</w:t>
      </w:r>
    </w:p>
    <w:p>
      <w:pPr>
        <w:pStyle w:val="Heading4"/>
        <w:numPr>
          <w:ilvl w:val="3"/>
          <w:numId w:val="1"/>
        </w:numPr>
        <w:rPr/>
      </w:pPr>
      <w:bookmarkStart w:id="246" w:name="__RefHeading___Toc5522690_581953129"/>
      <w:bookmarkStart w:id="247" w:name="_Toc88"/>
      <w:bookmarkEnd w:id="246"/>
      <w:r>
        <w:rPr/>
        <w:t>3</w:t>
      </w:r>
      <w:r>
        <w:rPr>
          <w:rtl w:val="true"/>
        </w:rPr>
        <w:t xml:space="preserve">. </w:t>
      </w:r>
      <w:r>
        <w:rPr>
          <w:rtl w:val="true"/>
        </w:rPr>
        <w:t>واژگان غریب</w:t>
      </w:r>
      <w:bookmarkEnd w:id="24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دارای برخی الفاظ و واژگان غریب است؛ اما اینکه آیا این واژگان در زمان نزول قرآن نیز برای مخاطبانش غریب بوده است یا نه، به نظر می‌رسد اینگونه نبوده باشد؛ چراکه از لوازم کلام فصیح و بلیغ، دوری‌گزینی از الفاظ و واژگان نامأنوس در میان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استعمال لفظی که مخاطب را در معنایابی آن به دردسر اندازد یا </w:t>
      </w:r>
    </w:p>
    <w:p>
      <w:pPr>
        <w:pStyle w:val="BookText"/>
        <w:rPr/>
      </w:pPr>
      <w:r>
        <w:rPr>
          <w:rFonts w:ascii="IRNazanin" w:hAnsi="IRNazanin" w:eastAsia="IRNazanin"/>
          <w:color w:val="111111"/>
          <w:sz w:val="28"/>
          <w:sz w:val="28"/>
          <w:szCs w:val="28"/>
          <w:rtl w:val="true"/>
          <w:lang w:bidi="fa-IR"/>
        </w:rPr>
        <w:t>بخش زیادی از مخاطبان را از فهم آن باز دارد، از شأن یک متن فصیح و بلیغ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زمانی یک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می‌گردد که بدون هیچ قرینه‌ای که بتواند معنای آن را آشکار سازد، مورد استفاده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نکونام،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واژگانی که امروزه غریب به نظر می‌رسند، برای عرف زمان نزول هیچ‌گونه غرابتی نداشته‌است؛ از همین‌رو در تلقی مفهومی از این واژگان نباید پژوهش لغوی صرف را مبنا قرار داد، بلکه باید به فهم عرفی عصر نزول نیز مراجعه نمود تا تلقی آنان از این واژگان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محققان نیز وجود واژگان غریب در قرآن کریم را انکار می‌کنند و معتقدند واژگانی که به نظر ما غریب می‌نماید، در اصل غریب نبوده، برخی از مسائل مانند امتزاج زبان عربی با سایر زبان‌ها و مسلمان شدن بسیاری از غیر عرب‌ها موجب گردید پرده‌ای روی برخی مفاهیم قرآنی کشیده شده، آنها را مبهم و غریب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ابناثیر،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پیشین از صاحب تفسیر المیزان نیز به همین امر تأکید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تحت عنوان غرایب قرآن توسط برخی از عالمان نقل شده و گفته شده است که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مورد معنای این واژگان توقف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ادعا هم آن است که عمده گزارش‌هایی که از عدم شناخت معانی برخی واژگان قرآنی توسط برخی از اصحاب حکایت دارد، به طور عمده به خلیفه دوم ختم می‌شود که در مورد معانی تعدادی از واژگان درمانده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هم نقل شده است که ابهاماتی در مورد برخی مفاهیم قرآنی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 روشن است که عدم آشنایی اندکی از افراد عرف مفاهمه، از معانی برخی واژگان، هیچ‌گاه غریب‌بودن آن واژگان را اثبات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غریب‌بودن یک واژه، عدم شناخت </w:t>
      </w:r>
      <w:bookmarkStart w:id="248" w:name="pg5923_64969"/>
    </w:p>
    <w:p>
      <w:pPr>
        <w:pStyle w:val="BookText"/>
        <w:rPr/>
      </w:pPr>
      <w:bookmarkEnd w:id="248"/>
      <w:r>
        <w:rPr>
          <w:rFonts w:ascii="IRNazanin" w:hAnsi="IRNazanin" w:eastAsia="IRNazanin"/>
          <w:color w:val="111111"/>
          <w:sz w:val="28"/>
          <w:sz w:val="28"/>
          <w:szCs w:val="28"/>
          <w:rtl w:val="true"/>
          <w:lang w:bidi="fa-IR"/>
        </w:rPr>
        <w:t>بخش زیادی از افراد است، نه تعداد اندکی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گزارش‌هایی که نشان می‌دهد تابعین و پس از آنها معانی برخی واژگان قرآنی را نمی‌دانستند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هیچ‌گاه نمی‌تواند غریب بودن الفاظ قرآن را اثبات کند؛ چراکه زبان معیار قرآن، زبان عرب عصر نزول است، نه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از نویسندگان معاصر با تقسیم محکم و متشابه به محکم و متشابه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مصداقی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معتقدند مراد از تشابه در قرآن کریم، تشابه در مدلول مفهومی نیست؛ چراکه مدلول مفهومی همه واژگان و عبارات قرآنی روشن و آشکار است، اما در مدلول مصداقی برخی از آنها ابهام وجود دارد؛ 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آن نزد هر عرب‌زبانی روشن است، اما مدلول مصداقی این واژه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عبدالساتر،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معرفت نیز با تفکیک تشابه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تشابه اصلی به دلیل تعالی و عظمت آموزه و محدودیت الفاظ و عبارات ایجاد شده است؛ اما تشابه عرضی محصول اختلافات کلامی است که در قرون اولیه عصر اسلامی ایجاد شد و هر گروهی با انتساب باورهای دینی خود به قرآن کریم، موجب خروج برخی از آیات و مفاهیم از معانی اصلی خود شده، پرده ابهام بر آنها پوشیده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4"/>
        <w:numPr>
          <w:ilvl w:val="3"/>
          <w:numId w:val="1"/>
        </w:numPr>
        <w:rPr/>
      </w:pPr>
      <w:bookmarkStart w:id="249" w:name="__RefHeading___Toc5522692_581953129"/>
      <w:bookmarkStart w:id="250" w:name="_Toc89"/>
      <w:bookmarkEnd w:id="249"/>
      <w:r>
        <w:rPr/>
        <w:t>4</w:t>
      </w:r>
      <w:r>
        <w:rPr>
          <w:rtl w:val="true"/>
        </w:rPr>
        <w:t xml:space="preserve">. </w:t>
      </w:r>
      <w:r>
        <w:rPr>
          <w:rtl w:val="true"/>
        </w:rPr>
        <w:t>مفاهیم تغییرمعنایافته</w:t>
      </w:r>
      <w:bookmarkEnd w:id="250"/>
    </w:p>
    <w:p>
      <w:pPr>
        <w:pStyle w:val="BookText"/>
        <w:rPr/>
      </w:pPr>
      <w:r>
        <w:rPr>
          <w:rFonts w:ascii="IRNazanin" w:hAnsi="IRNazanin" w:eastAsia="IRNazanin"/>
          <w:color w:val="111111"/>
          <w:sz w:val="28"/>
          <w:sz w:val="28"/>
          <w:szCs w:val="28"/>
          <w:rtl w:val="true"/>
          <w:lang w:bidi="fa-IR"/>
        </w:rPr>
        <w:t>برخی مفاهیم که در عرف محاوره عرب متداول بوده است، با ورود به فرهنگ قرآن، یا معنای جدیدی از آن ارائه شده استیا در خصوصیات آن دگرگونی‌هایی ایجاد شده است یا در مصادیق آن توسعه یا تضییقی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فهم عرفی در هر یک از این سه رویداد معنایی را به تفکیک بررسی می‌کنیم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معنای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اصول معتبر لفظی و عنایت به وضع بشری الفاظ و قراردادی بودن امور محاوره و مفاهمه، چنانچه استعمال لفظ در معنای جدید، بدون قرینه صورت پذیرد و در نتیجه آن، مخاطب دچار سوء فهم گردد، معاقَب نخواهد بود؛ ضمن اینکه گوینده هم نباید بدون هیچ قرینه‌ای الفاظ را در معنای مورد نظر </w:t>
      </w:r>
    </w:p>
    <w:p>
      <w:pPr>
        <w:pStyle w:val="BookText"/>
        <w:rPr/>
      </w:pPr>
      <w:r>
        <w:rPr>
          <w:rFonts w:ascii="IRNazanin" w:hAnsi="IRNazanin" w:eastAsia="IRNazanin"/>
          <w:color w:val="111111"/>
          <w:sz w:val="28"/>
          <w:sz w:val="28"/>
          <w:szCs w:val="28"/>
          <w:rtl w:val="true"/>
          <w:lang w:bidi="fa-IR"/>
        </w:rPr>
        <w:t>خود استخدام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شرعیه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مواردند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امکان اراده معنای کاملاً جدید از الفاظ عرب در قرآن کریم،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عمده لغت‌شناسان به آن اعتقاد دارند، همان توسعه یا تضییق معناست که در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در واژگان، همان معانی متداول در عرف است، مگر آنکه با قرائن ثابت شود که معنای تازه‌ای از آن لفظ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تضییق و توسعه در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انقباض و انبساط معنای واژگان گرچه خلاف قواعد محاوره عرفی نسیت، لکن لزوم تفهیم معنای مورد نظر به مخاطب، ایجاب می‌کند که گوینده از قرائن لازم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شرایط لازم برای تفهیم معنا به مخاطب در متن تدارک شده باشد، آن‌گاه ادعای سوء فهم،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بررسی این دست از مفاهیم، نخست باید به فرهنگ زبانی قرآن مراجعه کرد، نه عرف و چنانچه از شواهد و نشانه‌های موجود در قرآن، معنای تغییریافته‌ای به دست آمد، بر معنای عرفی تقدم دارد؛ در غیر این صورت، همان معنا و فهم عرفی مبنای تفسیر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به فرهنگ قرآنی هم از طریق بررسی سیاقی که واژه مورد نظر در آن قرار گرفته است و هم با بررسی تمام کاربردهای یک واژه در کل قرآن، اتفاق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سعیدی روشن،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تضییق و توسعه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در مصادیق یک لفظ نیز اگر با رعایت تناسب میان معنای لفظ و مصداق جدید باشد، خارج از عرف محاوره و مفاهمه نخواهد بود؛ مانند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نُورُالسَّماواتِ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وَرَأَی الْمُجْرِمُونَ النَّارَ فَظَنُّوا أَنَّهُمْ مُواقِعُوها وَلَمْ یَجِدُوا عَنْها مَصْرِفاً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به علت مشابهتی که میان خصوصیات مصادیق وجود دارد، الفاظ موجود را در مصادیق جدید استعمال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از اندیشمندان معتقدند چون وضع الفاظ برای روح معناست و روح حاکم در مصادیق جدید موجب می‌شود که آن مصداق داخل در معنای حقیقی الفاظ شود، پس توسعه مصداق اتفاق </w:t>
      </w:r>
    </w:p>
    <w:p>
      <w:pPr>
        <w:pStyle w:val="BookText"/>
        <w:rPr/>
      </w:pPr>
      <w:r>
        <w:rPr>
          <w:rFonts w:ascii="IRNazanin" w:hAnsi="IRNazanin" w:eastAsia="IRNazanin"/>
          <w:color w:val="111111"/>
          <w:sz w:val="28"/>
          <w:sz w:val="28"/>
          <w:szCs w:val="28"/>
          <w:rtl w:val="true"/>
          <w:lang w:bidi="fa-IR"/>
        </w:rPr>
        <w:t xml:space="preserve">نمی‌افتد، بلکه مصداق جدیدی کشف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بنابراین آنچه علامه طباطبایی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الْمَلائِکَةَ بِالرُّوحِ مِنْ أَمْرِهِ عَلی‌مَنْ یَشاءُ مِنْ 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آن بیان کرده است، به صورت مطلق نمی‌تواند پذیرفته باشد؛ چون با روح همسانی زبان قرآن و قوم 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تبیین معنای مورد نظر خود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آن بیان می‌دارند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بیناه مراراً أن الطریق إلی تشخیص مصادیق الکلمات فی کلامه تعالی هو الرجوع إلی سائر ما یصلح من کلامه لتفسیره دون الرجوع إلی العرف و ما یراه فی مصادیق الألفاظ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بدیهی است که در تبیین مصداق واژه‌ای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امور غیبی و غیر ملموس است، تلقی عرفی از مصداق آن هیچ‌گاه حجت نیست و در تعیین آن باید به تعبیر علامه، به سایر موارد قرآن یا به تبیین معصوم مراجعه نمود؛ اما تعیین مصادیق سایر الفاظ ملموس و قابل مشاهده در عرف را چرا از دست فهم عرفی جدا سازیم و به تبیین معصوم یا سایر موارد کاربرد در قرآن بسپاریم؟ آیا تعیین تمام مصادیق بیرونی اموری که موضوع گزاره‌های شرعی و اخلاقی قرار می‌گیرند؛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عهده عرف بیرون باشد؟ البته شاید منظور علامه طباطبایی مصادیق برخی مفاهیم قرآنی، مانند امور غیبی یا مفاهیم ارزشی و دینی باشد، نه همه آن؛ ولی در هر صورت ظاهر کلام علامه،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مفاهیمی که در گزاره‌های شرعی موضوع یا متعلق احکام یا اخبار قرار گرفته‌اند، عبارتاند از</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پیامبران الهی و اقوام گذشته، مانند ابراهیم، اسماعیل، نوح، آدم، موسی، عیسی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انسان، مانند دست، پا، سر، بینی، چشم، گوش، انگشت، خطوط سرانگشتان، مو، پوست، استخوان، گوشت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حیوانات، پرندگان و حشرات، مانند شتر، گاو، گوسفند، مار، زنبور عسل، مورچه، اسب، حمار، شیر، ماهی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انواع گیاهان، حبوبات، میوه‌جات و درختان، مانند انگور، انجیر، انار، بوته‌ها، درختان سرسبز، باغ،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این‌گونه مفاهیم در قرآن کریم فراوان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متعال می‌تواند از این موضوعات در قرآن کریم استفاده کند، اما در عین حال بفرماید منظورم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من می‌گویم؟ یا مثلاً از لفظ ابراهیم شخص دیگر یا مصداق دیگری را اراده کند که مردم نمی‌شناسند؟ البته قطعاً میان شناختی که خدا و پیغمبر از ابراهیم دارند، با شناختی که مردم از آن حضرت دارند، تفاوت فراوانی وجود دارد، اما تفاوت انظار در جزئیات و خصوصیات یک مصداق، به معنای تفاوت در اصل مصداق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مورد نظر را تصور می‌کنند، اما برخی ایشان را به عنوان پیامبر و برخی به عناوین دیگر او را تصور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چنانچه توسعه در مصادیق ملموس با مناسبت صورت گیرد، آن‌گاه داوری عرف در معنا و مصداق، حجت و معتبر است، مگر مصادیق غیبی و غیرملموس که به آن اشاره خواهیم کرد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بدیهی است که جزئیات و تصوراتی که عرف از مصداق مورد نظر دارد، نباید در فهم مفسر اثرگذار باشد؛ برای مثال، فهم عرفی در تعیین مصداق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نه در جزئیات و تصوراتی که از آن 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نکته به‌ویژه در تعیین مصادیق موضوعاتی که شناخت آنها مستلزم دانش وسیعی است،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تصوراتی که عرف زمان نزول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با </w:t>
      </w:r>
      <w:bookmarkStart w:id="251" w:name="pg5923_64973"/>
    </w:p>
    <w:p>
      <w:pPr>
        <w:pStyle w:val="BookText"/>
        <w:rPr/>
      </w:pPr>
      <w:bookmarkEnd w:id="251"/>
      <w:r>
        <w:rPr>
          <w:rFonts w:ascii="IRNazanin" w:hAnsi="IRNazanin" w:eastAsia="IRNazanin"/>
          <w:color w:val="111111"/>
          <w:sz w:val="28"/>
          <w:sz w:val="28"/>
          <w:szCs w:val="28"/>
          <w:rtl w:val="true"/>
          <w:lang w:bidi="fa-IR"/>
        </w:rPr>
        <w:t>تصورات امروزین از این موضوعات 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پیشرفت علوم طبیعی، تلقی‌های تازه‌تری از این امور به دست آمده است و جزئیاتی که با شنیدن این واژگان در ذهن مخاطب تداعی می‌شود، بسیار متفاوت است با آنچه به اذهان عرب عصر نزول تداعی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واژگان و مفاهیم ارزشی،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p>
    <w:p>
      <w:pPr>
        <w:pStyle w:val="Heading4"/>
        <w:numPr>
          <w:ilvl w:val="3"/>
          <w:numId w:val="1"/>
        </w:numPr>
        <w:rPr/>
      </w:pPr>
      <w:bookmarkStart w:id="252" w:name="__RefHeading___Toc5522694_581953129"/>
      <w:bookmarkStart w:id="253" w:name="_Toc90"/>
      <w:bookmarkEnd w:id="252"/>
      <w:r>
        <w:rPr/>
        <w:t>5</w:t>
      </w:r>
      <w:r>
        <w:rPr>
          <w:rtl w:val="true"/>
        </w:rPr>
        <w:t xml:space="preserve">. </w:t>
      </w:r>
      <w:r>
        <w:rPr>
          <w:rtl w:val="true"/>
        </w:rPr>
        <w:t>مفاهیم ویژه و بنیادین</w:t>
      </w:r>
      <w:bookmarkEnd w:id="253"/>
    </w:p>
    <w:p>
      <w:pPr>
        <w:pStyle w:val="BookText"/>
        <w:rPr/>
      </w:pPr>
      <w:r>
        <w:rPr>
          <w:rFonts w:ascii="IRNazanin" w:hAnsi="IRNazanin" w:eastAsia="IRNazanin"/>
          <w:color w:val="111111"/>
          <w:sz w:val="28"/>
          <w:sz w:val="28"/>
          <w:szCs w:val="28"/>
          <w:rtl w:val="true"/>
          <w:lang w:bidi="fa-IR"/>
        </w:rPr>
        <w:t>گروهی از مفاهیم به دلیل برخی ملاحظات، در فرهنگ قرآن کریم ویژگی منحصر به فردی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گرچه از عرف وام گرفته شده‌اند و گرچه تضییق و توسعه در آنها ایجاد شده و از این حیث به واژگان گروه قبل محلق می‌شوند، اما به دلیل اینکه قبض و بسط در معنای آنها صرفاً به شناخت معنا یا مصداق محدود نمی‌شود، بلکه چون این مفاهیم متحمل گستره وسیعی از معارف دین هستند، از آنها به مفاهیم خاص تعبیر کردیم؛ مانند الله، نبی، رسول، امام، امت، ولیّ، ایمان، اسلام، کفر، شرک، نفاق، جاهلیت، تقوا، فوز، شقاوت، ظلم، عدل، فسق، فجور، تعدی، طغیان، برّ، خیر، ذنب، اخلاص، یقین، نفس، روح، ملکوت، رؤیا، خلود، خلیفه، تسبیح، شفاعت، حکمت، حلم، حبط، علم، فطرت، قضا، قدر، عهد، قلب، شهید، شهدا، نعمت و سایر مفاهیم از این دست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ابهام در اینگونه مفاهیم گاهی ممکن است در معنا و مدلول باشد و گاهی در تعیین مصادیق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اعتبار فهم عرفی گاهی در تعیین معنای امام، نبی، رسول، ایمان، شرک، ظلم، کفر، فسق، طغیان، فجور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می‌گیرد و گاهی در تشخیص مصداق خارجی مشرک، ظالم، فاسق، طاغی، فاجر و</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معانی این مفاهیم که اساس دین و کتاب را تشکیل می‌دهند، کار بسیار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واژگان در میان عرب رایج بوده است، اما از آنجا که دین اسلام بر پایه این مفاهیم بنا شده، بیشتر نوآوری‌های دین و پیام‌های قرآن بر محور این مفاهیم است، لذا </w:t>
      </w:r>
      <w:bookmarkStart w:id="254" w:name="pg5923_64974"/>
    </w:p>
    <w:p>
      <w:pPr>
        <w:pStyle w:val="BookText"/>
        <w:rPr/>
      </w:pPr>
      <w:bookmarkEnd w:id="254"/>
      <w:r>
        <w:rPr>
          <w:rFonts w:ascii="IRNazanin" w:hAnsi="IRNazanin" w:eastAsia="IRNazanin"/>
          <w:color w:val="111111"/>
          <w:sz w:val="28"/>
          <w:sz w:val="28"/>
          <w:szCs w:val="28"/>
          <w:rtl w:val="true"/>
          <w:lang w:bidi="fa-IR"/>
        </w:rPr>
        <w:t>در همه موارد استعمال این واژگان در قرآن، معنای واحد و یا معنای مورد نظر عرف، مورد نظر نیست؛ از همین‌رو در فهم آنها نمی‌توان معانی رایج در عرف یا حتی لغت را معیار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تلقی‌های عرفی از این واژگان، معتبر نیست و برای فهم این مفاهیم باید به کاربردهای آنها در خود قرآن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مصادیق بیرونی این مفاهیم نیز گرچه به صورت طبیعی در اختیار عرف است، اما باید با ملاحظه تعاریف آنها در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عرف را در تعیین مصادیق این الفاظ راهی نیست، جز طریقی که شرع تعیین می‌کند؛ به این ترتیب، نهایتاً‌این شرع است که مصادیق این واژگان را معرفی می‌کند</w:t>
      </w:r>
      <w:r>
        <w:rPr>
          <w:rFonts w:eastAsia="IRNazanin" w:cs="IRNazanin"/>
          <w:color w:val="111111"/>
          <w:sz w:val="28"/>
          <w:szCs w:val="28"/>
          <w:rtl w:val="true"/>
          <w:lang w:bidi="fa-IR"/>
        </w:rPr>
        <w:t>.</w:t>
      </w:r>
    </w:p>
    <w:p>
      <w:pPr>
        <w:pStyle w:val="Heading4"/>
        <w:numPr>
          <w:ilvl w:val="3"/>
          <w:numId w:val="1"/>
        </w:numPr>
        <w:rPr/>
      </w:pPr>
      <w:bookmarkStart w:id="255" w:name="__RefHeading___Toc5522696_581953129"/>
      <w:bookmarkStart w:id="256" w:name="_Toc91"/>
      <w:bookmarkEnd w:id="255"/>
      <w:r>
        <w:rPr/>
        <w:t>6</w:t>
      </w:r>
      <w:r>
        <w:rPr>
          <w:rtl w:val="true"/>
        </w:rPr>
        <w:t xml:space="preserve">. </w:t>
      </w:r>
      <w:r>
        <w:rPr>
          <w:rtl w:val="true"/>
        </w:rPr>
        <w:t>مفاهیم احساسی و حکایت‌گر ادراکات وجدانی</w:t>
      </w:r>
      <w:bookmarkEnd w:id="256"/>
    </w:p>
    <w:p>
      <w:pPr>
        <w:pStyle w:val="BookText"/>
        <w:rPr/>
      </w:pPr>
      <w:r>
        <w:rPr>
          <w:rFonts w:ascii="IRNazanin" w:hAnsi="IRNazanin" w:eastAsia="IRNazanin"/>
          <w:color w:val="111111"/>
          <w:sz w:val="28"/>
          <w:sz w:val="28"/>
          <w:szCs w:val="28"/>
          <w:rtl w:val="true"/>
          <w:lang w:bidi="fa-IR"/>
        </w:rPr>
        <w:t>برخی از مفاهیم قرآنی حکایت‌گر ادراکات وجدانی‌اند؛ مانند محبت، عداوت، کراهت، احسان، شهوت، غضب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این مفاهیم در قرآن کریم در مورد خداوند متعال استعمال شده است و بسیاری از آنها نیز در مورد افراد انسانی و برخی از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بررسی اعتبار فهم عرفی از این مفاهیم را به دو حوزه می‌توان تفکیک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مفاهیم به خداوند نسبت داده می‌شوند، شباهت زیادی به مفاهیم اساسی دینی پیدا می‌کنند؛ لذا باید آنها را در کنار سایر مفاهیم ویژه و بنیادین دینی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فهم عرفی از آنها معتبر نیست و باید در کنار سایر کاربردهای آن در قرآن مورد فهم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نمونه‌های کاربرد این مفاهیماشاره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عَدُوًّا لِّلّهِ وَمَلآئِکَتِهِ وَرُسُلِهِ وَجِبْرِیلَ وَمِیکَالَ فَإِنَّ اللّهَ عَدُوٌّ لِّلْکَافِرِینَ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فِی سَبِیلِ اللّهِ الَّذِینَ یُقَاتِلُونَکُمْ وَلاَ تَعْتَدُواْ إِنَّ اللّهَ لاَ یُحِبِّ الْمُعْتَدِینَ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تَوَلَّی سَعَی فِی الأَرْضِ لِیُفْسِدَ فِیِهَا وَیُهْلِکَ الْحَرْثَ وَالنَّسْلَ وَاللّهُ لاَ یُحِبُّ الفَسَادَ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bookmarkStart w:id="257" w:name="pg5923_64975"/>
    </w:p>
    <w:p>
      <w:pPr>
        <w:pStyle w:val="BookText"/>
        <w:rPr/>
      </w:pPr>
      <w:bookmarkEnd w:id="25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 مُؤْمِنًا مُّتَعَمِّدًا فَجَزَآؤُهُ جَهَنَّمُ خَالِدًا فِیهَا وَغَضِبَ اللّهُ عَلَیْهِ وَلَعَنَهُ وَأَعَدَّ لَهُ عَذَابًا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أَرَادُواْ الْخُرُوجَ لأَعَدُّواْ لَهُ عُدَّةً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کَرِهَ اللّهُ انبِعَاثَهُمْ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این مفاهیم به انسان‌ها نسبت داده می‌شود، به صورت طبیعی باید فهم عرف از آنها صائب باشد، مگر آنکه از این مفاهیم اراده دیگری شود که در این صورت، اراده معنای جدید باید به مخاطب اعلام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نمونه‌های انتساب مفاهیم ادراکی به انسان‌ها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یَتَّخِذُ مِن دُونِ اللّهِ أَندَاداً یُحِبُّونَهُمْ کَحُبِّ اللّهِ وَالَّذِینَ آمَنُواْ أَشَدُّ حُبًّا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 کَما أَحْسَنَ اللَّهُ إِلَیْکَ وَ لا تَبْغِ الْفَسادَ فِی الْأَرْضِ إِنَّ اللَّهَ لا یُحِبُّ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لایَسْمَعُونَ حَسیسَها وَ هُمْ فی مَا اشْتَهَتْ أَنْفُسُهُمْ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کَرِهْتُمُوهُنَ فَعَسی أَنْ تَکْرَهُوا شَیْئاً وَ یَجْعَلَ اللَّهُ فیهِ خَیْراً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5522698_581953129"/>
      <w:bookmarkStart w:id="259" w:name="_Toc92"/>
      <w:bookmarkEnd w:id="258"/>
      <w:r>
        <w:rPr/>
        <w:t>7</w:t>
      </w:r>
      <w:r>
        <w:rPr>
          <w:rtl w:val="true"/>
        </w:rPr>
        <w:t xml:space="preserve">. </w:t>
      </w:r>
      <w:r>
        <w:rPr>
          <w:rtl w:val="true"/>
        </w:rPr>
        <w:t xml:space="preserve">مفاهیم شرعی </w:t>
      </w:r>
      <w:r>
        <w:rPr>
          <w:rtl w:val="true"/>
        </w:rPr>
        <w:t>(</w:t>
      </w:r>
      <w:r>
        <w:rPr>
          <w:rtl w:val="true"/>
        </w:rPr>
        <w:t>فقهی فرعی</w:t>
      </w:r>
      <w:r>
        <w:rPr>
          <w:rtl w:val="true"/>
        </w:rPr>
        <w:t>)</w:t>
      </w:r>
      <w:bookmarkEnd w:id="25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مفاهیم قرآنی در حوزه امور فقهی فرعی است و از واژگانی استفاده شده است که یا به قول عده‌ای تأسیسی است یا از گذشته در محاورات زبان عربی رایج بوده است؛ اما در قرآن کریم معنای تازه‌ای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یافتن معنای جدید لزوماً‌به معنای قطع ارتباط میان معنای جدید و معنای رایج در زبان عربی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مفاهیم عبارتاند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دست مفاهیم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شرعی تعبیر برای الفاظ ویژه‌ای است که از لسان شارع اراده خاصی از آنها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واضع آنها را در معنای مورد نظر وضع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این وضع به صورت تعیّنی و گاهی نیز به صورت تعیینی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ثبوت یا عدم ثبوت حقیقت شرعیه در </w:t>
      </w:r>
    </w:p>
    <w:p>
      <w:pPr>
        <w:pStyle w:val="BookText"/>
        <w:rPr/>
      </w:pPr>
      <w:r>
        <w:rPr>
          <w:rFonts w:ascii="IRNazanin" w:hAnsi="IRNazanin" w:eastAsia="IRNazanin"/>
          <w:color w:val="111111"/>
          <w:sz w:val="28"/>
          <w:sz w:val="28"/>
          <w:szCs w:val="28"/>
          <w:rtl w:val="true"/>
          <w:lang w:bidi="fa-IR"/>
        </w:rPr>
        <w:t xml:space="preserve">میان اصولیان دیدگاه‌های مختلفی ارائه شده، نجفی اصفهانی در هدایة المسترشدین به طبقه‌بندی مناسبی از این دیدگاه‌ها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اصفهانی،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اگر لفظی دارای معنای عرفی، لغوی و شرعی باشد، 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عرف و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و طهارت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و زیادت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لسان شرع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پرداخت مالی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نراقی به صورت کلی در این مورد حکم به اعتبار معنای شرعی و عدم اعتبار معنای 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این حکم کلی در برخی از فرضها صائب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فرضهای مختلف مسئله را به تفکیک بررسی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دلیل نقلی معتبر بر اعتبار یکی از معانی باشد، همان معتبر است، چه معنای لغوی، چه معنای عرفی و چه معنای 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یکی از این سه معنا از شیوع و غلبه برخوردار باشد، همان معنا راجح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لاری شیرازی،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هیچ معنایی شایع نباشد، در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به عدم استقرار حقیقت شرعی حاصل شود، تقدم با معنای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استقرار حقیقت شرعی در زمان نزول، تردید ایجاد گردد، در این صورت نیز به مقتضای اصل نزول قرآن به زبان قوم و مخاطبان، لفظ حمل بر معنای عرفی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تردید در اینکه یک لفظ در کنار معانی عرفی و لغوی، معنای شرعی نیز دارد یا نه، در این صورت نیز حسب مقتضای اصل مذکور، معنای عرفی مقدم است؛ چون مردم طبق عادت خود کلمات را معنا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اردبیلی،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403</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موازات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دیگری از مفاهیم هستند که در زبان عربی رایج است؛ لکن در قرآن کریم موضوع احکام شرعی قرار گرفته‌اند؛ مانند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مفاهیم به حقیقت شرعی یاد نمی‌شود؛ اما در مواردی موضوع احکام شرعی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اصولیان معتقدند </w:t>
      </w:r>
      <w:bookmarkStart w:id="260" w:name="pg5923_64977"/>
    </w:p>
    <w:p>
      <w:pPr>
        <w:pStyle w:val="BookText"/>
        <w:rPr/>
      </w:pPr>
      <w:bookmarkEnd w:id="260"/>
      <w:r>
        <w:rPr>
          <w:rFonts w:ascii="IRNazanin" w:hAnsi="IRNazanin" w:eastAsia="IRNazanin"/>
          <w:color w:val="111111"/>
          <w:sz w:val="28"/>
          <w:sz w:val="28"/>
          <w:szCs w:val="28"/>
          <w:rtl w:val="true"/>
          <w:lang w:bidi="fa-IR"/>
        </w:rPr>
        <w:t xml:space="preserve">تحدید این مفاهیم بر عهده عرف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آنکه تصریحی در مورد معنای آن واژه در لسان شرع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فهم معنای این واژگان توسط عرف، معتبر است و ارائه تعاریف متعدد از فقها یا لغویان، تنها زمانی صحیح است که مستند به عرف یا نص دینی باشد</w:t>
      </w:r>
      <w:r>
        <w:rPr>
          <w:rFonts w:eastAsia="IRNazanin" w:cs="IRNazanin"/>
          <w:color w:val="111111"/>
          <w:sz w:val="28"/>
          <w:szCs w:val="28"/>
          <w:rtl w:val="true"/>
          <w:lang w:bidi="fa-IR"/>
        </w:rPr>
        <w:t>.</w:t>
      </w:r>
    </w:p>
    <w:p>
      <w:pPr>
        <w:pStyle w:val="Heading4"/>
        <w:numPr>
          <w:ilvl w:val="3"/>
          <w:numId w:val="1"/>
        </w:numPr>
        <w:rPr/>
      </w:pPr>
      <w:bookmarkStart w:id="261" w:name="__RefHeading___Toc5522700_581953129"/>
      <w:bookmarkStart w:id="262" w:name="_Toc93"/>
      <w:bookmarkEnd w:id="261"/>
      <w:r>
        <w:rPr/>
        <w:t>8</w:t>
      </w:r>
      <w:r>
        <w:rPr>
          <w:rtl w:val="true"/>
        </w:rPr>
        <w:t xml:space="preserve">. </w:t>
      </w:r>
      <w:r>
        <w:rPr>
          <w:rtl w:val="true"/>
        </w:rPr>
        <w:t>مصادیق و موضوعات</w:t>
      </w:r>
      <w:bookmarkEnd w:id="262"/>
    </w:p>
    <w:p>
      <w:pPr>
        <w:pStyle w:val="Heading5"/>
        <w:numPr>
          <w:ilvl w:val="4"/>
          <w:numId w:val="1"/>
        </w:numPr>
        <w:rPr/>
      </w:pPr>
      <w:bookmarkStart w:id="263" w:name="__RefHeading___Toc5522702_581953129"/>
      <w:bookmarkStart w:id="264" w:name="_Toc94"/>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تصور و تصدیق برخی مفاهیم، مستلزم تحقق سه فرایند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یا دیدن واژه‌ای که بر معنایی دلالت نماید، 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معنا و مفهوم لفظی که شنیده شده یا دیده شده است؛</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مُسمّا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 یا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لفظ و آن معنا بر این مصداق دلالت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و موضوعات مفاهیم به کاررفته در قرآن کریم بسیار متنوع است و نمی‌توان حکم کلی برای همه موارد آن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تفکیک آنها، هر یک را جداگانه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در خارج به دو شکل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قالب اشیا بیرونی یا ذهنی، مانند اشیائی که درباره خود می‌بینیم یا در ذهن خود تصور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اشیا مدلول و مابإزای بیرونی و ذهنی واژگانی هستند که برای معرفی آنان وضع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واژگان، اعتباراً جانشین همان معانی هستند و دلالت آنها بر معانی در واقع دلالت شیء بر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بیرونی آن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قَضَیْنَا عَلَیْهِ الْمَوْتَ مَا دَلَّهُمْ عَلَی مَوْتِهِ إِلَّا دَابَّةُ الْأَرْضِ تَأْکُلُ مِنسَأَتَهُ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مصداق ذهنی آن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عَلَیْهِمْ أَخْرَجْنَا لَهُمْ دَابَّةً مِّنَ الْأَرْضِ تُکَلِّمُهُمْ أَنَّ النَّاسَ کَانُوا بِآیَاتِنَا لَا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اول، چون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خارج قابل مشاهده است، پس مصداق آن بیرونی است و در آیه دوم، چون ابهام کلی در معنای دابه در این آیه وجود دارد و هنوز هم در خارج محقق نشده است، لذا تنها مصداقی ذهنی دارد</w:t>
      </w:r>
      <w:r>
        <w:rPr>
          <w:rFonts w:eastAsia="IRNazanin" w:cs="IRNazanin"/>
          <w:color w:val="111111"/>
          <w:sz w:val="28"/>
          <w:szCs w:val="28"/>
          <w:rtl w:val="true"/>
          <w:lang w:bidi="fa-IR"/>
        </w:rPr>
        <w:t xml:space="preserve">. </w:t>
      </w:r>
      <w:bookmarkStart w:id="265" w:name="pg5923_64978"/>
    </w:p>
    <w:p>
      <w:pPr>
        <w:pStyle w:val="BookText"/>
        <w:rPr/>
      </w:pPr>
      <w:bookmarkEnd w:id="26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تحقق یک فعل و امر در ظرف قابل مشاهده یا قابل تصور؛ مانند تحقق فعل زدن، افتادن، قتل، تفأل و مانند آن در ظرف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مصادیق واژگان قرآنی از این قرار است</w:t>
      </w:r>
      <w:r>
        <w:rPr>
          <w:rFonts w:eastAsia="IRNazanin" w:cs="IRNazanin"/>
          <w:color w:val="111111"/>
          <w:sz w:val="28"/>
          <w:szCs w:val="28"/>
          <w:rtl w:val="true"/>
          <w:lang w:bidi="fa-IR"/>
        </w:rPr>
        <w:t>:</w:t>
      </w:r>
    </w:p>
    <w:p>
      <w:pPr>
        <w:pStyle w:val="Heading5"/>
        <w:numPr>
          <w:ilvl w:val="4"/>
          <w:numId w:val="1"/>
        </w:numPr>
        <w:rPr/>
      </w:pPr>
      <w:bookmarkStart w:id="266" w:name="__RefHeading___Toc5522704_581953129"/>
      <w:bookmarkStart w:id="267" w:name="_Toc95"/>
      <w:bookmarkEnd w:id="266"/>
      <w:r>
        <w:rPr/>
        <w:t>1-8</w:t>
      </w:r>
      <w:r>
        <w:rPr>
          <w:rtl w:val="true"/>
        </w:rPr>
        <w:t xml:space="preserve">. </w:t>
      </w:r>
      <w:r>
        <w:rPr>
          <w:rtl w:val="true"/>
        </w:rPr>
        <w:t>مصادیق نامحسوس و ذهنی</w:t>
      </w:r>
      <w:bookmarkEnd w:id="267"/>
    </w:p>
    <w:p>
      <w:pPr>
        <w:pStyle w:val="BookText"/>
        <w:rPr/>
      </w:pPr>
      <w:r>
        <w:rPr>
          <w:rFonts w:ascii="IRNazanin" w:hAnsi="IRNazanin" w:eastAsia="IRNazanin"/>
          <w:color w:val="111111"/>
          <w:sz w:val="28"/>
          <w:sz w:val="28"/>
          <w:szCs w:val="28"/>
          <w:rtl w:val="true"/>
          <w:lang w:bidi="fa-IR"/>
        </w:rPr>
        <w:t>مفاهیمی که تنها دارای مصادیق ذهنی‌اند، مانند قیامت، معاد، جهنم، بهشت، ملائکه، آتش جهنم، نعمت‌های بهشتی، حور، غلمان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به نظر می‌رسد فهم عرفی توان برتافتن مقاصد کلام الهی را در تعیین مصادیق چنین مفاهیمی داشته باشد و مشابهت این مفاهیم با مفاهیم محسوس و قابل تجربه، هیچ‌گاه توجیه‌گر مقبولیت فهم عرفی از این مفاهیم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دقیق معنا و مصداق در این محدوده از توان عرف خارج است و نمی‌توان تصورات ذهنی مخاطب عصر نزول را در تعیین معانی و مصادیق این مفاهیم معتبر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آنچه مفسر از قرآن یا از کلمات معصومان هم انتزاع کند، در نهایت چیزی جز تصور ذهنی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تعیین معانی و مصادیق این واژگان، بررسی خصوصیات و جزئیات درباره این واژگان در قرآن کریم و مجموعه متون دینی است، ولی باز هم در هر صورت، هر مصداقی که تصور شود، تنها در خصوصیات و جزئیات کمال بیشتری خواهد یافت و به مصداق حقیقی نزدیک‌تر خواهد شد</w:t>
      </w:r>
      <w:r>
        <w:rPr>
          <w:rFonts w:eastAsia="IRNazanin" w:cs="IRNazanin"/>
          <w:color w:val="111111"/>
          <w:sz w:val="28"/>
          <w:szCs w:val="28"/>
          <w:rtl w:val="true"/>
          <w:lang w:bidi="fa-IR"/>
        </w:rPr>
        <w:t>.</w:t>
      </w:r>
    </w:p>
    <w:p>
      <w:pPr>
        <w:pStyle w:val="Heading5"/>
        <w:numPr>
          <w:ilvl w:val="4"/>
          <w:numId w:val="1"/>
        </w:numPr>
        <w:rPr/>
      </w:pPr>
      <w:bookmarkStart w:id="268" w:name="__RefHeading___Toc5522706_581953129"/>
      <w:bookmarkStart w:id="269" w:name="_Toc96"/>
      <w:bookmarkEnd w:id="268"/>
      <w:r>
        <w:rPr/>
        <w:t>2-8</w:t>
      </w:r>
      <w:r>
        <w:rPr>
          <w:rtl w:val="true"/>
        </w:rPr>
        <w:t xml:space="preserve">. </w:t>
      </w:r>
      <w:r>
        <w:rPr>
          <w:rtl w:val="true"/>
        </w:rPr>
        <w:t>مصادیق ثابت عینی</w:t>
      </w:r>
      <w:bookmarkEnd w:id="269"/>
    </w:p>
    <w:p>
      <w:pPr>
        <w:pStyle w:val="BookText"/>
        <w:rPr/>
      </w:pPr>
      <w:r>
        <w:rPr>
          <w:rFonts w:ascii="IRNazanin" w:hAnsi="IRNazanin" w:eastAsia="IRNazanin"/>
          <w:color w:val="111111"/>
          <w:sz w:val="28"/>
          <w:sz w:val="28"/>
          <w:szCs w:val="28"/>
          <w:rtl w:val="true"/>
          <w:lang w:bidi="fa-IR"/>
        </w:rPr>
        <w:t>برخی واژگان به صورت طبیعی در معانی عینی و حسی خود که قابل شناخت و فهم برای مخاطب است، استعمال می‌شوند؛ مانند واژه نهر، جنات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برخی از این مصادیق در خارج همواره ثابت می‌مانند، به مصادیق ثابت تعبیر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واژگان خود بر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مصادیقی که برای همه افراد، ملموس و مشهود است؛ مانند شمس، قمر، ارض، سماء، و</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مصادیقی که تنها برای برخی افراد، محسوس و ملموس است؛ مانند نامبردن از انواع شتر یا نام برخی موجودات و اشیا و نباتات که برخی از مخاطبان یا برخی از قبایل عرب، هنوز با آن مواجه نشده‌اند و تنها تصویری از آن در ذهن دارند</w:t>
      </w:r>
      <w:r>
        <w:rPr>
          <w:rFonts w:eastAsia="IRNazanin" w:cs="IRNazanin"/>
          <w:color w:val="111111"/>
          <w:sz w:val="28"/>
          <w:szCs w:val="28"/>
          <w:rtl w:val="true"/>
          <w:lang w:bidi="fa-IR"/>
        </w:rPr>
        <w:t xml:space="preserve">. </w:t>
      </w:r>
      <w:bookmarkStart w:id="270" w:name="pg5923_64979"/>
    </w:p>
    <w:p>
      <w:pPr>
        <w:pStyle w:val="BookText"/>
        <w:rPr/>
      </w:pPr>
      <w:bookmarkEnd w:id="270"/>
      <w:r>
        <w:rPr>
          <w:rFonts w:ascii="IRNazanin" w:hAnsi="IRNazanin" w:eastAsia="IRNazanin"/>
          <w:color w:val="111111"/>
          <w:sz w:val="28"/>
          <w:sz w:val="28"/>
          <w:szCs w:val="28"/>
          <w:rtl w:val="true"/>
          <w:lang w:bidi="fa-IR"/>
        </w:rPr>
        <w:t>با توجه به اینکه تغییر معنا در معرفی مصادیق بیرونی متصور نیست، لذا ظاهراً تردیدی نمی‌ماند که معرفی مصادیق ثابت و بیرونی توسط عرف عصر نزول،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تشخیص موضوعات و مصادیق ثابت و عینی توسط عرف عصر نزول و اولین مخاطبان،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مصادیق نیز وجود دارند که نسبت به افراد مختلف متفاوتاند؛ مانند کوه، دریا، 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هر کسی که در هر نقطه‌ای زندگی می‌کند، گرچه تصور کلی او از کوه مانند سایر افراد باشد، اما تلقی او از جزئیات کوه ممکن است با دیگران متفاوت باشد؛ مانند کوه‌های کم‌ارتفاع، کوه‌های بلند، کوه‌های همیشه برف‌گیر، کوه‌های پوشیده از جنگل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در چنین مواردی در آیه‌ای سخن از کوه می‌آید، افراد مختلف تلقی‌های مختلفی از آن خواهند داشت؛ برای مثال، تصور ساکنان مناطقی که دارای کوه‌های مملوّ از درختان جنگلی است، از آیات مربوط به متلاشیشدن کوه‌ها در آستانه قیامت، متفاوت از کسانی است که با کوهستان‌های خشک و لم‌یزرع مأنوساند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تعیین معنای این‌گونه مفاهیم نیز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ساکنان محل نزول از تعیین مصداق آن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5522708_581953129"/>
      <w:bookmarkStart w:id="272" w:name="_Toc97"/>
      <w:bookmarkEnd w:id="271"/>
      <w:r>
        <w:rPr/>
        <w:t>3-8</w:t>
      </w:r>
      <w:r>
        <w:rPr>
          <w:rtl w:val="true"/>
        </w:rPr>
        <w:t xml:space="preserve">. </w:t>
      </w:r>
      <w:r>
        <w:rPr>
          <w:rtl w:val="true"/>
        </w:rPr>
        <w:t>مصادیق تحول‌پذیر</w:t>
      </w:r>
      <w:bookmarkEnd w:id="272"/>
    </w:p>
    <w:p>
      <w:pPr>
        <w:pStyle w:val="BookText"/>
        <w:rPr/>
      </w:pPr>
      <w:r>
        <w:rPr>
          <w:rFonts w:ascii="IRNazanin" w:hAnsi="IRNazanin" w:eastAsia="IRNazanin"/>
          <w:color w:val="111111"/>
          <w:sz w:val="28"/>
          <w:sz w:val="28"/>
          <w:szCs w:val="28"/>
          <w:rtl w:val="true"/>
          <w:lang w:bidi="fa-IR"/>
        </w:rPr>
        <w:t xml:space="preserve">تردیدی نیست که مصادیق بسیاری از مفاهیم به مرور زمان دستخوش تغییر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ممکن است به دو صورت ایجاد گردد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اصل مصادیق؛ مانند کوه‌ها، دریاها، رودها، درختان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شرایط اقلیمی، در گذر زمان تحولاتی در آنها ایجاد می‌شود یا مانند ابزار آلات نظامی، امکانات روشنایی، امکانات حمل و نقل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مصادیق تازه‌تری از آنها تولید یا 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مفاهیم با توجه به اینکه غرض و فایده‌ای که ما را به نام‌گذاری آن شیء واداشت، در مصادیق فعلی نیز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گرچه برخی از جزئیات آن </w:t>
      </w:r>
      <w:bookmarkStart w:id="273" w:name="pg5923_64980"/>
    </w:p>
    <w:p>
      <w:pPr>
        <w:pStyle w:val="BookText"/>
        <w:rPr/>
      </w:pPr>
      <w:bookmarkEnd w:id="273"/>
      <w:r>
        <w:rPr>
          <w:rFonts w:ascii="IRNazanin" w:hAnsi="IRNazanin" w:eastAsia="IRNazanin"/>
          <w:color w:val="111111"/>
          <w:sz w:val="28"/>
          <w:sz w:val="28"/>
          <w:szCs w:val="28"/>
          <w:rtl w:val="true"/>
          <w:lang w:bidi="fa-IR"/>
        </w:rPr>
        <w:t xml:space="preserve">تغییر یافته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عرفی حتی اگر متأخر از زمان نزول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تعیین مصادیق اینگونه مفاهیم،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تلقی‌ها و شناخت ما از مصادیق؛ مانند تلقی انسان امروزی از خورشید و ستاره و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جزئیاتی که در علوم جدید از آنها کشف و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واژگان گرچه در زمان نزول و پس از آن به یک امر معین اطلاق می‌گردد و به عبارت دیگر، اراده خداوند از این مصادیق، ماهیت واقعی آنها با تمام جزئیات است، اما طبیعتاً آنچه از ویژگی‌های مصداق خورشید، ماه، ستاره،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نزول فهمیده می‌شد، با آنچه در زمان حاضر فهم می‌شود،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خورشیده به کره‌ای نورانی، با درجه حرارت بالا، چند برابر زمین، با فاصله مشخص از زمین، نورانی‌کننده بسیاری از ستاره‌ها و سیارات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آینده نیز جزئیات بیشتری از این سیاره کشف شده، در نتیجه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با توجه به اینکه وضع الفاظ برای مفهوم کلی است و مصادیق بیرونی آن در دایره مفهوم کلی تحول می‌پذیرند، لذا این تغییر، آسیبی به فهم‌های جدید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خداوند به خورشید و ماه قسم یاد می‌کند، این دو واژه اطلاق حقیقی دارند بر همین خورشید و ماهی که در زمان ما نیز وجود دارند، گرچه با نظریات جدید علمی، جزئیات تازه‌تری از خورشید و ماه برملا شده یا تلقی‌های جدیدی از حرکت و جایگاه و جرم و سایر ویژگی‌های آنها مکشوف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هیچگاه با کاربرد لفظ خورشید یا ماه، تمام ویژگی‌های این دو به ذهن تداعی نمی‌شود تا بگوییم میان نگاه ما و نگاه مخاطبان صدر اسلام به این دو، تفاوت اساسی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مصداق خارجی این واژه همان است که در زمان نزول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نقد برخی از نویسندگان که مفاهیمی مانند خورشید و ماه با تلقی امروزین را مراد خداوند از استعمال آن در قرآن نمی‌دانند، خالی از اشکال نیست</w:t>
      </w:r>
      <w:r>
        <w:rPr>
          <w:rFonts w:eastAsia="IRNazanin" w:cs="IRNazanin"/>
          <w:color w:val="111111"/>
          <w:sz w:val="28"/>
          <w:szCs w:val="28"/>
          <w:rtl w:val="true"/>
          <w:lang w:bidi="fa-IR"/>
        </w:rPr>
        <w:t>.</w:t>
      </w:r>
    </w:p>
    <w:p>
      <w:pPr>
        <w:pStyle w:val="Heading5"/>
        <w:numPr>
          <w:ilvl w:val="4"/>
          <w:numId w:val="1"/>
        </w:numPr>
        <w:rPr/>
      </w:pPr>
      <w:bookmarkStart w:id="274" w:name="__RefHeading___Toc5522710_581953129"/>
      <w:bookmarkStart w:id="275" w:name="_Toc98"/>
      <w:bookmarkEnd w:id="274"/>
      <w:r>
        <w:rPr/>
        <w:t>4-8</w:t>
      </w:r>
      <w:r>
        <w:rPr>
          <w:rtl w:val="true"/>
        </w:rPr>
        <w:t xml:space="preserve">. </w:t>
      </w:r>
      <w:r>
        <w:rPr>
          <w:rtl w:val="true"/>
        </w:rPr>
        <w:t>حقایق غیبی</w:t>
      </w:r>
      <w:bookmarkEnd w:id="27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مفاهیم قرآنی، مصادیق عینی ندارند و از آن جهت که مصادیق واقعی خارجی </w:t>
      </w:r>
    </w:p>
    <w:p>
      <w:pPr>
        <w:pStyle w:val="BookText"/>
        <w:rPr/>
      </w:pPr>
      <w:r>
        <w:rPr>
          <w:rFonts w:ascii="IRNazanin" w:hAnsi="IRNazanin" w:eastAsia="IRNazanin"/>
          <w:color w:val="111111"/>
          <w:sz w:val="28"/>
          <w:sz w:val="28"/>
          <w:szCs w:val="28"/>
          <w:rtl w:val="true"/>
          <w:lang w:bidi="fa-IR"/>
        </w:rPr>
        <w:t>دارد، ولی از نگاه مخاطب پنهان است، در عداد مفاهیم غیبی قرار می‌دهیم؛</w:t>
      </w:r>
      <w:r>
        <w:rPr>
          <w:rStyle w:val="FootnoteAnchor"/>
          <w:rtl w:val="true"/>
        </w:rPr>
        <w:footnoteReference w:id="38"/>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مفاهیم به دلیل ایجاد ارتباط انسان با امور غیبی و نقش مستقیم آن در ایمان افراد، نقش اساسی در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استواری این امور به غیببودن آنان است، هیچ‌گاه تعیین مصداق برای آنها موضوعیت نداشته، تنها با اوصافی که از این امور در نصوص دینی بیان شده است، می‌توان آنها را در ذهن شبیه‌سازی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مصادیق این امور وابسته به تبیین شرع و تصریح در متون دینی است؛ چون بشر راهی برای شناخت آنها جز از طریق وحی ندارد؛ برای مثال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توصیفات زیر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غِلاظٌ شِدادٌ لا یَعْصُونَ اللَّهَ ما أَمَرَهُمْ وَ یَفْعَلُونَ ما یُؤْمَرُونَ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مِنَّا إِلاَّ لَهُ مَقامٌ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 أَجْنِحَةٍ مَثْنی وَ ثُلاثَ وَ رُباعَ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کِراماً کاتِبینَ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اینگونه توصیفات برای ملائکه در قرآن کریم، بسیار فراوان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ازکنارهم قراردادن این اوصاف، به ماهیت و کارکردهای این موجود پی می‌برد و همزمان شبیه آن را در ذهن خود تصور می‌کند؛ اما هیچ‌گاه این تصویر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به عدد تصور کنندگان هم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حکایتکننده مصداق واقعی این امر غیبی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شرح آن دسته از مفاهیم غیبی که توسط خود خداوند به مصادیق عینی خارجی تشبیه شده یا از اسامی مصادیق عینی برای آن امور غیبی بهره گرفته است، مانند برخی از میوه‌های بهشتی، آتش جهنم، شیر، آب، عسل، انهار، باغ‌ها، جنگل،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سطور گذشته بیان گردید</w:t>
      </w:r>
      <w:r>
        <w:rPr>
          <w:rFonts w:eastAsia="IRNazanin" w:cs="IRNazanin"/>
          <w:color w:val="111111"/>
          <w:sz w:val="28"/>
          <w:szCs w:val="28"/>
          <w:rtl w:val="true"/>
          <w:lang w:bidi="fa-IR"/>
        </w:rPr>
        <w:t xml:space="preserve">. </w:t>
      </w:r>
      <w:bookmarkStart w:id="276" w:name="pg5923_64982"/>
    </w:p>
    <w:p>
      <w:pPr>
        <w:pStyle w:val="Heading5"/>
        <w:numPr>
          <w:ilvl w:val="4"/>
          <w:numId w:val="1"/>
        </w:numPr>
        <w:rPr/>
      </w:pPr>
      <w:bookmarkStart w:id="277" w:name="__RefHeading___Toc5522712_581953129"/>
      <w:bookmarkStart w:id="278" w:name="_Toc99"/>
      <w:bookmarkEnd w:id="276"/>
      <w:bookmarkEnd w:id="277"/>
      <w:r>
        <w:rPr/>
        <w:t>5-8</w:t>
      </w:r>
      <w:r>
        <w:rPr>
          <w:rtl w:val="true"/>
        </w:rPr>
        <w:t xml:space="preserve">. </w:t>
      </w:r>
      <w:r>
        <w:rPr>
          <w:rtl w:val="true"/>
        </w:rPr>
        <w:t>مفاهیم مرتبط با اوصاف خدا</w:t>
      </w:r>
      <w:bookmarkEnd w:id="278"/>
    </w:p>
    <w:p>
      <w:pPr>
        <w:pStyle w:val="BookText"/>
        <w:rPr/>
      </w:pPr>
      <w:r>
        <w:rPr>
          <w:rFonts w:ascii="IRNazanin" w:hAnsi="IRNazanin" w:eastAsia="IRNazanin"/>
          <w:color w:val="111111"/>
          <w:sz w:val="28"/>
          <w:sz w:val="28"/>
          <w:szCs w:val="28"/>
          <w:rtl w:val="true"/>
          <w:lang w:bidi="fa-IR"/>
        </w:rPr>
        <w:t>بسیاری از مفاهیم قرآنی حکایت‌گر اوصاف الاهی‌اند؛ مانند این مفاهیم حیات، علم، قدرت، سمع، بصر، کلام، رضا و غضب، خلق، اراده، مشیت، رزق، کرم، رب، رحیم،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مفاهیم نیز به گونه دیگری با اوصاف الاهی مرتبطاند؛ مانند عرش، لوح، قلم، کرسی، استوای بر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تردیدی در این نیست که این مفاهیم نیز با توجه به اینکه در ارتباط با اصلی از اصول دین هستند، در دایره مفاهیم بنیادین قرار می‌گیرند و از این جهت، فهم عرفی در مورد آنها معتبر نیست و تنها راه فهم آنها، بیان وحی و تبیین توسط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به دلیل عربی مبینبودن قرآن، فهم معانی این واژگان برای عرف غیر ممکن نیست، اما تطبیق و هماهنگ‌سازی این معانی با مصداق بیرونی که خداوند باشد، محتاج بهره‌گیری از سایر شیوه‌های فهم و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علامه طباطبایی در ذیل بحث خلود در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قرآنی در مفاهم کلی خود تابع فهم عرف و اهل لسان است، اما در مقاصد و تشخیص مصادیق بیرونی آن مفاهیم، راهی جز تدبر، ارجاع متشابه به محکم و یا عرضه آیات به آیات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نباید مفاهیمی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آنها را به همان معنایی که عرف می‌فهمد، حمل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279" w:name="__RefHeading___Toc5522714_581953129"/>
      <w:bookmarkStart w:id="280" w:name="_Toc100"/>
      <w:bookmarkEnd w:id="279"/>
      <w:r>
        <w:rPr/>
        <w:t>9</w:t>
      </w:r>
      <w:r>
        <w:rPr>
          <w:rtl w:val="true"/>
        </w:rPr>
        <w:t xml:space="preserve">. </w:t>
      </w:r>
      <w:r>
        <w:rPr>
          <w:rtl w:val="true"/>
        </w:rPr>
        <w:t>حروف</w:t>
      </w:r>
      <w:bookmarkEnd w:id="28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 کنون بیان شد، مفاهیم متعلق به گروهی بود که در بیان اصولیان به معانی اسمی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مفاهیم، شامل هم اسامی و هم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را در مباحث الفاظ علم اصول به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مستقل همان افعال و اسامی اند که دارای متعلق معین بوده، به صورت مشخص بر مدلولشان دلالت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سعیدی روشن،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مفاهیم ربطی نقش واسط و رابط میان جمله را دارند و به‌تنهایی دارای معنا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حروف معانی مستقل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هم نیست که ماتن از همان حروف رایج در زبان بهره می‌گیرد تا مخاطب را به درد سر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این نکته در فصیح‌ترین متن عربی که بنای هم زبانی </w:t>
      </w:r>
      <w:bookmarkStart w:id="281" w:name="pg5923_64983"/>
    </w:p>
    <w:p>
      <w:pPr>
        <w:pStyle w:val="BookText"/>
        <w:rPr/>
      </w:pPr>
      <w:bookmarkEnd w:id="281"/>
      <w:r>
        <w:rPr>
          <w:rFonts w:ascii="IRNazanin" w:hAnsi="IRNazanin" w:eastAsia="IRNazanin"/>
          <w:color w:val="111111"/>
          <w:sz w:val="28"/>
          <w:sz w:val="28"/>
          <w:szCs w:val="28"/>
          <w:rtl w:val="true"/>
          <w:lang w:bidi="fa-IR"/>
        </w:rPr>
        <w:t>با قوم دارد، دور از انتظار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فهم عرفی، فهم اکثریت و مشهور در عرف است و تخصیص افراد محدود از دایره عام، امری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است افرادی با برخی از مفاهیم قرآنی یا مصادیق بیرونی آنها مواجه نشده یا آگاهی از معانی آنها نداشته باشند، مانند آنچه از ابنعباس 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یا مواردی که از عدم فهم خلیفه دوم از برخی مفاهیم قرآنی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این‌گونه نقل‌ها مبنی بر عدم آگاهی برخی از افراد از معانی برخی مفاهیم، آسیبی به اعتبار فهم عرفی وارد نمی‌کند؛ چراکه از میان مخاطبان فراوان قرآن کریم، تنها شمار اندکی ادعای عدم شناخت برخی مفاهیم کرده، نقل‌های فراوانی از عدم فهم قرآن توسط مخاطبان اولیه،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در میانه مباحث فوق نیز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گاهی یک لفظ در کاربردهای مختلف، معانی مختلفی از آن اراده شده باشد که همه آن معانی، متعارف میان مردم است؛ 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نگاه‌کردن و یا نظرداشتن و انتظارکشیدن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استعمال در قرآن، این لفظ در معنای نگاه کردن استعمال شده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فَنَظَرَنَظْرَةًفِی النُّجُومِ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برخی نیز به معنای انتظارکشیدن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إِلی‌رَبِّهاناظِرَةٌ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عام با ملاحظه کاربرد واژه و دقت در سیاق و سایر قواعد فهم، به معنای مورد نظر در آن کاربرد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عدم درک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آیه از مخاطبان عصر نزول قرآن، هیچ گزارشی نقل نشده، عموماً معنا و مراد آن را به خوبی درک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موجود 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اخیر نیز محصول منازعات کلامی است که از اواخر قرن اول هجری آغاز شد و موجب گردید بسیاری از مفاهیم قرآنی در زمره مفاهیم متشابه قرآن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282" w:name="__RefHeading___Toc5522716_581953129"/>
      <w:bookmarkStart w:id="283" w:name="_Toc101"/>
      <w:bookmarkEnd w:id="282"/>
      <w:r>
        <w:rPr>
          <w:rtl w:val="true"/>
        </w:rPr>
        <w:t>نتیجه گیری</w:t>
      </w:r>
      <w:bookmarkEnd w:id="28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ملاحظه شد، قلمرو فهم عرفی از مفاهیم قرآنی نه چندان گسترده است که </w:t>
      </w:r>
      <w:bookmarkStart w:id="284" w:name="pg5923_64984"/>
    </w:p>
    <w:p>
      <w:pPr>
        <w:pStyle w:val="BookText"/>
        <w:rPr/>
      </w:pPr>
      <w:bookmarkEnd w:id="284"/>
      <w:r>
        <w:rPr>
          <w:rFonts w:ascii="IRNazanin" w:hAnsi="IRNazanin" w:eastAsia="IRNazanin"/>
          <w:color w:val="111111"/>
          <w:sz w:val="28"/>
          <w:sz w:val="28"/>
          <w:szCs w:val="28"/>
          <w:rtl w:val="true"/>
          <w:lang w:bidi="fa-IR"/>
        </w:rPr>
        <w:t>شامل همه انواع مفاهیم قرآنی گردد و نه‌چندان محدود است که ما را از اعتماد به فهم عرفی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تفکیک مفاهیم قرآنی به گروه‌های مختلف، فی‌الجمله این نتیجه حاصل شد که فهم عرفی از برخی مفاهیم قرآنی معتبر و از برخی دیگر نامعتبر و برای شناخت معانی و یا تعیین مصادیق آنها باید راه‌های دیگری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نگاه، زبان قرآن زبانی عرفی است، اما نه به این‌معناکه در تمام گونه‌های مفاهیم و واژگان، فهم عرفی معتبر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در حالی به دست آمد که در مباحث اصولی و نیز در تألیفات جدید که در حوزه زبان‌شناسی قرآن ارائه می‌گردد، به صورت مطلق از اعتبار یا عدم اعتبار فهم عرفی از ظواهر قرآن سخن به میان می‌آید</w:t>
      </w:r>
      <w:r>
        <w:rPr>
          <w:rFonts w:eastAsia="IRNazanin" w:cs="IRNazanin"/>
          <w:color w:val="111111"/>
          <w:sz w:val="28"/>
          <w:szCs w:val="28"/>
          <w:rtl w:val="true"/>
          <w:lang w:bidi="fa-IR"/>
        </w:rPr>
        <w:t>.</w:t>
      </w:r>
    </w:p>
    <w:p>
      <w:pPr>
        <w:pStyle w:val="Heading3"/>
        <w:numPr>
          <w:ilvl w:val="2"/>
          <w:numId w:val="1"/>
        </w:numPr>
        <w:rPr/>
      </w:pPr>
      <w:bookmarkStart w:id="285" w:name="__RefHeading___Toc5522718_581953129"/>
      <w:bookmarkStart w:id="286" w:name="_Toc102"/>
      <w:bookmarkEnd w:id="285"/>
      <w:r>
        <w:rPr>
          <w:rtl w:val="true"/>
        </w:rPr>
        <w:t>منابع و مآخذ</w:t>
      </w:r>
      <w:bookmarkEnd w:id="2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ابن‌عطیه اندلسی، عبدالحقبن‌غالب؛ المحررالوجیزفی تفسیرالکتاب العزیز؛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دارالکتب‌العلمیه، </w:t>
      </w:r>
      <w:r>
        <w:rPr>
          <w:rFonts w:eastAsia="IRNazanin" w:cs="IRNazanin"/>
          <w:color w:val="111111"/>
          <w:sz w:val="28"/>
          <w:szCs w:val="28"/>
          <w:lang w:bidi="fa-IR"/>
        </w:rPr>
        <w:t>1422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ابن‌فارس، ابوالحسین؛ معجم مقاییس اللغة؛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منظور،محمدبن‌مکرم؛ لسان العرب؛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ابن‌محدولی قوته، عادل بن عبدالقادر؛ العرف؛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المکتبة المکیة،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ابوجیب، سعدی؛ القاموس الفقهی لغةً و اصطلاحاً؛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الشیبانی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المبارک بن محمد؛ النهایة فی غریب الحدیث والاثر؛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داراحیاءالتراث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اردبیلی، احمدبن‌محمد؛ مجمع الفائدة و البرهان فی شرح إرشاد الأذهان؛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انتشارات اسلامی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آرتور، جفری؛ واژگان دخیل در قرآن مجید؛ ترجمه فریدون بدره‌ای؛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اندرو ریپین؛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واژگان دخیل و تعیین زبان خارجی آنها در تفسیر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مرتضی کریمی‌نیا؛ ترجمان وحی، ش</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بدری، تحسین؛ معجم مفردات أصول الفقه المقارن؛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المشرق للثقافة والنشر،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توشیهیکو ایزوتسو؛ مفاهیم اخلاقی دینی در قرآن مجید؛ ترجمه فریدون بدره‌ای؛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فرزان،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لنگرودی، محمد جعفر؛ ترمینولوژی حقوق؛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گنج دانش،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تفسیر تسنیم؛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نشر اسراء،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حسینی، السید نذیر؛ نظریة العرف بین الشریعة والقانون؛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المرکزالعالمی للدراسات الاسلامیة،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محمد؛ الدلیل الفقهی تطبیقات فقهیة لمصطلحات علم الأصول؛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ابن‌ادریس الحلی للدارسات الفقهیه،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سیدحسن؛ گوهر معنا؛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اطلاعات،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المفردات فی غریب القرآن؛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دارالعلم،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سعیدی روشن، محمدباقر؛ زبان قرآن و مسائل آن؛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حوزه و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وضع‌گروی و نظریه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پژوهش‌های اصولی، ش</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جلال‌الدین؛ الاتقان فی علوم القرآن؛ ترجمه سیدمهدی حایری قزوینی؛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امیرکبیر،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محمدباقر؛ بحوث فی علم الأصول؛ تقریر حسن عبدالساتر؛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الدارالاسلامیة،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 المیزان فی تفسیر القرآن؛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انتشارات اسلامی جامعه مدرسین حوزه علمیه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حاشیة الکفایة؛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علمی و فکری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محمود حامد؛ القاموس المبین فی إصطلاحات الأصولیین؛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الزاحم،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اکبر؛ لغت‌نامه دهخدا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علی‌دوست، ابوالقاسم؛ فقه و عرف؛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فرهنگ و اندیشه اسلامی،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 زنجانی، عباسعلی؛ فقه سیاسی؛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 حسن؛ فرهنگ عمید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محمد؛ جواهرالقرآن و درره؛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معین؛ فرهنگ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فرشچیان، رضا و معصومه باقری؛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پاره‌ای از واژگان پارسی قرآن کریم و پیشینه آن در ادب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تطبیقی، ش</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ملامحسن؛ تفسیر الصافی؛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الصدر،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گلباغی ماسوله، سیدجبار؛ درآمدی بر عرف؛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تبلیغات اسلامی حوزه علمیه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لاری شیرازی، عبد الحسین؛ التعلیقة علی فرائد الأصول؛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اللجنه العلمیه للموتمر،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جبران؛ فرهنگ الفبایی الرائد؛ ترجمه رضا انزابی نژاد؛ آستان قدس رضوی،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 التحقیق فی کلمات القرآن الکریم؛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الکتاب للترجمة و النشر،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محمدهادی؛ علوم قرآنی؛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فرهنگی التمهید،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مغنیه، محمدجواد؛ علم اصول‌الفقه فی ثوبة الجدید؛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دارالعلم للملایین،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 الامام جعفر الصادق؛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دارالعلم للملایین،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الخمینی، روح الله؛ تنقیح الأصول؛ تقریرات حسین تقوی اشتهاردی؛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اصفهانی، محمدتقیبن‌عبدالرحیم؛ هدایة المسترشدین؛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موسسة النشر الاسلامی، </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محمدمهدی بنابی‌ذر؛ انیس المجتهدین فی علم الأصول؛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نکونام،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انتقادی به علل پیدایش غرابت در الفاظ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 علمی پژوهشی دانشکده ادبیات و علوم انسانی دانشگاه اصفهان، ش</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5923_64988"/>
      <w:bookmarkStart w:id="288" w:name="pg5923_64988"/>
      <w:bookmarkEnd w:id="288"/>
    </w:p>
    <w:p>
      <w:pPr>
        <w:pStyle w:val="Heading2"/>
        <w:numPr>
          <w:ilvl w:val="1"/>
          <w:numId w:val="1"/>
        </w:numPr>
        <w:rPr/>
      </w:pPr>
      <w:bookmarkStart w:id="289" w:name="pg5923_64988"/>
      <w:bookmarkStart w:id="290" w:name="__RefHeading___Toc5522720_581953129"/>
      <w:bookmarkStart w:id="291" w:name="_Toc103"/>
      <w:bookmarkEnd w:id="289"/>
      <w:bookmarkEnd w:id="290"/>
      <w:r>
        <w:rPr>
          <w:rtl w:val="true"/>
        </w:rPr>
        <w:t>تحلیل و آسیب</w:t>
      </w:r>
      <w:r>
        <w:rPr>
          <w:rtl w:val="true"/>
        </w:rPr>
        <w:softHyphen/>
      </w:r>
      <w:r>
        <w:rPr>
          <w:rtl w:val="true"/>
        </w:rPr>
        <w:t xml:space="preserve">شناسی فلسفه زبان معاصر غربی </w:t>
      </w:r>
      <w:r>
        <w:rPr>
          <w:rtl w:val="true"/>
        </w:rPr>
        <w:t xml:space="preserve">/ </w:t>
      </w:r>
      <w:r>
        <w:rPr>
          <w:rtl w:val="true"/>
        </w:rPr>
        <w:t>محمدرضا اسدی، محمدرعایت جهرمی</w:t>
      </w:r>
      <w:bookmarkEnd w:id="291"/>
    </w:p>
    <w:p>
      <w:pPr>
        <w:pStyle w:val="Heading3"/>
        <w:numPr>
          <w:ilvl w:val="2"/>
          <w:numId w:val="1"/>
        </w:numPr>
        <w:rPr/>
      </w:pPr>
      <w:bookmarkStart w:id="292" w:name="__RefHeading___Toc5522722_581953129"/>
      <w:bookmarkStart w:id="293" w:name="_Toc104"/>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محمدرضا اسدی</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محمدرعایت جهرمی</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15/7/92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8/9/92</w:t>
      </w:r>
    </w:p>
    <w:p>
      <w:pPr>
        <w:pStyle w:val="Heading3"/>
        <w:numPr>
          <w:ilvl w:val="2"/>
          <w:numId w:val="1"/>
        </w:numPr>
        <w:rPr/>
      </w:pPr>
      <w:bookmarkStart w:id="294" w:name="__RefHeading___Toc5522724_581953129"/>
      <w:bookmarkStart w:id="295" w:name="_Toc105"/>
      <w:bookmarkEnd w:id="294"/>
      <w:r>
        <w:rPr>
          <w:rtl w:val="true"/>
        </w:rPr>
        <w:t>چکیده</w:t>
      </w:r>
      <w:bookmarkEnd w:id="295"/>
    </w:p>
    <w:p>
      <w:pPr>
        <w:pStyle w:val="BookText"/>
        <w:rPr/>
      </w:pPr>
      <w:r>
        <w:rPr>
          <w:rFonts w:ascii="IRNazanin" w:hAnsi="IRNazanin" w:eastAsia="IRNazanin"/>
          <w:color w:val="111111"/>
          <w:sz w:val="28"/>
          <w:sz w:val="28"/>
          <w:szCs w:val="28"/>
          <w:rtl w:val="true"/>
          <w:lang w:bidi="fa-IR"/>
        </w:rPr>
        <w:t>فلسفه‌های قاره ای و تحلیلی دو جریان غالب درتاریخ فلسفه معاصرند که اگر در مقام تطبیق آنها برآییم، از سه منظر جغرافیایی، تاریخی و تئوریک قابل مقایسه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حیث زبانی، آنچه اکنون تحت عنوان فلسفه زبان، در متن اندیشه فلسفی معاصر تثبیت شده است، درونمایه ای تحلیلی دارد و در قالب فلسفه زبان تحلیلی مطرح است؛ حال آنکه فلسفه زبان، دغدغه اندیشمندان حوزه قاره ای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گیری ها و شاخصه ها در حوزه قاره‌ای قرن بیستم و حتی کمی پیش از آن، آن‌قدر نوآوری و تفاوت رویکرد دارند که بتوان داعیه جریانسازی را درباره آنها مطرح کرد؛ جریانی که میتوان از آن به فلسفه زبان قاره ای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حاضر میکوشد در مقام نوآوری و نظریهپردازی، ضمن برشمردن شاخصه های فلسفه زبان قاره ای و تطبیق با جریان تحلیلی، به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روح حاکم بر فلسفه زبان معاصر غربی بپردازد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زبان، تحلیلی و قاره ای، فرهنگ، علوم انسانی، پروتستانتیزم</w:t>
      </w:r>
      <w:r>
        <w:rPr>
          <w:rFonts w:eastAsia="IRNazanin" w:cs="IRNazanin"/>
          <w:color w:val="111111"/>
          <w:sz w:val="28"/>
          <w:szCs w:val="28"/>
          <w:rtl w:val="true"/>
          <w:lang w:bidi="fa-IR"/>
        </w:rPr>
        <w:t xml:space="preserve">. </w:t>
      </w:r>
      <w:bookmarkStart w:id="296" w:name="pg5923_64989"/>
    </w:p>
    <w:p>
      <w:pPr>
        <w:pStyle w:val="Heading3"/>
        <w:numPr>
          <w:ilvl w:val="2"/>
          <w:numId w:val="1"/>
        </w:numPr>
        <w:rPr/>
      </w:pPr>
      <w:bookmarkStart w:id="297" w:name="__RefHeading___Toc5522726_581953129"/>
      <w:bookmarkStart w:id="298" w:name="_Toc106"/>
      <w:bookmarkEnd w:id="296"/>
      <w:bookmarkEnd w:id="297"/>
      <w:r>
        <w:rPr>
          <w:rtl w:val="true"/>
        </w:rPr>
        <w:t>مقدمه</w:t>
      </w:r>
      <w:bookmarkEnd w:id="298"/>
    </w:p>
    <w:p>
      <w:pPr>
        <w:pStyle w:val="BookText"/>
        <w:rPr/>
      </w:pPr>
      <w:r>
        <w:rPr>
          <w:rFonts w:ascii="IRNazanin" w:hAnsi="IRNazanin" w:eastAsia="IRNazanin"/>
          <w:color w:val="111111"/>
          <w:sz w:val="28"/>
          <w:sz w:val="28"/>
          <w:szCs w:val="28"/>
          <w:rtl w:val="true"/>
          <w:lang w:bidi="fa-IR"/>
        </w:rPr>
        <w:t>به لحاظ جغرافیایی و تاریخی هر یک از این دو جریان تحلیلی و قاره‌ای را می‌توان در بستر مکانی و بازه زمانی خاص، محدود کرد و از نقطه زایش آنها در سده های اخیر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تفسیری خاص می‌توان خاستگاه هر دو رویکرد را ادوار نخستین تاریخ فلسفه انگاشت، اما از منظر تئوریک و آکادمیک نیز با وجود رویکردهای متفاوت هر یک به مقولاتی چون فلسفه، علم،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بسترساز افتراق سنت تحلیلی از قاره‌ای می‌شود، می‌توان با تأکید بر مجموعه‌ای از دغدغه های مشترک دو رویکرد، به کاربرد اصطلاح تشابه خانوادگی میان آنها خوش‌بین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کاربرد اصطلاح فلسفه قاره‌ای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Continental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نیمه دوم قرن بیستم بازمی‌گردد؛یعنی برهه‌ای که دیگر جریان غالب،یعنی فلسفه تحلیلی، جای خود را باز کرده بود و فضای ناهمگونی با فلسفه قاره ای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شاید بتوان ترویج و تثبیت تعبیر فلسفه قاره‌ای را واکنشی دانست از سوی تحلیلی هایی که دیگر جریان غالب را برنمی‌تافتند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نمی‌توان در پیشینه تاریخی و محتوایی مباحث مطرح در سنت قاره‌ای در قیاس با تحلیلی‌ها، تردید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از تفسیرهایی خاص که برآناند ریشه‌های فلسفه تحلیلی را حتی در یونان باستان ردیابی کنند نیز نمی‌توان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درپیش‌گرفتن چنین رویکردی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ردیابی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قاره ای نیز امکان‌پذیراست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محدودترکردن دایره شمول مصادیق جریان قاره ای، می‌توان از فلسفه قاره‌ای معاصر سخن گفت که محدوده اروپای قرون نوزدهم و بیستم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و آلمان را کانون قاره‌ای هایی انگاشته اند که از انگلیسی‌های تحلیلی نگر، منفک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منهای لحاظ شاخصه های محتوایی و صرفاً با اتخاذ مبانی تاریخی حاضر، کانت و متعاقب آن، ایدئالیسم آلمانی رایج، بهترین مدخل بر جریان قاره ای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به عقب بازگردیم، دکارت نیز در این مجموعه جای می گیرد و حتی میتواند سرسلسله قاره‌ایها تلقی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دور نداریم که موجهترین معیار در تشریح شاخصه های سنت‌های تحلیلی و قاره‌ای، همانا درونمایه ها و ویژگیهای محتوایی است، البته اگر قائل به تفکیک پذیری این دو جریان بوده، خط‌کشی محتوایی و حتی تاریخی تحلیلی و قاره ای را روا و موجه بدانیم؛ چون در غیر این صورت، ضرورت تاریخی نگری و سیالیت آن از یک سو و تفسیر امور در چارچوبی کُل‌گرایانه و نگاه دستگاه گونه به مسائل، خط‌کشی‌های مرسوم را برنتافته، در برابر هم قراردادن سنت‌های قاره‌ای و تحلیلی با معیارهای محتوایی و تاریخی را ناموجه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 به لحاظ تاریخی، دکارت و کانت و متعاقب آن ایدئالیسم آلمانی، آغازگران جریان قاره‌ای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مکاتب اصلی در حوزه قاره‌ای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نوکانتی‌ها، نوهگلی‌ها، نوتوماسیها، فلسفه‌های آگاهی و جسم، فلسفه‌های سیاست، اخلاق، روان‌شناسی، علم، هنر، ادبیات و دین، پدیدارشناسی، مارکسیسم، اگزیستانسیالیسم، هرمنوتیک، انسان‌شناسی، ساختارگرایی و ساختارشکنی، فمینیسم و پست‌مدرنیسم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اصطلاح قاره‌ای و مرزبندی یا خط‌کشی مورد ادعا، تا پیش از ظهور جریان تحلیلی، نمودی نداشت و این‌گونه به نظر میرسد که این تعبیر، مجعول تحلیلی‌های متعصب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است که جریان اروپایی یا همان قاره ای عرضه شده در آلمان و فرانسه را برنمی 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فلسفه اروپایی، به لحاظ تاریخی، محدوده جزیره بریتانیا را وانهاده، سایر کشورهای اروپایی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نکته را که محصول ادعای حاضر است، از نظر دور نمی‌داریم که استعمال و تثبیت تعبیر قاره‌ای یا اروپایی، اگرچه در بدو امر، گونه‌ای استقلال و انفکاک از سنت مجاور را تداعی میکند، اما از وجود گونه‌ای یکپارچگی و انسجام در کشورهای این حوزه، یعنی اروپا، چه به لحاظ تاریخی و چه از منظر محتوایی، فکری و فلسفی، پرده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رویکرد تحلیلی ها در استعمال تعبیر قاره‌ای، سلبی است؛ این در حالی است که اندیشمندان حوزه قاره‌ای، بر مبنای همان یکپارچگی که بدان اشاره شد، روایت و چشم اندازی مثبت به این مقوله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دعاوی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 برآن شد که تعریفی نهایی و جامع از فلسفه قاره‌ای، دست‌یافتنی است و تنها از معبر تطبیق و مقایسه با جریان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مناظر </w:t>
      </w:r>
      <w:bookmarkStart w:id="299" w:name="pg5923_64991"/>
    </w:p>
    <w:p>
      <w:pPr>
        <w:pStyle w:val="BookText"/>
        <w:rPr/>
      </w:pPr>
      <w:bookmarkEnd w:id="299"/>
      <w:r>
        <w:rPr>
          <w:rFonts w:ascii="IRNazanin" w:hAnsi="IRNazanin" w:eastAsia="IRNazanin"/>
          <w:color w:val="111111"/>
          <w:sz w:val="28"/>
          <w:sz w:val="28"/>
          <w:szCs w:val="28"/>
          <w:rtl w:val="true"/>
          <w:lang w:bidi="fa-IR"/>
        </w:rPr>
        <w:t>تاریخی و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تعبیر قاره‌ای، تعین و تشخص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فلسفهِ رواج‌یافته در دانشگاه‌های حوزه آنگلوساکسون یا همان کشورهای انگلیسی‌زبان را تحلیلی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Analytical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نهاده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جریان قاره‌ای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و مور که هر دو متأثراز فرگه‌ای می‌باشند که فیلسوفی است آلمانی، پیشگامان جریان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شاخه های کلیدی حوزه تحلیلی که زیر عناوین و دغدغه‌های اصلی چون منطق و فلسفه زبان، سر بر آوردند،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پوزیتیویسم منطقی، فلسفه زبان متعارف، تجربه‌گرایی منطقی، منطق‌گرایی و اتمیسم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گونه‌ای ابهام و ایضاح نسبی که در اندیشه متفکران حوزه قاره‌ای مشهود است، تأکید بر ایضاح و معناداری در کنار نگاه ریاضی‌وار به حوزه فلسفه، معرف سنت تحلیلی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تحلیلی ها یا با فلسفه سر عناد دارندیا با دیده تردید بدان می‌نگرند و برآناند در جهت نیل به نتایج مفید، نسخه‌ای تحلیلی برای فلسفه عرضه نمایند؛ امری که در سطوح افراطی، جایگاه فلسفه را به ابزاری تحلیلگر فرو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هرروی، فلسفه تحلیلی پای به عرصه‌های نونهاد تا در قالب مباحث ذیلیا جریان‌ساز شودیا در عرصه مسائل و دغدغه‌های حاکم، ایفای نقش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شناسی، فلسفه ذهن، اخلاق، فلسفه زبان، فلسفه دین و متافیزیک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واژه تحلیلی به درازای یونان باستان است؛ این در حالی است که تاکنون مشمول تطور و تحول شده و در قرن بیستم، در قالب نحله‌ای متفاوت،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در تعبیر فلسفی، تجزیه و تقلیل عناصر پیچیده و مرکب به امور بسیط و محدود، در جهت نیل به روابط و نسبت‌های میان اجزاست</w:t>
      </w:r>
      <w:r>
        <w:rPr>
          <w:rFonts w:eastAsia="IRNazanin" w:cs="IRNazanin"/>
          <w:color w:val="111111"/>
          <w:sz w:val="28"/>
          <w:szCs w:val="28"/>
          <w:rtl w:val="true"/>
          <w:lang w:bidi="fa-IR"/>
        </w:rPr>
        <w:t>.</w:t>
      </w:r>
    </w:p>
    <w:p>
      <w:pPr>
        <w:pStyle w:val="Heading3"/>
        <w:numPr>
          <w:ilvl w:val="2"/>
          <w:numId w:val="1"/>
        </w:numPr>
        <w:rPr/>
      </w:pPr>
      <w:bookmarkStart w:id="300" w:name="__RefHeading___Toc5522728_581953129"/>
      <w:bookmarkStart w:id="301" w:name="_Toc107"/>
      <w:bookmarkEnd w:id="300"/>
      <w:r>
        <w:rPr/>
        <w:t>1</w:t>
      </w:r>
      <w:r>
        <w:rPr>
          <w:rtl w:val="true"/>
        </w:rPr>
        <w:t xml:space="preserve">. </w:t>
      </w:r>
      <w:r>
        <w:rPr>
          <w:rtl w:val="true"/>
        </w:rPr>
        <w:t>سنت های قاره ای و تحلیلی</w:t>
      </w:r>
      <w:bookmarkEnd w:id="301"/>
    </w:p>
    <w:p>
      <w:pPr>
        <w:pStyle w:val="BookText"/>
        <w:rPr/>
      </w:pPr>
      <w:r>
        <w:rPr>
          <w:rFonts w:ascii="IRNazanin" w:hAnsi="IRNazanin" w:eastAsia="IRNazanin"/>
          <w:color w:val="111111"/>
          <w:sz w:val="28"/>
          <w:sz w:val="28"/>
          <w:szCs w:val="28"/>
          <w:rtl w:val="true"/>
          <w:lang w:bidi="fa-IR"/>
        </w:rPr>
        <w:t>ویژگی های مشهور و غالب فلسفه های قاره ای</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Schroeder, William R; Continental philosophy: A Critical approach; Blackwell Publishing, 2005</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حجیت تمام‌عیار علم در مفهوم تجربی‌اش، که در قالب تأکید صرف بر علم‌گرایی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Scientism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متجلی میشود، نخستین شاخصه نگاه قاره‌ای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علم‌گرایی مدرن، تحلیل پدیدارها و حصول فهم و شناخت از آنها را تنها از منظر تجربه یا علوم طبیعی پیگیری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امر،یعنی تجربه گرایی محض در قالب علم‌گرایی، در منش هیوم و متعاقب آن در واکنش پوزیتیویست‌های منطقی به تقسیم‌بندی کانت از گزاره‌ها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برایند این رویکرد، منحصرشدن گزاره‌ها در قالب‌های تحلیلی ماتقدم و تألیفی ماتأخر است که همانا ریاضیات، منطق و ساحت علوم طبیعی یا تجربی را شامل شده، پایه‌های متافیزیک، در آن به سستی می‌گراید؛ این در حالی است که برخی اندیشمندان حوزه قاره‌ای، بر عناصر پیشینی در حصول فهم یا معرفت، اصرار ورزیده، تجربه‌گراییِ صرف را برنمی‌تابند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کپرنیکی کانت، در جهت پررنگ‌جلوه‌دادن جایگاه مغفول ذهن و مقولاتش، در فرایند معرفت، شاهد این مدعاست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 های تألیفی ماتقدم کانت، مولود بیداری او از خواب جزمی با تلنگر هیوم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جایگاه والای امور فراتجربی را تبیین ساخته، اعمال صرف روش‌های تجربی را ناکافی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درکل، قاره‌ای‌ها، علوم طبیعی را معبر مناسبی برای فهم و تحلیل پدیده‌های اجتماعی، فرهنگی و تاریخی ندانسته، علم‌گرایی افراطی را به چالش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آنان، کانت‌گونه، علوم جدید و در نهایت، جامعه و فرهنگ را متأثر از شرایط امکانی خاصی می‌پندارند که مغفول‌گذاشتن آنها نارواست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pp.20-23</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شاخصه جریان قاره‌ای این است که بر خلاف نگاه نسبتاً تک‌بعدی و انحصاری تحلیلی‌ها به فرایند و چگونگی حصول معرفت و شناخت و در یک کلام دانش و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بدان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قاره‌ای، طرقی گوناگون و در عین متفاوت‌بودن، درهم تنیده را فراروی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اند زمان و مکان، زمینه‌ها، زبان، فرهنگ، تاریخ و بازی‌مندی؛ لذا سنت قاره‌ای، حصول دانش و تفهم را به شرایط و جوانب گوناگون مربوط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را می‌توان زیر عناوین وزین و همه‌شمول تاریخ و فرهنگ،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مفاهیم تاریخ و فرهنگ است که به پاگرفتن عناصر اجتماعی در قلمرو فلسفه دامن </w:t>
      </w:r>
    </w:p>
    <w:p>
      <w:pPr>
        <w:pStyle w:val="BookText"/>
        <w:rPr/>
      </w:pPr>
      <w:r>
        <w:rPr>
          <w:rFonts w:ascii="IRNazanin" w:hAnsi="IRNazanin" w:eastAsia="IRNazanin"/>
          <w:color w:val="111111"/>
          <w:sz w:val="28"/>
          <w:sz w:val="28"/>
          <w:szCs w:val="28"/>
          <w:rtl w:val="true"/>
          <w:lang w:bidi="fa-IR"/>
        </w:rPr>
        <w:t>زده، گونه‌ای زمینه‌گرایی را موجب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زایش فلسفه تاریخ و تاریخ مندی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Historicality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تاریخی نگری در کانت و هگل و برجستگی سنتها و فرهنگ زیر عنوان نقادی خردمحوری کاذب، در هردر، نخستین شاهدان مدعای حاضر در اوان شکل گیری جریان قاره ای به روایت تاریخی‌اند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با تأکید بر فرهنگ و مفهوم چشم‌انداز، جانی تازه به جریانی می‌بخشد که زیر عنوان پست مدرنیسم، در حال بالیدن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pp.41-44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شاخصه اخیر سنت قاره‌ای را در هرمنوتیکِ نسبی‌انگار نیز می‌توان واکاوی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جمع‌بندی می‌توان مدعی شد که اندیشمندان حوزه قاره‌ای، شرایط امکان تجربه یا معرفت را نه واحد، بلکه چندبعدی، تلقی می‌کنند که در این‌میان تاریخ و ملحوظ‌داشتن تلقی تاریخی،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مدعای حاضر نیز دغدغه قاره‌ای ها در تأکید بر بسترهای تاریخی دعاوی فلسفی در مقام نقد و بررسی یا واکاوی آنهاست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دیگر جریان قاره‌ای که بیشتر رویکردهای قرن بیستم در حوزه اندیشه فلسفی را دربر می‌گیرد، سهمی است که آنها برای ساحت آگاهی انسان در دگرگونکردن شرایط نیل به معرفت یا فهم قائل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در تعابیر مدرنیستی، پست‌مدرنیستی و اگزیستانسیالیستی، تعریفی بدیعیافته، واجد شاخصه‌هایی متمایز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رویکرد ارسطویی، نفس ناطقه در قالب تعقل، نمایانگر گفتار ممیز انسان بود و خردورزی، ذاتیِ جدایی‌ناپذیرِ آن تلقی می‌شد، اکنون در رویکردهای سه‌گانه مذکور، این اختیار و آزادی است که شاخص اساسی استو با حذف آن از ساحت انسان، او از انسانیت ساقط می‌شود؛ از این‌روست که یکی از مدخل های اگزیستانسیالیسم و جریان‌های پست‌مدرن، اومانیسم و سوبژکتیویسم مدرن است؛ انسان در کانون توجه قرار گرفته، پیش‌داوری‌ها و پیش‌فرض‌هایش تعیین‌کننده‌اند و از سوی دیگر، تبیین‌های فلسفی به نفع اختیار و آزادی او یا دستکم زیر سایه سنگین آن، نمود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عین اثرپذیری از محیط، بسترها و شرایط اجتماعی، مقهور محض آنها نیست و چنان‌که در جریان‌های ساختارشکنانه پست مدرن و نیز مارکسیسم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Kearney, 1996, pp.341-343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مشهود است، در مقام تفسیر و دگرگونی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زمینه ها، شرایط، سنت‌ها و فرهنگ‌ها را از منظر خود، تفهم میکند؛ </w:t>
      </w:r>
    </w:p>
    <w:p>
      <w:pPr>
        <w:pStyle w:val="BookText"/>
        <w:rPr/>
      </w:pPr>
      <w:r>
        <w:rPr>
          <w:rFonts w:ascii="IRNazanin" w:hAnsi="IRNazanin" w:eastAsia="IRNazanin"/>
          <w:color w:val="111111"/>
          <w:sz w:val="28"/>
          <w:sz w:val="28"/>
          <w:szCs w:val="28"/>
          <w:rtl w:val="true"/>
          <w:lang w:bidi="fa-IR"/>
        </w:rPr>
        <w:t>چنان‌که زیبایی شناسی مدرن، بر این مدعا صحه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طرح گادامر در امتزاج افقها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Thiselton, 1979, pp.307-308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تلاشی است در جهت اعاده جایگاه اعیان در برابر سوبژکتیویسمِ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مشاهده کردیم، بیشتر شاخصه‌های جریان قاره‌ای، در قالب تقابل با علم‌گرایی، تمرکز بر علوم طبیعی و روش های پسینی تعین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قاره‌ای‌ها، تجلی مدخلیت آگاهی بشری را در فرایند فلسفه ورزی، در قالب کارکردهای اخلاقی و سیاسی او در دو عرصه فردی و اجتماعی ارزیابی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قاره‌ای و به طور برجسته مارکسیستها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Kearney, pp.161-165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 بدانجا پیش می‌روند که عملکرد فلسفه در تاریخ اندیشه را با این دعوی به نقد می‌کشند که منحصر در تفسیر عالم است؛ حال آنکه به پندار اینان یا اهالی اگزیستانسیالیسم، این تغییر عالم است که باید در دستور کار قرار گرفته، دنبال شود، تا نقش آگاهی بشری و ظرفیت‌های آن، خودنمایی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ویژگی سنت قاره‌ای نیز که اکنون در پی تبیین آن‌ایم، نمایانگر صورتی دیگر از همین دعوی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فلسفه‌های قاره‌ای، برنتافتن اتهام فلسفه به ناتوانی و ناکارآمدی و اِفلاس، زیر عناوین تناقض گویی است؛ امری که عالمان علوم طبیعی یا تجربی با استناد به دلیل حاضر و نیز پیشرفت‌ها و موفقیت‌های این علوم،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ایدئالیسم آلمانی و از سوی دیگر جنبش پدیدارشناسی، همواره کوشیدند بر این امر اصرار ورزند که مدعای اصیل و سنتی فلسفه،یعنی تعریف آن به عنوان علمی پیشینی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 priori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بنیادی و اولی، مستحکم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هوسرلی در ساحتی بین الاذهانی، یعنی زیست جهانی تجلی می‌یابد که در فرایند قصدیت و به واسطه آگاهی، در کانون توجه قرار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pp.15-20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قاره‌ای‌ها به فلسفه ورزی اصیل که همانا با کلیات و نه امور جزئی، سروکار دارد و از سوی دیگر به مسائلی میپردازد که متعلق عقل اند و نه قوای نازل، پایبندیِ انکارناشدنی دارند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خصوص شاخصه های جریان تحلیلی، موارد ذیل را می‌توان برشمرد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بر مفهوم صدق و معنا به عنوان دغدغه ای محوری در غالب فلسفه‌های تحلیلی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Martinich, 2001, pp.61-70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مندی در قالب طرح مسائل منهای پراکندگی و ابهام؛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تاریخ‌گریزی یا دست‌کم، گرایشِ حداقلی به تاریخ و تاریخی‌نگری؛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رویکرد معرفت شناختی و تسری دست آوردهای معرفتی به سایر امور و شاخه 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استدلال و مدخلیت مباحث استدلالی در تبیین امور و در نهایت وضوح و عینیتی که به تعبیری شاید گم‌شده غالب جریان‌های قاره‌ای بوده، مورد توجه تحلیلی‌ها در نظریه‌پردازی و جمع‌بندی مباحث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ویژگی‌های حاضر برمی‌آید، عقلانیت، دغدغه‌ای محوری برای تمام رخدادهای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تعمق در این شاخصه‌ها، گونه‌ای وحدت رویه در عملکردهایشان مشهود است که در تقابل با گریزهای پراکنده و در عین حال گوناگونِ قاره‌ای‌ها به مباحث محتواییِ مختلف،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غالب تحلیلی‌ها بر عنصر وضوح است که در قالب نقادیِ پیچیدگی‌های زبانی و فراروی از مرزبندی های مشخص، نمایان می‌گردد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واکاوی هسته های نخستین فلسفه تحلیلی در قالب یک جریان یا مکتب، باید به سال‌های آغازین دهه‌های شصت و هفتاد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اوان دهه‌های شصت و هفتاد، به ترتیب، جریان‌هایی با محوریت زبان متعارف و صوری، زیر عنوان فلسفه تحلیلی سر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 عبور از دهه هفتاد، زبان از کانون توجه اندیشمندان تحلیلی خارج میشود و در دهه هشتاد، دیگر زبان، دغدغه همیشگی و تعیین‌کننده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اخیر و پس از آن را باید غلبه فلسفه ذهن و ملزومات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جهت است که با سایر نحله های فلسفی پیوند خورده، تنوعِ موضوعی را در دستور کار قرار می‌دهد و چه بسا تأکید بر تحلیل و ایضاح در کنار بسطِ موضوعی است که در نهایت بسط معرفت و برطرف‌شدن بسیاری از ابهامات را در فلسفه های تحلیلی در قیاس با سایر </w:t>
      </w:r>
      <w:bookmarkStart w:id="302" w:name="pg5923_64996"/>
    </w:p>
    <w:p>
      <w:pPr>
        <w:pStyle w:val="BookText"/>
        <w:rPr/>
      </w:pPr>
      <w:bookmarkEnd w:id="302"/>
      <w:r>
        <w:rPr>
          <w:rFonts w:ascii="IRNazanin" w:hAnsi="IRNazanin" w:eastAsia="IRNazanin"/>
          <w:color w:val="111111"/>
          <w:sz w:val="28"/>
          <w:sz w:val="28"/>
          <w:szCs w:val="28"/>
          <w:rtl w:val="true"/>
          <w:lang w:bidi="fa-IR"/>
        </w:rPr>
        <w:t>جهت گیری های حوزه اندیشه و نیز مکاتب فلسفی، در پی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باهمه این نکات، همچنان از نظر دور نمیداریم که نقادی متافیزیک و تأکید بر زبان و کارایی و شاخصه های آن، دو عنصر و دغدغهکلیدی برای بانیان جریان تحلیلی بوده و هست، اگرچه در مقاطع تاریخی مختلف، این شاخصه‌ها درخصوص نمود و برجستگی، مشمول شدت و ضعف بوده‌اند؛ بدین‌معناکه در برهه‌ای حاکمیت تام و تمام داشته، در مقطعی دیگر با نمود کمتری مطرح بوده اندیادست کم دغدغه محوری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برخی از اندیشمندان حوزه قاره‌ای چون کانت و هایدگر نیز به نقادی متافیزیک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چنانکه گذشت، عده‌ای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جهت تقریب جریانهای تحلیلی و قاره ای و برداشتن مرزبندی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امثال فرگه ریشه های تفکر تحلیلی را در آلمان واکاوی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حتی قصدیتِ هوسرل را نیز در این امر دخیل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به پیشتر بازگردیم، کانت حتی لایب‌نیتز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بحث گزاره‌ها و اقسام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جرگه تأثیرگذاران در جریان تحلیلی،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شاید بتوان اینگونه نتیجه‌گیری کرد که میتوان فیلسوفی قاره ای بود، با تمام شاخصه های محتوایی‌اش، اما در عین حال با داشتن دغدغه‌های زبانی و اهمیت دادن به عناصر استدلال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Argument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موجه بودن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Justification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متن مباحث و نظریات، تحلیلی نگریست و تحلیلی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فرضِ نخستین و در عین حال اساسیِ چنین مدعایی، این است که فلسفه تحلیلی را روشی خاص در فلسفیدن و نگاه به مسائل فلسفی بدانیم، نه اینکه با روش یا محوریت مسئله‌ای خاص، در پی تعریف انحصاری آن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زاویه نیز میتوان به جریان قاره‌ای نگریست، تا محدوده انفکاک این دو جریان، تنگتر و زمینه تقریب، فراهم گردد</w:t>
      </w:r>
      <w:r>
        <w:rPr>
          <w:rFonts w:eastAsia="IRNazanin" w:cs="IRNazanin"/>
          <w:color w:val="111111"/>
          <w:sz w:val="28"/>
          <w:szCs w:val="28"/>
          <w:rtl w:val="true"/>
          <w:lang w:bidi="fa-IR"/>
        </w:rPr>
        <w:t>.</w:t>
      </w:r>
    </w:p>
    <w:p>
      <w:pPr>
        <w:pStyle w:val="Heading3"/>
        <w:numPr>
          <w:ilvl w:val="2"/>
          <w:numId w:val="1"/>
        </w:numPr>
        <w:rPr/>
      </w:pPr>
      <w:bookmarkStart w:id="303" w:name="__RefHeading___Toc5522730_581953129"/>
      <w:bookmarkStart w:id="304" w:name="_Toc108"/>
      <w:bookmarkEnd w:id="303"/>
      <w:r>
        <w:rPr/>
        <w:t>2</w:t>
      </w:r>
      <w:r>
        <w:rPr>
          <w:rtl w:val="true"/>
        </w:rPr>
        <w:t xml:space="preserve">. </w:t>
      </w:r>
      <w:r>
        <w:rPr>
          <w:rtl w:val="true"/>
        </w:rPr>
        <w:t xml:space="preserve">فلسفه زبان قاره ای </w:t>
      </w:r>
      <w:r>
        <w:rPr>
          <w:rtl w:val="true"/>
        </w:rPr>
        <w:t>(</w:t>
      </w:r>
      <w:r>
        <w:rPr/>
        <w:t>Continental Philosophy of language</w:t>
      </w:r>
      <w:r>
        <w:rPr>
          <w:rtl w:val="true"/>
        </w:rPr>
        <w:t>)</w:t>
      </w:r>
      <w:bookmarkEnd w:id="304"/>
    </w:p>
    <w:p>
      <w:pPr>
        <w:pStyle w:val="Heading4"/>
        <w:numPr>
          <w:ilvl w:val="3"/>
          <w:numId w:val="1"/>
        </w:numPr>
        <w:rPr/>
      </w:pPr>
      <w:bookmarkStart w:id="305" w:name="__RefHeading___Toc5522732_581953129"/>
      <w:bookmarkStart w:id="306" w:name="_Toc109"/>
      <w:bookmarkEnd w:id="305"/>
      <w:r>
        <w:rPr>
          <w:rtl w:val="true"/>
        </w:rPr>
        <w:t>اشاره</w:t>
      </w:r>
      <w:bookmarkEnd w:id="30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صبغه تحلیلی، نخستین امری است که بر ساحت ذهن مخاطبان یا اندیشمندان، پس از مواجهه با اصطلاح فلسفه زبان،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فلسفه زبان را با درونمایه تحلیلی اش </w:t>
      </w:r>
      <w:bookmarkStart w:id="307" w:name="pg5923_64997"/>
    </w:p>
    <w:p>
      <w:pPr>
        <w:pStyle w:val="BookText"/>
        <w:rPr/>
      </w:pPr>
      <w:bookmarkEnd w:id="307"/>
      <w:r>
        <w:rPr>
          <w:rFonts w:ascii="IRNazanin" w:hAnsi="IRNazanin" w:eastAsia="IRNazanin"/>
          <w:color w:val="111111"/>
          <w:sz w:val="28"/>
          <w:sz w:val="28"/>
          <w:szCs w:val="28"/>
          <w:rtl w:val="true"/>
          <w:lang w:bidi="fa-IR"/>
        </w:rPr>
        <w:t>می شناسند و رویکرد تحلیلی با فلسفه زبان،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اگر قائل به نگاهی فرانگر، دستگاهی یا کل گرایانه، نباشیم و مرزبندی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جریان‌های قاره‌ای و تحلیلی را لحاظ نماییم، افرادی چون راسل، فرگه و کواین از چارچوب اندیشمندان حوزه فلسفه زبان تحلیلی خارج میشوند، اگرچه به لحاظ تطبیق محتوایی دو جریان قاره‌ای و تحلیلی، همچنان تحلیلی اند؛ چراکه دغدغه‌های آنها در پرداختن به مقوله زبان، به این جریان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پاره‌ای از تعابیر مفسران، فرگه علی‌رغم آلمانی‌بودن در زمره بانیان فلسفه تحلیلی انگاشته می‌شود، شاهدی بر مدعای حاضر است؛ لذا جهت‌گیری‌های خاص فکری فرگه است که مرزبندی‌های جغرافیایی میان رخدادهای تحلیلی و قاره‌ای را پشت سر گذاشته، او را در سنت تحلیلی،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ما این است که فلسفه زبان، دغدغه اندیشمندان حوزه قاره‌ای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با رویکردهای خاص خود به مقوله زبان پرداخته، جهت‌گیری‌های خاص خودشان را دارند که آنها را از فلسفه زبان تحلیلی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زبان قاره‌ای برایند تلقی خاص اندیشمندان این حوزه به مقوله زبان است</w:t>
      </w:r>
      <w:r>
        <w:rPr>
          <w:rFonts w:eastAsia="IRNazanin" w:cs="IRNazanin"/>
          <w:color w:val="111111"/>
          <w:sz w:val="28"/>
          <w:szCs w:val="28"/>
          <w:rtl w:val="true"/>
          <w:lang w:bidi="fa-IR"/>
        </w:rPr>
        <w:t>.</w:t>
      </w:r>
    </w:p>
    <w:p>
      <w:pPr>
        <w:pStyle w:val="Heading4"/>
        <w:numPr>
          <w:ilvl w:val="3"/>
          <w:numId w:val="1"/>
        </w:numPr>
        <w:rPr/>
      </w:pPr>
      <w:bookmarkStart w:id="308" w:name="__RefHeading___Toc5522734_581953129"/>
      <w:bookmarkStart w:id="309" w:name="_Toc110"/>
      <w:bookmarkEnd w:id="308"/>
      <w:r>
        <w:rPr/>
        <w:t>1-2</w:t>
      </w:r>
      <w:r>
        <w:rPr>
          <w:rtl w:val="true"/>
        </w:rPr>
        <w:t xml:space="preserve">. </w:t>
      </w:r>
      <w:r>
        <w:rPr>
          <w:rtl w:val="true"/>
        </w:rPr>
        <w:t>تطبیق و تفاوت</w:t>
      </w:r>
      <w:bookmarkEnd w:id="30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اگر در مقام مقایسه دو جریان فلسفه زبان تحلیلی و قاره‌ای برآییم، از حیث تطبیق محتوایی، عناصری نمایان خواهند شد که، بیشک، از متن اصلیترین ویژگی های دو فلسفه قاره‌ای و تحلیلی، سر بر آورده اند؛ ویژگی‌هایی که پیش از این بدان‌ها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صاحب نظر در فلسفه زبان قاره ای، علمگرایی بی‌چون وچرا و محض تحلیلی ها و تعمیم آن به قلمرو زبان را برنمی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معنا، به واسطه گزاره‌ها با فلسفه زبان و دغدغه‌های اصیل آن درمی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هیومی، جز ریاضیات و منطق و قلمرو تجربه را برنمیتافت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تحلیلی‌ها، ریشه این مسئله را در هیوم یافته، بر اساس همان مبانی، نقادی گزاره‌های کانت را در دستور کار قرار دادند تا در نهایت، معیار تحقیق‌پذیری یا اثبات‌پذیری، محدوده معنا را برای پوزیتیویست‌های منطقی تجربی‌انگار، به محدوده عالم واقع و تجربی محدود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ابطال پذیری پوپری در چارچوب سنت قاره‌ای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مرزبندی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سنت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بساط منحصرکردن معنا در قالب‌های تجربی و علمی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مقدم‌دانستن نظریه بر فرضیه و تسری اصول موضوعه به عرصه معناداری و پررنگ‌ترکردن جایگاه فرد با عناصر و قالبهای ذهنی‌اش، کانت گونه، جایگاه امور پیشینی را در حصول معناداری گزاره‌ها اعاده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او تثبیت نظریه چراغی ذهن به عنوان کانون اصول موضوعه، عناصر پیشینی یا همان نظریات، به جای نظریه کشکولی پوزیتیویست‌های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عنصر پیشینی، حلقه مفقوده غالب رویکردهای تحلیلی در حوزه فلسفه زبان و معناداری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وجود برخی از رگه‌های کانت ستیزانه در اندیشه‌های نخستین ویتگنشتاین و مبانی رساله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در باب ساختار گزاره‌ها و ملاک معناداری و صدق بود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Wittgenstein, 1961, p.19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اعضای حلقه وین را مجاب کرد دعاوی خود را ملهم از اندیشه‌های نخستین ویتگنشتاین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به‌هرروی، گزاره‌ها و معناداریشان، از مباحث محوری فلسفه زبان تحلیلی اند که صبغه تجربه محور آنها که در علم‌گرایی نمود یافته، غلبه و نمود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اندیشمندان قاره‌ای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لحاظ مرزبندی جغرافیایی با تحلیلی، پوپر را مثال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فاعل شناسا، بهای فراوانی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فلسفه زبان، میتوان از گادامر یاد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وجود تفاوت‌های آشکار و انکارناشدنی در محتوا و خط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طریقی را در اهمیت‌بخشی به عناصر فراعینی یا پیشینی در قالب پیش داوری ها و پیش‌فرض های سوژه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Gadamer, 1994, p.277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پیماید که پوپر در رجحان نظریه بر فرضیه و قلمرو تجربی، پیموده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رویکردهای متافیزیکی، اندیشمندان حوزه قاره ای، در برابر دغدغه‌های کمتر علمی آنها، در حوزه مباحث زبانی و معناداری، راه را برای جولان بیشتر فاعل شناسا که کانون عناصر پیشینی در برابر عناصر علمی و تجربی اعیان است، هموارتر نموده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دومین زمینه تطبیق فلسفه‌های زبان تحلیلی و قاره ای را نتیجه مورد نخست، در اختیار می نهد؛ با این مدعا که متافیزیک ستیزی یا دست کم متافیزیک‌گریزی، نزد تحلیلی ها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 بیشتر یا آشکارتری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تأکید تحلیلی ها بر اهمیت ایضاح، یکی از عوامل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روحیه علم‌گرایی را با مباحث متافیزیکی سازگاری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به همین دلیل است که از پوزیتیویست های منطقی و ویتگنشتاین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دوره تفکرش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مباحث جدید فلسفه ذهن و علوم شناختی، هیچیک، روی خوشی به متافیزیک نشان نداده‌اند و همگی در مقام علم‌محوری، آن را زیر عناوین غیرعلمی‌بودن، یا بی‌معنا انگاشته یا غیرممکن و مطرود دانسته اند یا جایگاهش را به سطوح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تثبیت مبانی یا درمانگری فروکاسته‌اند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گرایی کواین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Martinich, 2001, pp.225-227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حوزه علوم شناختی و تلقی ویتگنشتاین از متافیزیک در ادوار تفکرش، گواهی بر مدعای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شأنیت متافیزیک و فلسفه‌ورزی، زیر سایه علمگرایی، یا رنگ باخته یا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فلسفه زبان قاره‌ای تثبیت مکاتبی چون هرمنوتیک، پدیدارشناسی، فلسفه تاریخ و فلسفه فرهنگ، شأن و جایگاه متافیزیکی زبان را در برابر محصورنمودن آن در قوالب علمی محفوظ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ساحت فلسفه تحلیلی زبان، گویی علم و تجربه اند که تعیین کننده نهایی در تئوری های معناداری به عنوان جریان غالب در فلسفه زبان اند؛ به همین دلیل گزاره‌های متافیزیکی و اخلاقی که با محک تجربه قرار است سنجیده شوند، به حاشیه رانده میشوند؛ در حالی که فلسفه زبان قاره‌ای، مباحث اصیل متافیزیکی را در دستور کار قرار می‌دهد که در بسیاری از موارد، اگر نگوییم که جنبه کاملاً غیرعلمی داشته یا ارتباطی بدان ندارند، می‌شود گفت که فراعلمی، مستقل و اصیل اند؛ بدین معناکه زبان و معنا، مشمول نگاه های تک بعدی علمی قرار نگرفته، درهم‌تنیدگی‌شان با مقولاتی چون تاریخ، سنت و فرهنگ، ابعاد بیشتری بدان ها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پلورالیسم دال‌ها یا معانی در دریدا و تفاوت فهم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Gadamer, 1994, p.297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معانی در گادامر، نمونه های خوبی برای این مسئله‌اند؛ اما دقیقاً همین شاخصه قاره ای هاست که آنان را در معرض اتهام پراکنده گویی و عدم تبیین سیستماتیک از سوی حوزه تحلیلی،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زبان تحلیلی، به زبان، درون‌مایه ای علمی بخشیدند و طریق حصول معرفت را در پرتو همین نگاه محدود، انحصاری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زبان نزد اندیشمندان حوزه </w:t>
      </w:r>
      <w:bookmarkStart w:id="310" w:name="pg5923_65000"/>
    </w:p>
    <w:p>
      <w:pPr>
        <w:pStyle w:val="BookText"/>
        <w:rPr/>
      </w:pPr>
      <w:bookmarkEnd w:id="310"/>
      <w:r>
        <w:rPr>
          <w:rFonts w:ascii="IRNazanin" w:hAnsi="IRNazanin" w:eastAsia="IRNazanin"/>
          <w:color w:val="111111"/>
          <w:sz w:val="28"/>
          <w:sz w:val="28"/>
          <w:szCs w:val="28"/>
          <w:rtl w:val="true"/>
          <w:lang w:bidi="fa-IR"/>
        </w:rPr>
        <w:t>قاره‌ای با تاریخ، سنت، فرهنگ، هنر و سایر بسترهای مطرح در متافیزیک گره خورد تا از همین رهگذر، طریق انحصاری حصول معرفت از حال و هوای علمی بیرون آمده، گسترش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 باید گفت که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بسیاری از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زبان تحلیلی را عبور از نظام متافیزیکی‌ای بینگاریم که در هیئت هگلی رخ نمایان ساخته بود، فلسفه زبان قاره‌ای در قرن بیستم با تأکید بر فرهنگ، سنت و آگاهی تاریخی به عنوان جریان غالب مکاتب حاکم، طریقی زمینه‌گرایانه پیموده، هر آنچه را فلسفه تحلیلی زیر عنوان مباحث متافیزیکی وانهاده بود،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زبان تحلیلی، جز در موارد معدودی چون ویتگنشتاین دوم که با غالب مشخصه های مکاتب حاضر در فلسفه زبان قاره ای در قرن بیستم قرابت محتوایی دارد، با علم گرایی مشهود و تأکید بر تأثیر اعیان و قلمرو تجربه، یا در پی استقلال از متافیزیک بوده یا در جهت عبور از آن و در مواردی حذف آن، گام برمی دارد؛ اما در فلسفه زبان قاره ای، تکثر و تنوع طرق حصول معرفت از یک سو و پررنگ ترشدن جایگاه انسان به واسطه مدخلیت عناصر معرفتی اش در حصول معنا از سوی دیگر، در کنار حفظ استقلال و شأنیت متافیزیک، مجالی برای علم‌گرایی محض باقی نمیگذارند</w:t>
      </w:r>
      <w:r>
        <w:rPr>
          <w:rFonts w:eastAsia="IRNazanin" w:cs="IRNazanin"/>
          <w:color w:val="111111"/>
          <w:sz w:val="28"/>
          <w:szCs w:val="28"/>
          <w:rtl w:val="true"/>
          <w:lang w:bidi="fa-IR"/>
        </w:rPr>
        <w:t>.</w:t>
      </w:r>
    </w:p>
    <w:p>
      <w:pPr>
        <w:pStyle w:val="Heading4"/>
        <w:numPr>
          <w:ilvl w:val="3"/>
          <w:numId w:val="1"/>
        </w:numPr>
        <w:rPr/>
      </w:pPr>
      <w:bookmarkStart w:id="311" w:name="__RefHeading___Toc5522736_581953129"/>
      <w:bookmarkStart w:id="312" w:name="_Toc111"/>
      <w:bookmarkEnd w:id="311"/>
      <w:r>
        <w:rPr/>
        <w:t>2-2</w:t>
      </w:r>
      <w:r>
        <w:rPr>
          <w:rtl w:val="true"/>
        </w:rPr>
        <w:t xml:space="preserve">. </w:t>
      </w:r>
      <w:r>
        <w:rPr>
          <w:rtl w:val="true"/>
        </w:rPr>
        <w:t>محدوده تاریخی، جغرافیایی، محتوایی</w:t>
      </w:r>
      <w:bookmarkEnd w:id="31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دغدغه مشترک اندیشمندان دو حوزه قاره‌ای و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جهت‌گیری‌ها و شاخصه‌های متفاوت خاص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منظر جغرافیایی و محتوایی می‌توان برای فلسفه زبان قاره‌ای، محدوده و دایره شمول، تصور کرد؛ امری که در فلسفه زبان تحلیلی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تعبیر قاره‌ای، نخستین‌بار در نیمه دوم قرن بیستم و در مقام انفکاک از جریان همروزگارش، یعنی سنت تحلیلی، مطرح شده و جا افتاده است؛ از این‌رو، موجه‌تر آن است که محدوده جغرافیایی فلسفه زبان قاره‌ای را قرن بیستم تلقی کنیم؛ اگرچه مطابق تفاسیری، زایش این سنت به کانت و ایدئالیسم پس از آن برمی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قائل به چنین انعطافی در مرزبندی‌های جغرافیایی باشیم، حتی میتوان ریشه‌های مباحث زبانی را در افلاطون، ارسطو و پس از آن آگوستین نیز واکاوی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بر </w:t>
      </w:r>
      <w:bookmarkStart w:id="313" w:name="pg5923_65001"/>
    </w:p>
    <w:p>
      <w:pPr>
        <w:pStyle w:val="BookText"/>
        <w:rPr/>
      </w:pPr>
      <w:bookmarkEnd w:id="313"/>
      <w:r>
        <w:rPr>
          <w:rFonts w:ascii="IRNazanin" w:hAnsi="IRNazanin" w:eastAsia="IRNazanin"/>
          <w:color w:val="111111"/>
          <w:sz w:val="28"/>
          <w:sz w:val="28"/>
          <w:szCs w:val="28"/>
          <w:rtl w:val="true"/>
          <w:lang w:bidi="fa-IR"/>
        </w:rPr>
        <w:t>مبنای قرن بیستمی تفکیک سنتهای قاره‌ای و تحلیلی به مقوله حاضر بنگریم، می‌توان چنین پرسشی را مطرح کرد که آیا این‌چنین مباحث زبانی در سنت یونانی، به لحاظ محتوایی، درونمایه‌ای تحلیلی دارد یا با شاخصه های اندیشمندان فلسفه زبان قاره‌ای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اشاره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سازگارترند؟ مسئله ای که پیگیری آن از چاچوب گفتار حاضر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هرروی مبنای ما در سخن از فلسفه زبان قاره ای، به لحاظ جغرافیایی و تاریخی، سده های هجدهم تا بیستم است که آلمان، فرانسه، آمریکا و در کل قلمرو غیرآنگلوساکسون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و هردر آلمانی در قرن هجدهم پیشگام مباحث زبانی در سنت قاره‌ای‌اند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سیر را می‌توان تا قرن بیست ویکم در گادامر به عنوان آخرین و برجسته‌ترین حلقه از این زنجیره فلسفه زبانی ردیابی کرد؛ اما به لحاظ محتوایی و آکادمیک، سه قرن مورد ادعا، عرصه تجلی مکاتب و نحله های متنوعی در سنت قاره ای بوده است که هر یک به نوعی به زبان پرداخته‌اند؛ بدین‌معناکه برخی از آنها درونمایه ای کاملاً زبانی داشته، برخی دیگر به مباحثی پرداخته‌اند که بی‌ارتباط با فلسفه زبان نیست؛ اما اصلی‌ترین مکاتب و جریان‌ها و اندیشمندانی که در این محدوده زمانی تعریف شده، درون فلسفه زبان قاره‌ای، جای می‌گیرند،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تاریخ و فلسفه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و هردر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 فرانکفورت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هورکهایمر، مارکوزه، آدورنو و هابرماس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پست مدرنیسم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 لیوتار، بودریار و رورتی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هرمنوتیک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شلایرماخر، دیلتای، هایدگر، گادامر و 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پدیدارشناسی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هوسرل و مرلوپونتی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اگزیستانسیالیسم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سوسور، لاکان و 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پساساختارگرایی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فوکو، دریدا و دولوز</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4" w:name="__RefHeading___Toc5522738_581953129"/>
      <w:bookmarkStart w:id="315" w:name="_Toc112"/>
      <w:bookmarkEnd w:id="314"/>
      <w:r>
        <w:rPr/>
        <w:t>3-2</w:t>
      </w:r>
      <w:r>
        <w:rPr>
          <w:rtl w:val="true"/>
        </w:rPr>
        <w:t xml:space="preserve">. </w:t>
      </w:r>
      <w:r>
        <w:rPr>
          <w:rtl w:val="true"/>
        </w:rPr>
        <w:t>شاخص</w:t>
      </w:r>
      <w:bookmarkEnd w:id="315"/>
    </w:p>
    <w:p>
      <w:pPr>
        <w:pStyle w:val="BookText"/>
        <w:rPr/>
      </w:pPr>
      <w:r>
        <w:rPr>
          <w:rFonts w:ascii="IRNazanin" w:hAnsi="IRNazanin" w:eastAsia="IRNazanin"/>
          <w:color w:val="111111"/>
          <w:sz w:val="28"/>
          <w:sz w:val="28"/>
          <w:szCs w:val="28"/>
          <w:rtl w:val="true"/>
          <w:lang w:bidi="fa-IR"/>
        </w:rPr>
        <w:t>بر اساس کدام معیارها می‌توان از فلسفه زبان قاره‌ای سخن گفت؟ فارغ از مرزبندی جغرافیایی، چه نوآوری‌هایی از حیث محتوایی، فرضیه تحقق فلسفه زبان قاره‌ای را تقویت می‌کند؟ آیا فلسفه زبان قاره‌ای، رهیافتی کاملاً بدیع دارد یا جریان‌سازی‌اش به دخل و تصرف در مبانی ازپیش تثبیت‌شده فلسفه زبان تحلیلی محدود میشود؟ آیا مبانی ویتگنشتاین متأخر در فلسفه زبان، مثال نقضی، لازم و کافی برای مخدوش کردن داعیه استقلال محتوایی فلسفه زبان قاره‌ای و نوآوریهای آن است؟ نیل به فلسفه زبان قاره ای، چالش مسائلی از این‌دست را با خود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مواحهه با مسائل حاضر و اقدام در جهت پاسخ گویی بدان‌ها، بستگی تام و تمام به نوع زاویه دید و نقطه آغاز مواجهه دارد؛ لذا اینکه نقطه آغاز تاریخی و جغرافیایی فلسفه‌های زبان قاره‌ای و به خصوص تحلیلی را از چه قرنی و با محوریت کدام اندیشوران فرض کنیم و چه ویژگی‌هایی برای این دو سنت بزرگ در نظر گرفته باشیم، همه و همه در محصول نهایی، اثرگذار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 آن است که تفکر را شبکه‌ای یکپارچه انگاشته، با نگاهی تاریخی و فرانگر، از خط کشی‌های غالباً ناموجه نحل های، زمانی، جغرافیایی و فردی که با نگاه دستگاهی منافات دارد، استنکاف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تعبیر فلسفه زبان قاره‌ای، مولود اخذ چنین رویکردی است؛ یعنی غلبه بر مرزبندی‌ها و دوگانه‌انگاری‌ها در قالب نگاه سطحی، خرد و جزئی و ارزیابی افراد و مکاتب بر مبنای همسویی‌هایی که آنها را در قالب یک کل واحد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واحدی که برآمده از نگاهی کلان و فرانگر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کدام مقاطع زمانی، مکاتب و اندیشمندان را در قالب شبکه‌ای واحد انگاشته، می‌توان با نگاهی فرانگر، فلسفه زبان قاره‌ای را برایند چنین نگاهی بدانها، دانست؟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پیش از این اشاره گردید، در ردیابی این مسئله، حتی میتوان به افلاطون و ارسطو در یونان باستان و آگوستین در قرون وسطی نیز بازگشت؛ اما اگر مبنای تفکیک جغرافیایی و محتوایی قرن بیستم میان جریان‌های قاره‌ای و تحلیلی را لحاظ کنیم، می‌توان هامان و هردر را در قرن هجدهم، نقطه آغاز فلسفه زبان قاره‌ای و گادامر را یکی از مراحل پایان آن در قرن بیست ویکم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 مجموعه ای هشت گانه، به مکاتب و </w:t>
      </w:r>
    </w:p>
    <w:p>
      <w:pPr>
        <w:pStyle w:val="BookText"/>
        <w:rPr/>
      </w:pPr>
      <w:r>
        <w:rPr>
          <w:rFonts w:ascii="IRNazanin" w:hAnsi="IRNazanin" w:eastAsia="IRNazanin"/>
          <w:color w:val="111111"/>
          <w:sz w:val="28"/>
          <w:sz w:val="28"/>
          <w:szCs w:val="28"/>
          <w:rtl w:val="true"/>
          <w:lang w:bidi="fa-IR"/>
        </w:rPr>
        <w:t>فیلسوفان حاضر در این محدوده تعریف‌شده،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قالب مکاتب و اندیشمندان مذکور، ضمن یادآوری سه مورد پیشین از شاخصه های فلسفه زبان قاره ای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و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کرده بودیم، ادامه موارد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علم گرایی؛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پایبندی به متافیزیک و مسائل اصیل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و تکثر شرایط حصول معرفت؛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تاریخ در قالب تاریخی نگری؛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مندی زبان؛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دوری از مطلق انگاری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عناصر 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داوری ها و پیش فرض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عناصر برون‌معرفتی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عرف، سنت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زمینه‌گرایی؛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به ارتباطات بین رشته‌ای و ارتباط دوسویه با سایر دانش ها؛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یافتن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کارکرد و کنش یا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نگاه هستی‌شناختی؛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تطور و دگرگونی تئوری های حقیقت؛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گرایی؛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اجتماعی‌شدن زبان؛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اهمیت‌یافتن مفهوم بین الاذهان؛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سیالیت و انعطاف زبان؛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تثبیت شاخصه بیانگری زبان در برابر نشانگری آن؛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 از زبان در قالب محصولی فرهنگی؛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درهم تنیدگی زبان با مفاهیم شکل و طریق زندگی؛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تلاقی زبان با مقوله هرمنوتیک و فهم؛ </w:t>
      </w:r>
      <w:bookmarkStart w:id="316" w:name="pg5923_65004"/>
    </w:p>
    <w:p>
      <w:pPr>
        <w:pStyle w:val="BookText"/>
        <w:rPr/>
      </w:pPr>
      <w:bookmarkEnd w:id="316"/>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تلاقی زبان با مفهوم رخداد؛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تلاقی زبان با مفهوم چشم انداز؛</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بنیادگرایی؛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 از زبان به عنوان نحوه ای از هستی</w:t>
      </w:r>
      <w:r>
        <w:rPr>
          <w:rFonts w:eastAsia="IRNazanin" w:cs="IRNazanin"/>
          <w:color w:val="111111"/>
          <w:sz w:val="28"/>
          <w:szCs w:val="28"/>
          <w:rtl w:val="true"/>
          <w:lang w:bidi="fa-IR"/>
        </w:rPr>
        <w:t>.</w:t>
      </w:r>
    </w:p>
    <w:p>
      <w:pPr>
        <w:pStyle w:val="Heading4"/>
        <w:numPr>
          <w:ilvl w:val="3"/>
          <w:numId w:val="1"/>
        </w:numPr>
        <w:rPr/>
      </w:pPr>
      <w:bookmarkStart w:id="317" w:name="__RefHeading___Toc5522740_581953129"/>
      <w:bookmarkStart w:id="318" w:name="_Toc113"/>
      <w:bookmarkEnd w:id="317"/>
      <w:r>
        <w:rPr/>
        <w:t>4-2</w:t>
      </w:r>
      <w:r>
        <w:rPr>
          <w:rtl w:val="true"/>
        </w:rPr>
        <w:t xml:space="preserve">. </w:t>
      </w:r>
      <w:r>
        <w:rPr>
          <w:rtl w:val="true"/>
        </w:rPr>
        <w:t>ملاحظات</w:t>
      </w:r>
      <w:bookmarkEnd w:id="318"/>
    </w:p>
    <w:p>
      <w:pPr>
        <w:pStyle w:val="BookText"/>
        <w:rPr/>
      </w:pPr>
      <w:r>
        <w:rPr>
          <w:rFonts w:ascii="IRNazanin" w:hAnsi="IRNazanin" w:eastAsia="IRNazanin"/>
          <w:color w:val="111111"/>
          <w:sz w:val="28"/>
          <w:sz w:val="28"/>
          <w:szCs w:val="28"/>
          <w:rtl w:val="true"/>
          <w:lang w:bidi="fa-IR"/>
        </w:rPr>
        <w:t>اگر کل تاریخ تفکر، از یونان باستان تا قرن بیست ویکم، را سناریویی فرض کنیم که در قالب اندیشه‌های فیلسوفان متبلور شده است، بی‌شک، یکی از اصلی‌ترین بازیگران این سناریو که در مقاطع بیشماری از تاریخ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دو قرن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بازیگر نقش اصلی، ظاهر شده، سایر جوانب این سناریو را نیز تحت الشعاع خود قرار داده است، مقوله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حاضر، به اینکه با نگاهی کل گرایانه و دستگاهی، مرزبندی‌های زمانی و نحله‌ای در تاریخ فلسفه را برنتافته یا بدان قائل باشیم،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زبان، در متن سنت تحلیلی و قاره‌ای حضوری پررنگ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گفتار کوشیدیم ضمن مقایسه دو سنت تحلیلی و قاره‌ای از حیث جهت‌گیری هایشان در فلسفه زبان، شاخصه های سنت قاره‌ای را در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محور، آن‌قدر برجسته و مهم جلوه دهیم تا بتوان با اتکای بدان، حوزه‌ای جدید تحت عنوان فلسفه زبان قاره‌ای تعریف کنیم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سده های نوزدهم و بیستم، جریان قاره ای فلسفه زبان، با تمام نوآوری هایش در این حوزه، به دلیل غلبه، حاکمیت و اشاعه سنت تحلیلی، مغفول مانده و کمتر بدان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باور بسیاری از تحلیل گران در ایران نیز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مقوله فلسفه زبان که بگذریم و بر خود سنت های قاره ای و تحلیلی تمرکز کنیم، خواهیم دید که این نادیده‌انگای، به طریق اولی در باب خود این سنتها، در تمامی ابعادشان،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 گواهی بر این مدعاست؛ چراکه اصطلاح قاره ای یا اروپایی، نخستین‌بار در نیمه دوم قرن بیستم و در مقام استقلال از جریان تحلیلی که در فضاهای فکری و آکادمیک، تثبیت شده و جولان می داد،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اینروست که بعد از این جریان، نوآوری‌های جریان قاره‌ای که به استقلال مذکور دامن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آنها را در قالب محورهای </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گانه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مباحث نو مانند فلسفه علوم اجتماعی قاره‌ای سر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زبان قاره ای نیز تلاشی است در همین جهت، اما از منظری دیگر؛ یعنی تبیین ویژگی های انحصاری سنت قاره‌ای در حوزه فلسفه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مباحثی از این‌دست، می تواند این رویداد ناموجه، یعنی متبادرشدن درون مایه و رویکرد تحلیلی در اذهان را، پس از مواجهه با عنوان فلسفه زبان، تعدیل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در صورت بندی و تدوین مکاتب و جریان‌هایی که در بخش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قالبی هشت محوری، برای فلسفه زبان قاره ای برشمردیم، همه نحله های این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قاره‌ای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کانت و ایدئالیسم به بعد لحاظ شده‌اند؛ چراکه مبنای زایش فلسفه قاره‌ای را از کانت به بعد انگاشتیم و تقریباً در تمامی این مکاتب، فلسفه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تعابیر و رویکردهای متنوع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فیلسوفان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تفاوت در کمیت اندیشوران حاضر در این 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صورت‌بندی هشت‌محوری ارائه‌شده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محوریت فلسفه زبان نزد آنها و گرایش دانشمندان آن مکتب به فلسفه زبان است؛ برای مثال در سنت اگزیستانسیالیسم تنها به سارتر اشاره شده است؛ در حالی که اندیشمندان دیگری چون یاسپرس و گابریل مارسل نیز در این حوزه حضور دارند؛ اما یا در فلسفه زبان بحثی نداشته اند یا مباحث آنها نمود و گستردگی سارتر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فیلسوف مطرح این حوزه، یعنی هایدگر را نیز به سبب قرابت بیشتر تأثیرگذاری اش در مباحث زبانی با هرمنوتیک هستی‌شناختی، در قسمت هرمنوتیک گنجانده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هر یک از این مکاتب یا جریان‌های هشتگانه در درون خود و در نسبت با سایر جریانها، تقسیم بندی های خاص خود را دارند که بر همین اساس، مباحث زبانی نیز در آنها متفاوت و متنوع می‌شود؛ برای نمونه هرمنوتیک به عینی گرا و نسبی گرا تقسیم می‌شود و اندیشمندان حاضر در این حوزه، بر مبنای جهت گیری فکری در یکی از این دو دسته جای میگیرند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نباید از نظر دور داشت، این است که موارد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گانه مذکور، ویژگی های عام فلسفه زبان قاره‌ای‌اند؛ یعنی مواردی که به فلسفه زبان قاره ای در قالب یک رویکرد و </w:t>
      </w:r>
      <w:bookmarkStart w:id="319" w:name="pg5923_65006"/>
    </w:p>
    <w:p>
      <w:pPr>
        <w:pStyle w:val="BookText"/>
        <w:rPr/>
      </w:pPr>
      <w:bookmarkEnd w:id="319"/>
      <w:r>
        <w:rPr>
          <w:rFonts w:ascii="IRNazanin" w:hAnsi="IRNazanin" w:eastAsia="IRNazanin"/>
          <w:color w:val="111111"/>
          <w:sz w:val="28"/>
          <w:sz w:val="28"/>
          <w:szCs w:val="28"/>
          <w:rtl w:val="true"/>
          <w:lang w:bidi="fa-IR"/>
        </w:rPr>
        <w:t xml:space="preserve">جریان منحصربه فرد و مجزا از سایر مکاتب، تشخص می بخشد؛ لذا اگر این موارد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گانه را بر مکاتب و جریان‌های هشت‌گانه منطبق کنیم، بر آن صدق می‌کند؛ یعنی خصایص، معرف شاکله فلسفه زبان قاره ای در قالب یک کل واحد و منسجم است، نه برخی از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ممکن است در مقام تطبیق جزء به جزء، پاره‌ای از ویژگی ها با برخی از مکاتب، سازگاری بیشتر و با برخی، تقارن کمتری داشته باشد؛ امری که کاملاً موجه و طبیعی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تطبیق و قیاس کلان، فلسفه زبان قاره ای، یک کل منسجم با ویژگی‌هایی است که برشمردیم</w:t>
      </w:r>
      <w:r>
        <w:rPr>
          <w:rFonts w:eastAsia="IRNazanin" w:cs="IRNazanin"/>
          <w:color w:val="111111"/>
          <w:sz w:val="28"/>
          <w:szCs w:val="28"/>
          <w:rtl w:val="true"/>
          <w:lang w:bidi="fa-IR"/>
        </w:rPr>
        <w:t>.</w:t>
      </w:r>
    </w:p>
    <w:p>
      <w:pPr>
        <w:pStyle w:val="Heading3"/>
        <w:numPr>
          <w:ilvl w:val="2"/>
          <w:numId w:val="1"/>
        </w:numPr>
        <w:rPr/>
      </w:pPr>
      <w:bookmarkStart w:id="320" w:name="__RefHeading___Toc5522742_581953129"/>
      <w:bookmarkStart w:id="321" w:name="_Toc114"/>
      <w:bookmarkEnd w:id="320"/>
      <w:r>
        <w:rPr>
          <w:rtl w:val="true"/>
        </w:rPr>
        <w:t>نتیجه گیری</w:t>
      </w:r>
      <w:bookmarkEnd w:id="321"/>
    </w:p>
    <w:p>
      <w:pPr>
        <w:pStyle w:val="BookText"/>
        <w:rPr/>
      </w:pPr>
      <w:r>
        <w:rPr>
          <w:rFonts w:ascii="IRNazanin" w:hAnsi="IRNazanin" w:eastAsia="IRNazanin"/>
          <w:color w:val="111111"/>
          <w:sz w:val="28"/>
          <w:sz w:val="28"/>
          <w:szCs w:val="28"/>
          <w:rtl w:val="true"/>
          <w:lang w:bidi="fa-IR"/>
        </w:rPr>
        <w:t>روشن است که نگاه بین رشته‌ای به شاخه‌های شایع علوم انسانی از یک سو و کل این علوم با علوم دیگر از جمله علوم تجربی، در زمره کانونی‌ترین جهت‌گیری‌های روش شناختی پژوهش‌های معاصر است؛ مقوله‌ای که یکی از مهم‌ترین پیامدهای آن در حوزه علوم انسانی، زایش فلسفه های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علوم انسانی، انسان است؛ انسانی که واجد رابطه‌ای سه‌گانه با خود، خدا و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محورقراردادن هر یک از اضلاع مثلث مذکور، می‌توان تعبیری خاص از علوم انسانی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می‌رسد که علوم انسانی جدید و معاصر غربی، ضلع نخست، یعنی صرف ترابط انسان با خود را مبنا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تلقی غربیان معاصر از فلسفه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مشترک رویکردهای معاصر به مقوله فلسفه زبان، چه در حوزه تحلیلی و چه قاره ای، تلقی از آن در قالب محصولی فرهنگی و اجتماعی و پدیده‌ای محاوره‌ای و بین‌الاذهان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معاصران غربی از مقولات زبان و فهم، معطوف به صِرف تعابیر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زبان، علاوه بر خصیصه فرهنگی، بازی‌مند، کاربردمند و تفسیرمند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در چارچوبی زمینه‌گرایانه دریافت می‌شوند و لذا باید از کثرت دال‌های زبانی، پلورالیزم معانی و در نهایت، نسبیت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زبان معاصر غربی بنیادگرایی را وانهاده، پیش‌داوری‌ها و پیش‌فرض‌های انسانی را بازیگر اصلی رخداد زبانی و فهم معرفی میکند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چنین رویکردی است که علوم انسانی معاصر در حوزه فلسفه زبان، دو ضلع دیگر </w:t>
      </w:r>
    </w:p>
    <w:p>
      <w:pPr>
        <w:pStyle w:val="BookText"/>
        <w:rPr/>
      </w:pPr>
      <w:r>
        <w:rPr>
          <w:rFonts w:ascii="IRNazanin" w:hAnsi="IRNazanin" w:eastAsia="IRNazanin"/>
          <w:color w:val="111111"/>
          <w:sz w:val="28"/>
          <w:sz w:val="28"/>
          <w:szCs w:val="28"/>
          <w:rtl w:val="true"/>
          <w:lang w:bidi="fa-IR"/>
        </w:rPr>
        <w:t>مثلث مذکور، یعنی خدا و جهان را یا به طور کامل مغفول می گذارد یا بدان التفات اندکی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مقوله خداوند را رها کرده، تنها تلاش نافرجامی در اعاده سهم جهان در حوزه‌های زبانی و تئوری‌های حقیقت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برایند این تلاش‌ها را باید در ویتگنشتاین و گادامر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عصاره فلسفه ورزی معاصر غربی در افکار ویتگنشتاین و گادامر قابل ردیابی است؛ چراکه آنها یکی از آخرین حلقه های دو زنجیره بزرگ فلسفی معاصر، یعنی تحلیلی و قاره‌ای و به تعبیری برجسته‌ترین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ویتگنشتاین می‌کوشد در دوره دوم تفکرش در قالب جهت‌گیری زمینه گرایانه، طریقی هستی‌شناختی طی کند و گادامر نیز اعاده سهم جهان را در نظریه امتزاج افق‌ها جست‌وجو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کلیدواژه های روح حاکم بر فلسفه زبان معاصر، اعم از قاره ای و تحلیلی، در کنار ماهیت فرهنگی و اجتماعی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زمینه‌گرایی، پلورالیزم، تاریخ مندی افراطی و نسبیت؛ نسبیتی که طرد بنیادگرایی و مطلق گرایی را در پی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مقام آسیب‌شناسی وضع موجود فلسفه زبان غربی برآییم، نخستین ضرورت، ریشه‌یابی عواملی است که به شرایط فعلی منتهی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تحول همه جانبه در ساختار و مبانی کاتولیسیزم در قالب پروتستانتیزم، انقلابی بزرگ در غرب مسیحی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روش شناختی، تحول مذکور افزون بر ساحت‌های اجتماعی، اخلاقی و دینی، پیامدهای فلسفی و معرفت‌شناختی خاص خود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پروتستانتیزم دنیای جدی ای فراروی غرب مسیحی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فلسفی و معرفت شناختی مدعای حاضر، بهترین مدخل، رجوع به اندیشه‌ها و رهیافت توماس آکوئینی و کانت است که در دو سنت مذکور، میراثی متفاوت برای جهان غرب بر جای نهاده 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مبانی کاتولیک و روح حاکم بر تفکر قرون وسطایی و نیز با استناد به براهین توماس در جهت اثبات وجود الهی اقامه کرده است و اختصاص مهمترین و اصلی‌ترین رساله خویش به این موضوع، باید اذعان کرد که خداوند در دستگاه فکری توماس جایگاه رفیعی داشته، همواره وجودی است ضروری و واجب؛ اما در نظر کانت، تنها فرضی است در قلمرو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وحی در نظام توماس اهمیت ویژه‌ای دارد؛ به </w:t>
      </w:r>
    </w:p>
    <w:p>
      <w:pPr>
        <w:pStyle w:val="BookText"/>
        <w:rPr/>
      </w:pPr>
      <w:r>
        <w:rPr>
          <w:rFonts w:ascii="IRNazanin" w:hAnsi="IRNazanin" w:eastAsia="IRNazanin"/>
          <w:color w:val="111111"/>
          <w:sz w:val="28"/>
          <w:sz w:val="28"/>
          <w:szCs w:val="28"/>
          <w:rtl w:val="true"/>
          <w:lang w:bidi="fa-IR"/>
        </w:rPr>
        <w:t>گونه‌ای که وحی، همواره پلی می‌سازد به سمت ناشناخته‌های عقل طبیعی، یعنی اموری که عقل، قادر به نیل بدان‌ها نیست؛ اما به باور کانت، عقل در تبیین عناصر دینی، ناکارآمد بوده، امکان الهیات عقل‌محور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شایان توجه دیگر اینکه، کانت به کتاب مقدس و مسیحیت، تنها در چارچوب آموزه‌های اخلاقی‌اش نظر دارد؛ در حالی که کتاب مقدس، نزد توماس جایگاه ویژه‌ای دارد که حاوی اصول دین بوده، همه اجزای آن در خور عنایت و توجه‌اند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روح کلام فلسفی توماس، تبیین و تثبیت آموزه‌های دینی کاتولیک با محوریت کتاب مقدس، از جانب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کانت، پروتستانی اخلاق محور است که در خانواده‌ای پیئتیست بالیده، از فضای روشنگری نیز متأثر شده است و تفکرش معلول عوامل تاریخی و فرهنگی حاکم بر عصر روشنگری است؛ همان‌گونه که توماس به عنوان یک کاتولیک معتقد به وحی و متفکر قرون وسطایی از اتخاذ رویکرد خاص خود در الهیات عقلانی، در جهت تقویت پایه‌های آیین کاتولیک، ناگزیر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چندان شریعت مدار نبود و این مطلب از زندگی شخصی او و نیز اشاراتی که در متن آثارش، به خصوص دین در محدوده عقل تنها مطرح شده است، کاملاً مشهود است که نکته حاضر با پرورش کانت در خانواده‌ای معتقد به آیین پروتستان، بی‌ارتباط نیست؛ درست بر عکس توماس که نزد او شعایر و آیین کلیسا اهمیت ویژه‌ای دارند؛ چراکه از بدیهیات آیین کاتولیک قلمداد می‌گردند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فوق به خوبی از تبعات دینی و الهیاتیِ پروتستانتیزم در قیاس با کاتولیسیزم برای جامعه غربی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پروتستانتیزم از مسیحیت، شریعت زدایی کرده، زنجیره ارتباطی انسان غربی را با خاستگاه الهی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دینی در کنار مورد فوق، می‌توان پلورالیزم دینی را دیگر مولود پروتستانتیزم برای سنت غربی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که جان هیک با الگوگیری از کانت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پروتستانتیزم برای غرب پیامدهای فراوانی داشته و دارد؛ پروتستانتیزم به سان پدر دینی، سیاسی و فلسفیِ انسان غربی و تفکرش، فرزندان زیادی را در دامان خود پرورش داده است که اکنون بر تمامی جوانب تفکر و زندگی غربی سایه افکنده‌اند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سکولاریزم و سوبژکتیویسم دو مولود دیگر پروتستانتیزم در حوزه‌های </w:t>
      </w:r>
      <w:bookmarkStart w:id="322" w:name="pg5923_65009"/>
    </w:p>
    <w:p>
      <w:pPr>
        <w:pStyle w:val="BookText"/>
        <w:rPr/>
      </w:pPr>
      <w:bookmarkEnd w:id="322"/>
      <w:r>
        <w:rPr>
          <w:rFonts w:ascii="IRNazanin" w:hAnsi="IRNazanin" w:eastAsia="IRNazanin"/>
          <w:color w:val="111111"/>
          <w:sz w:val="28"/>
          <w:sz w:val="28"/>
          <w:szCs w:val="28"/>
          <w:rtl w:val="true"/>
          <w:lang w:bidi="fa-IR"/>
        </w:rPr>
        <w:t>سیاست و فلسفه اند که نقش کانت در جاافتادن آنها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پروتستانتیزم را در سایر ابعاد، تئوریزه کرد و در اختیار معاصران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اهمیت او در جهت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به سنت غربی همین بس که پوزیتیویست‌های منطقی، تقسیم قضایایش را برنتافته، در شکل‌گیری جریان تحلیلی مؤثر واقع شدند و اگزیستانسیالیست‌ها نیز وامدار تلقی او از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تعبیری، ریشه انحراف را باید در کانت جست؛ کانتی که به باور بسیاری آغازگر سنت قاره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سازه سه ضلعی علوم انسانی غربی با محوریت انسان که پیش از این بدان اشاره کردیم، همه چیز در انسان خلاصه شده، ترابط او با جهان و خدا مغفول می‌ماند؛ امری که ریشه در پروتستانتیزم دارد و اکنون در سنت غربی، اخلافی چون سکولاریزم و پلورالیزم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فلسفه زبان نیز از فضای مذکور بی تأثر نمانده، در صِرف تلقی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نسبیت، طرد بنیادگرایی و پلورالیزم درغلتیده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اوصاف باید گرایش های پوزیتیویستی را نیز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اگرچه در سنت قاره‌ای کمرنگ‌تر است، اما نمی‌توان منکر رهیافت پوزیتیویستی آنها به لحاظ روش شناختی شد</w:t>
      </w:r>
      <w:r>
        <w:rPr>
          <w:rFonts w:eastAsia="IRNazanin" w:cs="IRNazanin"/>
          <w:color w:val="111111"/>
          <w:sz w:val="28"/>
          <w:szCs w:val="28"/>
          <w:rtl w:val="true"/>
          <w:lang w:bidi="fa-IR"/>
        </w:rPr>
        <w:t>.</w:t>
      </w:r>
    </w:p>
    <w:p>
      <w:pPr>
        <w:pStyle w:val="Heading3"/>
        <w:numPr>
          <w:ilvl w:val="2"/>
          <w:numId w:val="1"/>
        </w:numPr>
        <w:rPr/>
      </w:pPr>
      <w:bookmarkStart w:id="323" w:name="__RefHeading___Toc5522744_581953129"/>
      <w:bookmarkStart w:id="324" w:name="_Toc115"/>
      <w:bookmarkEnd w:id="323"/>
      <w:r>
        <w:rPr>
          <w:rtl w:val="true"/>
        </w:rPr>
        <w:t>منابع و مآخذ</w:t>
      </w:r>
      <w:bookmarkEnd w:id="3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Gadamer, Hans Georg;Truth and method;Continuum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Harrington, Austin; Hermeneutic dialogue and Social science :A Critique of Gadamer and Habermas; Routledge,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Kearney, Richard and Rainwater, Mava; The Continental Philosophy Reader; Routledge,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Lepore,Ernest; Truth and Interpretation; Oxford,U-K: Mzclaughiln, 1988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Martinich, A.P. and Sosa, David; Analytic Philosophy: An Anthology; Blackwell,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Meredith, Fionola; Experiencing the postmetaphysical self: between hermeneutics and deconstruction; Palgrave Macmillan,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Morton, Michael; The critical Turn: Studies in Kant, Herder, Wittgenstein, and contemporary theory; Wayne State University,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Schroeder,William R.; Continental philosophy: A Critical approach; Blackwell publishing,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Thiselton, Anthony C.; The two horizons:New Testament hermeneutics and philosophical description with special reference to Heidegger, Bultmann, Gadamer, and Wittgenstein; W. B. Eerdmans Pub. Co., 1979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Wittgenstein, Ludwig; Philosophical Investigations; Blackwell,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Tractatus; Routledge and Kegan Paul, 1961</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فلسفه، مدرس خارج فقه و اصول حوزه و عضو هیئت علمی پژوهشگاه فرهنگ و اندیشه اسلامی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بسیاری مانند آل عمران آیه</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انعام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عنکبوت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یونس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آشکارا از حجیت حس حکایت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و عضو هیئت علمی پژوهشگاه فرهنگ و اندیشه اسلامی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نص دینی در کلمات نواعتزالیان عبارت است از قرآن و سنت، اعم از اینکه دلالت آن صریح و واضح باشد یا ظهور در معنا داشته 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و عضو هیئت علمی پژوهشگاه فرهنگ و اندیشة اسلامی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ظن عبارت است از رأی و نظر دربارة اینکه یک معرفت یا یک گزاره مطابق با واقع است، همراه با امکان تصور طرف مقابلِ آن؛ یعنی عدم مطابقت آن با 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است که با صِرفِ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شک نیز قبلاً از تعریف خارج شده است؛ چه شک عبارت است از تردید در اینکه آیا یک معرفت یا یک گزاره مطابق با واقع است یا مطابق با واقع نیست و لذا اساساً در نقطة مقابل باور قرار دارد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اقسام گزاره به لحاظ ظرف تحققِ موضوعِ آنها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گزاره ذهنیه و آن گزاره‌ای است که موضوعش، ذهنی است و در آن بر امری ذهنی حکم می‌شود؛ گزاره خارجیه که موضوع آن در خارج است و در آن بر امر خارجی حکم می‌شود و گزاره حقیقیه، که موضوع آن اعم از امر موجود در خارج به صورت بالفعل یا غیر بالفعل است؛ یعنی مطلق مصادیق محققهًْ الوجود یا مقدّرهًْ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گزاره‌های مطرح در علوم، حقیقیه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سجادی،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کنار گزاره‌های ذهنیه، گزاره‌های نفسانیه نیز وجود دارند؛ مانند این گزاره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تشنه‌ام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گزاره‌ها نفس‌الأمر همان نفس انسان است، لکن نفس و تشنگی را نمی‌توان ذهنی دانست، بلکه این دو کاملاً عینی اند؛ زیرا نفس فی‌نفسه مرتبه‌ای از مراتب واقعیت و عین است، زیرا در درون انسان تحقق و ثبوت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نفس فی‌نفسه یک امرِ عینی است، همانند دیگر اشیاء 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نفس و امور نفسانی اگرچه خارجی نیستند، اما عینی و واقعی اند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متفکران اسلامی غالباً ادراک حسی و ادراک خیالی را اگر چه تأیید می‌کنند و آنها را سطوحی از معرفت انسانی می‌دانند، اما 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دقیق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مشائیان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ادراک عقلی و برخی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ادراک شهودی و برخی در هر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اشراقیان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جست‌وجو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روی، به باور آنان، معرفت حقیقی و یقین‌آور باید از کلیت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ضرورت برخوردار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سهروردی ادراک حسی و ادراک خیالی یا مثالی را نیز از سنخ معرفت شهودی و لذا یقینی می‌داند که در جای خود قابل ملاحظه و تدقیق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یقین حاصل از شهود عقلی نیز برای برخی از متفکران،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شهود عقلی عبارت است از درک مستقیم یا بی‌واسطة معقولات؛ اما سهروردی در آثارش به چنین شهودی اشاره نکرده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فطریات یا گزاره‌های مقرون به حدّ وسط عبارت اند از گزاره‌هایی که قیاس های آنها همراه خودشان است و عقل در آنها سریعاً به نتیجه می‌رسد؛ زیرا دارای قیاس پنهانی اند که عقل از فرط روشنیِ آن، گاه در نگاه نخست متوجه آن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گزاره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نصف چهار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سنخ فطریات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اقسام بدیهیات پس از این تبیین خواهند 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محققان بر این باورند که حدس جایگاهی ویژه و منحصر به فرد در معرفت‌شناسی سهروردی دارد و عاملی است که سبب می‌شود بسیاری از حکیمان معقولات را بدون نیاز به طول زمان دریابند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سهروردی احکام حدس در نهایت با احکام شناخت یقینی یکسان‌اند؛ چه او حدس را، هم‌ارز با برهان صحیح و تجارب شخصی حقیقی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استنتاجی صادق 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ضیائی،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بدین‌سان یقین در مرحلة تفکر مشائیِ سهروردی همچنین در گرو برهانی است که ماده آن حدسی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حدس به نظر این عده در مرحله تفکر اشراقیِ سهروردی حتی در شهودات قلبی و تجارب وحیانی نیز مؤثر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محمدعلی محمد،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چنان‌که شهودات قلبی و تجارب وحیانی نیز در حدس تأثیر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مجموع به نظر می‌رسد در تفکر سهروردی اگرچه حدس قسمی قیاس و برهان است و لزوماً همراه با شهود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بدون شهود نیز می‌توان به حدس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شهود نیز می‌تواند از طریق تلطیف باطن، حدس را تقویت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یزدان‌پناه،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تفکر سهروردی، فطری و غیر فطری از اقسام معرفت یا علماند و معنایی غیر از معنای متعارف در تفکر غربی و حتی سنّت متعارف اسلامی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فطری همان علم بدیهی و بی‌نیاز از نظر و استدلال است و علم غیر فطری علم نظری و نیازمند استدلال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سهروردی،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سهروردی را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Justification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زمرة مبناگرایان قرار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مبناگرایی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Foundationalism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نظریه‌های مطرح در ماهیت توجیه در معرفت‌شناسی است که طبق آن، معرفت دارای ساختاری دو جانبه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معارف انسان غیراستنتاجی یا مبنایی یا پایه‌اند و برخی دیگر استنتاجی یا غیرمبنایی یا غیرپایه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اخیر از معارف نخست استنتاج می‌شوند یا بر مبنای آنها قرار می‌گیرند و با آنها توجیه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نیز معارف انسان را به دو دسته فطری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 فطری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می‌کند و بیان می‌دارد که برخی از بدیهیات چنان اند که فهم آنها نیازمند معلومی پیشین که از آن به آنها برسیم یا ابزاری که این فرایند را انجام دهد،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بدیهیات، مبنای علم انسان‌اند و معارف نظری بر آنها مبتنی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غیر فطری در فرایند استدلال در نهایت باید به علم فطری بینجامد و اگر چنین نشود، هیچ مجهولی معلوم نخواهد شد و تسلسلِ معرفتی تا بی‌نهایت پدید خواهد آمد و لذا هیچ معرفتی نخستینی برای انسان حاصل نخواهد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سهروردی،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مبناگرایی اقسام دیگری نیز دارد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عقل‌گراست و لذا ارسطویی که سهروردی در این فراز معرفی کرده است، احتمالاً با صاحب کتاب اثولوجیا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فلوطین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سهروردی در بیشترِ آثارش ارسطو را دارای مقام کشف و شهود می‌داند، ناشی از همین اشتباه تاریخی است، مگر اینکه نظر سهروردی این باشد که ارسطو پس از مرگ و رفع حجاب‌های مادی توانسته است انوار برین را مشاهده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باور صدرالمتألّهین نیز مشائیانی که بهره‌ای از حکمت اشراقی نبرده‌اند، مشائیان متأخرند، نه امثال ارسطو؛ چه او در اثولوجیا انوار عقلی را به بهترین و محکم‌ترین شکل اثبات کرده است، تا آنجا که سهروردی نیز با همة بزرگی جایگاهش نتوانسته است گفتار امثال ارسطو و حتی افلاطون را تمام کند و مرام آنها را به دست آورد؛ همان‌گونه که فارابی و ابن‌سینا نیز با همة بزرگی جایگاهشان نتوانستند چنین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صدرالمتألّهین،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است که دیدگاه صدرالمتألّهین نیز نادرست است؛ زیرا اثولوجیا عمدتاً از آنِ فلوطین است که فیلسوفی اشراقی است و نه ارسطو</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قطب‌الدین شیرازی، هرمس را همان ادریس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قطب‌الدین شیرازی،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آیة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هَمّتْ بهِ و هَمّ بِها لَوْ لا أَنْ رَأی بُرْهانَ 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قطب‌الدین شیرازی در توضیح وازة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اسپهبد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می‌دارد که این واژه در پارسی پهلوی به معنای فرمانده سپاه است و نام‌گذاری نفس به آن توسط سهروردی از این جهت است که نفس ناطقه، فرمانده بدن و قوای آن و لذا اسپهبد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قطب‌الدین شیرازی،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و عضو هیئت علمی پژوهشگاه علوم انسانی و مطالعات فرهنگی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پس کتاب ساختار انقلاب‌های علمی را به اختصار ساختار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نامیم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کوهن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گونه که در مقدمه کتاب ساختار بیان میکند، متأثر از تاریخ علم، فلسفه ویتگنشتاین و روان‌شناسی گشتالت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ازآنجاکه تلاش برای فراگرفتن شیوه منسجم و سازگار درباره رابطه معرفت و جامعه در آثار مانهایم با شکست رو به روست، مؤلف قبلاً درمقاله‌ای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تأملی در نسبت گرایی معرفت شناختی کارل مانهایم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کوشیده است نظریه ای منسجم درباره رابطه معرفت و شرایط اجتماعی عرضه کند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تلاش های فکری دیوید بلور و بری بارنز در جهت یافتن و بسط مدلولات تلقی جدید کوهن از علم، سبب پیدایش مکتب اجتماعی ادینبورا در دهه هفتاد میلادی شد که سرانجام به یک جامعه شناسی تمامعیار معرفت علمی انجامید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فلسفه دانشگاه تربیت مدرس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و عضو هیئت علمی دانشگاه تربیت مدرس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که مصباح یزدی در جای دیگری امکان را مفهومی بدیهی معرفی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سلیمانی امیری،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تعارضی که به چشم می‌خورد، در بحث های آتی مشکلی ایجاد نخواهد کرد؛ ولی این مسئله قابل طرح است که موضع نهایی وی در مورد بدیهی یا نظری‌بودن مفهوم امکان چیست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این سخن را مصباح یزدی در بحث مفاهیم ماهوی گفته است، اما به نظر میرسد دیدگاه وی در مورد همه مفاهیم اینگونه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مورد همه معقولات ثانیه برقرار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خارج فقه و اصول و عضو هیئت علمی پژوهشگاه فرهنگ و اندیشه اسلامی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دانشیارو عضو هیئت علمی پژوهشگاه فرهنگ و اندیشه اسلامی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 گروه فرهنگ و معارف قرآن و حدیث معاونت فرهنگی تربیتی جامعة المصطفی العالمیه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تعریف به ابوحامد محمد غزالی در المستصفی من علم الاصول نسبت داده شده است و برخی در درستی این انتساب تردید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گلباغی ماسوله،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نیز افرادی مانند زرکشی و سیوطی نیز همین ادعا را بیان کرده‌اند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آنچه از ابن عباس نقل شده است، نشان می‌دهد که وی نه به دنبال معنای بدوی برخی واژگان بوده یا هیچ تصوری از معنای واژگان نداشته باشد، بلکه در جست وجوی معانی دقیق و عمیق برخی واژگان است که در فهم متعالی‌تر از قرآن مؤثر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عمل ابن عباس هیچ‌گاه به منزله وجود ابهام در الفاظ قرآنی برای عرب عصر نزول نیست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اخیراً این دیدگاه در کتاب گوهر معنا بررسی و ارزیابی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خواننده محترم به موارد کاربرد این واژگان در قرآن کریم واقف است و ذکر آیات مورد نظر، بحث را به درازا می‌کشاند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ایزوتسو در مفاهیم اخلاقی دینی در قرآن مجید برخی از این واژگان را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مفاهیم اخلاقی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کرده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نگاه دیگر، این دسته مفاهیم، همان مفاهیم ذهنی‌اند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و عضو هیئت علمی دانشگاه علامه طباطبائی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فلسفه دانشگاه علامه طباطبائی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صورت‌بندی برخی از مسائل مطرح‌شده در بخش سنت قاره‌ای از منبع ذیل بهره گرفته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image" Target="media/image2.jpeg"/><Relationship Id="rId186" Type="http://schemas.openxmlformats.org/officeDocument/2006/relationships/image" Target="media/image2.jpeg"/><Relationship Id="rId187" Type="http://schemas.openxmlformats.org/officeDocument/2006/relationships/footer" Target="footer180.xml"/><Relationship Id="rId188" Type="http://schemas.openxmlformats.org/officeDocument/2006/relationships/footnotes" Target="footnotes.xml"/><Relationship Id="rId189" Type="http://schemas.openxmlformats.org/officeDocument/2006/relationships/numbering" Target="numbering.xml"/><Relationship Id="rId190" Type="http://schemas.openxmlformats.org/officeDocument/2006/relationships/fontTable" Target="fontTable.xml"/><Relationship Id="rId191" Type="http://schemas.openxmlformats.org/officeDocument/2006/relationships/settings" Target="settings.xml"/><Relationship Id="rId1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187</Pages>
  <Words>51023</Words>
  <Characters>217795</Characters>
  <CharactersWithSpaces>267499</CharactersWithSpaces>
  <Paragraphs>1449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2026-08-19T06:20:37Z</dcterms:created>
  <dc:creator>ghaemiyeh.com</dc:creator>
  <dc:description/>
  <dc:language>en-US</dc:language>
  <cp:lastModifiedBy/>
  <dcterms:modified xsi:type="dcterms:W3CDTF">2026-08-19T09:50:42Z</dcterms:modified>
  <cp:revision>1</cp:revision>
  <dc:subject/>
  <dc:title>فصلنامه علمی پژوهشی معرفت شناسی و حوزه های مرتبط شماره 55 - سال چهاردهم - پاییز1392</dc:title>
</cp:coreProperties>
</file>

<file path=docProps/custom.xml><?xml version="1.0" encoding="utf-8"?>
<Properties xmlns="http://schemas.openxmlformats.org/officeDocument/2006/custom-properties" xmlns:vt="http://schemas.openxmlformats.org/officeDocument/2006/docPropsVTypes"/>
</file>