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حقوق بین الملل خصوصی کلیات تابعیت اقامتگاه و وضعیت بیگانگان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61146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5261148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5261150_581953129">
            <w:r>
              <w:rPr>
                <w:webHidden/>
                <w:rStyle w:val="IndexLink"/>
                <w:rtl w:val="true"/>
              </w:rPr>
              <w:t>سخن ناشر</w:t>
            </w:r>
            <w:r>
              <w:rPr>
                <w:rStyle w:val="IndexLink"/>
                <w:rtl w:val="true"/>
              </w:rPr>
              <w:tab/>
            </w:r>
            <w:r>
              <w:rPr>
                <w:rStyle w:val="IndexLink"/>
              </w:rPr>
              <w:t>11</w:t>
            </w:r>
          </w:hyperlink>
        </w:p>
        <w:p>
          <w:pPr>
            <w:pStyle w:val="Contents2"/>
            <w:tabs>
              <w:tab w:val="clear" w:pos="8743"/>
              <w:tab w:val="right" w:pos="9026" w:leader="dot"/>
            </w:tabs>
            <w:rPr/>
          </w:pPr>
          <w:hyperlink w:anchor="__RefHeading___Toc5261152_581953129">
            <w:r>
              <w:rPr>
                <w:webHidden/>
                <w:rStyle w:val="IndexLink"/>
                <w:rtl w:val="true"/>
              </w:rPr>
              <w:t>سخن پژوهشگاه بین المللی المصطفی صلی الله علیه و آله</w:t>
            </w:r>
            <w:r>
              <w:rPr>
                <w:rStyle w:val="IndexLink"/>
                <w:rtl w:val="true"/>
              </w:rPr>
              <w:tab/>
            </w:r>
            <w:r>
              <w:rPr>
                <w:rStyle w:val="IndexLink"/>
              </w:rPr>
              <w:t>13</w:t>
            </w:r>
          </w:hyperlink>
        </w:p>
        <w:p>
          <w:pPr>
            <w:pStyle w:val="Contents2"/>
            <w:tabs>
              <w:tab w:val="clear" w:pos="8743"/>
              <w:tab w:val="right" w:pos="9026" w:leader="dot"/>
            </w:tabs>
            <w:rPr/>
          </w:pPr>
          <w:hyperlink w:anchor="__RefHeading___Toc5261154_581953129">
            <w:r>
              <w:rPr>
                <w:webHidden/>
                <w:rStyle w:val="IndexLink"/>
                <w:rtl w:val="true"/>
              </w:rPr>
              <w:t>فهرست</w:t>
            </w:r>
            <w:r>
              <w:rPr>
                <w:rStyle w:val="IndexLink"/>
                <w:rtl w:val="true"/>
              </w:rPr>
              <w:tab/>
            </w:r>
            <w:r>
              <w:rPr>
                <w:rStyle w:val="IndexLink"/>
              </w:rPr>
              <w:t>16</w:t>
            </w:r>
          </w:hyperlink>
        </w:p>
        <w:p>
          <w:pPr>
            <w:pStyle w:val="Contents2"/>
            <w:tabs>
              <w:tab w:val="clear" w:pos="8743"/>
              <w:tab w:val="right" w:pos="9026" w:leader="dot"/>
            </w:tabs>
            <w:rPr/>
          </w:pPr>
          <w:hyperlink w:anchor="__RefHeading___Toc5261156_581953129">
            <w:r>
              <w:rPr>
                <w:webHidden/>
                <w:rStyle w:val="IndexLink"/>
                <w:rtl w:val="true"/>
              </w:rPr>
              <w:t>پیشگفتار</w:t>
            </w:r>
            <w:r>
              <w:rPr>
                <w:rStyle w:val="IndexLink"/>
                <w:rtl w:val="true"/>
              </w:rPr>
              <w:tab/>
            </w:r>
            <w:r>
              <w:rPr>
                <w:rStyle w:val="IndexLink"/>
              </w:rPr>
              <w:t>24</w:t>
            </w:r>
          </w:hyperlink>
        </w:p>
        <w:p>
          <w:pPr>
            <w:pStyle w:val="Contents2"/>
            <w:tabs>
              <w:tab w:val="clear" w:pos="8743"/>
              <w:tab w:val="right" w:pos="9026" w:leader="dot"/>
            </w:tabs>
            <w:rPr/>
          </w:pPr>
          <w:hyperlink w:anchor="__RefHeading___Toc5261158_581953129">
            <w:r>
              <w:rPr>
                <w:webHidden/>
                <w:rStyle w:val="IndexLink"/>
              </w:rPr>
              <w:t>1</w:t>
            </w:r>
            <w:r>
              <w:rPr>
                <w:rStyle w:val="IndexLink"/>
                <w:rtl w:val="true"/>
              </w:rPr>
              <w:t>-</w:t>
            </w:r>
            <w:r>
              <w:rPr>
                <w:rStyle w:val="IndexLink"/>
                <w:rtl w:val="true"/>
              </w:rPr>
              <w:t>کلیات</w:t>
            </w:r>
            <w:r>
              <w:rPr>
                <w:rStyle w:val="IndexLink"/>
                <w:rtl w:val="true"/>
              </w:rPr>
              <w:t>(</w:t>
            </w:r>
            <w:r>
              <w:rPr>
                <w:rStyle w:val="IndexLink"/>
              </w:rPr>
              <w:t>1</w:t>
            </w:r>
            <w:r>
              <w:rPr>
                <w:rStyle w:val="IndexLink"/>
                <w:rtl w:val="true"/>
              </w:rPr>
              <w:t>)</w:t>
              <w:tab/>
            </w:r>
            <w:r>
              <w:rPr>
                <w:rStyle w:val="IndexLink"/>
              </w:rPr>
              <w:t>28</w:t>
            </w:r>
          </w:hyperlink>
        </w:p>
        <w:p>
          <w:pPr>
            <w:pStyle w:val="Contents3"/>
            <w:tabs>
              <w:tab w:val="clear" w:pos="8459"/>
              <w:tab w:val="right" w:pos="9026" w:leader="dot"/>
            </w:tabs>
            <w:rPr/>
          </w:pPr>
          <w:hyperlink w:anchor="__RefHeading___Toc5261160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5261162_581953129">
            <w:r>
              <w:rPr>
                <w:webHidden/>
                <w:rStyle w:val="IndexLink"/>
              </w:rPr>
              <w:t>1</w:t>
            </w:r>
            <w:r>
              <w:rPr>
                <w:rStyle w:val="IndexLink"/>
                <w:rtl w:val="true"/>
              </w:rPr>
              <w:t xml:space="preserve">- </w:t>
            </w:r>
            <w:r>
              <w:rPr>
                <w:rStyle w:val="IndexLink"/>
                <w:rtl w:val="true"/>
              </w:rPr>
              <w:t>تعریف حقوق بین الملل خصوصی</w:t>
            </w:r>
            <w:r>
              <w:rPr>
                <w:rStyle w:val="IndexLink"/>
                <w:rtl w:val="true"/>
              </w:rPr>
              <w:tab/>
            </w:r>
            <w:r>
              <w:rPr>
                <w:rStyle w:val="IndexLink"/>
              </w:rPr>
              <w:t>28</w:t>
            </w:r>
          </w:hyperlink>
        </w:p>
        <w:p>
          <w:pPr>
            <w:pStyle w:val="Contents3"/>
            <w:tabs>
              <w:tab w:val="clear" w:pos="8459"/>
              <w:tab w:val="right" w:pos="9026" w:leader="dot"/>
            </w:tabs>
            <w:rPr/>
          </w:pPr>
          <w:hyperlink w:anchor="__RefHeading___Toc5261164_581953129">
            <w:r>
              <w:rPr>
                <w:webHidden/>
                <w:rStyle w:val="IndexLink"/>
              </w:rPr>
              <w:t>2</w:t>
            </w:r>
            <w:r>
              <w:rPr>
                <w:rStyle w:val="IndexLink"/>
                <w:rtl w:val="true"/>
              </w:rPr>
              <w:t xml:space="preserve">- </w:t>
            </w:r>
            <w:r>
              <w:rPr>
                <w:rStyle w:val="IndexLink"/>
                <w:rtl w:val="true"/>
              </w:rPr>
              <w:t>عامل مرز در حقوق بین الملل خصوصی</w:t>
            </w:r>
            <w:r>
              <w:rPr>
                <w:rStyle w:val="IndexLink"/>
                <w:rtl w:val="true"/>
              </w:rPr>
              <w:tab/>
            </w:r>
            <w:r>
              <w:rPr>
                <w:rStyle w:val="IndexLink"/>
              </w:rPr>
              <w:t>30</w:t>
            </w:r>
          </w:hyperlink>
        </w:p>
        <w:p>
          <w:pPr>
            <w:pStyle w:val="Contents3"/>
            <w:tabs>
              <w:tab w:val="clear" w:pos="8459"/>
              <w:tab w:val="right" w:pos="9026" w:leader="dot"/>
            </w:tabs>
            <w:rPr/>
          </w:pPr>
          <w:hyperlink w:anchor="__RefHeading___Toc5261166_581953129">
            <w:r>
              <w:rPr>
                <w:webHidden/>
                <w:rStyle w:val="IndexLink"/>
              </w:rPr>
              <w:t>3</w:t>
            </w:r>
            <w:r>
              <w:rPr>
                <w:rStyle w:val="IndexLink"/>
                <w:rtl w:val="true"/>
              </w:rPr>
              <w:t xml:space="preserve">- </w:t>
            </w:r>
            <w:r>
              <w:rPr>
                <w:rStyle w:val="IndexLink"/>
                <w:rtl w:val="true"/>
              </w:rPr>
              <w:t>انتخاب نام حقوق بین الملل خصوصی</w:t>
            </w:r>
            <w:r>
              <w:rPr>
                <w:rStyle w:val="IndexLink"/>
                <w:rtl w:val="true"/>
              </w:rPr>
              <w:tab/>
            </w:r>
            <w:r>
              <w:rPr>
                <w:rStyle w:val="IndexLink"/>
              </w:rPr>
              <w:t>32</w:t>
            </w:r>
          </w:hyperlink>
        </w:p>
        <w:p>
          <w:pPr>
            <w:pStyle w:val="Contents4"/>
            <w:tabs>
              <w:tab w:val="clear" w:pos="8176"/>
              <w:tab w:val="right" w:pos="9026" w:leader="dot"/>
            </w:tabs>
            <w:rPr/>
          </w:pPr>
          <w:hyperlink w:anchor="__RefHeading___Toc5261168_58195312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261170_581953129">
            <w:r>
              <w:rPr>
                <w:webHidden/>
                <w:rStyle w:val="IndexLink"/>
                <w:rtl w:val="true"/>
              </w:rPr>
              <w:t>الف</w:t>
            </w:r>
            <w:r>
              <w:rPr>
                <w:rStyle w:val="IndexLink"/>
                <w:rtl w:val="true"/>
              </w:rPr>
              <w:t xml:space="preserve">) </w:t>
            </w:r>
            <w:r>
              <w:rPr>
                <w:rStyle w:val="IndexLink"/>
                <w:rtl w:val="true"/>
              </w:rPr>
              <w:t>تعارض قوانین</w:t>
            </w:r>
            <w:r>
              <w:rPr>
                <w:rStyle w:val="IndexLink"/>
                <w:rtl w:val="true"/>
              </w:rPr>
              <w:tab/>
            </w:r>
            <w:r>
              <w:rPr>
                <w:rStyle w:val="IndexLink"/>
              </w:rPr>
              <w:t>32</w:t>
            </w:r>
          </w:hyperlink>
        </w:p>
        <w:p>
          <w:pPr>
            <w:pStyle w:val="Contents4"/>
            <w:tabs>
              <w:tab w:val="clear" w:pos="8176"/>
              <w:tab w:val="right" w:pos="9026" w:leader="dot"/>
            </w:tabs>
            <w:rPr/>
          </w:pPr>
          <w:hyperlink w:anchor="__RefHeading___Toc5261172_581953129">
            <w:r>
              <w:rPr>
                <w:webHidden/>
                <w:rStyle w:val="IndexLink"/>
                <w:rtl w:val="true"/>
              </w:rPr>
              <w:t>ب</w:t>
            </w:r>
            <w:r>
              <w:rPr>
                <w:rStyle w:val="IndexLink"/>
                <w:rtl w:val="true"/>
              </w:rPr>
              <w:t xml:space="preserve">) </w:t>
            </w:r>
            <w:r>
              <w:rPr>
                <w:rStyle w:val="IndexLink"/>
                <w:rtl w:val="true"/>
              </w:rPr>
              <w:t>حقوق بین الملل خصوصی</w:t>
            </w:r>
            <w:r>
              <w:rPr>
                <w:rStyle w:val="IndexLink"/>
                <w:rtl w:val="true"/>
              </w:rPr>
              <w:tab/>
            </w:r>
            <w:r>
              <w:rPr>
                <w:rStyle w:val="IndexLink"/>
              </w:rPr>
              <w:t>32</w:t>
            </w:r>
          </w:hyperlink>
        </w:p>
        <w:p>
          <w:pPr>
            <w:pStyle w:val="Contents3"/>
            <w:tabs>
              <w:tab w:val="clear" w:pos="8459"/>
              <w:tab w:val="right" w:pos="9026" w:leader="dot"/>
            </w:tabs>
            <w:rPr/>
          </w:pPr>
          <w:hyperlink w:anchor="__RefHeading___Toc5261174_581953129">
            <w:r>
              <w:rPr>
                <w:webHidden/>
                <w:rStyle w:val="IndexLink"/>
              </w:rPr>
              <w:t>4</w:t>
            </w:r>
            <w:r>
              <w:rPr>
                <w:rStyle w:val="IndexLink"/>
                <w:rtl w:val="true"/>
              </w:rPr>
              <w:t xml:space="preserve">- </w:t>
            </w:r>
            <w:r>
              <w:rPr>
                <w:rStyle w:val="IndexLink"/>
                <w:rtl w:val="true"/>
              </w:rPr>
              <w:t>مشخّصات حقوق بین الملل خصوصی</w:t>
            </w:r>
            <w:r>
              <w:rPr>
                <w:rStyle w:val="IndexLink"/>
                <w:rtl w:val="true"/>
              </w:rPr>
              <w:tab/>
            </w:r>
            <w:r>
              <w:rPr>
                <w:rStyle w:val="IndexLink"/>
              </w:rPr>
              <w:t>33</w:t>
            </w:r>
          </w:hyperlink>
        </w:p>
        <w:p>
          <w:pPr>
            <w:pStyle w:val="Contents4"/>
            <w:tabs>
              <w:tab w:val="clear" w:pos="8176"/>
              <w:tab w:val="right" w:pos="9026" w:leader="dot"/>
            </w:tabs>
            <w:rPr/>
          </w:pPr>
          <w:hyperlink w:anchor="__RefHeading___Toc5261176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5261178_581953129">
            <w:r>
              <w:rPr>
                <w:webHidden/>
                <w:rStyle w:val="IndexLink"/>
                <w:rtl w:val="true"/>
              </w:rPr>
              <w:t>الف</w:t>
            </w:r>
            <w:r>
              <w:rPr>
                <w:rStyle w:val="IndexLink"/>
                <w:rtl w:val="true"/>
              </w:rPr>
              <w:t xml:space="preserve">) </w:t>
            </w:r>
            <w:r>
              <w:rPr>
                <w:rStyle w:val="IndexLink"/>
                <w:rtl w:val="true"/>
              </w:rPr>
              <w:t>بین المللی بودن آن</w:t>
            </w:r>
            <w:r>
              <w:rPr>
                <w:rStyle w:val="IndexLink"/>
                <w:rtl w:val="true"/>
              </w:rPr>
              <w:tab/>
            </w:r>
            <w:r>
              <w:rPr>
                <w:rStyle w:val="IndexLink"/>
              </w:rPr>
              <w:t>33</w:t>
            </w:r>
          </w:hyperlink>
        </w:p>
        <w:p>
          <w:pPr>
            <w:pStyle w:val="Contents4"/>
            <w:tabs>
              <w:tab w:val="clear" w:pos="8176"/>
              <w:tab w:val="right" w:pos="9026" w:leader="dot"/>
            </w:tabs>
            <w:rPr/>
          </w:pPr>
          <w:hyperlink w:anchor="__RefHeading___Toc5261180_581953129">
            <w:r>
              <w:rPr>
                <w:webHidden/>
                <w:rStyle w:val="IndexLink"/>
                <w:rtl w:val="true"/>
              </w:rPr>
              <w:t>ب</w:t>
            </w:r>
            <w:r>
              <w:rPr>
                <w:rStyle w:val="IndexLink"/>
                <w:rtl w:val="true"/>
              </w:rPr>
              <w:t xml:space="preserve">) </w:t>
            </w:r>
            <w:r>
              <w:rPr>
                <w:rStyle w:val="IndexLink"/>
                <w:rtl w:val="true"/>
              </w:rPr>
              <w:t>خصوصی بودن آن</w:t>
            </w:r>
            <w:r>
              <w:rPr>
                <w:rStyle w:val="IndexLink"/>
                <w:rtl w:val="true"/>
              </w:rPr>
              <w:tab/>
            </w:r>
            <w:r>
              <w:rPr>
                <w:rStyle w:val="IndexLink"/>
              </w:rPr>
              <w:t>34</w:t>
            </w:r>
          </w:hyperlink>
        </w:p>
        <w:p>
          <w:pPr>
            <w:pStyle w:val="Contents4"/>
            <w:tabs>
              <w:tab w:val="clear" w:pos="8176"/>
              <w:tab w:val="right" w:pos="9026" w:leader="dot"/>
            </w:tabs>
            <w:rPr/>
          </w:pPr>
          <w:hyperlink w:anchor="__RefHeading___Toc5261182_581953129">
            <w:r>
              <w:rPr>
                <w:webHidden/>
                <w:rStyle w:val="IndexLink"/>
                <w:rtl w:val="true"/>
              </w:rPr>
              <w:t>ج</w:t>
            </w:r>
            <w:r>
              <w:rPr>
                <w:rStyle w:val="IndexLink"/>
                <w:rtl w:val="true"/>
              </w:rPr>
              <w:t xml:space="preserve">) </w:t>
            </w:r>
            <w:r>
              <w:rPr>
                <w:rStyle w:val="IndexLink"/>
                <w:rtl w:val="true"/>
              </w:rPr>
              <w:t>استقلال و تازگی موضوعات آن</w:t>
            </w:r>
            <w:r>
              <w:rPr>
                <w:rStyle w:val="IndexLink"/>
                <w:rtl w:val="true"/>
              </w:rPr>
              <w:tab/>
            </w:r>
            <w:r>
              <w:rPr>
                <w:rStyle w:val="IndexLink"/>
              </w:rPr>
              <w:t>34</w:t>
            </w:r>
          </w:hyperlink>
        </w:p>
        <w:p>
          <w:pPr>
            <w:pStyle w:val="Contents4"/>
            <w:tabs>
              <w:tab w:val="clear" w:pos="8176"/>
              <w:tab w:val="right" w:pos="9026" w:leader="dot"/>
            </w:tabs>
            <w:rPr/>
          </w:pPr>
          <w:hyperlink w:anchor="__RefHeading___Toc5261184_581953129">
            <w:r>
              <w:rPr>
                <w:webHidden/>
                <w:rStyle w:val="IndexLink"/>
                <w:rtl w:val="true"/>
              </w:rPr>
              <w:t>د</w:t>
            </w:r>
            <w:r>
              <w:rPr>
                <w:rStyle w:val="IndexLink"/>
                <w:rtl w:val="true"/>
              </w:rPr>
              <w:t xml:space="preserve">) </w:t>
            </w:r>
            <w:r>
              <w:rPr>
                <w:rStyle w:val="IndexLink"/>
                <w:rtl w:val="true"/>
              </w:rPr>
              <w:t>تأثیرپذیری</w:t>
            </w:r>
            <w:r>
              <w:rPr>
                <w:rStyle w:val="IndexLink"/>
                <w:rtl w:val="true"/>
              </w:rPr>
              <w:tab/>
            </w:r>
            <w:r>
              <w:rPr>
                <w:rStyle w:val="IndexLink"/>
              </w:rPr>
              <w:t>34</w:t>
            </w:r>
          </w:hyperlink>
        </w:p>
        <w:p>
          <w:pPr>
            <w:pStyle w:val="Contents3"/>
            <w:tabs>
              <w:tab w:val="clear" w:pos="8459"/>
              <w:tab w:val="right" w:pos="9026" w:leader="dot"/>
            </w:tabs>
            <w:rPr/>
          </w:pPr>
          <w:hyperlink w:anchor="__RefHeading___Toc5261186_581953129">
            <w:r>
              <w:rPr>
                <w:webHidden/>
                <w:rStyle w:val="IndexLink"/>
              </w:rPr>
              <w:t>5</w:t>
            </w:r>
            <w:r>
              <w:rPr>
                <w:rStyle w:val="IndexLink"/>
                <w:rtl w:val="true"/>
              </w:rPr>
              <w:t xml:space="preserve">- </w:t>
            </w:r>
            <w:r>
              <w:rPr>
                <w:rStyle w:val="IndexLink"/>
                <w:rtl w:val="true"/>
              </w:rPr>
              <w:t>فواید حقوق بین الملل خصوصی</w:t>
            </w:r>
            <w:r>
              <w:rPr>
                <w:rStyle w:val="IndexLink"/>
                <w:rtl w:val="true"/>
              </w:rPr>
              <w:tab/>
            </w:r>
            <w:r>
              <w:rPr>
                <w:rStyle w:val="IndexLink"/>
              </w:rPr>
              <w:t>34</w:t>
            </w:r>
          </w:hyperlink>
        </w:p>
        <w:p>
          <w:pPr>
            <w:pStyle w:val="Contents4"/>
            <w:tabs>
              <w:tab w:val="clear" w:pos="8176"/>
              <w:tab w:val="right" w:pos="9026" w:leader="dot"/>
            </w:tabs>
            <w:rPr/>
          </w:pPr>
          <w:hyperlink w:anchor="__RefHeading___Toc5261188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261190_581953129">
            <w:r>
              <w:rPr>
                <w:webHidden/>
                <w:rStyle w:val="IndexLink"/>
                <w:rtl w:val="true"/>
              </w:rPr>
              <w:t>الف</w:t>
            </w:r>
            <w:r>
              <w:rPr>
                <w:rStyle w:val="IndexLink"/>
                <w:rtl w:val="true"/>
              </w:rPr>
              <w:t xml:space="preserve">) </w:t>
            </w:r>
            <w:r>
              <w:rPr>
                <w:rStyle w:val="IndexLink"/>
                <w:rtl w:val="true"/>
              </w:rPr>
              <w:t>فواید عملی</w:t>
            </w:r>
            <w:r>
              <w:rPr>
                <w:rStyle w:val="IndexLink"/>
                <w:rtl w:val="true"/>
              </w:rPr>
              <w:tab/>
            </w:r>
            <w:r>
              <w:rPr>
                <w:rStyle w:val="IndexLink"/>
              </w:rPr>
              <w:t>35</w:t>
            </w:r>
          </w:hyperlink>
        </w:p>
        <w:p>
          <w:pPr>
            <w:pStyle w:val="Contents4"/>
            <w:tabs>
              <w:tab w:val="clear" w:pos="8176"/>
              <w:tab w:val="right" w:pos="9026" w:leader="dot"/>
            </w:tabs>
            <w:rPr/>
          </w:pPr>
          <w:hyperlink w:anchor="__RefHeading___Toc5261192_581953129">
            <w:r>
              <w:rPr>
                <w:webHidden/>
                <w:rStyle w:val="IndexLink"/>
                <w:rtl w:val="true"/>
              </w:rPr>
              <w:t>ب</w:t>
            </w:r>
            <w:r>
              <w:rPr>
                <w:rStyle w:val="IndexLink"/>
                <w:rtl w:val="true"/>
              </w:rPr>
              <w:t xml:space="preserve">) </w:t>
            </w:r>
            <w:r>
              <w:rPr>
                <w:rStyle w:val="IndexLink"/>
                <w:rtl w:val="true"/>
              </w:rPr>
              <w:t>فواید علمی</w:t>
            </w:r>
            <w:r>
              <w:rPr>
                <w:rStyle w:val="IndexLink"/>
                <w:rtl w:val="true"/>
              </w:rPr>
              <w:tab/>
            </w:r>
            <w:r>
              <w:rPr>
                <w:rStyle w:val="IndexLink"/>
              </w:rPr>
              <w:t>40</w:t>
            </w:r>
          </w:hyperlink>
        </w:p>
        <w:p>
          <w:pPr>
            <w:pStyle w:val="Contents2"/>
            <w:tabs>
              <w:tab w:val="clear" w:pos="8743"/>
              <w:tab w:val="right" w:pos="9026" w:leader="dot"/>
            </w:tabs>
            <w:rPr/>
          </w:pPr>
          <w:hyperlink w:anchor="__RefHeading___Toc5261194_581953129">
            <w:r>
              <w:rPr>
                <w:webHidden/>
                <w:rStyle w:val="IndexLink"/>
              </w:rPr>
              <w:t>2</w:t>
            </w:r>
            <w:r>
              <w:rPr>
                <w:rStyle w:val="IndexLink"/>
                <w:rtl w:val="true"/>
              </w:rPr>
              <w:t>-</w:t>
            </w:r>
            <w:r>
              <w:rPr>
                <w:rStyle w:val="IndexLink"/>
                <w:rtl w:val="true"/>
              </w:rPr>
              <w:t>کلیات</w:t>
            </w:r>
            <w:r>
              <w:rPr>
                <w:rStyle w:val="IndexLink"/>
                <w:rtl w:val="true"/>
              </w:rPr>
              <w:t>(</w:t>
            </w:r>
            <w:r>
              <w:rPr>
                <w:rStyle w:val="IndexLink"/>
              </w:rPr>
              <w:t>2</w:t>
            </w:r>
            <w:r>
              <w:rPr>
                <w:rStyle w:val="IndexLink"/>
                <w:rtl w:val="true"/>
              </w:rPr>
              <w:t>)</w:t>
              <w:tab/>
            </w:r>
            <w:r>
              <w:rPr>
                <w:rStyle w:val="IndexLink"/>
              </w:rPr>
              <w:t>53</w:t>
            </w:r>
          </w:hyperlink>
        </w:p>
        <w:p>
          <w:pPr>
            <w:pStyle w:val="Contents3"/>
            <w:tabs>
              <w:tab w:val="clear" w:pos="8459"/>
              <w:tab w:val="right" w:pos="9026" w:leader="dot"/>
            </w:tabs>
            <w:rPr/>
          </w:pPr>
          <w:hyperlink w:anchor="__RefHeading___Toc5261196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5261198_581953129">
            <w:r>
              <w:rPr>
                <w:webHidden/>
                <w:rStyle w:val="IndexLink"/>
              </w:rPr>
              <w:t>1</w:t>
            </w:r>
            <w:r>
              <w:rPr>
                <w:rStyle w:val="IndexLink"/>
                <w:rtl w:val="true"/>
              </w:rPr>
              <w:t xml:space="preserve">- </w:t>
            </w:r>
            <w:r>
              <w:rPr>
                <w:rStyle w:val="IndexLink"/>
                <w:rtl w:val="true"/>
              </w:rPr>
              <w:t>منابع داخلی حقوق بین الملل خصوصی</w:t>
            </w:r>
            <w:r>
              <w:rPr>
                <w:rStyle w:val="IndexLink"/>
                <w:rtl w:val="true"/>
              </w:rPr>
              <w:tab/>
            </w:r>
            <w:r>
              <w:rPr>
                <w:rStyle w:val="IndexLink"/>
              </w:rPr>
              <w:t>54</w:t>
            </w:r>
          </w:hyperlink>
        </w:p>
        <w:p>
          <w:pPr>
            <w:pStyle w:val="Contents4"/>
            <w:tabs>
              <w:tab w:val="clear" w:pos="8176"/>
              <w:tab w:val="right" w:pos="9026" w:leader="dot"/>
            </w:tabs>
            <w:rPr/>
          </w:pPr>
          <w:hyperlink w:anchor="__RefHeading___Toc5261200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5261202_581953129">
            <w:r>
              <w:rPr>
                <w:webHidden/>
                <w:rStyle w:val="IndexLink"/>
                <w:rtl w:val="true"/>
              </w:rPr>
              <w:t>الف</w:t>
            </w:r>
            <w:r>
              <w:rPr>
                <w:rStyle w:val="IndexLink"/>
                <w:rtl w:val="true"/>
              </w:rPr>
              <w:t xml:space="preserve">) </w:t>
            </w:r>
            <w:r>
              <w:rPr>
                <w:rStyle w:val="IndexLink"/>
                <w:rtl w:val="true"/>
              </w:rPr>
              <w:t>قانون</w:t>
            </w:r>
            <w:r>
              <w:rPr>
                <w:rStyle w:val="IndexLink"/>
                <w:rtl w:val="true"/>
              </w:rPr>
              <w:tab/>
            </w:r>
            <w:r>
              <w:rPr>
                <w:rStyle w:val="IndexLink"/>
              </w:rPr>
              <w:t>54</w:t>
            </w:r>
          </w:hyperlink>
        </w:p>
        <w:p>
          <w:pPr>
            <w:pStyle w:val="Contents4"/>
            <w:tabs>
              <w:tab w:val="clear" w:pos="8176"/>
              <w:tab w:val="right" w:pos="9026" w:leader="dot"/>
            </w:tabs>
            <w:rPr/>
          </w:pPr>
          <w:hyperlink w:anchor="__RefHeading___Toc5261204_581953129">
            <w:r>
              <w:rPr>
                <w:webHidden/>
                <w:rStyle w:val="IndexLink"/>
                <w:rtl w:val="true"/>
              </w:rPr>
              <w:t>ب</w:t>
            </w:r>
            <w:r>
              <w:rPr>
                <w:rStyle w:val="IndexLink"/>
                <w:rtl w:val="true"/>
              </w:rPr>
              <w:t xml:space="preserve">) </w:t>
            </w:r>
            <w:r>
              <w:rPr>
                <w:rStyle w:val="IndexLink"/>
                <w:rtl w:val="true"/>
              </w:rPr>
              <w:t>رویه قضایی</w:t>
            </w:r>
            <w:r>
              <w:rPr>
                <w:rStyle w:val="IndexLink"/>
                <w:rtl w:val="true"/>
              </w:rPr>
              <w:tab/>
            </w:r>
            <w:r>
              <w:rPr>
                <w:rStyle w:val="IndexLink"/>
              </w:rPr>
              <w:t>56</w:t>
            </w:r>
          </w:hyperlink>
        </w:p>
        <w:p>
          <w:pPr>
            <w:pStyle w:val="Contents4"/>
            <w:tabs>
              <w:tab w:val="clear" w:pos="8176"/>
              <w:tab w:val="right" w:pos="9026" w:leader="dot"/>
            </w:tabs>
            <w:rPr/>
          </w:pPr>
          <w:hyperlink w:anchor="__RefHeading___Toc5261206_581953129">
            <w:r>
              <w:rPr>
                <w:webHidden/>
                <w:rStyle w:val="IndexLink"/>
                <w:rtl w:val="true"/>
              </w:rPr>
              <w:t>ج</w:t>
            </w:r>
            <w:r>
              <w:rPr>
                <w:rStyle w:val="IndexLink"/>
                <w:rtl w:val="true"/>
              </w:rPr>
              <w:t xml:space="preserve">) </w:t>
            </w:r>
            <w:r>
              <w:rPr>
                <w:rStyle w:val="IndexLink"/>
                <w:rtl w:val="true"/>
              </w:rPr>
              <w:t>عرف</w:t>
            </w:r>
            <w:r>
              <w:rPr>
                <w:rStyle w:val="IndexLink"/>
                <w:rtl w:val="true"/>
              </w:rPr>
              <w:tab/>
            </w:r>
            <w:r>
              <w:rPr>
                <w:rStyle w:val="IndexLink"/>
              </w:rPr>
              <w:t>58</w:t>
            </w:r>
          </w:hyperlink>
        </w:p>
        <w:p>
          <w:pPr>
            <w:pStyle w:val="Contents4"/>
            <w:tabs>
              <w:tab w:val="clear" w:pos="8176"/>
              <w:tab w:val="right" w:pos="9026" w:leader="dot"/>
            </w:tabs>
            <w:rPr/>
          </w:pPr>
          <w:hyperlink w:anchor="__RefHeading___Toc5261208_581953129">
            <w:r>
              <w:rPr>
                <w:webHidden/>
                <w:rStyle w:val="IndexLink"/>
                <w:rtl w:val="true"/>
              </w:rPr>
              <w:t>د</w:t>
            </w:r>
            <w:r>
              <w:rPr>
                <w:rStyle w:val="IndexLink"/>
                <w:rtl w:val="true"/>
              </w:rPr>
              <w:t xml:space="preserve">) </w:t>
            </w:r>
            <w:r>
              <w:rPr>
                <w:rStyle w:val="IndexLink"/>
                <w:rtl w:val="true"/>
              </w:rPr>
              <w:t xml:space="preserve">عقاید علمای حقوق </w:t>
            </w:r>
            <w:r>
              <w:rPr>
                <w:rStyle w:val="IndexLink"/>
                <w:rtl w:val="true"/>
              </w:rPr>
              <w:t>(</w:t>
            </w:r>
            <w:r>
              <w:rPr>
                <w:rStyle w:val="IndexLink"/>
                <w:rtl w:val="true"/>
              </w:rPr>
              <w:t>دکترین حقوق</w:t>
            </w:r>
            <w:r>
              <w:rPr>
                <w:rStyle w:val="IndexLink"/>
                <w:rtl w:val="true"/>
              </w:rPr>
              <w:t>)</w:t>
              <w:tab/>
            </w:r>
            <w:r>
              <w:rPr>
                <w:rStyle w:val="IndexLink"/>
              </w:rPr>
              <w:t>60</w:t>
            </w:r>
          </w:hyperlink>
        </w:p>
        <w:p>
          <w:pPr>
            <w:pStyle w:val="Contents3"/>
            <w:tabs>
              <w:tab w:val="clear" w:pos="8459"/>
              <w:tab w:val="right" w:pos="9026" w:leader="dot"/>
            </w:tabs>
            <w:rPr/>
          </w:pPr>
          <w:hyperlink w:anchor="__RefHeading___Toc5261210_581953129">
            <w:r>
              <w:rPr>
                <w:webHidden/>
                <w:rStyle w:val="IndexLink"/>
              </w:rPr>
              <w:t>2</w:t>
            </w:r>
            <w:r>
              <w:rPr>
                <w:rStyle w:val="IndexLink"/>
                <w:rtl w:val="true"/>
              </w:rPr>
              <w:t xml:space="preserve">- </w:t>
            </w:r>
            <w:r>
              <w:rPr>
                <w:rStyle w:val="IndexLink"/>
                <w:rtl w:val="true"/>
              </w:rPr>
              <w:t>منابع بین المللی حقوق بین الملل خصوصی</w:t>
            </w:r>
            <w:r>
              <w:rPr>
                <w:rStyle w:val="IndexLink"/>
                <w:rtl w:val="true"/>
              </w:rPr>
              <w:tab/>
            </w:r>
            <w:r>
              <w:rPr>
                <w:rStyle w:val="IndexLink"/>
              </w:rPr>
              <w:t>60</w:t>
            </w:r>
          </w:hyperlink>
        </w:p>
        <w:p>
          <w:pPr>
            <w:pStyle w:val="Contents4"/>
            <w:tabs>
              <w:tab w:val="clear" w:pos="8176"/>
              <w:tab w:val="right" w:pos="9026" w:leader="dot"/>
            </w:tabs>
            <w:rPr/>
          </w:pPr>
          <w:hyperlink w:anchor="__RefHeading___Toc5261212_58195312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5261214_581953129">
            <w:r>
              <w:rPr>
                <w:webHidden/>
                <w:rStyle w:val="IndexLink"/>
                <w:rtl w:val="true"/>
              </w:rPr>
              <w:t>الف</w:t>
            </w:r>
            <w:r>
              <w:rPr>
                <w:rStyle w:val="IndexLink"/>
                <w:rtl w:val="true"/>
              </w:rPr>
              <w:t xml:space="preserve">) </w:t>
            </w:r>
            <w:r>
              <w:rPr>
                <w:rStyle w:val="IndexLink"/>
                <w:rtl w:val="true"/>
              </w:rPr>
              <w:t>عهدنامه های بین المللی</w:t>
            </w:r>
            <w:r>
              <w:rPr>
                <w:rStyle w:val="IndexLink"/>
                <w:rtl w:val="true"/>
              </w:rPr>
              <w:tab/>
            </w:r>
            <w:r>
              <w:rPr>
                <w:rStyle w:val="IndexLink"/>
              </w:rPr>
              <w:t>60</w:t>
            </w:r>
          </w:hyperlink>
        </w:p>
        <w:p>
          <w:pPr>
            <w:pStyle w:val="Contents4"/>
            <w:tabs>
              <w:tab w:val="clear" w:pos="8176"/>
              <w:tab w:val="right" w:pos="9026" w:leader="dot"/>
            </w:tabs>
            <w:rPr/>
          </w:pPr>
          <w:hyperlink w:anchor="__RefHeading___Toc5261216_581953129">
            <w:r>
              <w:rPr>
                <w:webHidden/>
                <w:rStyle w:val="IndexLink"/>
                <w:rtl w:val="true"/>
              </w:rPr>
              <w:t>ب</w:t>
            </w:r>
            <w:r>
              <w:rPr>
                <w:rStyle w:val="IndexLink"/>
                <w:rtl w:val="true"/>
              </w:rPr>
              <w:t xml:space="preserve">) </w:t>
            </w:r>
            <w:r>
              <w:rPr>
                <w:rStyle w:val="IndexLink"/>
                <w:rtl w:val="true"/>
              </w:rPr>
              <w:t>رویه قضایی بین المللی</w:t>
            </w:r>
            <w:r>
              <w:rPr>
                <w:rStyle w:val="IndexLink"/>
                <w:rtl w:val="true"/>
              </w:rPr>
              <w:tab/>
            </w:r>
            <w:r>
              <w:rPr>
                <w:rStyle w:val="IndexLink"/>
              </w:rPr>
              <w:t>75</w:t>
            </w:r>
          </w:hyperlink>
        </w:p>
        <w:p>
          <w:pPr>
            <w:pStyle w:val="Contents4"/>
            <w:tabs>
              <w:tab w:val="clear" w:pos="8176"/>
              <w:tab w:val="right" w:pos="9026" w:leader="dot"/>
            </w:tabs>
            <w:rPr/>
          </w:pPr>
          <w:hyperlink w:anchor="__RefHeading___Toc5261218_581953129">
            <w:r>
              <w:rPr>
                <w:webHidden/>
                <w:rStyle w:val="IndexLink"/>
                <w:rtl w:val="true"/>
              </w:rPr>
              <w:t>ج</w:t>
            </w:r>
            <w:r>
              <w:rPr>
                <w:rStyle w:val="IndexLink"/>
                <w:rtl w:val="true"/>
              </w:rPr>
              <w:t xml:space="preserve">) </w:t>
            </w:r>
            <w:r>
              <w:rPr>
                <w:rStyle w:val="IndexLink"/>
                <w:rtl w:val="true"/>
              </w:rPr>
              <w:t>عرف بین المللی</w:t>
            </w:r>
            <w:r>
              <w:rPr>
                <w:rStyle w:val="IndexLink"/>
                <w:rtl w:val="true"/>
              </w:rPr>
              <w:tab/>
            </w:r>
            <w:r>
              <w:rPr>
                <w:rStyle w:val="IndexLink"/>
              </w:rPr>
              <w:t>76</w:t>
            </w:r>
          </w:hyperlink>
        </w:p>
        <w:p>
          <w:pPr>
            <w:pStyle w:val="Contents4"/>
            <w:tabs>
              <w:tab w:val="clear" w:pos="8176"/>
              <w:tab w:val="right" w:pos="9026" w:leader="dot"/>
            </w:tabs>
            <w:rPr/>
          </w:pPr>
          <w:hyperlink w:anchor="__RefHeading___Toc5261220_581953129">
            <w:r>
              <w:rPr>
                <w:webHidden/>
                <w:rStyle w:val="IndexLink"/>
                <w:rtl w:val="true"/>
              </w:rPr>
              <w:t>د</w:t>
            </w:r>
            <w:r>
              <w:rPr>
                <w:rStyle w:val="IndexLink"/>
                <w:rtl w:val="true"/>
              </w:rPr>
              <w:t xml:space="preserve">) </w:t>
            </w:r>
            <w:r>
              <w:rPr>
                <w:rStyle w:val="IndexLink"/>
                <w:rtl w:val="true"/>
              </w:rPr>
              <w:t>اصول کلّی بین المللی</w:t>
            </w:r>
            <w:r>
              <w:rPr>
                <w:rStyle w:val="IndexLink"/>
                <w:rtl w:val="true"/>
              </w:rPr>
              <w:tab/>
            </w:r>
            <w:r>
              <w:rPr>
                <w:rStyle w:val="IndexLink"/>
              </w:rPr>
              <w:t>77</w:t>
            </w:r>
          </w:hyperlink>
        </w:p>
        <w:p>
          <w:pPr>
            <w:pStyle w:val="Contents2"/>
            <w:tabs>
              <w:tab w:val="clear" w:pos="8743"/>
              <w:tab w:val="right" w:pos="9026" w:leader="dot"/>
            </w:tabs>
            <w:rPr/>
          </w:pPr>
          <w:hyperlink w:anchor="__RefHeading___Toc5261222_581953129">
            <w:r>
              <w:rPr>
                <w:webHidden/>
                <w:rStyle w:val="IndexLink"/>
              </w:rPr>
              <w:t>3</w:t>
            </w:r>
            <w:r>
              <w:rPr>
                <w:rStyle w:val="IndexLink"/>
                <w:rtl w:val="true"/>
              </w:rPr>
              <w:t xml:space="preserve">- </w:t>
            </w:r>
            <w:r>
              <w:rPr>
                <w:rStyle w:val="IndexLink"/>
                <w:rtl w:val="true"/>
              </w:rPr>
              <w:t>منابع حقوق بین الملل خصوصی اسلامی؛ تابعیت</w:t>
            </w:r>
            <w:r>
              <w:rPr>
                <w:rStyle w:val="IndexLink"/>
                <w:rtl w:val="true"/>
              </w:rPr>
              <w:tab/>
            </w:r>
            <w:r>
              <w:rPr>
                <w:rStyle w:val="IndexLink"/>
              </w:rPr>
              <w:t>86</w:t>
            </w:r>
          </w:hyperlink>
        </w:p>
        <w:p>
          <w:pPr>
            <w:pStyle w:val="Contents3"/>
            <w:tabs>
              <w:tab w:val="clear" w:pos="8459"/>
              <w:tab w:val="right" w:pos="9026" w:leader="dot"/>
            </w:tabs>
            <w:rPr/>
          </w:pPr>
          <w:hyperlink w:anchor="__RefHeading___Toc5261224_581953129">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5261226_581953129">
            <w:r>
              <w:rPr>
                <w:webHidden/>
                <w:rStyle w:val="IndexLink"/>
              </w:rPr>
              <w:t>1</w:t>
            </w:r>
            <w:r>
              <w:rPr>
                <w:rStyle w:val="IndexLink"/>
                <w:rtl w:val="true"/>
              </w:rPr>
              <w:t xml:space="preserve">- </w:t>
            </w:r>
            <w:r>
              <w:rPr>
                <w:rStyle w:val="IndexLink"/>
                <w:rtl w:val="true"/>
              </w:rPr>
              <w:t>منابع حقوق بین الملل خصوصی اسلامی</w:t>
            </w:r>
            <w:r>
              <w:rPr>
                <w:rStyle w:val="IndexLink"/>
                <w:rtl w:val="true"/>
              </w:rPr>
              <w:tab/>
            </w:r>
            <w:r>
              <w:rPr>
                <w:rStyle w:val="IndexLink"/>
              </w:rPr>
              <w:t>86</w:t>
            </w:r>
          </w:hyperlink>
        </w:p>
        <w:p>
          <w:pPr>
            <w:pStyle w:val="Contents4"/>
            <w:tabs>
              <w:tab w:val="clear" w:pos="8176"/>
              <w:tab w:val="right" w:pos="9026" w:leader="dot"/>
            </w:tabs>
            <w:rPr/>
          </w:pPr>
          <w:hyperlink w:anchor="__RefHeading___Toc5261228_58195312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5261230_581953129">
            <w:r>
              <w:rPr>
                <w:webHidden/>
                <w:rStyle w:val="IndexLink"/>
                <w:rtl w:val="true"/>
              </w:rPr>
              <w:t>الف</w:t>
            </w:r>
            <w:r>
              <w:rPr>
                <w:rStyle w:val="IndexLink"/>
                <w:rtl w:val="true"/>
              </w:rPr>
              <w:t xml:space="preserve">) </w:t>
            </w:r>
            <w:r>
              <w:rPr>
                <w:rStyle w:val="IndexLink"/>
                <w:rtl w:val="true"/>
              </w:rPr>
              <w:t>قرآن کریم</w:t>
            </w:r>
            <w:r>
              <w:rPr>
                <w:rStyle w:val="IndexLink"/>
                <w:rtl w:val="true"/>
              </w:rPr>
              <w:tab/>
            </w:r>
            <w:r>
              <w:rPr>
                <w:rStyle w:val="IndexLink"/>
              </w:rPr>
              <w:t>86</w:t>
            </w:r>
          </w:hyperlink>
        </w:p>
        <w:p>
          <w:pPr>
            <w:pStyle w:val="Contents4"/>
            <w:tabs>
              <w:tab w:val="clear" w:pos="8176"/>
              <w:tab w:val="right" w:pos="9026" w:leader="dot"/>
            </w:tabs>
            <w:rPr/>
          </w:pPr>
          <w:hyperlink w:anchor="__RefHeading___Toc5261232_581953129">
            <w:r>
              <w:rPr>
                <w:webHidden/>
                <w:rStyle w:val="IndexLink"/>
                <w:rtl w:val="true"/>
              </w:rPr>
              <w:t>ب</w:t>
            </w:r>
            <w:r>
              <w:rPr>
                <w:rStyle w:val="IndexLink"/>
                <w:rtl w:val="true"/>
              </w:rPr>
              <w:t xml:space="preserve">) </w:t>
            </w:r>
            <w:r>
              <w:rPr>
                <w:rStyle w:val="IndexLink"/>
                <w:rtl w:val="true"/>
              </w:rPr>
              <w:t>سنّت</w:t>
            </w:r>
            <w:r>
              <w:rPr>
                <w:rStyle w:val="IndexLink"/>
                <w:rtl w:val="true"/>
              </w:rPr>
              <w:tab/>
            </w:r>
            <w:r>
              <w:rPr>
                <w:rStyle w:val="IndexLink"/>
              </w:rPr>
              <w:t>88</w:t>
            </w:r>
          </w:hyperlink>
        </w:p>
        <w:p>
          <w:pPr>
            <w:pStyle w:val="Contents4"/>
            <w:tabs>
              <w:tab w:val="clear" w:pos="8176"/>
              <w:tab w:val="right" w:pos="9026" w:leader="dot"/>
            </w:tabs>
            <w:rPr/>
          </w:pPr>
          <w:hyperlink w:anchor="__RefHeading___Toc5261234_581953129">
            <w:r>
              <w:rPr>
                <w:webHidden/>
                <w:rStyle w:val="IndexLink"/>
                <w:rtl w:val="true"/>
              </w:rPr>
              <w:t>ج</w:t>
            </w:r>
            <w:r>
              <w:rPr>
                <w:rStyle w:val="IndexLink"/>
                <w:rtl w:val="true"/>
              </w:rPr>
              <w:t xml:space="preserve">) </w:t>
            </w:r>
            <w:r>
              <w:rPr>
                <w:rStyle w:val="IndexLink"/>
                <w:rtl w:val="true"/>
              </w:rPr>
              <w:t>اجماع</w:t>
            </w:r>
            <w:r>
              <w:rPr>
                <w:rStyle w:val="IndexLink"/>
                <w:rtl w:val="true"/>
              </w:rPr>
              <w:tab/>
            </w:r>
            <w:r>
              <w:rPr>
                <w:rStyle w:val="IndexLink"/>
              </w:rPr>
              <w:t>89</w:t>
            </w:r>
          </w:hyperlink>
        </w:p>
        <w:p>
          <w:pPr>
            <w:pStyle w:val="Contents4"/>
            <w:tabs>
              <w:tab w:val="clear" w:pos="8176"/>
              <w:tab w:val="right" w:pos="9026" w:leader="dot"/>
            </w:tabs>
            <w:rPr/>
          </w:pPr>
          <w:hyperlink w:anchor="__RefHeading___Toc5261236_581953129">
            <w:r>
              <w:rPr>
                <w:webHidden/>
                <w:rStyle w:val="IndexLink"/>
                <w:rtl w:val="true"/>
              </w:rPr>
              <w:t>د</w:t>
            </w:r>
            <w:r>
              <w:rPr>
                <w:rStyle w:val="IndexLink"/>
                <w:rtl w:val="true"/>
              </w:rPr>
              <w:t xml:space="preserve">) </w:t>
            </w:r>
            <w:r>
              <w:rPr>
                <w:rStyle w:val="IndexLink"/>
                <w:rtl w:val="true"/>
              </w:rPr>
              <w:t>عقل</w:t>
            </w:r>
            <w:r>
              <w:rPr>
                <w:rStyle w:val="IndexLink"/>
                <w:rtl w:val="true"/>
              </w:rPr>
              <w:tab/>
            </w:r>
            <w:r>
              <w:rPr>
                <w:rStyle w:val="IndexLink"/>
              </w:rPr>
              <w:t>89</w:t>
            </w:r>
          </w:hyperlink>
        </w:p>
        <w:p>
          <w:pPr>
            <w:pStyle w:val="Contents4"/>
            <w:tabs>
              <w:tab w:val="clear" w:pos="8176"/>
              <w:tab w:val="right" w:pos="9026" w:leader="dot"/>
            </w:tabs>
            <w:rPr/>
          </w:pPr>
          <w:hyperlink w:anchor="__RefHeading___Toc5261238_581953129">
            <w:r>
              <w:rPr>
                <w:webHidden/>
                <w:rStyle w:val="IndexLink"/>
                <w:rtl w:val="true"/>
              </w:rPr>
              <w:t>ه</w:t>
            </w:r>
            <w:r>
              <w:rPr>
                <w:rStyle w:val="IndexLink"/>
                <w:rtl w:val="true"/>
              </w:rPr>
              <w:t xml:space="preserve">) </w:t>
            </w:r>
            <w:r>
              <w:rPr>
                <w:rStyle w:val="IndexLink"/>
                <w:rtl w:val="true"/>
              </w:rPr>
              <w:t>عرف بین المللی</w:t>
            </w:r>
            <w:r>
              <w:rPr>
                <w:rStyle w:val="IndexLink"/>
                <w:rtl w:val="true"/>
              </w:rPr>
              <w:tab/>
            </w:r>
            <w:r>
              <w:rPr>
                <w:rStyle w:val="IndexLink"/>
              </w:rPr>
              <w:t>91</w:t>
            </w:r>
          </w:hyperlink>
        </w:p>
        <w:p>
          <w:pPr>
            <w:pStyle w:val="Contents4"/>
            <w:tabs>
              <w:tab w:val="clear" w:pos="8176"/>
              <w:tab w:val="right" w:pos="9026" w:leader="dot"/>
            </w:tabs>
            <w:rPr/>
          </w:pPr>
          <w:hyperlink w:anchor="__RefHeading___Toc5261240_581953129">
            <w:r>
              <w:rPr>
                <w:webHidden/>
                <w:rStyle w:val="IndexLink"/>
                <w:rtl w:val="true"/>
              </w:rPr>
              <w:t>و</w:t>
            </w:r>
            <w:r>
              <w:rPr>
                <w:rStyle w:val="IndexLink"/>
                <w:rtl w:val="true"/>
              </w:rPr>
              <w:t xml:space="preserve">) </w:t>
            </w:r>
            <w:r>
              <w:rPr>
                <w:rStyle w:val="IndexLink"/>
                <w:rtl w:val="true"/>
              </w:rPr>
              <w:t>احکام حکومتی</w:t>
            </w:r>
            <w:r>
              <w:rPr>
                <w:rStyle w:val="IndexLink"/>
                <w:rtl w:val="true"/>
              </w:rPr>
              <w:tab/>
            </w:r>
            <w:r>
              <w:rPr>
                <w:rStyle w:val="IndexLink"/>
              </w:rPr>
              <w:t>93</w:t>
            </w:r>
          </w:hyperlink>
        </w:p>
        <w:p>
          <w:pPr>
            <w:pStyle w:val="Contents4"/>
            <w:tabs>
              <w:tab w:val="clear" w:pos="8176"/>
              <w:tab w:val="right" w:pos="9026" w:leader="dot"/>
            </w:tabs>
            <w:rPr/>
          </w:pPr>
          <w:hyperlink w:anchor="__RefHeading___Toc5261242_581953129">
            <w:r>
              <w:rPr>
                <w:webHidden/>
                <w:rStyle w:val="IndexLink"/>
                <w:rtl w:val="true"/>
              </w:rPr>
              <w:t>ز</w:t>
            </w:r>
            <w:r>
              <w:rPr>
                <w:rStyle w:val="IndexLink"/>
                <w:rtl w:val="true"/>
              </w:rPr>
              <w:t xml:space="preserve">) </w:t>
            </w:r>
            <w:r>
              <w:rPr>
                <w:rStyle w:val="IndexLink"/>
                <w:rtl w:val="true"/>
              </w:rPr>
              <w:t>شریعت ها و کتاب های آسمانی دیگر</w:t>
            </w:r>
            <w:r>
              <w:rPr>
                <w:rStyle w:val="IndexLink"/>
                <w:rtl w:val="true"/>
              </w:rPr>
              <w:tab/>
            </w:r>
            <w:r>
              <w:rPr>
                <w:rStyle w:val="IndexLink"/>
              </w:rPr>
              <w:t>94</w:t>
            </w:r>
          </w:hyperlink>
        </w:p>
        <w:p>
          <w:pPr>
            <w:pStyle w:val="Contents4"/>
            <w:tabs>
              <w:tab w:val="clear" w:pos="8176"/>
              <w:tab w:val="right" w:pos="9026" w:leader="dot"/>
            </w:tabs>
            <w:rPr/>
          </w:pPr>
          <w:hyperlink w:anchor="__RefHeading___Toc5261244_581953129">
            <w:r>
              <w:rPr>
                <w:webHidden/>
                <w:rStyle w:val="IndexLink"/>
                <w:rtl w:val="true"/>
              </w:rPr>
              <w:t>ح</w:t>
            </w:r>
            <w:r>
              <w:rPr>
                <w:rStyle w:val="IndexLink"/>
                <w:rtl w:val="true"/>
              </w:rPr>
              <w:t xml:space="preserve">) </w:t>
            </w:r>
            <w:r>
              <w:rPr>
                <w:rStyle w:val="IndexLink"/>
                <w:rtl w:val="true"/>
              </w:rPr>
              <w:t>معاهدات</w:t>
            </w:r>
            <w:r>
              <w:rPr>
                <w:rStyle w:val="IndexLink"/>
                <w:rtl w:val="true"/>
              </w:rPr>
              <w:tab/>
            </w:r>
            <w:r>
              <w:rPr>
                <w:rStyle w:val="IndexLink"/>
              </w:rPr>
              <w:t>94</w:t>
            </w:r>
          </w:hyperlink>
        </w:p>
        <w:p>
          <w:pPr>
            <w:pStyle w:val="Contents3"/>
            <w:tabs>
              <w:tab w:val="clear" w:pos="8459"/>
              <w:tab w:val="right" w:pos="9026" w:leader="dot"/>
            </w:tabs>
            <w:rPr/>
          </w:pPr>
          <w:hyperlink w:anchor="__RefHeading___Toc5261246_581953129">
            <w:r>
              <w:rPr>
                <w:webHidden/>
                <w:rStyle w:val="IndexLink"/>
              </w:rPr>
              <w:t>2</w:t>
            </w:r>
            <w:r>
              <w:rPr>
                <w:rStyle w:val="IndexLink"/>
                <w:rtl w:val="true"/>
              </w:rPr>
              <w:t xml:space="preserve">- </w:t>
            </w:r>
            <w:r>
              <w:rPr>
                <w:rStyle w:val="IndexLink"/>
                <w:rtl w:val="true"/>
              </w:rPr>
              <w:t>تابعیت</w:t>
            </w:r>
            <w:r>
              <w:rPr>
                <w:rStyle w:val="IndexLink"/>
                <w:rtl w:val="true"/>
              </w:rPr>
              <w:tab/>
            </w:r>
            <w:r>
              <w:rPr>
                <w:rStyle w:val="IndexLink"/>
              </w:rPr>
              <w:t>95</w:t>
            </w:r>
          </w:hyperlink>
        </w:p>
        <w:p>
          <w:pPr>
            <w:pStyle w:val="Contents4"/>
            <w:tabs>
              <w:tab w:val="clear" w:pos="8176"/>
              <w:tab w:val="right" w:pos="9026" w:leader="dot"/>
            </w:tabs>
            <w:rPr/>
          </w:pPr>
          <w:hyperlink w:anchor="__RefHeading___Toc5261248_58195312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5261250_581953129">
            <w:r>
              <w:rPr>
                <w:webHidden/>
                <w:rStyle w:val="IndexLink"/>
                <w:rtl w:val="true"/>
              </w:rPr>
              <w:t>الف</w:t>
            </w:r>
            <w:r>
              <w:rPr>
                <w:rStyle w:val="IndexLink"/>
                <w:rtl w:val="true"/>
              </w:rPr>
              <w:t xml:space="preserve">) </w:t>
            </w:r>
            <w:r>
              <w:rPr>
                <w:rStyle w:val="IndexLink"/>
                <w:rtl w:val="true"/>
              </w:rPr>
              <w:t>تعریف تابعیت</w:t>
            </w:r>
            <w:r>
              <w:rPr>
                <w:rStyle w:val="IndexLink"/>
                <w:rtl w:val="true"/>
              </w:rPr>
              <w:tab/>
            </w:r>
            <w:r>
              <w:rPr>
                <w:rStyle w:val="IndexLink"/>
              </w:rPr>
              <w:t>95</w:t>
            </w:r>
          </w:hyperlink>
        </w:p>
        <w:p>
          <w:pPr>
            <w:pStyle w:val="Contents4"/>
            <w:tabs>
              <w:tab w:val="clear" w:pos="8176"/>
              <w:tab w:val="right" w:pos="9026" w:leader="dot"/>
            </w:tabs>
            <w:rPr/>
          </w:pPr>
          <w:hyperlink w:anchor="__RefHeading___Toc5261252_581953129">
            <w:r>
              <w:rPr>
                <w:webHidden/>
                <w:rStyle w:val="IndexLink"/>
                <w:rtl w:val="true"/>
              </w:rPr>
              <w:t>ب</w:t>
            </w:r>
            <w:r>
              <w:rPr>
                <w:rStyle w:val="IndexLink"/>
                <w:rtl w:val="true"/>
              </w:rPr>
              <w:t xml:space="preserve">) </w:t>
            </w:r>
            <w:r>
              <w:rPr>
                <w:rStyle w:val="IndexLink"/>
                <w:rtl w:val="true"/>
              </w:rPr>
              <w:t>توصیف تابعیت</w:t>
            </w:r>
            <w:r>
              <w:rPr>
                <w:rStyle w:val="IndexLink"/>
                <w:rtl w:val="true"/>
              </w:rPr>
              <w:tab/>
            </w:r>
            <w:r>
              <w:rPr>
                <w:rStyle w:val="IndexLink"/>
              </w:rPr>
              <w:t>96</w:t>
            </w:r>
          </w:hyperlink>
        </w:p>
        <w:p>
          <w:pPr>
            <w:pStyle w:val="Contents4"/>
            <w:tabs>
              <w:tab w:val="clear" w:pos="8176"/>
              <w:tab w:val="right" w:pos="9026" w:leader="dot"/>
            </w:tabs>
            <w:rPr/>
          </w:pPr>
          <w:hyperlink w:anchor="__RefHeading___Toc5261254_581953129">
            <w:r>
              <w:rPr>
                <w:webHidden/>
                <w:rStyle w:val="IndexLink"/>
                <w:rtl w:val="true"/>
              </w:rPr>
              <w:t>ج</w:t>
            </w:r>
            <w:r>
              <w:rPr>
                <w:rStyle w:val="IndexLink"/>
                <w:rtl w:val="true"/>
              </w:rPr>
              <w:t xml:space="preserve">) </w:t>
            </w:r>
            <w:r>
              <w:rPr>
                <w:rStyle w:val="IndexLink"/>
                <w:rtl w:val="true"/>
              </w:rPr>
              <w:t>رابطه تابعیت و ملیت</w:t>
            </w:r>
            <w:r>
              <w:rPr>
                <w:rStyle w:val="IndexLink"/>
                <w:rtl w:val="true"/>
              </w:rPr>
              <w:tab/>
            </w:r>
            <w:r>
              <w:rPr>
                <w:rStyle w:val="IndexLink"/>
              </w:rPr>
              <w:t>98</w:t>
            </w:r>
          </w:hyperlink>
        </w:p>
        <w:p>
          <w:pPr>
            <w:pStyle w:val="Contents4"/>
            <w:tabs>
              <w:tab w:val="clear" w:pos="8176"/>
              <w:tab w:val="right" w:pos="9026" w:leader="dot"/>
            </w:tabs>
            <w:rPr/>
          </w:pPr>
          <w:hyperlink w:anchor="__RefHeading___Toc5261256_581953129">
            <w:r>
              <w:rPr>
                <w:webHidden/>
                <w:rStyle w:val="IndexLink"/>
                <w:rtl w:val="true"/>
              </w:rPr>
              <w:t>د</w:t>
            </w:r>
            <w:r>
              <w:rPr>
                <w:rStyle w:val="IndexLink"/>
                <w:rtl w:val="true"/>
              </w:rPr>
              <w:t xml:space="preserve">) </w:t>
            </w:r>
            <w:r>
              <w:rPr>
                <w:rStyle w:val="IndexLink"/>
                <w:rtl w:val="true"/>
              </w:rPr>
              <w:t>شرایط تحقّق تابعیت</w:t>
            </w:r>
            <w:r>
              <w:rPr>
                <w:rStyle w:val="IndexLink"/>
                <w:rtl w:val="true"/>
              </w:rPr>
              <w:tab/>
            </w:r>
            <w:r>
              <w:rPr>
                <w:rStyle w:val="IndexLink"/>
              </w:rPr>
              <w:t>99</w:t>
            </w:r>
          </w:hyperlink>
        </w:p>
        <w:p>
          <w:pPr>
            <w:pStyle w:val="Contents4"/>
            <w:tabs>
              <w:tab w:val="clear" w:pos="8176"/>
              <w:tab w:val="right" w:pos="9026" w:leader="dot"/>
            </w:tabs>
            <w:rPr/>
          </w:pPr>
          <w:hyperlink w:anchor="__RefHeading___Toc5261258_581953129">
            <w:r>
              <w:rPr>
                <w:webHidden/>
                <w:rStyle w:val="IndexLink"/>
                <w:rtl w:val="true"/>
              </w:rPr>
              <w:t>ه</w:t>
            </w:r>
            <w:r>
              <w:rPr>
                <w:rStyle w:val="IndexLink"/>
                <w:rtl w:val="true"/>
              </w:rPr>
              <w:t xml:space="preserve">) </w:t>
            </w:r>
            <w:r>
              <w:rPr>
                <w:rStyle w:val="IndexLink"/>
                <w:rtl w:val="true"/>
              </w:rPr>
              <w:t>اصول و مبانی تابعیت</w:t>
            </w:r>
            <w:r>
              <w:rPr>
                <w:rStyle w:val="IndexLink"/>
                <w:rtl w:val="true"/>
              </w:rPr>
              <w:tab/>
            </w:r>
            <w:r>
              <w:rPr>
                <w:rStyle w:val="IndexLink"/>
              </w:rPr>
              <w:t>100</w:t>
            </w:r>
          </w:hyperlink>
        </w:p>
        <w:p>
          <w:pPr>
            <w:pStyle w:val="Contents4"/>
            <w:tabs>
              <w:tab w:val="clear" w:pos="8176"/>
              <w:tab w:val="right" w:pos="9026" w:leader="dot"/>
            </w:tabs>
            <w:rPr/>
          </w:pPr>
          <w:hyperlink w:anchor="__RefHeading___Toc5261260_581953129">
            <w:r>
              <w:rPr>
                <w:webHidden/>
                <w:rStyle w:val="IndexLink"/>
                <w:rtl w:val="true"/>
              </w:rPr>
              <w:t>و</w:t>
            </w:r>
            <w:r>
              <w:rPr>
                <w:rStyle w:val="IndexLink"/>
                <w:rtl w:val="true"/>
              </w:rPr>
              <w:t xml:space="preserve">) </w:t>
            </w:r>
            <w:r>
              <w:rPr>
                <w:rStyle w:val="IndexLink"/>
                <w:rtl w:val="true"/>
              </w:rPr>
              <w:t>موارد تخلّف از اصول تابعیت</w:t>
            </w:r>
            <w:r>
              <w:rPr>
                <w:rStyle w:val="IndexLink"/>
                <w:rtl w:val="true"/>
              </w:rPr>
              <w:tab/>
            </w:r>
            <w:r>
              <w:rPr>
                <w:rStyle w:val="IndexLink"/>
              </w:rPr>
              <w:t>102</w:t>
            </w:r>
          </w:hyperlink>
        </w:p>
        <w:p>
          <w:pPr>
            <w:pStyle w:val="Contents2"/>
            <w:tabs>
              <w:tab w:val="clear" w:pos="8743"/>
              <w:tab w:val="right" w:pos="9026" w:leader="dot"/>
            </w:tabs>
            <w:rPr/>
          </w:pPr>
          <w:hyperlink w:anchor="__RefHeading___Toc5261262_581953129">
            <w:r>
              <w:rPr>
                <w:webHidden/>
                <w:rStyle w:val="IndexLink"/>
              </w:rPr>
              <w:t>4</w:t>
            </w:r>
            <w:r>
              <w:rPr>
                <w:rStyle w:val="IndexLink"/>
                <w:rtl w:val="true"/>
              </w:rPr>
              <w:t xml:space="preserve">- </w:t>
            </w:r>
            <w:r>
              <w:rPr>
                <w:rStyle w:val="IndexLink"/>
                <w:rtl w:val="true"/>
              </w:rPr>
              <w:t>دلایل بی تابعیتی، تابعیت مضاعف و روش خون و خاک</w:t>
            </w:r>
            <w:r>
              <w:rPr>
                <w:rStyle w:val="IndexLink"/>
                <w:rtl w:val="true"/>
              </w:rPr>
              <w:tab/>
            </w:r>
            <w:r>
              <w:rPr>
                <w:rStyle w:val="IndexLink"/>
              </w:rPr>
              <w:t>113</w:t>
            </w:r>
          </w:hyperlink>
        </w:p>
        <w:p>
          <w:pPr>
            <w:pStyle w:val="Contents3"/>
            <w:tabs>
              <w:tab w:val="clear" w:pos="8459"/>
              <w:tab w:val="right" w:pos="9026" w:leader="dot"/>
            </w:tabs>
            <w:rPr/>
          </w:pPr>
          <w:hyperlink w:anchor="__RefHeading___Toc5261264_58195312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5261266_581953129">
            <w:r>
              <w:rPr>
                <w:webHidden/>
                <w:rStyle w:val="IndexLink"/>
              </w:rPr>
              <w:t>1</w:t>
            </w:r>
            <w:r>
              <w:rPr>
                <w:rStyle w:val="IndexLink"/>
                <w:rtl w:val="true"/>
              </w:rPr>
              <w:t xml:space="preserve">- </w:t>
            </w:r>
            <w:r>
              <w:rPr>
                <w:rStyle w:val="IndexLink"/>
                <w:rtl w:val="true"/>
              </w:rPr>
              <w:t>دلایل بی تابعیتی</w:t>
            </w:r>
            <w:r>
              <w:rPr>
                <w:rStyle w:val="IndexLink"/>
                <w:rtl w:val="true"/>
              </w:rPr>
              <w:tab/>
            </w:r>
            <w:r>
              <w:rPr>
                <w:rStyle w:val="IndexLink"/>
              </w:rPr>
              <w:t>113</w:t>
            </w:r>
          </w:hyperlink>
        </w:p>
        <w:p>
          <w:pPr>
            <w:pStyle w:val="Contents4"/>
            <w:tabs>
              <w:tab w:val="clear" w:pos="8176"/>
              <w:tab w:val="right" w:pos="9026" w:leader="dot"/>
            </w:tabs>
            <w:rPr/>
          </w:pPr>
          <w:hyperlink w:anchor="__RefHeading___Toc5261268_58195312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5261270_581953129">
            <w:r>
              <w:rPr>
                <w:webHidden/>
                <w:rStyle w:val="IndexLink"/>
                <w:rtl w:val="true"/>
              </w:rPr>
              <w:t>الف</w:t>
            </w:r>
            <w:r>
              <w:rPr>
                <w:rStyle w:val="IndexLink"/>
                <w:rtl w:val="true"/>
              </w:rPr>
              <w:t xml:space="preserve">) </w:t>
            </w:r>
            <w:r>
              <w:rPr>
                <w:rStyle w:val="IndexLink"/>
                <w:rtl w:val="true"/>
              </w:rPr>
              <w:t>تفاوت قوانین</w:t>
            </w:r>
            <w:r>
              <w:rPr>
                <w:rStyle w:val="IndexLink"/>
                <w:rtl w:val="true"/>
              </w:rPr>
              <w:tab/>
            </w:r>
            <w:r>
              <w:rPr>
                <w:rStyle w:val="IndexLink"/>
              </w:rPr>
              <w:t>114</w:t>
            </w:r>
          </w:hyperlink>
        </w:p>
        <w:p>
          <w:pPr>
            <w:pStyle w:val="Contents4"/>
            <w:tabs>
              <w:tab w:val="clear" w:pos="8176"/>
              <w:tab w:val="right" w:pos="9026" w:leader="dot"/>
            </w:tabs>
            <w:rPr/>
          </w:pPr>
          <w:hyperlink w:anchor="__RefHeading___Toc5261272_581953129">
            <w:r>
              <w:rPr>
                <w:webHidden/>
                <w:rStyle w:val="IndexLink"/>
                <w:rtl w:val="true"/>
              </w:rPr>
              <w:t>ب</w:t>
            </w:r>
            <w:r>
              <w:rPr>
                <w:rStyle w:val="IndexLink"/>
                <w:rtl w:val="true"/>
              </w:rPr>
              <w:t xml:space="preserve">) </w:t>
            </w:r>
            <w:r>
              <w:rPr>
                <w:rStyle w:val="IndexLink"/>
                <w:rtl w:val="true"/>
              </w:rPr>
              <w:t>پناهندگی و مهاجرت</w:t>
            </w:r>
            <w:r>
              <w:rPr>
                <w:rStyle w:val="IndexLink"/>
                <w:rtl w:val="true"/>
              </w:rPr>
              <w:tab/>
            </w:r>
            <w:r>
              <w:rPr>
                <w:rStyle w:val="IndexLink"/>
              </w:rPr>
              <w:t>114</w:t>
            </w:r>
          </w:hyperlink>
        </w:p>
        <w:p>
          <w:pPr>
            <w:pStyle w:val="Contents4"/>
            <w:tabs>
              <w:tab w:val="clear" w:pos="8176"/>
              <w:tab w:val="right" w:pos="9026" w:leader="dot"/>
            </w:tabs>
            <w:rPr/>
          </w:pPr>
          <w:hyperlink w:anchor="__RefHeading___Toc5261274_581953129">
            <w:r>
              <w:rPr>
                <w:webHidden/>
                <w:rStyle w:val="IndexLink"/>
                <w:rtl w:val="true"/>
              </w:rPr>
              <w:t>ج</w:t>
            </w:r>
            <w:r>
              <w:rPr>
                <w:rStyle w:val="IndexLink"/>
                <w:rtl w:val="true"/>
              </w:rPr>
              <w:t xml:space="preserve">) </w:t>
            </w:r>
            <w:r>
              <w:rPr>
                <w:rStyle w:val="IndexLink"/>
                <w:rtl w:val="true"/>
              </w:rPr>
              <w:t>در اثر مجازات</w:t>
            </w:r>
            <w:r>
              <w:rPr>
                <w:rStyle w:val="IndexLink"/>
                <w:rtl w:val="true"/>
              </w:rPr>
              <w:tab/>
            </w:r>
            <w:r>
              <w:rPr>
                <w:rStyle w:val="IndexLink"/>
              </w:rPr>
              <w:t>115</w:t>
            </w:r>
          </w:hyperlink>
        </w:p>
        <w:p>
          <w:pPr>
            <w:pStyle w:val="Contents4"/>
            <w:tabs>
              <w:tab w:val="clear" w:pos="8176"/>
              <w:tab w:val="right" w:pos="9026" w:leader="dot"/>
            </w:tabs>
            <w:rPr/>
          </w:pPr>
          <w:hyperlink w:anchor="__RefHeading___Toc5261276_581953129">
            <w:r>
              <w:rPr>
                <w:webHidden/>
                <w:rStyle w:val="IndexLink"/>
                <w:rtl w:val="true"/>
              </w:rPr>
              <w:t>د</w:t>
            </w:r>
            <w:r>
              <w:rPr>
                <w:rStyle w:val="IndexLink"/>
                <w:rtl w:val="true"/>
              </w:rPr>
              <w:t xml:space="preserve">) </w:t>
            </w:r>
            <w:r>
              <w:rPr>
                <w:rStyle w:val="IndexLink"/>
                <w:rtl w:val="true"/>
              </w:rPr>
              <w:t>قانون خاص</w:t>
            </w:r>
            <w:r>
              <w:rPr>
                <w:rStyle w:val="IndexLink"/>
                <w:rtl w:val="true"/>
              </w:rPr>
              <w:tab/>
            </w:r>
            <w:r>
              <w:rPr>
                <w:rStyle w:val="IndexLink"/>
              </w:rPr>
              <w:t>116</w:t>
            </w:r>
          </w:hyperlink>
        </w:p>
        <w:p>
          <w:pPr>
            <w:pStyle w:val="Contents4"/>
            <w:tabs>
              <w:tab w:val="clear" w:pos="8176"/>
              <w:tab w:val="right" w:pos="9026" w:leader="dot"/>
            </w:tabs>
            <w:rPr/>
          </w:pPr>
          <w:hyperlink w:anchor="__RefHeading___Toc5261278_581953129">
            <w:r>
              <w:rPr>
                <w:webHidden/>
                <w:rStyle w:val="IndexLink"/>
                <w:rtl w:val="true"/>
              </w:rPr>
              <w:t>ه</w:t>
            </w:r>
            <w:r>
              <w:rPr>
                <w:rStyle w:val="IndexLink"/>
                <w:rtl w:val="true"/>
              </w:rPr>
              <w:t xml:space="preserve">) </w:t>
            </w:r>
            <w:r>
              <w:rPr>
                <w:rStyle w:val="IndexLink"/>
                <w:rtl w:val="true"/>
              </w:rPr>
              <w:t>تخییر</w:t>
            </w:r>
            <w:r>
              <w:rPr>
                <w:rStyle w:val="IndexLink"/>
                <w:rtl w:val="true"/>
              </w:rPr>
              <w:tab/>
            </w:r>
            <w:r>
              <w:rPr>
                <w:rStyle w:val="IndexLink"/>
              </w:rPr>
              <w:t>117</w:t>
            </w:r>
          </w:hyperlink>
        </w:p>
        <w:p>
          <w:pPr>
            <w:pStyle w:val="Contents4"/>
            <w:tabs>
              <w:tab w:val="clear" w:pos="8176"/>
              <w:tab w:val="right" w:pos="9026" w:leader="dot"/>
            </w:tabs>
            <w:rPr/>
          </w:pPr>
          <w:hyperlink w:anchor="__RefHeading___Toc5261280_581953129">
            <w:r>
              <w:rPr>
                <w:webHidden/>
                <w:rStyle w:val="IndexLink"/>
                <w:rtl w:val="true"/>
              </w:rPr>
              <w:t>و</w:t>
            </w:r>
            <w:r>
              <w:rPr>
                <w:rStyle w:val="IndexLink"/>
                <w:rtl w:val="true"/>
              </w:rPr>
              <w:t xml:space="preserve">) </w:t>
            </w:r>
            <w:r>
              <w:rPr>
                <w:rStyle w:val="IndexLink"/>
                <w:rtl w:val="true"/>
              </w:rPr>
              <w:t>اراده شخص</w:t>
            </w:r>
            <w:r>
              <w:rPr>
                <w:rStyle w:val="IndexLink"/>
                <w:rtl w:val="true"/>
              </w:rPr>
              <w:tab/>
            </w:r>
            <w:r>
              <w:rPr>
                <w:rStyle w:val="IndexLink"/>
              </w:rPr>
              <w:t>117</w:t>
            </w:r>
          </w:hyperlink>
        </w:p>
        <w:p>
          <w:pPr>
            <w:pStyle w:val="Contents4"/>
            <w:tabs>
              <w:tab w:val="clear" w:pos="8176"/>
              <w:tab w:val="right" w:pos="9026" w:leader="dot"/>
            </w:tabs>
            <w:rPr/>
          </w:pPr>
          <w:hyperlink w:anchor="__RefHeading___Toc5261282_581953129">
            <w:r>
              <w:rPr>
                <w:webHidden/>
                <w:rStyle w:val="IndexLink"/>
                <w:rtl w:val="true"/>
              </w:rPr>
              <w:t>ز</w:t>
            </w:r>
            <w:r>
              <w:rPr>
                <w:rStyle w:val="IndexLink"/>
                <w:rtl w:val="true"/>
              </w:rPr>
              <w:t xml:space="preserve">) </w:t>
            </w:r>
            <w:r>
              <w:rPr>
                <w:rStyle w:val="IndexLink"/>
                <w:rtl w:val="true"/>
              </w:rPr>
              <w:t>رد یا ترک تابعیت قبلی و دریافت نکردن تابعیت جدید</w:t>
            </w:r>
            <w:r>
              <w:rPr>
                <w:rStyle w:val="IndexLink"/>
                <w:rtl w:val="true"/>
              </w:rPr>
              <w:tab/>
            </w:r>
            <w:r>
              <w:rPr>
                <w:rStyle w:val="IndexLink"/>
              </w:rPr>
              <w:t>118</w:t>
            </w:r>
          </w:hyperlink>
        </w:p>
        <w:p>
          <w:pPr>
            <w:pStyle w:val="Contents3"/>
            <w:tabs>
              <w:tab w:val="clear" w:pos="8459"/>
              <w:tab w:val="right" w:pos="9026" w:leader="dot"/>
            </w:tabs>
            <w:rPr/>
          </w:pPr>
          <w:hyperlink w:anchor="__RefHeading___Toc5261284_581953129">
            <w:r>
              <w:rPr>
                <w:webHidden/>
                <w:rStyle w:val="IndexLink"/>
              </w:rPr>
              <w:t>2</w:t>
            </w:r>
            <w:r>
              <w:rPr>
                <w:rStyle w:val="IndexLink"/>
                <w:rtl w:val="true"/>
              </w:rPr>
              <w:t xml:space="preserve">- </w:t>
            </w:r>
            <w:r>
              <w:rPr>
                <w:rStyle w:val="IndexLink"/>
                <w:rtl w:val="true"/>
              </w:rPr>
              <w:t>راه های رفع مشکل بی تابعیتی</w:t>
            </w:r>
            <w:r>
              <w:rPr>
                <w:rStyle w:val="IndexLink"/>
                <w:rtl w:val="true"/>
              </w:rPr>
              <w:tab/>
            </w:r>
            <w:r>
              <w:rPr>
                <w:rStyle w:val="IndexLink"/>
              </w:rPr>
              <w:t>118</w:t>
            </w:r>
          </w:hyperlink>
        </w:p>
        <w:p>
          <w:pPr>
            <w:pStyle w:val="Contents4"/>
            <w:tabs>
              <w:tab w:val="clear" w:pos="8176"/>
              <w:tab w:val="right" w:pos="9026" w:leader="dot"/>
            </w:tabs>
            <w:rPr/>
          </w:pPr>
          <w:hyperlink w:anchor="__RefHeading___Toc5261286_58195312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5261288_581953129">
            <w:r>
              <w:rPr>
                <w:webHidden/>
                <w:rStyle w:val="IndexLink"/>
                <w:rtl w:val="true"/>
              </w:rPr>
              <w:t>الف</w:t>
            </w:r>
            <w:r>
              <w:rPr>
                <w:rStyle w:val="IndexLink"/>
                <w:rtl w:val="true"/>
              </w:rPr>
              <w:t xml:space="preserve">) </w:t>
            </w:r>
            <w:r>
              <w:rPr>
                <w:rStyle w:val="IndexLink"/>
                <w:rtl w:val="true"/>
              </w:rPr>
              <w:t>اعطای امتیازات ویژه</w:t>
            </w:r>
            <w:r>
              <w:rPr>
                <w:rStyle w:val="IndexLink"/>
                <w:rtl w:val="true"/>
              </w:rPr>
              <w:tab/>
            </w:r>
            <w:r>
              <w:rPr>
                <w:rStyle w:val="IndexLink"/>
              </w:rPr>
              <w:t>118</w:t>
            </w:r>
          </w:hyperlink>
        </w:p>
        <w:p>
          <w:pPr>
            <w:pStyle w:val="Contents4"/>
            <w:tabs>
              <w:tab w:val="clear" w:pos="8176"/>
              <w:tab w:val="right" w:pos="9026" w:leader="dot"/>
            </w:tabs>
            <w:rPr/>
          </w:pPr>
          <w:hyperlink w:anchor="__RefHeading___Toc5261290_581953129">
            <w:r>
              <w:rPr>
                <w:webHidden/>
                <w:rStyle w:val="IndexLink"/>
                <w:rtl w:val="true"/>
              </w:rPr>
              <w:t>ب</w:t>
            </w:r>
            <w:r>
              <w:rPr>
                <w:rStyle w:val="IndexLink"/>
                <w:rtl w:val="true"/>
              </w:rPr>
              <w:t xml:space="preserve">) </w:t>
            </w:r>
            <w:r>
              <w:rPr>
                <w:rStyle w:val="IndexLink"/>
                <w:rtl w:val="true"/>
              </w:rPr>
              <w:t>اعطای تابعیت از دست رفته</w:t>
            </w:r>
            <w:r>
              <w:rPr>
                <w:rStyle w:val="IndexLink"/>
                <w:rtl w:val="true"/>
              </w:rPr>
              <w:tab/>
            </w:r>
            <w:r>
              <w:rPr>
                <w:rStyle w:val="IndexLink"/>
              </w:rPr>
              <w:t>118</w:t>
            </w:r>
          </w:hyperlink>
        </w:p>
        <w:p>
          <w:pPr>
            <w:pStyle w:val="Contents4"/>
            <w:tabs>
              <w:tab w:val="clear" w:pos="8176"/>
              <w:tab w:val="right" w:pos="9026" w:leader="dot"/>
            </w:tabs>
            <w:rPr/>
          </w:pPr>
          <w:hyperlink w:anchor="__RefHeading___Toc5261292_581953129">
            <w:r>
              <w:rPr>
                <w:webHidden/>
                <w:rStyle w:val="IndexLink"/>
                <w:rtl w:val="true"/>
              </w:rPr>
              <w:t>ج</w:t>
            </w:r>
            <w:r>
              <w:rPr>
                <w:rStyle w:val="IndexLink"/>
                <w:rtl w:val="true"/>
              </w:rPr>
              <w:t xml:space="preserve">) </w:t>
            </w:r>
            <w:r>
              <w:rPr>
                <w:rStyle w:val="IndexLink"/>
                <w:rtl w:val="true"/>
              </w:rPr>
              <w:t>رفتار با فاقدان تابعیت، همانند آوارگان</w:t>
            </w:r>
            <w:r>
              <w:rPr>
                <w:rStyle w:val="IndexLink"/>
                <w:rtl w:val="true"/>
              </w:rPr>
              <w:tab/>
            </w:r>
            <w:r>
              <w:rPr>
                <w:rStyle w:val="IndexLink"/>
              </w:rPr>
              <w:t>119</w:t>
            </w:r>
          </w:hyperlink>
        </w:p>
        <w:p>
          <w:pPr>
            <w:pStyle w:val="Contents4"/>
            <w:tabs>
              <w:tab w:val="clear" w:pos="8176"/>
              <w:tab w:val="right" w:pos="9026" w:leader="dot"/>
            </w:tabs>
            <w:rPr/>
          </w:pPr>
          <w:hyperlink w:anchor="__RefHeading___Toc5261294_581953129">
            <w:r>
              <w:rPr>
                <w:webHidden/>
                <w:rStyle w:val="IndexLink"/>
                <w:rtl w:val="true"/>
              </w:rPr>
              <w:t>د</w:t>
            </w:r>
            <w:r>
              <w:rPr>
                <w:rStyle w:val="IndexLink"/>
                <w:rtl w:val="true"/>
              </w:rPr>
              <w:t xml:space="preserve">) </w:t>
            </w:r>
            <w:r>
              <w:rPr>
                <w:rStyle w:val="IndexLink"/>
                <w:rtl w:val="true"/>
              </w:rPr>
              <w:t>عدم مجازات</w:t>
            </w:r>
            <w:r>
              <w:rPr>
                <w:rStyle w:val="IndexLink"/>
                <w:rtl w:val="true"/>
              </w:rPr>
              <w:tab/>
            </w:r>
            <w:r>
              <w:rPr>
                <w:rStyle w:val="IndexLink"/>
              </w:rPr>
              <w:t>119</w:t>
            </w:r>
          </w:hyperlink>
        </w:p>
        <w:p>
          <w:pPr>
            <w:pStyle w:val="Contents4"/>
            <w:tabs>
              <w:tab w:val="clear" w:pos="8176"/>
              <w:tab w:val="right" w:pos="9026" w:leader="dot"/>
            </w:tabs>
            <w:rPr/>
          </w:pPr>
          <w:hyperlink w:anchor="__RefHeading___Toc5261296_581953129">
            <w:r>
              <w:rPr>
                <w:webHidden/>
                <w:rStyle w:val="IndexLink"/>
                <w:rtl w:val="true"/>
              </w:rPr>
              <w:t>ه</w:t>
            </w:r>
            <w:r>
              <w:rPr>
                <w:rStyle w:val="IndexLink"/>
                <w:rtl w:val="true"/>
              </w:rPr>
              <w:t xml:space="preserve">) </w:t>
            </w:r>
            <w:r>
              <w:rPr>
                <w:rStyle w:val="IndexLink"/>
                <w:rtl w:val="true"/>
              </w:rPr>
              <w:t>تابعیت محل تولد</w:t>
            </w:r>
            <w:r>
              <w:rPr>
                <w:rStyle w:val="IndexLink"/>
                <w:rtl w:val="true"/>
              </w:rPr>
              <w:tab/>
            </w:r>
            <w:r>
              <w:rPr>
                <w:rStyle w:val="IndexLink"/>
              </w:rPr>
              <w:t>120</w:t>
            </w:r>
          </w:hyperlink>
        </w:p>
        <w:p>
          <w:pPr>
            <w:pStyle w:val="Contents3"/>
            <w:tabs>
              <w:tab w:val="clear" w:pos="8459"/>
              <w:tab w:val="right" w:pos="9026" w:leader="dot"/>
            </w:tabs>
            <w:rPr/>
          </w:pPr>
          <w:hyperlink w:anchor="__RefHeading___Toc5261298_581953129">
            <w:r>
              <w:rPr>
                <w:webHidden/>
                <w:rStyle w:val="IndexLink"/>
              </w:rPr>
              <w:t>3</w:t>
            </w:r>
            <w:r>
              <w:rPr>
                <w:rStyle w:val="IndexLink"/>
                <w:rtl w:val="true"/>
              </w:rPr>
              <w:t xml:space="preserve">- </w:t>
            </w:r>
            <w:r>
              <w:rPr>
                <w:rStyle w:val="IndexLink"/>
                <w:rtl w:val="true"/>
              </w:rPr>
              <w:t>علل پیدایش تابعیت مضاعف</w:t>
            </w:r>
            <w:r>
              <w:rPr>
                <w:rStyle w:val="IndexLink"/>
                <w:rtl w:val="true"/>
              </w:rPr>
              <w:tab/>
            </w:r>
            <w:r>
              <w:rPr>
                <w:rStyle w:val="IndexLink"/>
              </w:rPr>
              <w:t>120</w:t>
            </w:r>
          </w:hyperlink>
        </w:p>
        <w:p>
          <w:pPr>
            <w:pStyle w:val="Contents4"/>
            <w:tabs>
              <w:tab w:val="clear" w:pos="8176"/>
              <w:tab w:val="right" w:pos="9026" w:leader="dot"/>
            </w:tabs>
            <w:rPr/>
          </w:pPr>
          <w:hyperlink w:anchor="__RefHeading___Toc5261300_581953129">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5261302_581953129">
            <w:r>
              <w:rPr>
                <w:webHidden/>
                <w:rStyle w:val="IndexLink"/>
                <w:rtl w:val="true"/>
              </w:rPr>
              <w:t>الف</w:t>
            </w:r>
            <w:r>
              <w:rPr>
                <w:rStyle w:val="IndexLink"/>
                <w:rtl w:val="true"/>
              </w:rPr>
              <w:t xml:space="preserve">) </w:t>
            </w:r>
            <w:r>
              <w:rPr>
                <w:rStyle w:val="IndexLink"/>
                <w:rtl w:val="true"/>
              </w:rPr>
              <w:t>اختلاف سیستم های پذیرفته شده</w:t>
            </w:r>
            <w:r>
              <w:rPr>
                <w:rStyle w:val="IndexLink"/>
                <w:rtl w:val="true"/>
              </w:rPr>
              <w:tab/>
            </w:r>
            <w:r>
              <w:rPr>
                <w:rStyle w:val="IndexLink"/>
              </w:rPr>
              <w:t>120</w:t>
            </w:r>
          </w:hyperlink>
        </w:p>
        <w:p>
          <w:pPr>
            <w:pStyle w:val="Contents4"/>
            <w:tabs>
              <w:tab w:val="clear" w:pos="8176"/>
              <w:tab w:val="right" w:pos="9026" w:leader="dot"/>
            </w:tabs>
            <w:rPr/>
          </w:pPr>
          <w:hyperlink w:anchor="__RefHeading___Toc5261304_581953129">
            <w:r>
              <w:rPr>
                <w:webHidden/>
                <w:rStyle w:val="IndexLink"/>
                <w:rtl w:val="true"/>
              </w:rPr>
              <w:t>ب</w:t>
            </w:r>
            <w:r>
              <w:rPr>
                <w:rStyle w:val="IndexLink"/>
                <w:rtl w:val="true"/>
              </w:rPr>
              <w:t xml:space="preserve">) </w:t>
            </w:r>
            <w:r>
              <w:rPr>
                <w:rStyle w:val="IndexLink"/>
                <w:rtl w:val="true"/>
              </w:rPr>
              <w:t>کسب تابعیت جدید</w:t>
            </w:r>
            <w:r>
              <w:rPr>
                <w:rStyle w:val="IndexLink"/>
                <w:rtl w:val="true"/>
              </w:rPr>
              <w:tab/>
            </w:r>
            <w:r>
              <w:rPr>
                <w:rStyle w:val="IndexLink"/>
              </w:rPr>
              <w:t>121</w:t>
            </w:r>
          </w:hyperlink>
        </w:p>
        <w:p>
          <w:pPr>
            <w:pStyle w:val="Contents4"/>
            <w:tabs>
              <w:tab w:val="clear" w:pos="8176"/>
              <w:tab w:val="right" w:pos="9026" w:leader="dot"/>
            </w:tabs>
            <w:rPr/>
          </w:pPr>
          <w:hyperlink w:anchor="__RefHeading___Toc5261306_581953129">
            <w:r>
              <w:rPr>
                <w:webHidden/>
                <w:rStyle w:val="IndexLink"/>
                <w:rtl w:val="true"/>
              </w:rPr>
              <w:t>ج</w:t>
            </w:r>
            <w:r>
              <w:rPr>
                <w:rStyle w:val="IndexLink"/>
                <w:rtl w:val="true"/>
              </w:rPr>
              <w:t xml:space="preserve">) </w:t>
            </w:r>
            <w:r>
              <w:rPr>
                <w:rStyle w:val="IndexLink"/>
                <w:rtl w:val="true"/>
              </w:rPr>
              <w:t>تابعیت مضاعف در اثر ازدواج</w:t>
            </w:r>
            <w:r>
              <w:rPr>
                <w:rStyle w:val="IndexLink"/>
                <w:rtl w:val="true"/>
              </w:rPr>
              <w:tab/>
            </w:r>
            <w:r>
              <w:rPr>
                <w:rStyle w:val="IndexLink"/>
              </w:rPr>
              <w:t>122</w:t>
            </w:r>
          </w:hyperlink>
        </w:p>
        <w:p>
          <w:pPr>
            <w:pStyle w:val="Contents4"/>
            <w:tabs>
              <w:tab w:val="clear" w:pos="8176"/>
              <w:tab w:val="right" w:pos="9026" w:leader="dot"/>
            </w:tabs>
            <w:rPr/>
          </w:pPr>
          <w:hyperlink w:anchor="__RefHeading___Toc5261308_581953129">
            <w:r>
              <w:rPr>
                <w:webHidden/>
                <w:rStyle w:val="IndexLink"/>
                <w:rtl w:val="true"/>
              </w:rPr>
              <w:t>د</w:t>
            </w:r>
            <w:r>
              <w:rPr>
                <w:rStyle w:val="IndexLink"/>
                <w:rtl w:val="true"/>
              </w:rPr>
              <w:t xml:space="preserve">) </w:t>
            </w:r>
            <w:r>
              <w:rPr>
                <w:rStyle w:val="IndexLink"/>
                <w:rtl w:val="true"/>
              </w:rPr>
              <w:t>انتقال تابعیت از پدر و مادر با تابعیت گوناگون</w:t>
            </w:r>
            <w:r>
              <w:rPr>
                <w:rStyle w:val="IndexLink"/>
                <w:rtl w:val="true"/>
              </w:rPr>
              <w:tab/>
            </w:r>
            <w:r>
              <w:rPr>
                <w:rStyle w:val="IndexLink"/>
              </w:rPr>
              <w:t>122</w:t>
            </w:r>
          </w:hyperlink>
        </w:p>
        <w:p>
          <w:pPr>
            <w:pStyle w:val="Contents4"/>
            <w:tabs>
              <w:tab w:val="clear" w:pos="8176"/>
              <w:tab w:val="right" w:pos="9026" w:leader="dot"/>
            </w:tabs>
            <w:rPr/>
          </w:pPr>
          <w:hyperlink w:anchor="__RefHeading___Toc5261310_581953129">
            <w:r>
              <w:rPr>
                <w:webHidden/>
                <w:rStyle w:val="IndexLink"/>
                <w:rtl w:val="true"/>
              </w:rPr>
              <w:t>ه</w:t>
            </w:r>
            <w:r>
              <w:rPr>
                <w:rStyle w:val="IndexLink"/>
                <w:rtl w:val="true"/>
              </w:rPr>
              <w:t xml:space="preserve">) </w:t>
            </w:r>
            <w:r>
              <w:rPr>
                <w:rStyle w:val="IndexLink"/>
                <w:rtl w:val="true"/>
              </w:rPr>
              <w:t>تابعیت مضاعف، نتیجه تفسیر مختلف از معاهدات</w:t>
            </w:r>
            <w:r>
              <w:rPr>
                <w:rStyle w:val="IndexLink"/>
                <w:rtl w:val="true"/>
              </w:rPr>
              <w:tab/>
            </w:r>
            <w:r>
              <w:rPr>
                <w:rStyle w:val="IndexLink"/>
              </w:rPr>
              <w:t>123</w:t>
            </w:r>
          </w:hyperlink>
        </w:p>
        <w:p>
          <w:pPr>
            <w:pStyle w:val="Contents3"/>
            <w:tabs>
              <w:tab w:val="clear" w:pos="8459"/>
              <w:tab w:val="right" w:pos="9026" w:leader="dot"/>
            </w:tabs>
            <w:rPr/>
          </w:pPr>
          <w:hyperlink w:anchor="__RefHeading___Toc5261312_581953129">
            <w:r>
              <w:rPr>
                <w:webHidden/>
                <w:rStyle w:val="IndexLink"/>
              </w:rPr>
              <w:t>4</w:t>
            </w:r>
            <w:r>
              <w:rPr>
                <w:rStyle w:val="IndexLink"/>
                <w:rtl w:val="true"/>
              </w:rPr>
              <w:t xml:space="preserve">- </w:t>
            </w:r>
            <w:r>
              <w:rPr>
                <w:rStyle w:val="IndexLink"/>
                <w:rtl w:val="true"/>
              </w:rPr>
              <w:t>راه های رفع یا جلوگیری از تابعیت مضاعف</w:t>
            </w:r>
            <w:r>
              <w:rPr>
                <w:rStyle w:val="IndexLink"/>
                <w:rtl w:val="true"/>
              </w:rPr>
              <w:tab/>
            </w:r>
            <w:r>
              <w:rPr>
                <w:rStyle w:val="IndexLink"/>
              </w:rPr>
              <w:t>123</w:t>
            </w:r>
          </w:hyperlink>
        </w:p>
        <w:p>
          <w:pPr>
            <w:pStyle w:val="Contents3"/>
            <w:tabs>
              <w:tab w:val="clear" w:pos="8459"/>
              <w:tab w:val="right" w:pos="9026" w:leader="dot"/>
            </w:tabs>
            <w:rPr/>
          </w:pPr>
          <w:hyperlink w:anchor="__RefHeading___Toc5261314_581953129">
            <w:r>
              <w:rPr>
                <w:webHidden/>
                <w:rStyle w:val="IndexLink"/>
              </w:rPr>
              <w:t>5</w:t>
            </w:r>
            <w:r>
              <w:rPr>
                <w:rStyle w:val="IndexLink"/>
                <w:rtl w:val="true"/>
              </w:rPr>
              <w:t xml:space="preserve">- </w:t>
            </w:r>
            <w:r>
              <w:rPr>
                <w:rStyle w:val="IndexLink"/>
                <w:rtl w:val="true"/>
              </w:rPr>
              <w:t>اقسام تابعیت</w:t>
            </w:r>
            <w:r>
              <w:rPr>
                <w:rStyle w:val="IndexLink"/>
                <w:rtl w:val="true"/>
              </w:rPr>
              <w:tab/>
            </w:r>
            <w:r>
              <w:rPr>
                <w:rStyle w:val="IndexLink"/>
              </w:rPr>
              <w:t>126</w:t>
            </w:r>
          </w:hyperlink>
        </w:p>
        <w:p>
          <w:pPr>
            <w:pStyle w:val="Contents3"/>
            <w:tabs>
              <w:tab w:val="clear" w:pos="8459"/>
              <w:tab w:val="right" w:pos="9026" w:leader="dot"/>
            </w:tabs>
            <w:rPr/>
          </w:pPr>
          <w:hyperlink w:anchor="__RefHeading___Toc5261316_581953129">
            <w:r>
              <w:rPr>
                <w:webHidden/>
                <w:rStyle w:val="IndexLink"/>
              </w:rPr>
              <w:t>6</w:t>
            </w:r>
            <w:r>
              <w:rPr>
                <w:rStyle w:val="IndexLink"/>
                <w:rtl w:val="true"/>
              </w:rPr>
              <w:t xml:space="preserve">- </w:t>
            </w:r>
            <w:r>
              <w:rPr>
                <w:rStyle w:val="IndexLink"/>
                <w:rtl w:val="true"/>
              </w:rPr>
              <w:t xml:space="preserve">اقسام تابعیت مبدأ </w:t>
            </w:r>
            <w:r>
              <w:rPr>
                <w:rStyle w:val="IndexLink"/>
                <w:rtl w:val="true"/>
              </w:rPr>
              <w:t>(</w:t>
            </w:r>
            <w:r>
              <w:rPr>
                <w:rStyle w:val="IndexLink"/>
                <w:rtl w:val="true"/>
              </w:rPr>
              <w:t>اصلی، تولّدی</w:t>
            </w:r>
            <w:r>
              <w:rPr>
                <w:rStyle w:val="IndexLink"/>
                <w:rtl w:val="true"/>
              </w:rPr>
              <w:t>)</w:t>
              <w:tab/>
            </w:r>
            <w:r>
              <w:rPr>
                <w:rStyle w:val="IndexLink"/>
              </w:rPr>
              <w:t>127</w:t>
            </w:r>
          </w:hyperlink>
        </w:p>
        <w:p>
          <w:pPr>
            <w:pStyle w:val="Contents4"/>
            <w:tabs>
              <w:tab w:val="clear" w:pos="8176"/>
              <w:tab w:val="right" w:pos="9026" w:leader="dot"/>
            </w:tabs>
            <w:rPr/>
          </w:pPr>
          <w:hyperlink w:anchor="__RefHeading___Toc5261318_581953129">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5261320_581953129">
            <w:r>
              <w:rPr>
                <w:webHidden/>
                <w:rStyle w:val="IndexLink"/>
                <w:rtl w:val="true"/>
              </w:rPr>
              <w:t>الف</w:t>
            </w:r>
            <w:r>
              <w:rPr>
                <w:rStyle w:val="IndexLink"/>
                <w:rtl w:val="true"/>
              </w:rPr>
              <w:t xml:space="preserve">) </w:t>
            </w:r>
            <w:r>
              <w:rPr>
                <w:rStyle w:val="IndexLink"/>
                <w:rtl w:val="true"/>
              </w:rPr>
              <w:t xml:space="preserve">روش خون </w:t>
            </w:r>
            <w:r>
              <w:rPr>
                <w:rStyle w:val="IndexLink"/>
                <w:rtl w:val="true"/>
              </w:rPr>
              <w:t>(</w:t>
            </w:r>
            <w:r>
              <w:rPr>
                <w:rStyle w:val="IndexLink"/>
                <w:rtl w:val="true"/>
              </w:rPr>
              <w:t>نَسَب</w:t>
            </w:r>
            <w:r>
              <w:rPr>
                <w:rStyle w:val="IndexLink"/>
                <w:rtl w:val="true"/>
              </w:rPr>
              <w:t xml:space="preserve">) </w:t>
            </w:r>
            <w:r>
              <w:rPr>
                <w:rStyle w:val="IndexLink"/>
                <w:rtl w:val="true"/>
              </w:rPr>
              <w:t>و دلایل طرفداران آن</w:t>
            </w:r>
            <w:r>
              <w:rPr>
                <w:rStyle w:val="IndexLink"/>
                <w:rtl w:val="true"/>
              </w:rPr>
              <w:tab/>
            </w:r>
            <w:r>
              <w:rPr>
                <w:rStyle w:val="IndexLink"/>
              </w:rPr>
              <w:t>127</w:t>
            </w:r>
          </w:hyperlink>
        </w:p>
        <w:p>
          <w:pPr>
            <w:pStyle w:val="Contents4"/>
            <w:tabs>
              <w:tab w:val="clear" w:pos="8176"/>
              <w:tab w:val="right" w:pos="9026" w:leader="dot"/>
            </w:tabs>
            <w:rPr/>
          </w:pPr>
          <w:hyperlink w:anchor="__RefHeading___Toc5261322_581953129">
            <w:r>
              <w:rPr>
                <w:webHidden/>
                <w:rStyle w:val="IndexLink"/>
                <w:rtl w:val="true"/>
              </w:rPr>
              <w:t>ب</w:t>
            </w:r>
            <w:r>
              <w:rPr>
                <w:rStyle w:val="IndexLink"/>
                <w:rtl w:val="true"/>
              </w:rPr>
              <w:t xml:space="preserve">) </w:t>
            </w:r>
            <w:r>
              <w:rPr>
                <w:rStyle w:val="IndexLink"/>
                <w:rtl w:val="true"/>
              </w:rPr>
              <w:t xml:space="preserve">روش خاک </w:t>
            </w:r>
            <w:r>
              <w:rPr>
                <w:rStyle w:val="IndexLink"/>
                <w:rtl w:val="true"/>
              </w:rPr>
              <w:t>(</w:t>
            </w:r>
            <w:r>
              <w:rPr>
                <w:rStyle w:val="IndexLink"/>
                <w:rtl w:val="true"/>
              </w:rPr>
              <w:t>زادگاه</w:t>
            </w:r>
            <w:r>
              <w:rPr>
                <w:rStyle w:val="IndexLink"/>
                <w:rtl w:val="true"/>
              </w:rPr>
              <w:t xml:space="preserve">) </w:t>
            </w:r>
            <w:r>
              <w:rPr>
                <w:rStyle w:val="IndexLink"/>
                <w:rtl w:val="true"/>
              </w:rPr>
              <w:t>و دلیل طرفداران آن</w:t>
            </w:r>
            <w:r>
              <w:rPr>
                <w:rStyle w:val="IndexLink"/>
                <w:rtl w:val="true"/>
              </w:rPr>
              <w:tab/>
            </w:r>
            <w:r>
              <w:rPr>
                <w:rStyle w:val="IndexLink"/>
              </w:rPr>
              <w:t>129</w:t>
            </w:r>
          </w:hyperlink>
        </w:p>
        <w:p>
          <w:pPr>
            <w:pStyle w:val="Contents4"/>
            <w:tabs>
              <w:tab w:val="clear" w:pos="8176"/>
              <w:tab w:val="right" w:pos="9026" w:leader="dot"/>
            </w:tabs>
            <w:rPr/>
          </w:pPr>
          <w:hyperlink w:anchor="__RefHeading___Toc5261324_581953129">
            <w:r>
              <w:rPr>
                <w:webHidden/>
                <w:rStyle w:val="IndexLink"/>
                <w:rtl w:val="true"/>
              </w:rPr>
              <w:t>ج</w:t>
            </w:r>
            <w:r>
              <w:rPr>
                <w:rStyle w:val="IndexLink"/>
                <w:rtl w:val="true"/>
              </w:rPr>
              <w:t xml:space="preserve">) </w:t>
            </w:r>
            <w:r>
              <w:rPr>
                <w:rStyle w:val="IndexLink"/>
                <w:rtl w:val="true"/>
              </w:rPr>
              <w:t>مقایسه میان دو روش خون و خاک</w:t>
            </w:r>
            <w:r>
              <w:rPr>
                <w:rStyle w:val="IndexLink"/>
                <w:rtl w:val="true"/>
              </w:rPr>
              <w:tab/>
            </w:r>
            <w:r>
              <w:rPr>
                <w:rStyle w:val="IndexLink"/>
              </w:rPr>
              <w:t>132</w:t>
            </w:r>
          </w:hyperlink>
        </w:p>
        <w:p>
          <w:pPr>
            <w:pStyle w:val="Contents3"/>
            <w:tabs>
              <w:tab w:val="clear" w:pos="8459"/>
              <w:tab w:val="right" w:pos="9026" w:leader="dot"/>
            </w:tabs>
            <w:rPr/>
          </w:pPr>
          <w:hyperlink w:anchor="__RefHeading___Toc5261326_581953129">
            <w:r>
              <w:rPr>
                <w:webHidden/>
                <w:rStyle w:val="IndexLink"/>
              </w:rPr>
              <w:t>7</w:t>
            </w:r>
            <w:r>
              <w:rPr>
                <w:rStyle w:val="IndexLink"/>
                <w:rtl w:val="true"/>
              </w:rPr>
              <w:t xml:space="preserve">- </w:t>
            </w:r>
            <w:r>
              <w:rPr>
                <w:rStyle w:val="IndexLink"/>
                <w:rtl w:val="true"/>
              </w:rPr>
              <w:t xml:space="preserve">قاعده </w:t>
            </w:r>
            <w:r>
              <w:rPr>
                <w:rStyle w:val="IndexLink"/>
                <w:rtl w:val="true"/>
              </w:rPr>
              <w:t>«</w:t>
            </w:r>
            <w:r>
              <w:rPr>
                <w:rStyle w:val="IndexLink"/>
                <w:rtl w:val="true"/>
              </w:rPr>
              <w:t>پیوستگی تابعیت</w:t>
            </w:r>
            <w:r>
              <w:rPr>
                <w:rStyle w:val="IndexLink"/>
                <w:rtl w:val="true"/>
              </w:rPr>
              <w:t>»</w:t>
              <w:tab/>
            </w:r>
            <w:r>
              <w:rPr>
                <w:rStyle w:val="IndexLink"/>
              </w:rPr>
              <w:t>134</w:t>
            </w:r>
          </w:hyperlink>
        </w:p>
        <w:p>
          <w:pPr>
            <w:pStyle w:val="Contents2"/>
            <w:tabs>
              <w:tab w:val="clear" w:pos="8743"/>
              <w:tab w:val="right" w:pos="9026" w:leader="dot"/>
            </w:tabs>
            <w:rPr/>
          </w:pPr>
          <w:hyperlink w:anchor="__RefHeading___Toc5261328_581953129">
            <w:r>
              <w:rPr>
                <w:webHidden/>
                <w:rStyle w:val="IndexLink"/>
              </w:rPr>
              <w:t>5</w:t>
            </w:r>
            <w:r>
              <w:rPr>
                <w:rStyle w:val="IndexLink"/>
                <w:rtl w:val="true"/>
              </w:rPr>
              <w:t xml:space="preserve">- </w:t>
            </w:r>
            <w:r>
              <w:rPr>
                <w:rStyle w:val="IndexLink"/>
                <w:rtl w:val="true"/>
              </w:rPr>
              <w:t xml:space="preserve">اصل </w:t>
            </w:r>
            <w:r>
              <w:rPr>
                <w:rStyle w:val="IndexLink"/>
                <w:rtl w:val="true"/>
              </w:rPr>
              <w:t>«</w:t>
            </w:r>
            <w:r>
              <w:rPr>
                <w:rStyle w:val="IndexLink"/>
                <w:rtl w:val="true"/>
              </w:rPr>
              <w:t>تغییر تابعیت</w:t>
            </w:r>
            <w:r>
              <w:rPr>
                <w:rStyle w:val="IndexLink"/>
                <w:rtl w:val="true"/>
              </w:rPr>
              <w:t>»</w:t>
            </w:r>
            <w:r>
              <w:rPr>
                <w:rStyle w:val="IndexLink"/>
                <w:rtl w:val="true"/>
              </w:rPr>
              <w:t xml:space="preserve">، </w:t>
            </w:r>
            <w:r>
              <w:rPr>
                <w:rStyle w:val="IndexLink"/>
                <w:rtl w:val="true"/>
              </w:rPr>
              <w:t>«</w:t>
            </w:r>
            <w:r>
              <w:rPr>
                <w:rStyle w:val="IndexLink"/>
                <w:rtl w:val="true"/>
              </w:rPr>
              <w:t>تابعیت مؤثّر</w:t>
            </w:r>
            <w:r>
              <w:rPr>
                <w:rStyle w:val="IndexLink"/>
                <w:rtl w:val="true"/>
              </w:rPr>
              <w:t xml:space="preserve">» </w:t>
            </w:r>
            <w:r>
              <w:rPr>
                <w:rStyle w:val="IndexLink"/>
                <w:rtl w:val="true"/>
              </w:rPr>
              <w:t xml:space="preserve">و </w:t>
            </w:r>
            <w:r>
              <w:rPr>
                <w:rStyle w:val="IndexLink"/>
                <w:rtl w:val="true"/>
              </w:rPr>
              <w:t>«</w:t>
            </w:r>
            <w:r>
              <w:rPr>
                <w:rStyle w:val="IndexLink"/>
                <w:rtl w:val="true"/>
              </w:rPr>
              <w:t>تابعیت مبدأ</w:t>
            </w:r>
            <w:r>
              <w:rPr>
                <w:rStyle w:val="IndexLink"/>
                <w:rtl w:val="true"/>
              </w:rPr>
              <w:t xml:space="preserve">» </w:t>
            </w:r>
            <w:r>
              <w:rPr>
                <w:rStyle w:val="IndexLink"/>
                <w:rtl w:val="true"/>
              </w:rPr>
              <w:t>در ایران</w:t>
            </w:r>
            <w:r>
              <w:rPr>
                <w:rStyle w:val="IndexLink"/>
                <w:rtl w:val="true"/>
              </w:rPr>
              <w:tab/>
            </w:r>
            <w:r>
              <w:rPr>
                <w:rStyle w:val="IndexLink"/>
              </w:rPr>
              <w:t>148</w:t>
            </w:r>
          </w:hyperlink>
        </w:p>
        <w:p>
          <w:pPr>
            <w:pStyle w:val="Contents3"/>
            <w:tabs>
              <w:tab w:val="clear" w:pos="8459"/>
              <w:tab w:val="right" w:pos="9026" w:leader="dot"/>
            </w:tabs>
            <w:rPr/>
          </w:pPr>
          <w:hyperlink w:anchor="__RefHeading___Toc5261330_58195312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5261332_581953129">
            <w:r>
              <w:rPr>
                <w:webHidden/>
                <w:rStyle w:val="IndexLink"/>
              </w:rPr>
              <w:t>1</w:t>
            </w:r>
            <w:r>
              <w:rPr>
                <w:rStyle w:val="IndexLink"/>
                <w:rtl w:val="true"/>
              </w:rPr>
              <w:t xml:space="preserve">- </w:t>
            </w:r>
            <w:r>
              <w:rPr>
                <w:rStyle w:val="IndexLink"/>
                <w:rtl w:val="true"/>
              </w:rPr>
              <w:t xml:space="preserve">اصل </w:t>
            </w:r>
            <w:r>
              <w:rPr>
                <w:rStyle w:val="IndexLink"/>
                <w:rtl w:val="true"/>
              </w:rPr>
              <w:t>«</w:t>
            </w:r>
            <w:r>
              <w:rPr>
                <w:rStyle w:val="IndexLink"/>
                <w:rtl w:val="true"/>
              </w:rPr>
              <w:t>تغییرپذیری تابعیت</w:t>
            </w:r>
            <w:r>
              <w:rPr>
                <w:rStyle w:val="IndexLink"/>
                <w:rtl w:val="true"/>
              </w:rPr>
              <w:t>»</w:t>
              <w:tab/>
            </w:r>
            <w:r>
              <w:rPr>
                <w:rStyle w:val="IndexLink"/>
              </w:rPr>
              <w:t>148</w:t>
            </w:r>
          </w:hyperlink>
        </w:p>
        <w:p>
          <w:pPr>
            <w:pStyle w:val="Contents4"/>
            <w:tabs>
              <w:tab w:val="clear" w:pos="8176"/>
              <w:tab w:val="right" w:pos="9026" w:leader="dot"/>
            </w:tabs>
            <w:rPr/>
          </w:pPr>
          <w:hyperlink w:anchor="__RefHeading___Toc5261334_58195312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261336_581953129">
            <w:r>
              <w:rPr>
                <w:webHidden/>
                <w:rStyle w:val="IndexLink"/>
                <w:rtl w:val="true"/>
              </w:rPr>
              <w:t>الف</w:t>
            </w:r>
            <w:r>
              <w:rPr>
                <w:rStyle w:val="IndexLink"/>
                <w:rtl w:val="true"/>
              </w:rPr>
              <w:t xml:space="preserve">) </w:t>
            </w:r>
            <w:r>
              <w:rPr>
                <w:rStyle w:val="IndexLink"/>
                <w:rtl w:val="true"/>
              </w:rPr>
              <w:t>پذیرش اصل تغییرپذیری تابعیت در حقوق بین الملل</w:t>
            </w:r>
            <w:r>
              <w:rPr>
                <w:rStyle w:val="IndexLink"/>
                <w:rtl w:val="true"/>
              </w:rPr>
              <w:tab/>
            </w:r>
            <w:r>
              <w:rPr>
                <w:rStyle w:val="IndexLink"/>
              </w:rPr>
              <w:t>149</w:t>
            </w:r>
          </w:hyperlink>
        </w:p>
        <w:p>
          <w:pPr>
            <w:pStyle w:val="Contents4"/>
            <w:tabs>
              <w:tab w:val="clear" w:pos="8176"/>
              <w:tab w:val="right" w:pos="9026" w:leader="dot"/>
            </w:tabs>
            <w:rPr/>
          </w:pPr>
          <w:hyperlink w:anchor="__RefHeading___Toc5261338_581953129">
            <w:r>
              <w:rPr>
                <w:webHidden/>
                <w:rStyle w:val="IndexLink"/>
                <w:rtl w:val="true"/>
              </w:rPr>
              <w:t>ب</w:t>
            </w:r>
            <w:r>
              <w:rPr>
                <w:rStyle w:val="IndexLink"/>
                <w:rtl w:val="true"/>
              </w:rPr>
              <w:t xml:space="preserve">) </w:t>
            </w:r>
            <w:r>
              <w:rPr>
                <w:rStyle w:val="IndexLink"/>
                <w:rtl w:val="true"/>
              </w:rPr>
              <w:t>اقسام تغییر تابعیت</w:t>
            </w:r>
            <w:r>
              <w:rPr>
                <w:rStyle w:val="IndexLink"/>
                <w:rtl w:val="true"/>
              </w:rPr>
              <w:tab/>
            </w:r>
            <w:r>
              <w:rPr>
                <w:rStyle w:val="IndexLink"/>
              </w:rPr>
              <w:t>150</w:t>
            </w:r>
          </w:hyperlink>
        </w:p>
        <w:p>
          <w:pPr>
            <w:pStyle w:val="Contents3"/>
            <w:tabs>
              <w:tab w:val="clear" w:pos="8459"/>
              <w:tab w:val="right" w:pos="9026" w:leader="dot"/>
            </w:tabs>
            <w:rPr/>
          </w:pPr>
          <w:hyperlink w:anchor="__RefHeading___Toc5261340_581953129">
            <w:r>
              <w:rPr>
                <w:webHidden/>
                <w:rStyle w:val="IndexLink"/>
              </w:rPr>
              <w:t>2</w:t>
            </w:r>
            <w:r>
              <w:rPr>
                <w:rStyle w:val="IndexLink"/>
                <w:rtl w:val="true"/>
              </w:rPr>
              <w:t xml:space="preserve">- </w:t>
            </w:r>
            <w:r>
              <w:rPr>
                <w:rStyle w:val="IndexLink"/>
                <w:rtl w:val="true"/>
              </w:rPr>
              <w:t>تابعیت مؤثّر</w:t>
            </w:r>
            <w:r>
              <w:rPr>
                <w:rStyle w:val="IndexLink"/>
                <w:rtl w:val="true"/>
              </w:rPr>
              <w:tab/>
            </w:r>
            <w:r>
              <w:rPr>
                <w:rStyle w:val="IndexLink"/>
              </w:rPr>
              <w:t>158</w:t>
            </w:r>
          </w:hyperlink>
        </w:p>
        <w:p>
          <w:pPr>
            <w:pStyle w:val="Contents3"/>
            <w:tabs>
              <w:tab w:val="clear" w:pos="8459"/>
              <w:tab w:val="right" w:pos="9026" w:leader="dot"/>
            </w:tabs>
            <w:rPr/>
          </w:pPr>
          <w:hyperlink w:anchor="__RefHeading___Toc5261342_581953129">
            <w:r>
              <w:rPr>
                <w:webHidden/>
                <w:rStyle w:val="IndexLink"/>
              </w:rPr>
              <w:t>3</w:t>
            </w:r>
            <w:r>
              <w:rPr>
                <w:rStyle w:val="IndexLink"/>
                <w:rtl w:val="true"/>
              </w:rPr>
              <w:t xml:space="preserve">- </w:t>
            </w:r>
            <w:r>
              <w:rPr>
                <w:rStyle w:val="IndexLink"/>
                <w:rtl w:val="true"/>
              </w:rPr>
              <w:t xml:space="preserve">تابعیت مبدأ </w:t>
            </w:r>
            <w:r>
              <w:rPr>
                <w:rStyle w:val="IndexLink"/>
                <w:rtl w:val="true"/>
              </w:rPr>
              <w:t>(</w:t>
            </w:r>
            <w:r>
              <w:rPr>
                <w:rStyle w:val="IndexLink"/>
                <w:rtl w:val="true"/>
              </w:rPr>
              <w:t>اصلی، تولّدی</w:t>
            </w:r>
            <w:r>
              <w:rPr>
                <w:rStyle w:val="IndexLink"/>
                <w:rtl w:val="true"/>
              </w:rPr>
              <w:t xml:space="preserve">) </w:t>
            </w:r>
            <w:r>
              <w:rPr>
                <w:rStyle w:val="IndexLink"/>
                <w:rtl w:val="true"/>
              </w:rPr>
              <w:t>در ایران</w:t>
            </w:r>
            <w:r>
              <w:rPr>
                <w:rStyle w:val="IndexLink"/>
                <w:rtl w:val="true"/>
              </w:rPr>
              <w:tab/>
            </w:r>
            <w:r>
              <w:rPr>
                <w:rStyle w:val="IndexLink"/>
              </w:rPr>
              <w:t>159</w:t>
            </w:r>
          </w:hyperlink>
        </w:p>
        <w:p>
          <w:pPr>
            <w:pStyle w:val="Contents4"/>
            <w:tabs>
              <w:tab w:val="clear" w:pos="8176"/>
              <w:tab w:val="right" w:pos="9026" w:leader="dot"/>
            </w:tabs>
            <w:rPr/>
          </w:pPr>
          <w:hyperlink w:anchor="__RefHeading___Toc5261344_58195312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5261346_581953129">
            <w:r>
              <w:rPr>
                <w:webHidden/>
                <w:rStyle w:val="IndexLink"/>
                <w:rtl w:val="true"/>
              </w:rPr>
              <w:t>الف</w:t>
            </w:r>
            <w:r>
              <w:rPr>
                <w:rStyle w:val="IndexLink"/>
                <w:rtl w:val="true"/>
              </w:rPr>
              <w:t xml:space="preserve">) </w:t>
            </w:r>
            <w:r>
              <w:rPr>
                <w:rStyle w:val="IndexLink"/>
                <w:rtl w:val="true"/>
              </w:rPr>
              <w:t>اعمال روش خون، طبق قانون ایران</w:t>
            </w:r>
            <w:r>
              <w:rPr>
                <w:rStyle w:val="IndexLink"/>
                <w:rtl w:val="true"/>
              </w:rPr>
              <w:tab/>
            </w:r>
            <w:r>
              <w:rPr>
                <w:rStyle w:val="IndexLink"/>
              </w:rPr>
              <w:t>161</w:t>
            </w:r>
          </w:hyperlink>
        </w:p>
        <w:p>
          <w:pPr>
            <w:pStyle w:val="Contents4"/>
            <w:tabs>
              <w:tab w:val="clear" w:pos="8176"/>
              <w:tab w:val="right" w:pos="9026" w:leader="dot"/>
            </w:tabs>
            <w:rPr/>
          </w:pPr>
          <w:hyperlink w:anchor="__RefHeading___Toc5261348_581953129">
            <w:r>
              <w:rPr>
                <w:webHidden/>
                <w:rStyle w:val="IndexLink"/>
                <w:rtl w:val="true"/>
              </w:rPr>
              <w:t>ب</w:t>
            </w:r>
            <w:r>
              <w:rPr>
                <w:rStyle w:val="IndexLink"/>
                <w:rtl w:val="true"/>
              </w:rPr>
              <w:t xml:space="preserve">) </w:t>
            </w:r>
            <w:r>
              <w:rPr>
                <w:rStyle w:val="IndexLink"/>
                <w:rtl w:val="true"/>
              </w:rPr>
              <w:t>اعمال روش خاک، طبق قانون ایران</w:t>
            </w:r>
            <w:r>
              <w:rPr>
                <w:rStyle w:val="IndexLink"/>
                <w:rtl w:val="true"/>
              </w:rPr>
              <w:tab/>
            </w:r>
            <w:r>
              <w:rPr>
                <w:rStyle w:val="IndexLink"/>
              </w:rPr>
              <w:t>166</w:t>
            </w:r>
          </w:hyperlink>
        </w:p>
        <w:p>
          <w:pPr>
            <w:pStyle w:val="Contents2"/>
            <w:tabs>
              <w:tab w:val="clear" w:pos="8743"/>
              <w:tab w:val="right" w:pos="9026" w:leader="dot"/>
            </w:tabs>
            <w:rPr/>
          </w:pPr>
          <w:hyperlink w:anchor="__RefHeading___Toc5261350_581953129">
            <w:r>
              <w:rPr>
                <w:webHidden/>
                <w:rStyle w:val="IndexLink"/>
              </w:rPr>
              <w:t>6</w:t>
            </w:r>
            <w:r>
              <w:rPr>
                <w:rStyle w:val="IndexLink"/>
                <w:rtl w:val="true"/>
              </w:rPr>
              <w:t xml:space="preserve">- </w:t>
            </w:r>
            <w:r>
              <w:rPr>
                <w:rStyle w:val="IndexLink"/>
                <w:rtl w:val="true"/>
              </w:rPr>
              <w:t>تابعیت اکتسابی</w:t>
            </w:r>
            <w:r>
              <w:rPr>
                <w:rStyle w:val="IndexLink"/>
                <w:rtl w:val="true"/>
              </w:rPr>
              <w:tab/>
            </w:r>
            <w:r>
              <w:rPr>
                <w:rStyle w:val="IndexLink"/>
              </w:rPr>
              <w:t>179</w:t>
            </w:r>
          </w:hyperlink>
        </w:p>
        <w:p>
          <w:pPr>
            <w:pStyle w:val="Contents3"/>
            <w:tabs>
              <w:tab w:val="clear" w:pos="8459"/>
              <w:tab w:val="right" w:pos="9026" w:leader="dot"/>
            </w:tabs>
            <w:rPr/>
          </w:pPr>
          <w:hyperlink w:anchor="__RefHeading___Toc5261352_581953129">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5261354_581953129">
            <w:r>
              <w:rPr>
                <w:webHidden/>
                <w:rStyle w:val="IndexLink"/>
                <w:rtl w:val="true"/>
              </w:rPr>
              <w:t>اقسام تابعیت اکتسابی</w:t>
            </w:r>
            <w:r>
              <w:rPr>
                <w:rStyle w:val="IndexLink"/>
                <w:rtl w:val="true"/>
              </w:rPr>
              <w:tab/>
            </w:r>
            <w:r>
              <w:rPr>
                <w:rStyle w:val="IndexLink"/>
              </w:rPr>
              <w:t>179</w:t>
            </w:r>
          </w:hyperlink>
        </w:p>
        <w:p>
          <w:pPr>
            <w:pStyle w:val="Contents4"/>
            <w:tabs>
              <w:tab w:val="clear" w:pos="8176"/>
              <w:tab w:val="right" w:pos="9026" w:leader="dot"/>
            </w:tabs>
            <w:rPr/>
          </w:pPr>
          <w:hyperlink w:anchor="__RefHeading___Toc5261356_58195312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5261358_581953129">
            <w:r>
              <w:rPr>
                <w:webHidden/>
                <w:rStyle w:val="IndexLink"/>
                <w:rtl w:val="true"/>
              </w:rPr>
              <w:t>الف</w:t>
            </w:r>
            <w:r>
              <w:rPr>
                <w:rStyle w:val="IndexLink"/>
                <w:rtl w:val="true"/>
              </w:rPr>
              <w:t xml:space="preserve">) </w:t>
            </w:r>
            <w:r>
              <w:rPr>
                <w:rStyle w:val="IndexLink"/>
                <w:rtl w:val="true"/>
              </w:rPr>
              <w:t>تابعیت اکتسابی فرزندان خردسال</w:t>
            </w:r>
            <w:r>
              <w:rPr>
                <w:rStyle w:val="IndexLink"/>
                <w:rtl w:val="true"/>
              </w:rPr>
              <w:tab/>
            </w:r>
            <w:r>
              <w:rPr>
                <w:rStyle w:val="IndexLink"/>
              </w:rPr>
              <w:t>180</w:t>
            </w:r>
          </w:hyperlink>
        </w:p>
        <w:p>
          <w:pPr>
            <w:pStyle w:val="Contents4"/>
            <w:tabs>
              <w:tab w:val="clear" w:pos="8176"/>
              <w:tab w:val="right" w:pos="9026" w:leader="dot"/>
            </w:tabs>
            <w:rPr/>
          </w:pPr>
          <w:hyperlink w:anchor="__RefHeading___Toc5261360_581953129">
            <w:r>
              <w:rPr>
                <w:webHidden/>
                <w:rStyle w:val="IndexLink"/>
                <w:rtl w:val="true"/>
              </w:rPr>
              <w:t>ب</w:t>
            </w:r>
            <w:r>
              <w:rPr>
                <w:rStyle w:val="IndexLink"/>
                <w:rtl w:val="true"/>
              </w:rPr>
              <w:t xml:space="preserve">) </w:t>
            </w:r>
            <w:r>
              <w:rPr>
                <w:rStyle w:val="IndexLink"/>
                <w:rtl w:val="true"/>
              </w:rPr>
              <w:t>تابعیت اکتسابی همسر مردی که تابعیت ایران را دریافت کرده است</w:t>
            </w:r>
            <w:r>
              <w:rPr>
                <w:rStyle w:val="IndexLink"/>
                <w:rtl w:val="true"/>
              </w:rPr>
              <w:tab/>
            </w:r>
            <w:r>
              <w:rPr>
                <w:rStyle w:val="IndexLink"/>
              </w:rPr>
              <w:t>183</w:t>
            </w:r>
          </w:hyperlink>
        </w:p>
        <w:p>
          <w:pPr>
            <w:pStyle w:val="Contents4"/>
            <w:tabs>
              <w:tab w:val="clear" w:pos="8176"/>
              <w:tab w:val="right" w:pos="9026" w:leader="dot"/>
            </w:tabs>
            <w:rPr/>
          </w:pPr>
          <w:hyperlink w:anchor="__RefHeading___Toc5261362_581953129">
            <w:r>
              <w:rPr>
                <w:webHidden/>
                <w:rStyle w:val="IndexLink"/>
                <w:rtl w:val="true"/>
              </w:rPr>
              <w:t>ج</w:t>
            </w:r>
            <w:r>
              <w:rPr>
                <w:rStyle w:val="IndexLink"/>
                <w:rtl w:val="true"/>
              </w:rPr>
              <w:t xml:space="preserve">) </w:t>
            </w:r>
            <w:r>
              <w:rPr>
                <w:rStyle w:val="IndexLink"/>
                <w:rtl w:val="true"/>
              </w:rPr>
              <w:t>کسب تابعیت، بر اثر جدا شدن بخشی از سرزمین</w:t>
            </w:r>
            <w:r>
              <w:rPr>
                <w:rStyle w:val="IndexLink"/>
                <w:rtl w:val="true"/>
              </w:rPr>
              <w:tab/>
            </w:r>
            <w:r>
              <w:rPr>
                <w:rStyle w:val="IndexLink"/>
              </w:rPr>
              <w:t>185</w:t>
            </w:r>
          </w:hyperlink>
        </w:p>
        <w:p>
          <w:pPr>
            <w:pStyle w:val="Contents4"/>
            <w:tabs>
              <w:tab w:val="clear" w:pos="8176"/>
              <w:tab w:val="right" w:pos="9026" w:leader="dot"/>
            </w:tabs>
            <w:rPr/>
          </w:pPr>
          <w:hyperlink w:anchor="__RefHeading___Toc5261364_581953129">
            <w:r>
              <w:rPr>
                <w:webHidden/>
                <w:rStyle w:val="IndexLink"/>
                <w:rtl w:val="true"/>
              </w:rPr>
              <w:t>د</w:t>
            </w:r>
            <w:r>
              <w:rPr>
                <w:rStyle w:val="IndexLink"/>
                <w:rtl w:val="true"/>
              </w:rPr>
              <w:t xml:space="preserve">) </w:t>
            </w:r>
            <w:r>
              <w:rPr>
                <w:rStyle w:val="IndexLink"/>
                <w:rtl w:val="true"/>
              </w:rPr>
              <w:t>تابعیت اکتسابی زن در اثر ازدواج</w:t>
            </w:r>
            <w:r>
              <w:rPr>
                <w:rStyle w:val="IndexLink"/>
                <w:rtl w:val="true"/>
              </w:rPr>
              <w:tab/>
            </w:r>
            <w:r>
              <w:rPr>
                <w:rStyle w:val="IndexLink"/>
              </w:rPr>
              <w:t>187</w:t>
            </w:r>
          </w:hyperlink>
        </w:p>
        <w:p>
          <w:pPr>
            <w:pStyle w:val="Contents4"/>
            <w:tabs>
              <w:tab w:val="clear" w:pos="8176"/>
              <w:tab w:val="right" w:pos="9026" w:leader="dot"/>
            </w:tabs>
            <w:rPr/>
          </w:pPr>
          <w:hyperlink w:anchor="__RefHeading___Toc5261366_581953129">
            <w:r>
              <w:rPr>
                <w:webHidden/>
                <w:rStyle w:val="IndexLink"/>
                <w:rtl w:val="true"/>
              </w:rPr>
              <w:t>ه</w:t>
            </w:r>
            <w:r>
              <w:rPr>
                <w:rStyle w:val="IndexLink"/>
                <w:rtl w:val="true"/>
              </w:rPr>
              <w:t xml:space="preserve">( </w:t>
            </w:r>
            <w:r>
              <w:rPr>
                <w:rStyle w:val="IndexLink"/>
                <w:rtl w:val="true"/>
              </w:rPr>
              <w:t xml:space="preserve">تابعیت اکتسابی در اثر تقاضای شخص </w:t>
            </w:r>
            <w:r>
              <w:rPr>
                <w:rStyle w:val="IndexLink"/>
                <w:rtl w:val="true"/>
              </w:rPr>
              <w:t>(</w:t>
            </w:r>
            <w:r>
              <w:rPr>
                <w:rStyle w:val="IndexLink"/>
                <w:rtl w:val="true"/>
              </w:rPr>
              <w:t>تابعیت تحصیلی</w:t>
            </w:r>
            <w:r>
              <w:rPr>
                <w:rStyle w:val="IndexLink"/>
                <w:rtl w:val="true"/>
              </w:rPr>
              <w:t>)</w:t>
              <w:tab/>
            </w:r>
            <w:r>
              <w:rPr>
                <w:rStyle w:val="IndexLink"/>
              </w:rPr>
              <w:t>199</w:t>
            </w:r>
          </w:hyperlink>
        </w:p>
        <w:p>
          <w:pPr>
            <w:pStyle w:val="Contents2"/>
            <w:tabs>
              <w:tab w:val="clear" w:pos="8743"/>
              <w:tab w:val="right" w:pos="9026" w:leader="dot"/>
            </w:tabs>
            <w:rPr/>
          </w:pPr>
          <w:hyperlink w:anchor="__RefHeading___Toc5261368_581953129">
            <w:r>
              <w:rPr>
                <w:webHidden/>
                <w:rStyle w:val="IndexLink"/>
              </w:rPr>
              <w:t>7</w:t>
            </w:r>
            <w:r>
              <w:rPr>
                <w:rStyle w:val="IndexLink"/>
                <w:rtl w:val="true"/>
              </w:rPr>
              <w:t xml:space="preserve">- </w:t>
            </w:r>
            <w:r>
              <w:rPr>
                <w:rStyle w:val="IndexLink"/>
                <w:rtl w:val="true"/>
              </w:rPr>
              <w:t>دریافت تابعیت ایران</w:t>
            </w:r>
            <w:r>
              <w:rPr>
                <w:rStyle w:val="IndexLink"/>
                <w:rtl w:val="true"/>
              </w:rPr>
              <w:tab/>
            </w:r>
            <w:r>
              <w:rPr>
                <w:rStyle w:val="IndexLink"/>
              </w:rPr>
              <w:t>216</w:t>
            </w:r>
          </w:hyperlink>
        </w:p>
        <w:p>
          <w:pPr>
            <w:pStyle w:val="Contents3"/>
            <w:tabs>
              <w:tab w:val="clear" w:pos="8459"/>
              <w:tab w:val="right" w:pos="9026" w:leader="dot"/>
            </w:tabs>
            <w:rPr/>
          </w:pPr>
          <w:hyperlink w:anchor="__RefHeading___Toc5261370_58195312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5261372_581953129">
            <w:r>
              <w:rPr>
                <w:webHidden/>
                <w:rStyle w:val="IndexLink"/>
              </w:rPr>
              <w:t>1</w:t>
            </w:r>
            <w:r>
              <w:rPr>
                <w:rStyle w:val="IndexLink"/>
                <w:rtl w:val="true"/>
              </w:rPr>
              <w:t xml:space="preserve">- </w:t>
            </w:r>
            <w:r>
              <w:rPr>
                <w:rStyle w:val="IndexLink"/>
                <w:rtl w:val="true"/>
              </w:rPr>
              <w:t>شرایط دریافت تابعیت ایران</w:t>
            </w:r>
            <w:r>
              <w:rPr>
                <w:rStyle w:val="IndexLink"/>
                <w:rtl w:val="true"/>
              </w:rPr>
              <w:tab/>
            </w:r>
            <w:r>
              <w:rPr>
                <w:rStyle w:val="IndexLink"/>
              </w:rPr>
              <w:t>217</w:t>
            </w:r>
          </w:hyperlink>
        </w:p>
        <w:p>
          <w:pPr>
            <w:pStyle w:val="Contents4"/>
            <w:tabs>
              <w:tab w:val="clear" w:pos="8176"/>
              <w:tab w:val="right" w:pos="9026" w:leader="dot"/>
            </w:tabs>
            <w:rPr/>
          </w:pPr>
          <w:hyperlink w:anchor="__RefHeading___Toc5261374_581953129">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5261376_581953129">
            <w:r>
              <w:rPr>
                <w:webHidden/>
                <w:rStyle w:val="IndexLink"/>
                <w:rtl w:val="true"/>
              </w:rPr>
              <w:t>الف</w:t>
            </w:r>
            <w:r>
              <w:rPr>
                <w:rStyle w:val="IndexLink"/>
                <w:rtl w:val="true"/>
              </w:rPr>
              <w:t xml:space="preserve">) </w:t>
            </w:r>
            <w:r>
              <w:rPr>
                <w:rStyle w:val="IndexLink"/>
                <w:rtl w:val="true"/>
              </w:rPr>
              <w:t>شرط اهلیت</w:t>
            </w:r>
            <w:r>
              <w:rPr>
                <w:rStyle w:val="IndexLink"/>
                <w:rtl w:val="true"/>
              </w:rPr>
              <w:tab/>
            </w:r>
            <w:r>
              <w:rPr>
                <w:rStyle w:val="IndexLink"/>
              </w:rPr>
              <w:t>218</w:t>
            </w:r>
          </w:hyperlink>
        </w:p>
        <w:p>
          <w:pPr>
            <w:pStyle w:val="Contents4"/>
            <w:tabs>
              <w:tab w:val="clear" w:pos="8176"/>
              <w:tab w:val="right" w:pos="9026" w:leader="dot"/>
            </w:tabs>
            <w:rPr/>
          </w:pPr>
          <w:hyperlink w:anchor="__RefHeading___Toc5261378_581953129">
            <w:r>
              <w:rPr>
                <w:webHidden/>
                <w:rStyle w:val="IndexLink"/>
                <w:rtl w:val="true"/>
              </w:rPr>
              <w:t>ب</w:t>
            </w:r>
            <w:r>
              <w:rPr>
                <w:rStyle w:val="IndexLink"/>
                <w:rtl w:val="true"/>
              </w:rPr>
              <w:t xml:space="preserve">) </w:t>
            </w:r>
            <w:r>
              <w:rPr>
                <w:rStyle w:val="IndexLink"/>
                <w:rtl w:val="true"/>
              </w:rPr>
              <w:t>شرط اقامت</w:t>
            </w:r>
            <w:r>
              <w:rPr>
                <w:rStyle w:val="IndexLink"/>
                <w:rtl w:val="true"/>
              </w:rPr>
              <w:tab/>
            </w:r>
            <w:r>
              <w:rPr>
                <w:rStyle w:val="IndexLink"/>
              </w:rPr>
              <w:t>219</w:t>
            </w:r>
          </w:hyperlink>
        </w:p>
        <w:p>
          <w:pPr>
            <w:pStyle w:val="Contents4"/>
            <w:tabs>
              <w:tab w:val="clear" w:pos="8176"/>
              <w:tab w:val="right" w:pos="9026" w:leader="dot"/>
            </w:tabs>
            <w:rPr/>
          </w:pPr>
          <w:hyperlink w:anchor="__RefHeading___Toc5261380_581953129">
            <w:r>
              <w:rPr>
                <w:webHidden/>
                <w:rStyle w:val="IndexLink"/>
                <w:rtl w:val="true"/>
              </w:rPr>
              <w:t>ج</w:t>
            </w:r>
            <w:r>
              <w:rPr>
                <w:rStyle w:val="IndexLink"/>
                <w:rtl w:val="true"/>
              </w:rPr>
              <w:t xml:space="preserve">) </w:t>
            </w:r>
            <w:r>
              <w:rPr>
                <w:rStyle w:val="IndexLink"/>
                <w:rtl w:val="true"/>
              </w:rPr>
              <w:t>شرط اخلاقی</w:t>
            </w:r>
            <w:r>
              <w:rPr>
                <w:rStyle w:val="IndexLink"/>
                <w:rtl w:val="true"/>
              </w:rPr>
              <w:tab/>
            </w:r>
            <w:r>
              <w:rPr>
                <w:rStyle w:val="IndexLink"/>
              </w:rPr>
              <w:t>222</w:t>
            </w:r>
          </w:hyperlink>
        </w:p>
        <w:p>
          <w:pPr>
            <w:pStyle w:val="Contents4"/>
            <w:tabs>
              <w:tab w:val="clear" w:pos="8176"/>
              <w:tab w:val="right" w:pos="9026" w:leader="dot"/>
            </w:tabs>
            <w:rPr/>
          </w:pPr>
          <w:hyperlink w:anchor="__RefHeading___Toc5261382_581953129">
            <w:r>
              <w:rPr>
                <w:webHidden/>
                <w:rStyle w:val="IndexLink"/>
                <w:rtl w:val="true"/>
              </w:rPr>
              <w:t>د</w:t>
            </w:r>
            <w:r>
              <w:rPr>
                <w:rStyle w:val="IndexLink"/>
                <w:rtl w:val="true"/>
              </w:rPr>
              <w:t xml:space="preserve">) </w:t>
            </w:r>
            <w:r>
              <w:rPr>
                <w:rStyle w:val="IndexLink"/>
                <w:rtl w:val="true"/>
              </w:rPr>
              <w:t>شرط توانایی مالی</w:t>
            </w:r>
            <w:r>
              <w:rPr>
                <w:rStyle w:val="IndexLink"/>
                <w:rtl w:val="true"/>
              </w:rPr>
              <w:tab/>
            </w:r>
            <w:r>
              <w:rPr>
                <w:rStyle w:val="IndexLink"/>
              </w:rPr>
              <w:t>223</w:t>
            </w:r>
          </w:hyperlink>
        </w:p>
        <w:p>
          <w:pPr>
            <w:pStyle w:val="Contents4"/>
            <w:tabs>
              <w:tab w:val="clear" w:pos="8176"/>
              <w:tab w:val="right" w:pos="9026" w:leader="dot"/>
            </w:tabs>
            <w:rPr/>
          </w:pPr>
          <w:hyperlink w:anchor="__RefHeading___Toc5261384_581953129">
            <w:r>
              <w:rPr>
                <w:webHidden/>
                <w:rStyle w:val="IndexLink"/>
                <w:rtl w:val="true"/>
              </w:rPr>
              <w:t>ه</w:t>
            </w:r>
            <w:r>
              <w:rPr>
                <w:rStyle w:val="IndexLink"/>
                <w:rtl w:val="true"/>
              </w:rPr>
              <w:t xml:space="preserve">) </w:t>
            </w:r>
            <w:r>
              <w:rPr>
                <w:rStyle w:val="IndexLink"/>
                <w:rtl w:val="true"/>
              </w:rPr>
              <w:t>شرط قانونی</w:t>
            </w:r>
            <w:r>
              <w:rPr>
                <w:rStyle w:val="IndexLink"/>
                <w:rtl w:val="true"/>
              </w:rPr>
              <w:tab/>
            </w:r>
            <w:r>
              <w:rPr>
                <w:rStyle w:val="IndexLink"/>
              </w:rPr>
              <w:t>224</w:t>
            </w:r>
          </w:hyperlink>
        </w:p>
        <w:p>
          <w:pPr>
            <w:pStyle w:val="Contents3"/>
            <w:tabs>
              <w:tab w:val="clear" w:pos="8459"/>
              <w:tab w:val="right" w:pos="9026" w:leader="dot"/>
            </w:tabs>
            <w:rPr/>
          </w:pPr>
          <w:hyperlink w:anchor="__RefHeading___Toc5261386_581953129">
            <w:r>
              <w:rPr>
                <w:webHidden/>
                <w:rStyle w:val="IndexLink"/>
              </w:rPr>
              <w:t>2</w:t>
            </w:r>
            <w:r>
              <w:rPr>
                <w:rStyle w:val="IndexLink"/>
                <w:rtl w:val="true"/>
              </w:rPr>
              <w:t xml:space="preserve">- </w:t>
            </w:r>
            <w:r>
              <w:rPr>
                <w:rStyle w:val="IndexLink"/>
                <w:rtl w:val="true"/>
              </w:rPr>
              <w:t>تشریفات دریافت تابعیت جمهوری اسلامی ایران</w:t>
            </w:r>
            <w:r>
              <w:rPr>
                <w:rStyle w:val="IndexLink"/>
                <w:rtl w:val="true"/>
              </w:rPr>
              <w:tab/>
            </w:r>
            <w:r>
              <w:rPr>
                <w:rStyle w:val="IndexLink"/>
              </w:rPr>
              <w:t>224</w:t>
            </w:r>
          </w:hyperlink>
        </w:p>
        <w:p>
          <w:pPr>
            <w:pStyle w:val="Contents3"/>
            <w:tabs>
              <w:tab w:val="clear" w:pos="8459"/>
              <w:tab w:val="right" w:pos="9026" w:leader="dot"/>
            </w:tabs>
            <w:rPr/>
          </w:pPr>
          <w:hyperlink w:anchor="__RefHeading___Toc5261388_581953129">
            <w:r>
              <w:rPr>
                <w:webHidden/>
                <w:rStyle w:val="IndexLink"/>
              </w:rPr>
              <w:t>3</w:t>
            </w:r>
            <w:r>
              <w:rPr>
                <w:rStyle w:val="IndexLink"/>
                <w:rtl w:val="true"/>
              </w:rPr>
              <w:t xml:space="preserve">- </w:t>
            </w:r>
            <w:r>
              <w:rPr>
                <w:rStyle w:val="IndexLink"/>
                <w:rtl w:val="true"/>
              </w:rPr>
              <w:t>آثار دریافت تابعیت جمهوری اسلامی ایران</w:t>
            </w:r>
            <w:r>
              <w:rPr>
                <w:rStyle w:val="IndexLink"/>
                <w:rtl w:val="true"/>
              </w:rPr>
              <w:tab/>
            </w:r>
            <w:r>
              <w:rPr>
                <w:rStyle w:val="IndexLink"/>
              </w:rPr>
              <w:t>227</w:t>
            </w:r>
          </w:hyperlink>
        </w:p>
        <w:p>
          <w:pPr>
            <w:pStyle w:val="Contents4"/>
            <w:tabs>
              <w:tab w:val="clear" w:pos="8176"/>
              <w:tab w:val="right" w:pos="9026" w:leader="dot"/>
            </w:tabs>
            <w:rPr/>
          </w:pPr>
          <w:hyperlink w:anchor="__RefHeading___Toc5261390_581953129">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5261392_581953129">
            <w:r>
              <w:rPr>
                <w:webHidden/>
                <w:rStyle w:val="IndexLink"/>
                <w:rtl w:val="true"/>
              </w:rPr>
              <w:t>الف</w:t>
            </w:r>
            <w:r>
              <w:rPr>
                <w:rStyle w:val="IndexLink"/>
                <w:rtl w:val="true"/>
              </w:rPr>
              <w:t xml:space="preserve">) </w:t>
            </w:r>
            <w:r>
              <w:rPr>
                <w:rStyle w:val="IndexLink"/>
                <w:rtl w:val="true"/>
              </w:rPr>
              <w:t>آثار دریافت تابعیت، نسبت به فرزندان خردسال</w:t>
            </w:r>
            <w:r>
              <w:rPr>
                <w:rStyle w:val="IndexLink"/>
                <w:rtl w:val="true"/>
              </w:rPr>
              <w:tab/>
            </w:r>
            <w:r>
              <w:rPr>
                <w:rStyle w:val="IndexLink"/>
              </w:rPr>
              <w:t>228</w:t>
            </w:r>
          </w:hyperlink>
        </w:p>
        <w:p>
          <w:pPr>
            <w:pStyle w:val="Contents4"/>
            <w:tabs>
              <w:tab w:val="clear" w:pos="8176"/>
              <w:tab w:val="right" w:pos="9026" w:leader="dot"/>
            </w:tabs>
            <w:rPr/>
          </w:pPr>
          <w:hyperlink w:anchor="__RefHeading___Toc5261394_581953129">
            <w:r>
              <w:rPr>
                <w:webHidden/>
                <w:rStyle w:val="IndexLink"/>
                <w:rtl w:val="true"/>
              </w:rPr>
              <w:t>ب</w:t>
            </w:r>
            <w:r>
              <w:rPr>
                <w:rStyle w:val="IndexLink"/>
                <w:rtl w:val="true"/>
              </w:rPr>
              <w:t xml:space="preserve">) </w:t>
            </w:r>
            <w:r>
              <w:rPr>
                <w:rStyle w:val="IndexLink"/>
                <w:rtl w:val="true"/>
              </w:rPr>
              <w:t>آثار دریافت تابعیت، نسبت به فرزندان بزرگسال</w:t>
            </w:r>
            <w:r>
              <w:rPr>
                <w:rStyle w:val="IndexLink"/>
                <w:rtl w:val="true"/>
              </w:rPr>
              <w:tab/>
            </w:r>
            <w:r>
              <w:rPr>
                <w:rStyle w:val="IndexLink"/>
              </w:rPr>
              <w:t>228</w:t>
            </w:r>
          </w:hyperlink>
        </w:p>
        <w:p>
          <w:pPr>
            <w:pStyle w:val="Contents4"/>
            <w:tabs>
              <w:tab w:val="clear" w:pos="8176"/>
              <w:tab w:val="right" w:pos="9026" w:leader="dot"/>
            </w:tabs>
            <w:rPr/>
          </w:pPr>
          <w:hyperlink w:anchor="__RefHeading___Toc5261396_581953129">
            <w:r>
              <w:rPr>
                <w:webHidden/>
                <w:rStyle w:val="IndexLink"/>
                <w:rtl w:val="true"/>
              </w:rPr>
              <w:t>ج</w:t>
            </w:r>
            <w:r>
              <w:rPr>
                <w:rStyle w:val="IndexLink"/>
                <w:rtl w:val="true"/>
              </w:rPr>
              <w:t xml:space="preserve">) </w:t>
            </w:r>
            <w:r>
              <w:rPr>
                <w:rStyle w:val="IndexLink"/>
                <w:rtl w:val="true"/>
              </w:rPr>
              <w:t>آثار دریافت تابعیت، نسبت به زن</w:t>
            </w:r>
            <w:r>
              <w:rPr>
                <w:rStyle w:val="IndexLink"/>
                <w:rtl w:val="true"/>
              </w:rPr>
              <w:tab/>
            </w:r>
            <w:r>
              <w:rPr>
                <w:rStyle w:val="IndexLink"/>
              </w:rPr>
              <w:t>229</w:t>
            </w:r>
          </w:hyperlink>
        </w:p>
        <w:p>
          <w:pPr>
            <w:pStyle w:val="Contents4"/>
            <w:tabs>
              <w:tab w:val="clear" w:pos="8176"/>
              <w:tab w:val="right" w:pos="9026" w:leader="dot"/>
            </w:tabs>
            <w:rPr/>
          </w:pPr>
          <w:hyperlink w:anchor="__RefHeading___Toc5261398_581953129">
            <w:r>
              <w:rPr>
                <w:webHidden/>
                <w:rStyle w:val="IndexLink"/>
                <w:rtl w:val="true"/>
              </w:rPr>
              <w:t>د</w:t>
            </w:r>
            <w:r>
              <w:rPr>
                <w:rStyle w:val="IndexLink"/>
                <w:rtl w:val="true"/>
              </w:rPr>
              <w:t xml:space="preserve">) </w:t>
            </w:r>
            <w:r>
              <w:rPr>
                <w:rStyle w:val="IndexLink"/>
                <w:rtl w:val="true"/>
              </w:rPr>
              <w:t xml:space="preserve">آثار دریافت تابعیت ایران، نسبت به خود شخص </w:t>
            </w:r>
            <w:r>
              <w:rPr>
                <w:rStyle w:val="IndexLink"/>
                <w:rtl w:val="true"/>
              </w:rPr>
              <w:t>(</w:t>
            </w:r>
            <w:r>
              <w:rPr>
                <w:rStyle w:val="IndexLink"/>
                <w:rtl w:val="true"/>
              </w:rPr>
              <w:t>حقوق و تکالیف</w:t>
            </w:r>
            <w:r>
              <w:rPr>
                <w:rStyle w:val="IndexLink"/>
                <w:rtl w:val="true"/>
              </w:rPr>
              <w:t>)</w:t>
              <w:tab/>
            </w:r>
            <w:r>
              <w:rPr>
                <w:rStyle w:val="IndexLink"/>
              </w:rPr>
              <w:t>229</w:t>
            </w:r>
          </w:hyperlink>
        </w:p>
        <w:p>
          <w:pPr>
            <w:pStyle w:val="Contents2"/>
            <w:tabs>
              <w:tab w:val="clear" w:pos="8743"/>
              <w:tab w:val="right" w:pos="9026" w:leader="dot"/>
            </w:tabs>
            <w:rPr/>
          </w:pPr>
          <w:hyperlink w:anchor="__RefHeading___Toc5261400_581953129">
            <w:r>
              <w:rPr>
                <w:webHidden/>
                <w:rStyle w:val="IndexLink"/>
              </w:rPr>
              <w:t>8</w:t>
            </w:r>
            <w:r>
              <w:rPr>
                <w:rStyle w:val="IndexLink"/>
                <w:rtl w:val="true"/>
              </w:rPr>
              <w:t xml:space="preserve"> - </w:t>
            </w:r>
            <w:r>
              <w:rPr>
                <w:rStyle w:val="IndexLink"/>
                <w:rtl w:val="true"/>
              </w:rPr>
              <w:t>از دست دادن تابعیت</w:t>
            </w:r>
            <w:r>
              <w:rPr>
                <w:rStyle w:val="IndexLink"/>
                <w:rtl w:val="true"/>
              </w:rPr>
              <w:tab/>
            </w:r>
            <w:r>
              <w:rPr>
                <w:rStyle w:val="IndexLink"/>
              </w:rPr>
              <w:t>243</w:t>
            </w:r>
          </w:hyperlink>
        </w:p>
        <w:p>
          <w:pPr>
            <w:pStyle w:val="Contents3"/>
            <w:tabs>
              <w:tab w:val="clear" w:pos="8459"/>
              <w:tab w:val="right" w:pos="9026" w:leader="dot"/>
            </w:tabs>
            <w:rPr/>
          </w:pPr>
          <w:hyperlink w:anchor="__RefHeading___Toc5261402_58195312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5261404_581953129">
            <w:r>
              <w:rPr>
                <w:webHidden/>
                <w:rStyle w:val="IndexLink"/>
              </w:rPr>
              <w:t>1</w:t>
            </w:r>
            <w:r>
              <w:rPr>
                <w:rStyle w:val="IndexLink"/>
                <w:rtl w:val="true"/>
              </w:rPr>
              <w:t xml:space="preserve">- </w:t>
            </w:r>
            <w:r>
              <w:rPr>
                <w:rStyle w:val="IndexLink"/>
                <w:rtl w:val="true"/>
              </w:rPr>
              <w:t>راه های از دست دادن تابعیت</w:t>
            </w:r>
            <w:r>
              <w:rPr>
                <w:rStyle w:val="IndexLink"/>
                <w:rtl w:val="true"/>
              </w:rPr>
              <w:tab/>
            </w:r>
            <w:r>
              <w:rPr>
                <w:rStyle w:val="IndexLink"/>
              </w:rPr>
              <w:t>244</w:t>
            </w:r>
          </w:hyperlink>
        </w:p>
        <w:p>
          <w:pPr>
            <w:pStyle w:val="Contents4"/>
            <w:tabs>
              <w:tab w:val="clear" w:pos="8176"/>
              <w:tab w:val="right" w:pos="9026" w:leader="dot"/>
            </w:tabs>
            <w:rPr/>
          </w:pPr>
          <w:hyperlink w:anchor="__RefHeading___Toc5261406_581953129">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5261408_581953129">
            <w:r>
              <w:rPr>
                <w:webHidden/>
                <w:rStyle w:val="IndexLink"/>
                <w:rtl w:val="true"/>
              </w:rPr>
              <w:t>الف</w:t>
            </w:r>
            <w:r>
              <w:rPr>
                <w:rStyle w:val="IndexLink"/>
                <w:rtl w:val="true"/>
              </w:rPr>
              <w:t xml:space="preserve">) </w:t>
            </w:r>
            <w:r>
              <w:rPr>
                <w:rStyle w:val="IndexLink"/>
                <w:rtl w:val="true"/>
              </w:rPr>
              <w:t>جدا شدن بخشی از خاک یک کشور</w:t>
            </w:r>
            <w:r>
              <w:rPr>
                <w:rStyle w:val="IndexLink"/>
                <w:rtl w:val="true"/>
              </w:rPr>
              <w:tab/>
            </w:r>
            <w:r>
              <w:rPr>
                <w:rStyle w:val="IndexLink"/>
              </w:rPr>
              <w:t>244</w:t>
            </w:r>
          </w:hyperlink>
        </w:p>
        <w:p>
          <w:pPr>
            <w:pStyle w:val="Contents4"/>
            <w:tabs>
              <w:tab w:val="clear" w:pos="8176"/>
              <w:tab w:val="right" w:pos="9026" w:leader="dot"/>
            </w:tabs>
            <w:rPr/>
          </w:pPr>
          <w:hyperlink w:anchor="__RefHeading___Toc5261410_581953129">
            <w:r>
              <w:rPr>
                <w:webHidden/>
                <w:rStyle w:val="IndexLink"/>
                <w:rtl w:val="true"/>
              </w:rPr>
              <w:t>ب</w:t>
            </w:r>
            <w:r>
              <w:rPr>
                <w:rStyle w:val="IndexLink"/>
                <w:rtl w:val="true"/>
              </w:rPr>
              <w:t xml:space="preserve">) </w:t>
            </w:r>
            <w:r>
              <w:rPr>
                <w:rStyle w:val="IndexLink"/>
                <w:rtl w:val="true"/>
              </w:rPr>
              <w:t xml:space="preserve">از دست دادن تابعیت در اثر مجازات </w:t>
            </w:r>
            <w:r>
              <w:rPr>
                <w:rStyle w:val="IndexLink"/>
                <w:rtl w:val="true"/>
              </w:rPr>
              <w:t>(</w:t>
            </w:r>
            <w:r>
              <w:rPr>
                <w:rStyle w:val="IndexLink"/>
                <w:rtl w:val="true"/>
              </w:rPr>
              <w:t>سلب تابعیت</w:t>
            </w:r>
            <w:r>
              <w:rPr>
                <w:rStyle w:val="IndexLink"/>
                <w:rtl w:val="true"/>
              </w:rPr>
              <w:t>)</w:t>
              <w:tab/>
            </w:r>
            <w:r>
              <w:rPr>
                <w:rStyle w:val="IndexLink"/>
              </w:rPr>
              <w:t>245</w:t>
            </w:r>
          </w:hyperlink>
        </w:p>
        <w:p>
          <w:pPr>
            <w:pStyle w:val="Contents4"/>
            <w:tabs>
              <w:tab w:val="clear" w:pos="8176"/>
              <w:tab w:val="right" w:pos="9026" w:leader="dot"/>
            </w:tabs>
            <w:rPr/>
          </w:pPr>
          <w:hyperlink w:anchor="__RefHeading___Toc5261412_581953129">
            <w:r>
              <w:rPr>
                <w:webHidden/>
                <w:rStyle w:val="IndexLink"/>
                <w:rtl w:val="true"/>
              </w:rPr>
              <w:t>ج</w:t>
            </w:r>
            <w:r>
              <w:rPr>
                <w:rStyle w:val="IndexLink"/>
                <w:rtl w:val="true"/>
              </w:rPr>
              <w:t xml:space="preserve">) </w:t>
            </w:r>
            <w:r>
              <w:rPr>
                <w:rStyle w:val="IndexLink"/>
                <w:rtl w:val="true"/>
              </w:rPr>
              <w:t>از دست دادن تابعیت در اثر ازدواج</w:t>
            </w:r>
            <w:r>
              <w:rPr>
                <w:rStyle w:val="IndexLink"/>
                <w:rtl w:val="true"/>
              </w:rPr>
              <w:tab/>
            </w:r>
            <w:r>
              <w:rPr>
                <w:rStyle w:val="IndexLink"/>
              </w:rPr>
              <w:t>246</w:t>
            </w:r>
          </w:hyperlink>
        </w:p>
        <w:p>
          <w:pPr>
            <w:pStyle w:val="Contents4"/>
            <w:tabs>
              <w:tab w:val="clear" w:pos="8176"/>
              <w:tab w:val="right" w:pos="9026" w:leader="dot"/>
            </w:tabs>
            <w:rPr/>
          </w:pPr>
          <w:hyperlink w:anchor="__RefHeading___Toc5261414_581953129">
            <w:r>
              <w:rPr>
                <w:webHidden/>
                <w:rStyle w:val="IndexLink"/>
                <w:rtl w:val="true"/>
              </w:rPr>
              <w:t>د</w:t>
            </w:r>
            <w:r>
              <w:rPr>
                <w:rStyle w:val="IndexLink"/>
                <w:rtl w:val="true"/>
              </w:rPr>
              <w:t xml:space="preserve">) </w:t>
            </w:r>
            <w:r>
              <w:rPr>
                <w:rStyle w:val="IndexLink"/>
                <w:rtl w:val="true"/>
              </w:rPr>
              <w:t>ترک تابعیت در اثر تقاضای خودِ شخص</w:t>
            </w:r>
            <w:r>
              <w:rPr>
                <w:rStyle w:val="IndexLink"/>
                <w:rtl w:val="true"/>
              </w:rPr>
              <w:tab/>
            </w:r>
            <w:r>
              <w:rPr>
                <w:rStyle w:val="IndexLink"/>
              </w:rPr>
              <w:t>247</w:t>
            </w:r>
          </w:hyperlink>
        </w:p>
        <w:p>
          <w:pPr>
            <w:pStyle w:val="Contents4"/>
            <w:tabs>
              <w:tab w:val="clear" w:pos="8176"/>
              <w:tab w:val="right" w:pos="9026" w:leader="dot"/>
            </w:tabs>
            <w:rPr/>
          </w:pPr>
          <w:hyperlink w:anchor="__RefHeading___Toc5261416_581953129">
            <w:r>
              <w:rPr>
                <w:webHidden/>
                <w:rStyle w:val="IndexLink"/>
                <w:rtl w:val="true"/>
              </w:rPr>
              <w:t>ه</w:t>
            </w:r>
            <w:r>
              <w:rPr>
                <w:rStyle w:val="IndexLink"/>
                <w:rtl w:val="true"/>
              </w:rPr>
              <w:t xml:space="preserve">) </w:t>
            </w:r>
            <w:r>
              <w:rPr>
                <w:rStyle w:val="IndexLink"/>
                <w:rtl w:val="true"/>
              </w:rPr>
              <w:t>ردّ تابعیت ایران</w:t>
            </w:r>
            <w:r>
              <w:rPr>
                <w:rStyle w:val="IndexLink"/>
                <w:rtl w:val="true"/>
              </w:rPr>
              <w:tab/>
            </w:r>
            <w:r>
              <w:rPr>
                <w:rStyle w:val="IndexLink"/>
              </w:rPr>
              <w:t>248</w:t>
            </w:r>
          </w:hyperlink>
        </w:p>
        <w:p>
          <w:pPr>
            <w:pStyle w:val="Contents3"/>
            <w:tabs>
              <w:tab w:val="clear" w:pos="8459"/>
              <w:tab w:val="right" w:pos="9026" w:leader="dot"/>
            </w:tabs>
            <w:rPr/>
          </w:pPr>
          <w:hyperlink w:anchor="__RefHeading___Toc5261418_581953129">
            <w:r>
              <w:rPr>
                <w:webHidden/>
                <w:rStyle w:val="IndexLink"/>
              </w:rPr>
              <w:t>2</w:t>
            </w:r>
            <w:r>
              <w:rPr>
                <w:rStyle w:val="IndexLink"/>
                <w:rtl w:val="true"/>
              </w:rPr>
              <w:t xml:space="preserve">- </w:t>
            </w:r>
            <w:r>
              <w:rPr>
                <w:rStyle w:val="IndexLink"/>
                <w:rtl w:val="true"/>
              </w:rPr>
              <w:t>شرایط ترک تابعیت قانونی ایران</w:t>
            </w:r>
            <w:r>
              <w:rPr>
                <w:rStyle w:val="IndexLink"/>
                <w:rtl w:val="true"/>
              </w:rPr>
              <w:tab/>
            </w:r>
            <w:r>
              <w:rPr>
                <w:rStyle w:val="IndexLink"/>
              </w:rPr>
              <w:t>250</w:t>
            </w:r>
          </w:hyperlink>
        </w:p>
        <w:p>
          <w:pPr>
            <w:pStyle w:val="Contents4"/>
            <w:tabs>
              <w:tab w:val="clear" w:pos="8176"/>
              <w:tab w:val="right" w:pos="9026" w:leader="dot"/>
            </w:tabs>
            <w:rPr/>
          </w:pPr>
          <w:hyperlink w:anchor="__RefHeading___Toc5261420_581953129">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5261422_581953129">
            <w:r>
              <w:rPr>
                <w:webHidden/>
                <w:rStyle w:val="IndexLink"/>
                <w:rtl w:val="true"/>
              </w:rPr>
              <w:t>الف</w:t>
            </w:r>
            <w:r>
              <w:rPr>
                <w:rStyle w:val="IndexLink"/>
                <w:rtl w:val="true"/>
              </w:rPr>
              <w:t xml:space="preserve">) </w:t>
            </w:r>
            <w:r>
              <w:rPr>
                <w:rStyle w:val="IndexLink"/>
                <w:rtl w:val="true"/>
              </w:rPr>
              <w:t>شرایط ماهوی ترک تابعیت ایران</w:t>
            </w:r>
            <w:r>
              <w:rPr>
                <w:rStyle w:val="IndexLink"/>
                <w:rtl w:val="true"/>
              </w:rPr>
              <w:tab/>
            </w:r>
            <w:r>
              <w:rPr>
                <w:rStyle w:val="IndexLink"/>
              </w:rPr>
              <w:t>250</w:t>
            </w:r>
          </w:hyperlink>
        </w:p>
        <w:p>
          <w:pPr>
            <w:pStyle w:val="Contents4"/>
            <w:tabs>
              <w:tab w:val="clear" w:pos="8176"/>
              <w:tab w:val="right" w:pos="9026" w:leader="dot"/>
            </w:tabs>
            <w:rPr/>
          </w:pPr>
          <w:hyperlink w:anchor="__RefHeading___Toc5261424_581953129">
            <w:r>
              <w:rPr>
                <w:webHidden/>
                <w:rStyle w:val="IndexLink"/>
                <w:rtl w:val="true"/>
              </w:rPr>
              <w:t>ب</w:t>
            </w:r>
            <w:r>
              <w:rPr>
                <w:rStyle w:val="IndexLink"/>
                <w:rtl w:val="true"/>
              </w:rPr>
              <w:t xml:space="preserve">) </w:t>
            </w:r>
            <w:r>
              <w:rPr>
                <w:rStyle w:val="IndexLink"/>
                <w:rtl w:val="true"/>
              </w:rPr>
              <w:t>شرایط صوری ترک تابعیت ایران</w:t>
            </w:r>
            <w:r>
              <w:rPr>
                <w:rStyle w:val="IndexLink"/>
                <w:rtl w:val="true"/>
              </w:rPr>
              <w:tab/>
            </w:r>
            <w:r>
              <w:rPr>
                <w:rStyle w:val="IndexLink"/>
              </w:rPr>
              <w:t>254</w:t>
            </w:r>
          </w:hyperlink>
        </w:p>
        <w:p>
          <w:pPr>
            <w:pStyle w:val="Contents3"/>
            <w:tabs>
              <w:tab w:val="clear" w:pos="8459"/>
              <w:tab w:val="right" w:pos="9026" w:leader="dot"/>
            </w:tabs>
            <w:rPr/>
          </w:pPr>
          <w:hyperlink w:anchor="__RefHeading___Toc5261426_581953129">
            <w:r>
              <w:rPr>
                <w:webHidden/>
                <w:rStyle w:val="IndexLink"/>
              </w:rPr>
              <w:t>3</w:t>
            </w:r>
            <w:r>
              <w:rPr>
                <w:rStyle w:val="IndexLink"/>
                <w:rtl w:val="true"/>
              </w:rPr>
              <w:t xml:space="preserve">- </w:t>
            </w:r>
            <w:r>
              <w:rPr>
                <w:rStyle w:val="IndexLink"/>
                <w:rtl w:val="true"/>
              </w:rPr>
              <w:t>ترک تابعیت ایران بدون رعایت قانون</w:t>
            </w:r>
            <w:r>
              <w:rPr>
                <w:rStyle w:val="IndexLink"/>
                <w:rtl w:val="true"/>
              </w:rPr>
              <w:tab/>
            </w:r>
            <w:r>
              <w:rPr>
                <w:rStyle w:val="IndexLink"/>
              </w:rPr>
              <w:t>254</w:t>
            </w:r>
          </w:hyperlink>
        </w:p>
        <w:p>
          <w:pPr>
            <w:pStyle w:val="Contents2"/>
            <w:tabs>
              <w:tab w:val="clear" w:pos="8743"/>
              <w:tab w:val="right" w:pos="9026" w:leader="dot"/>
            </w:tabs>
            <w:rPr/>
          </w:pPr>
          <w:hyperlink w:anchor="__RefHeading___Toc5261428_581953129">
            <w:r>
              <w:rPr>
                <w:webHidden/>
                <w:rStyle w:val="IndexLink"/>
              </w:rPr>
              <w:t>9</w:t>
            </w:r>
            <w:r>
              <w:rPr>
                <w:rStyle w:val="IndexLink"/>
                <w:rtl w:val="true"/>
              </w:rPr>
              <w:t xml:space="preserve">- </w:t>
            </w:r>
            <w:r>
              <w:rPr>
                <w:rStyle w:val="IndexLink"/>
                <w:rtl w:val="true"/>
              </w:rPr>
              <w:t>آثار ترک تابعیت ایران</w:t>
            </w:r>
            <w:r>
              <w:rPr>
                <w:rStyle w:val="IndexLink"/>
                <w:rtl w:val="true"/>
              </w:rPr>
              <w:tab/>
            </w:r>
            <w:r>
              <w:rPr>
                <w:rStyle w:val="IndexLink"/>
              </w:rPr>
              <w:t>272</w:t>
            </w:r>
          </w:hyperlink>
        </w:p>
        <w:p>
          <w:pPr>
            <w:pStyle w:val="Contents3"/>
            <w:tabs>
              <w:tab w:val="clear" w:pos="8459"/>
              <w:tab w:val="right" w:pos="9026" w:leader="dot"/>
            </w:tabs>
            <w:rPr/>
          </w:pPr>
          <w:hyperlink w:anchor="__RefHeading___Toc5261430_581953129">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5261432_581953129">
            <w:r>
              <w:rPr>
                <w:webHidden/>
                <w:rStyle w:val="IndexLink"/>
              </w:rPr>
              <w:t>1</w:t>
            </w:r>
            <w:r>
              <w:rPr>
                <w:rStyle w:val="IndexLink"/>
                <w:rtl w:val="true"/>
              </w:rPr>
              <w:t xml:space="preserve">- </w:t>
            </w:r>
            <w:r>
              <w:rPr>
                <w:rStyle w:val="IndexLink"/>
                <w:rtl w:val="true"/>
              </w:rPr>
              <w:t>اثر ترک تابعیت نسبت به خود شخص</w:t>
            </w:r>
            <w:r>
              <w:rPr>
                <w:rStyle w:val="IndexLink"/>
                <w:rtl w:val="true"/>
              </w:rPr>
              <w:tab/>
            </w:r>
            <w:r>
              <w:rPr>
                <w:rStyle w:val="IndexLink"/>
              </w:rPr>
              <w:t>272</w:t>
            </w:r>
          </w:hyperlink>
        </w:p>
        <w:p>
          <w:pPr>
            <w:pStyle w:val="Contents3"/>
            <w:tabs>
              <w:tab w:val="clear" w:pos="8459"/>
              <w:tab w:val="right" w:pos="9026" w:leader="dot"/>
            </w:tabs>
            <w:rPr/>
          </w:pPr>
          <w:hyperlink w:anchor="__RefHeading___Toc5261434_581953129">
            <w:r>
              <w:rPr>
                <w:webHidden/>
                <w:rStyle w:val="IndexLink"/>
              </w:rPr>
              <w:t>2</w:t>
            </w:r>
            <w:r>
              <w:rPr>
                <w:rStyle w:val="IndexLink"/>
                <w:rtl w:val="true"/>
              </w:rPr>
              <w:t xml:space="preserve">- </w:t>
            </w:r>
            <w:r>
              <w:rPr>
                <w:rStyle w:val="IndexLink"/>
                <w:rtl w:val="true"/>
              </w:rPr>
              <w:t xml:space="preserve">اثر ترک تابعیت ایران، نسبت به خانواده شخص </w:t>
            </w:r>
            <w:r>
              <w:rPr>
                <w:rStyle w:val="IndexLink"/>
                <w:rtl w:val="true"/>
              </w:rPr>
              <w:t>(</w:t>
            </w:r>
            <w:r>
              <w:rPr>
                <w:rStyle w:val="IndexLink"/>
                <w:rtl w:val="true"/>
              </w:rPr>
              <w:t>زن و فرزندان</w:t>
            </w:r>
            <w:r>
              <w:rPr>
                <w:rStyle w:val="IndexLink"/>
                <w:rtl w:val="true"/>
              </w:rPr>
              <w:t>)</w:t>
              <w:tab/>
            </w:r>
            <w:r>
              <w:rPr>
                <w:rStyle w:val="IndexLink"/>
              </w:rPr>
              <w:t>273</w:t>
            </w:r>
          </w:hyperlink>
        </w:p>
        <w:p>
          <w:pPr>
            <w:pStyle w:val="Contents3"/>
            <w:tabs>
              <w:tab w:val="clear" w:pos="8459"/>
              <w:tab w:val="right" w:pos="9026" w:leader="dot"/>
            </w:tabs>
            <w:rPr/>
          </w:pPr>
          <w:hyperlink w:anchor="__RefHeading___Toc5261436_581953129">
            <w:r>
              <w:rPr>
                <w:webHidden/>
                <w:rStyle w:val="IndexLink"/>
              </w:rPr>
              <w:t>3</w:t>
            </w:r>
            <w:r>
              <w:rPr>
                <w:rStyle w:val="IndexLink"/>
                <w:rtl w:val="true"/>
              </w:rPr>
              <w:t xml:space="preserve">- </w:t>
            </w:r>
            <w:r>
              <w:rPr>
                <w:rStyle w:val="IndexLink"/>
                <w:rtl w:val="true"/>
              </w:rPr>
              <w:t>اثر ترک تابعیت زن ایرانی بی شوهر بر روی فرزندانش</w:t>
            </w:r>
            <w:r>
              <w:rPr>
                <w:rStyle w:val="IndexLink"/>
                <w:rtl w:val="true"/>
              </w:rPr>
              <w:tab/>
            </w:r>
            <w:r>
              <w:rPr>
                <w:rStyle w:val="IndexLink"/>
              </w:rPr>
              <w:t>275</w:t>
            </w:r>
          </w:hyperlink>
        </w:p>
        <w:p>
          <w:pPr>
            <w:pStyle w:val="Contents3"/>
            <w:tabs>
              <w:tab w:val="clear" w:pos="8459"/>
              <w:tab w:val="right" w:pos="9026" w:leader="dot"/>
            </w:tabs>
            <w:rPr/>
          </w:pPr>
          <w:hyperlink w:anchor="__RefHeading___Toc5261438_581953129">
            <w:r>
              <w:rPr>
                <w:webHidden/>
                <w:rStyle w:val="IndexLink"/>
              </w:rPr>
              <w:t>4</w:t>
            </w:r>
            <w:r>
              <w:rPr>
                <w:rStyle w:val="IndexLink"/>
                <w:rtl w:val="true"/>
              </w:rPr>
              <w:t xml:space="preserve">- </w:t>
            </w:r>
            <w:r>
              <w:rPr>
                <w:rStyle w:val="IndexLink"/>
                <w:rtl w:val="true"/>
              </w:rPr>
              <w:t>آثار ترک تابعیت غیرقانونی ایران</w:t>
            </w:r>
            <w:r>
              <w:rPr>
                <w:rStyle w:val="IndexLink"/>
                <w:rtl w:val="true"/>
              </w:rPr>
              <w:tab/>
            </w:r>
            <w:r>
              <w:rPr>
                <w:rStyle w:val="IndexLink"/>
              </w:rPr>
              <w:t>276</w:t>
            </w:r>
          </w:hyperlink>
        </w:p>
        <w:p>
          <w:pPr>
            <w:pStyle w:val="Contents4"/>
            <w:tabs>
              <w:tab w:val="clear" w:pos="8176"/>
              <w:tab w:val="right" w:pos="9026" w:leader="dot"/>
            </w:tabs>
            <w:rPr/>
          </w:pPr>
          <w:hyperlink w:anchor="__RefHeading___Toc5261440_581953129">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5261442_581953129">
            <w:r>
              <w:rPr>
                <w:webHidden/>
                <w:rStyle w:val="IndexLink"/>
                <w:rtl w:val="true"/>
              </w:rPr>
              <w:t>الف</w:t>
            </w:r>
            <w:r>
              <w:rPr>
                <w:rStyle w:val="IndexLink"/>
                <w:rtl w:val="true"/>
              </w:rPr>
              <w:t xml:space="preserve">) </w:t>
            </w:r>
            <w:r>
              <w:rPr>
                <w:rStyle w:val="IndexLink"/>
                <w:rtl w:val="true"/>
              </w:rPr>
              <w:t>اعتبار نداشتن تابعیت خارجی آنان</w:t>
            </w:r>
            <w:r>
              <w:rPr>
                <w:rStyle w:val="IndexLink"/>
                <w:rtl w:val="true"/>
              </w:rPr>
              <w:tab/>
            </w:r>
            <w:r>
              <w:rPr>
                <w:rStyle w:val="IndexLink"/>
              </w:rPr>
              <w:t>276</w:t>
            </w:r>
          </w:hyperlink>
        </w:p>
        <w:p>
          <w:pPr>
            <w:pStyle w:val="Contents4"/>
            <w:tabs>
              <w:tab w:val="clear" w:pos="8176"/>
              <w:tab w:val="right" w:pos="9026" w:leader="dot"/>
            </w:tabs>
            <w:rPr/>
          </w:pPr>
          <w:hyperlink w:anchor="__RefHeading___Toc5261444_581953129">
            <w:r>
              <w:rPr>
                <w:webHidden/>
                <w:rStyle w:val="IndexLink"/>
                <w:rtl w:val="true"/>
              </w:rPr>
              <w:t>ب</w:t>
            </w:r>
            <w:r>
              <w:rPr>
                <w:rStyle w:val="IndexLink"/>
                <w:rtl w:val="true"/>
              </w:rPr>
              <w:t xml:space="preserve">) </w:t>
            </w:r>
            <w:r>
              <w:rPr>
                <w:rStyle w:val="IndexLink"/>
                <w:rtl w:val="true"/>
              </w:rPr>
              <w:t>فروش دارایی های غیرمنقول آنان</w:t>
            </w:r>
            <w:r>
              <w:rPr>
                <w:rStyle w:val="IndexLink"/>
                <w:rtl w:val="true"/>
              </w:rPr>
              <w:tab/>
            </w:r>
            <w:r>
              <w:rPr>
                <w:rStyle w:val="IndexLink"/>
              </w:rPr>
              <w:t>277</w:t>
            </w:r>
          </w:hyperlink>
        </w:p>
        <w:p>
          <w:pPr>
            <w:pStyle w:val="Contents4"/>
            <w:tabs>
              <w:tab w:val="clear" w:pos="8176"/>
              <w:tab w:val="right" w:pos="9026" w:leader="dot"/>
            </w:tabs>
            <w:rPr/>
          </w:pPr>
          <w:hyperlink w:anchor="__RefHeading___Toc5261446_581953129">
            <w:r>
              <w:rPr>
                <w:webHidden/>
                <w:rStyle w:val="IndexLink"/>
                <w:rtl w:val="true"/>
              </w:rPr>
              <w:t>ج</w:t>
            </w:r>
            <w:r>
              <w:rPr>
                <w:rStyle w:val="IndexLink"/>
                <w:rtl w:val="true"/>
              </w:rPr>
              <w:t xml:space="preserve">) </w:t>
            </w:r>
            <w:r>
              <w:rPr>
                <w:rStyle w:val="IndexLink"/>
                <w:rtl w:val="true"/>
              </w:rPr>
              <w:t>محرومیت از شغل های دولتی</w:t>
            </w:r>
            <w:r>
              <w:rPr>
                <w:rStyle w:val="IndexLink"/>
                <w:rtl w:val="true"/>
              </w:rPr>
              <w:tab/>
            </w:r>
            <w:r>
              <w:rPr>
                <w:rStyle w:val="IndexLink"/>
              </w:rPr>
              <w:t>277</w:t>
            </w:r>
          </w:hyperlink>
        </w:p>
        <w:p>
          <w:pPr>
            <w:pStyle w:val="Contents3"/>
            <w:tabs>
              <w:tab w:val="clear" w:pos="8459"/>
              <w:tab w:val="right" w:pos="9026" w:leader="dot"/>
            </w:tabs>
            <w:rPr/>
          </w:pPr>
          <w:hyperlink w:anchor="__RefHeading___Toc5261448_581953129">
            <w:r>
              <w:rPr>
                <w:webHidden/>
                <w:rStyle w:val="IndexLink"/>
              </w:rPr>
              <w:t>5</w:t>
            </w:r>
            <w:r>
              <w:rPr>
                <w:rStyle w:val="IndexLink"/>
                <w:rtl w:val="true"/>
              </w:rPr>
              <w:t xml:space="preserve">- </w:t>
            </w:r>
            <w:r>
              <w:rPr>
                <w:rStyle w:val="IndexLink"/>
                <w:rtl w:val="true"/>
              </w:rPr>
              <w:t xml:space="preserve">موارد ترک تابعیت قانونی، بدون رعایت ماده </w:t>
            </w:r>
            <w:r>
              <w:rPr>
                <w:rStyle w:val="IndexLink"/>
              </w:rPr>
              <w:t>989</w:t>
            </w:r>
            <w:r>
              <w:rPr>
                <w:rStyle w:val="IndexLink"/>
                <w:rtl w:val="true"/>
              </w:rPr>
              <w:t xml:space="preserve"> </w:t>
            </w:r>
            <w:r>
              <w:rPr>
                <w:rStyle w:val="IndexLink"/>
                <w:rtl w:val="true"/>
              </w:rPr>
              <w:t>قانون مدنی</w:t>
            </w:r>
            <w:r>
              <w:rPr>
                <w:rStyle w:val="IndexLink"/>
                <w:rtl w:val="true"/>
              </w:rPr>
              <w:tab/>
            </w:r>
            <w:r>
              <w:rPr>
                <w:rStyle w:val="IndexLink"/>
              </w:rPr>
              <w:t>278</w:t>
            </w:r>
          </w:hyperlink>
        </w:p>
        <w:p>
          <w:pPr>
            <w:pStyle w:val="Contents4"/>
            <w:tabs>
              <w:tab w:val="clear" w:pos="8176"/>
              <w:tab w:val="right" w:pos="9026" w:leader="dot"/>
            </w:tabs>
            <w:rPr/>
          </w:pPr>
          <w:hyperlink w:anchor="__RefHeading___Toc5261450_58195312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5261452_581953129">
            <w:r>
              <w:rPr>
                <w:webHidden/>
                <w:rStyle w:val="IndexLink"/>
                <w:rtl w:val="true"/>
              </w:rPr>
              <w:t>الف</w:t>
            </w:r>
            <w:r>
              <w:rPr>
                <w:rStyle w:val="IndexLink"/>
                <w:rtl w:val="true"/>
              </w:rPr>
              <w:t xml:space="preserve">) </w:t>
            </w:r>
            <w:r>
              <w:rPr>
                <w:rStyle w:val="IndexLink"/>
                <w:rtl w:val="true"/>
              </w:rPr>
              <w:t>موارد خروج از تابعیت در ایران در فاصله سنّی هجده تا نوزده سالگی</w:t>
            </w:r>
            <w:r>
              <w:rPr>
                <w:rStyle w:val="IndexLink"/>
                <w:rtl w:val="true"/>
              </w:rPr>
              <w:tab/>
            </w:r>
            <w:r>
              <w:rPr>
                <w:rStyle w:val="IndexLink"/>
              </w:rPr>
              <w:t>278</w:t>
            </w:r>
          </w:hyperlink>
        </w:p>
        <w:p>
          <w:pPr>
            <w:pStyle w:val="Contents4"/>
            <w:tabs>
              <w:tab w:val="clear" w:pos="8176"/>
              <w:tab w:val="right" w:pos="9026" w:leader="dot"/>
            </w:tabs>
            <w:rPr/>
          </w:pPr>
          <w:hyperlink w:anchor="__RefHeading___Toc5261454_581953129">
            <w:r>
              <w:rPr>
                <w:webHidden/>
                <w:rStyle w:val="IndexLink"/>
                <w:rtl w:val="true"/>
              </w:rPr>
              <w:t>ب</w:t>
            </w:r>
            <w:r>
              <w:rPr>
                <w:rStyle w:val="IndexLink"/>
                <w:rtl w:val="true"/>
              </w:rPr>
              <w:t xml:space="preserve">) </w:t>
            </w:r>
            <w:r>
              <w:rPr>
                <w:rStyle w:val="IndexLink"/>
                <w:rtl w:val="true"/>
              </w:rPr>
              <w:t>موارد خروج از تابعیت ایران در پیوند با ازدواج یا انحلال ازدواج</w:t>
            </w:r>
            <w:r>
              <w:rPr>
                <w:rStyle w:val="IndexLink"/>
                <w:rtl w:val="true"/>
              </w:rPr>
              <w:tab/>
            </w:r>
            <w:r>
              <w:rPr>
                <w:rStyle w:val="IndexLink"/>
              </w:rPr>
              <w:t>279</w:t>
            </w:r>
          </w:hyperlink>
        </w:p>
        <w:p>
          <w:pPr>
            <w:pStyle w:val="Contents3"/>
            <w:tabs>
              <w:tab w:val="clear" w:pos="8459"/>
              <w:tab w:val="right" w:pos="9026" w:leader="dot"/>
            </w:tabs>
            <w:rPr/>
          </w:pPr>
          <w:hyperlink w:anchor="__RefHeading___Toc5261456_581953129">
            <w:r>
              <w:rPr>
                <w:webHidden/>
                <w:rStyle w:val="IndexLink"/>
              </w:rPr>
              <w:t>6</w:t>
            </w:r>
            <w:r>
              <w:rPr>
                <w:rStyle w:val="IndexLink"/>
                <w:rtl w:val="true"/>
              </w:rPr>
              <w:t xml:space="preserve">- </w:t>
            </w:r>
            <w:r>
              <w:rPr>
                <w:rStyle w:val="IndexLink"/>
                <w:rtl w:val="true"/>
              </w:rPr>
              <w:t>بازگشت به تابعیت ایران</w:t>
            </w:r>
            <w:r>
              <w:rPr>
                <w:rStyle w:val="IndexLink"/>
                <w:rtl w:val="true"/>
              </w:rPr>
              <w:tab/>
            </w:r>
            <w:r>
              <w:rPr>
                <w:rStyle w:val="IndexLink"/>
              </w:rPr>
              <w:t>279</w:t>
            </w:r>
          </w:hyperlink>
        </w:p>
        <w:p>
          <w:pPr>
            <w:pStyle w:val="Contents2"/>
            <w:tabs>
              <w:tab w:val="clear" w:pos="8743"/>
              <w:tab w:val="right" w:pos="9026" w:leader="dot"/>
            </w:tabs>
            <w:rPr/>
          </w:pPr>
          <w:hyperlink w:anchor="__RefHeading___Toc5261458_581953129">
            <w:r>
              <w:rPr>
                <w:webHidden/>
                <w:rStyle w:val="IndexLink"/>
              </w:rPr>
              <w:t>10</w:t>
            </w:r>
            <w:r>
              <w:rPr>
                <w:rStyle w:val="IndexLink"/>
                <w:rtl w:val="true"/>
              </w:rPr>
              <w:t xml:space="preserve"> - </w:t>
            </w:r>
            <w:r>
              <w:rPr>
                <w:rStyle w:val="IndexLink"/>
                <w:rtl w:val="true"/>
              </w:rPr>
              <w:t>تابعیت اشخاص حقوقی</w:t>
            </w:r>
            <w:r>
              <w:rPr>
                <w:rStyle w:val="IndexLink"/>
                <w:rtl w:val="true"/>
              </w:rPr>
              <w:tab/>
            </w:r>
            <w:r>
              <w:rPr>
                <w:rStyle w:val="IndexLink"/>
              </w:rPr>
              <w:t>293</w:t>
            </w:r>
          </w:hyperlink>
        </w:p>
        <w:p>
          <w:pPr>
            <w:pStyle w:val="Contents3"/>
            <w:tabs>
              <w:tab w:val="clear" w:pos="8459"/>
              <w:tab w:val="right" w:pos="9026" w:leader="dot"/>
            </w:tabs>
            <w:rPr/>
          </w:pPr>
          <w:hyperlink w:anchor="__RefHeading___Toc5261460_581953129">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5261462_581953129">
            <w:r>
              <w:rPr>
                <w:webHidden/>
                <w:rStyle w:val="IndexLink"/>
              </w:rPr>
              <w:t>1</w:t>
            </w:r>
            <w:r>
              <w:rPr>
                <w:rStyle w:val="IndexLink"/>
                <w:rtl w:val="true"/>
              </w:rPr>
              <w:t xml:space="preserve">- </w:t>
            </w:r>
            <w:r>
              <w:rPr>
                <w:rStyle w:val="IndexLink"/>
                <w:rtl w:val="true"/>
              </w:rPr>
              <w:t>تعریف اشخاص حقوقی و انواع آن</w:t>
            </w:r>
            <w:r>
              <w:rPr>
                <w:rStyle w:val="IndexLink"/>
                <w:rtl w:val="true"/>
              </w:rPr>
              <w:tab/>
            </w:r>
            <w:r>
              <w:rPr>
                <w:rStyle w:val="IndexLink"/>
              </w:rPr>
              <w:t>294</w:t>
            </w:r>
          </w:hyperlink>
        </w:p>
        <w:p>
          <w:pPr>
            <w:pStyle w:val="Contents4"/>
            <w:tabs>
              <w:tab w:val="clear" w:pos="8176"/>
              <w:tab w:val="right" w:pos="9026" w:leader="dot"/>
            </w:tabs>
            <w:rPr/>
          </w:pPr>
          <w:hyperlink w:anchor="__RefHeading___Toc5261464_581953129">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5261466_581953129">
            <w:r>
              <w:rPr>
                <w:webHidden/>
                <w:rStyle w:val="IndexLink"/>
                <w:rtl w:val="true"/>
              </w:rPr>
              <w:t>الف</w:t>
            </w:r>
            <w:r>
              <w:rPr>
                <w:rStyle w:val="IndexLink"/>
                <w:rtl w:val="true"/>
              </w:rPr>
              <w:t xml:space="preserve">) </w:t>
            </w:r>
            <w:r>
              <w:rPr>
                <w:rStyle w:val="IndexLink"/>
                <w:rtl w:val="true"/>
              </w:rPr>
              <w:t>اشخاص حقوقی حقوق عمومی</w:t>
            </w:r>
            <w:r>
              <w:rPr>
                <w:rStyle w:val="IndexLink"/>
                <w:rtl w:val="true"/>
              </w:rPr>
              <w:tab/>
            </w:r>
            <w:r>
              <w:rPr>
                <w:rStyle w:val="IndexLink"/>
              </w:rPr>
              <w:t>295</w:t>
            </w:r>
          </w:hyperlink>
        </w:p>
        <w:p>
          <w:pPr>
            <w:pStyle w:val="Contents4"/>
            <w:tabs>
              <w:tab w:val="clear" w:pos="8176"/>
              <w:tab w:val="right" w:pos="9026" w:leader="dot"/>
            </w:tabs>
            <w:rPr/>
          </w:pPr>
          <w:hyperlink w:anchor="__RefHeading___Toc5261468_581953129">
            <w:r>
              <w:rPr>
                <w:webHidden/>
                <w:rStyle w:val="IndexLink"/>
                <w:rtl w:val="true"/>
              </w:rPr>
              <w:t>ب</w:t>
            </w:r>
            <w:r>
              <w:rPr>
                <w:rStyle w:val="IndexLink"/>
                <w:rtl w:val="true"/>
              </w:rPr>
              <w:t xml:space="preserve">) </w:t>
            </w:r>
            <w:r>
              <w:rPr>
                <w:rStyle w:val="IndexLink"/>
                <w:rtl w:val="true"/>
              </w:rPr>
              <w:t>اشخاص حقوقی حقوق خصوصی</w:t>
            </w:r>
            <w:r>
              <w:rPr>
                <w:rStyle w:val="IndexLink"/>
                <w:rtl w:val="true"/>
              </w:rPr>
              <w:tab/>
            </w:r>
            <w:r>
              <w:rPr>
                <w:rStyle w:val="IndexLink"/>
              </w:rPr>
              <w:t>296</w:t>
            </w:r>
          </w:hyperlink>
        </w:p>
        <w:p>
          <w:pPr>
            <w:pStyle w:val="Contents3"/>
            <w:tabs>
              <w:tab w:val="clear" w:pos="8459"/>
              <w:tab w:val="right" w:pos="9026" w:leader="dot"/>
            </w:tabs>
            <w:rPr/>
          </w:pPr>
          <w:hyperlink w:anchor="__RefHeading___Toc5261470_581953129">
            <w:r>
              <w:rPr>
                <w:webHidden/>
                <w:rStyle w:val="IndexLink"/>
              </w:rPr>
              <w:t>2</w:t>
            </w:r>
            <w:r>
              <w:rPr>
                <w:rStyle w:val="IndexLink"/>
                <w:rtl w:val="true"/>
              </w:rPr>
              <w:t xml:space="preserve">- </w:t>
            </w:r>
            <w:r>
              <w:rPr>
                <w:rStyle w:val="IndexLink"/>
                <w:rtl w:val="true"/>
              </w:rPr>
              <w:t>اهمیت تشخیص تابعیت اشخاص حقوقی</w:t>
            </w:r>
            <w:r>
              <w:rPr>
                <w:rStyle w:val="IndexLink"/>
                <w:rtl w:val="true"/>
              </w:rPr>
              <w:tab/>
            </w:r>
            <w:r>
              <w:rPr>
                <w:rStyle w:val="IndexLink"/>
              </w:rPr>
              <w:t>298</w:t>
            </w:r>
          </w:hyperlink>
        </w:p>
        <w:p>
          <w:pPr>
            <w:pStyle w:val="Contents3"/>
            <w:tabs>
              <w:tab w:val="clear" w:pos="8459"/>
              <w:tab w:val="right" w:pos="9026" w:leader="dot"/>
            </w:tabs>
            <w:rPr/>
          </w:pPr>
          <w:hyperlink w:anchor="__RefHeading___Toc5261472_581953129">
            <w:r>
              <w:rPr>
                <w:webHidden/>
                <w:rStyle w:val="IndexLink"/>
              </w:rPr>
              <w:t>3</w:t>
            </w:r>
            <w:r>
              <w:rPr>
                <w:rStyle w:val="IndexLink"/>
                <w:rtl w:val="true"/>
              </w:rPr>
              <w:t xml:space="preserve">- </w:t>
            </w:r>
            <w:r>
              <w:rPr>
                <w:rStyle w:val="IndexLink"/>
                <w:rtl w:val="true"/>
              </w:rPr>
              <w:t>دیدگاه ها درباره شخص حقوقی</w:t>
            </w:r>
            <w:r>
              <w:rPr>
                <w:rStyle w:val="IndexLink"/>
                <w:rtl w:val="true"/>
              </w:rPr>
              <w:tab/>
            </w:r>
            <w:r>
              <w:rPr>
                <w:rStyle w:val="IndexLink"/>
              </w:rPr>
              <w:t>300</w:t>
            </w:r>
          </w:hyperlink>
        </w:p>
        <w:p>
          <w:pPr>
            <w:pStyle w:val="Contents4"/>
            <w:tabs>
              <w:tab w:val="clear" w:pos="8176"/>
              <w:tab w:val="right" w:pos="9026" w:leader="dot"/>
            </w:tabs>
            <w:rPr/>
          </w:pPr>
          <w:hyperlink w:anchor="__RefHeading___Toc5261474_581953129">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5261476_581953129">
            <w:r>
              <w:rPr>
                <w:webHidden/>
                <w:rStyle w:val="IndexLink"/>
                <w:rtl w:val="true"/>
              </w:rPr>
              <w:t>الف</w:t>
            </w:r>
            <w:r>
              <w:rPr>
                <w:rStyle w:val="IndexLink"/>
                <w:rtl w:val="true"/>
              </w:rPr>
              <w:t xml:space="preserve">) </w:t>
            </w:r>
            <w:r>
              <w:rPr>
                <w:rStyle w:val="IndexLink"/>
                <w:rtl w:val="true"/>
              </w:rPr>
              <w:t>نظریه انکار وجود شخص حقوقی</w:t>
            </w:r>
            <w:r>
              <w:rPr>
                <w:rStyle w:val="IndexLink"/>
                <w:rtl w:val="true"/>
              </w:rPr>
              <w:tab/>
            </w:r>
            <w:r>
              <w:rPr>
                <w:rStyle w:val="IndexLink"/>
              </w:rPr>
              <w:t>300</w:t>
            </w:r>
          </w:hyperlink>
        </w:p>
        <w:p>
          <w:pPr>
            <w:pStyle w:val="Contents4"/>
            <w:tabs>
              <w:tab w:val="clear" w:pos="8176"/>
              <w:tab w:val="right" w:pos="9026" w:leader="dot"/>
            </w:tabs>
            <w:rPr/>
          </w:pPr>
          <w:hyperlink w:anchor="__RefHeading___Toc5261478_581953129">
            <w:r>
              <w:rPr>
                <w:webHidden/>
                <w:rStyle w:val="IndexLink"/>
                <w:rtl w:val="true"/>
              </w:rPr>
              <w:t>ب</w:t>
            </w:r>
            <w:r>
              <w:rPr>
                <w:rStyle w:val="IndexLink"/>
                <w:rtl w:val="true"/>
              </w:rPr>
              <w:t xml:space="preserve">) </w:t>
            </w:r>
            <w:r>
              <w:rPr>
                <w:rStyle w:val="IndexLink"/>
                <w:rtl w:val="true"/>
              </w:rPr>
              <w:t>نظریه وجود واقعی شخص حقوقی</w:t>
            </w:r>
            <w:r>
              <w:rPr>
                <w:rStyle w:val="IndexLink"/>
                <w:rtl w:val="true"/>
              </w:rPr>
              <w:tab/>
            </w:r>
            <w:r>
              <w:rPr>
                <w:rStyle w:val="IndexLink"/>
              </w:rPr>
              <w:t>301</w:t>
            </w:r>
          </w:hyperlink>
        </w:p>
        <w:p>
          <w:pPr>
            <w:pStyle w:val="Contents4"/>
            <w:tabs>
              <w:tab w:val="clear" w:pos="8176"/>
              <w:tab w:val="right" w:pos="9026" w:leader="dot"/>
            </w:tabs>
            <w:rPr/>
          </w:pPr>
          <w:hyperlink w:anchor="__RefHeading___Toc5261480_581953129">
            <w:r>
              <w:rPr>
                <w:webHidden/>
                <w:rStyle w:val="IndexLink"/>
                <w:rtl w:val="true"/>
              </w:rPr>
              <w:t>ج</w:t>
            </w:r>
            <w:r>
              <w:rPr>
                <w:rStyle w:val="IndexLink"/>
                <w:rtl w:val="true"/>
              </w:rPr>
              <w:t xml:space="preserve">) </w:t>
            </w:r>
            <w:r>
              <w:rPr>
                <w:rStyle w:val="IndexLink"/>
                <w:rtl w:val="true"/>
              </w:rPr>
              <w:t>نظریه وجود فرضی شخص حقوقی</w:t>
            </w:r>
            <w:r>
              <w:rPr>
                <w:rStyle w:val="IndexLink"/>
                <w:rtl w:val="true"/>
              </w:rPr>
              <w:tab/>
            </w:r>
            <w:r>
              <w:rPr>
                <w:rStyle w:val="IndexLink"/>
              </w:rPr>
              <w:t>301</w:t>
            </w:r>
          </w:hyperlink>
        </w:p>
        <w:p>
          <w:pPr>
            <w:pStyle w:val="Contents3"/>
            <w:tabs>
              <w:tab w:val="clear" w:pos="8459"/>
              <w:tab w:val="right" w:pos="9026" w:leader="dot"/>
            </w:tabs>
            <w:rPr/>
          </w:pPr>
          <w:hyperlink w:anchor="__RefHeading___Toc5261482_581953129">
            <w:r>
              <w:rPr>
                <w:webHidden/>
                <w:rStyle w:val="IndexLink"/>
              </w:rPr>
              <w:t>4</w:t>
            </w:r>
            <w:r>
              <w:rPr>
                <w:rStyle w:val="IndexLink"/>
                <w:rtl w:val="true"/>
              </w:rPr>
              <w:t xml:space="preserve">- </w:t>
            </w:r>
            <w:r>
              <w:rPr>
                <w:rStyle w:val="IndexLink"/>
                <w:rtl w:val="true"/>
              </w:rPr>
              <w:t xml:space="preserve">ضابطه تعیین تابعیت اشخاص حقوقی </w:t>
            </w:r>
            <w:r>
              <w:rPr>
                <w:rStyle w:val="IndexLink"/>
                <w:rtl w:val="true"/>
              </w:rPr>
              <w:t>(</w:t>
            </w:r>
            <w:r>
              <w:rPr>
                <w:rStyle w:val="IndexLink"/>
                <w:rtl w:val="true"/>
              </w:rPr>
              <w:t>راه حل های پیشنهادی</w:t>
            </w:r>
            <w:r>
              <w:rPr>
                <w:rStyle w:val="IndexLink"/>
                <w:rtl w:val="true"/>
              </w:rPr>
              <w:t>)</w:t>
              <w:tab/>
            </w:r>
            <w:r>
              <w:rPr>
                <w:rStyle w:val="IndexLink"/>
              </w:rPr>
              <w:t>302</w:t>
            </w:r>
          </w:hyperlink>
        </w:p>
        <w:p>
          <w:pPr>
            <w:pStyle w:val="Contents4"/>
            <w:tabs>
              <w:tab w:val="clear" w:pos="8176"/>
              <w:tab w:val="right" w:pos="9026" w:leader="dot"/>
            </w:tabs>
            <w:rPr/>
          </w:pPr>
          <w:hyperlink w:anchor="__RefHeading___Toc5261484_581953129">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5261486_581953129">
            <w:r>
              <w:rPr>
                <w:webHidden/>
                <w:rStyle w:val="IndexLink"/>
                <w:rtl w:val="true"/>
              </w:rPr>
              <w:t>الف</w:t>
            </w:r>
            <w:r>
              <w:rPr>
                <w:rStyle w:val="IndexLink"/>
                <w:rtl w:val="true"/>
              </w:rPr>
              <w:t xml:space="preserve">) </w:t>
            </w:r>
            <w:r>
              <w:rPr>
                <w:rStyle w:val="IndexLink"/>
                <w:rtl w:val="true"/>
              </w:rPr>
              <w:t>تعیین تابعیت شرکت، مطابق با تابعیت شریکان یا سهام داران</w:t>
            </w:r>
            <w:r>
              <w:rPr>
                <w:rStyle w:val="IndexLink"/>
                <w:rtl w:val="true"/>
              </w:rPr>
              <w:tab/>
            </w:r>
            <w:r>
              <w:rPr>
                <w:rStyle w:val="IndexLink"/>
              </w:rPr>
              <w:t>302</w:t>
            </w:r>
          </w:hyperlink>
        </w:p>
        <w:p>
          <w:pPr>
            <w:pStyle w:val="Contents4"/>
            <w:tabs>
              <w:tab w:val="clear" w:pos="8176"/>
              <w:tab w:val="right" w:pos="9026" w:leader="dot"/>
            </w:tabs>
            <w:rPr/>
          </w:pPr>
          <w:hyperlink w:anchor="__RefHeading___Toc5261488_581953129">
            <w:r>
              <w:rPr>
                <w:webHidden/>
                <w:rStyle w:val="IndexLink"/>
                <w:rtl w:val="true"/>
              </w:rPr>
              <w:t>ب</w:t>
            </w:r>
            <w:r>
              <w:rPr>
                <w:rStyle w:val="IndexLink"/>
                <w:rtl w:val="true"/>
              </w:rPr>
              <w:t xml:space="preserve">) </w:t>
            </w:r>
            <w:r>
              <w:rPr>
                <w:rStyle w:val="IndexLink"/>
                <w:rtl w:val="true"/>
              </w:rPr>
              <w:t>تعیین تابعیت شرکت بر اساس اراده مؤسّسان شرکت</w:t>
            </w:r>
            <w:r>
              <w:rPr>
                <w:rStyle w:val="IndexLink"/>
                <w:rtl w:val="true"/>
              </w:rPr>
              <w:tab/>
            </w:r>
            <w:r>
              <w:rPr>
                <w:rStyle w:val="IndexLink"/>
              </w:rPr>
              <w:t>303</w:t>
            </w:r>
          </w:hyperlink>
        </w:p>
        <w:p>
          <w:pPr>
            <w:pStyle w:val="Contents4"/>
            <w:tabs>
              <w:tab w:val="clear" w:pos="8176"/>
              <w:tab w:val="right" w:pos="9026" w:leader="dot"/>
            </w:tabs>
            <w:rPr/>
          </w:pPr>
          <w:hyperlink w:anchor="__RefHeading___Toc5261490_581953129">
            <w:r>
              <w:rPr>
                <w:webHidden/>
                <w:rStyle w:val="IndexLink"/>
                <w:rtl w:val="true"/>
              </w:rPr>
              <w:t>ج</w:t>
            </w:r>
            <w:r>
              <w:rPr>
                <w:rStyle w:val="IndexLink"/>
                <w:rtl w:val="true"/>
              </w:rPr>
              <w:t xml:space="preserve">) </w:t>
            </w:r>
            <w:r>
              <w:rPr>
                <w:rStyle w:val="IndexLink"/>
                <w:rtl w:val="true"/>
              </w:rPr>
              <w:t>تعیین تابعیت شرکت بر اساس محل تعهد پرداخت بهای سهام</w:t>
            </w:r>
            <w:r>
              <w:rPr>
                <w:rStyle w:val="IndexLink"/>
                <w:rtl w:val="true"/>
              </w:rPr>
              <w:tab/>
            </w:r>
            <w:r>
              <w:rPr>
                <w:rStyle w:val="IndexLink"/>
              </w:rPr>
              <w:t>304</w:t>
            </w:r>
          </w:hyperlink>
        </w:p>
        <w:p>
          <w:pPr>
            <w:pStyle w:val="Contents4"/>
            <w:tabs>
              <w:tab w:val="clear" w:pos="8176"/>
              <w:tab w:val="right" w:pos="9026" w:leader="dot"/>
            </w:tabs>
            <w:rPr/>
          </w:pPr>
          <w:hyperlink w:anchor="__RefHeading___Toc5261492_581953129">
            <w:r>
              <w:rPr>
                <w:webHidden/>
                <w:rStyle w:val="IndexLink"/>
                <w:rtl w:val="true"/>
              </w:rPr>
              <w:t>د</w:t>
            </w:r>
            <w:r>
              <w:rPr>
                <w:rStyle w:val="IndexLink"/>
                <w:rtl w:val="true"/>
              </w:rPr>
              <w:t xml:space="preserve">) </w:t>
            </w:r>
            <w:r>
              <w:rPr>
                <w:rStyle w:val="IndexLink"/>
                <w:rtl w:val="true"/>
              </w:rPr>
              <w:t>تعیین تابعیت شرکت بر اساس محل تأسیس و ثبت شرکت</w:t>
            </w:r>
            <w:r>
              <w:rPr>
                <w:rStyle w:val="IndexLink"/>
                <w:rtl w:val="true"/>
              </w:rPr>
              <w:tab/>
            </w:r>
            <w:r>
              <w:rPr>
                <w:rStyle w:val="IndexLink"/>
              </w:rPr>
              <w:t>305</w:t>
            </w:r>
          </w:hyperlink>
        </w:p>
        <w:p>
          <w:pPr>
            <w:pStyle w:val="Contents4"/>
            <w:tabs>
              <w:tab w:val="clear" w:pos="8176"/>
              <w:tab w:val="right" w:pos="9026" w:leader="dot"/>
            </w:tabs>
            <w:rPr/>
          </w:pPr>
          <w:hyperlink w:anchor="__RefHeading___Toc5261494_581953129">
            <w:r>
              <w:rPr>
                <w:webHidden/>
                <w:rStyle w:val="IndexLink"/>
                <w:rtl w:val="true"/>
              </w:rPr>
              <w:t>ه</w:t>
            </w:r>
            <w:r>
              <w:rPr>
                <w:rStyle w:val="IndexLink"/>
                <w:rtl w:val="true"/>
              </w:rPr>
              <w:t xml:space="preserve">) </w:t>
            </w:r>
            <w:r>
              <w:rPr>
                <w:rStyle w:val="IndexLink"/>
                <w:rtl w:val="true"/>
              </w:rPr>
              <w:t>تعیین تابعیت شرکت بر اساس مرکز فعالیت</w:t>
            </w:r>
            <w:r>
              <w:rPr>
                <w:rStyle w:val="IndexLink"/>
                <w:rtl w:val="true"/>
              </w:rPr>
              <w:tab/>
            </w:r>
            <w:r>
              <w:rPr>
                <w:rStyle w:val="IndexLink"/>
              </w:rPr>
              <w:t>306</w:t>
            </w:r>
          </w:hyperlink>
        </w:p>
        <w:p>
          <w:pPr>
            <w:pStyle w:val="Contents4"/>
            <w:tabs>
              <w:tab w:val="clear" w:pos="8176"/>
              <w:tab w:val="right" w:pos="9026" w:leader="dot"/>
            </w:tabs>
            <w:rPr/>
          </w:pPr>
          <w:hyperlink w:anchor="__RefHeading___Toc5261496_581953129">
            <w:r>
              <w:rPr>
                <w:webHidden/>
                <w:rStyle w:val="IndexLink"/>
                <w:rtl w:val="true"/>
              </w:rPr>
              <w:t>و</w:t>
            </w:r>
            <w:r>
              <w:rPr>
                <w:rStyle w:val="IndexLink"/>
                <w:rtl w:val="true"/>
              </w:rPr>
              <w:t xml:space="preserve">) </w:t>
            </w:r>
            <w:r>
              <w:rPr>
                <w:rStyle w:val="IndexLink"/>
                <w:rtl w:val="true"/>
              </w:rPr>
              <w:t>تعیین تابعیت شرکت بر اساس مرکز اداری یا مرکز اصلی</w:t>
            </w:r>
            <w:r>
              <w:rPr>
                <w:rStyle w:val="IndexLink"/>
                <w:rtl w:val="true"/>
              </w:rPr>
              <w:tab/>
            </w:r>
            <w:r>
              <w:rPr>
                <w:rStyle w:val="IndexLink"/>
              </w:rPr>
              <w:t>306</w:t>
            </w:r>
          </w:hyperlink>
        </w:p>
        <w:p>
          <w:pPr>
            <w:pStyle w:val="Contents3"/>
            <w:tabs>
              <w:tab w:val="clear" w:pos="8459"/>
              <w:tab w:val="right" w:pos="9026" w:leader="dot"/>
            </w:tabs>
            <w:rPr/>
          </w:pPr>
          <w:hyperlink w:anchor="__RefHeading___Toc5261498_581953129">
            <w:r>
              <w:rPr>
                <w:webHidden/>
                <w:rStyle w:val="IndexLink"/>
              </w:rPr>
              <w:t>5</w:t>
            </w:r>
            <w:r>
              <w:rPr>
                <w:rStyle w:val="IndexLink"/>
                <w:rtl w:val="true"/>
              </w:rPr>
              <w:t xml:space="preserve">- </w:t>
            </w:r>
            <w:r>
              <w:rPr>
                <w:rStyle w:val="IndexLink"/>
                <w:rtl w:val="true"/>
              </w:rPr>
              <w:t>ضابطه تعیین تابعیت اشخاص حقوقی در قوانین ایران</w:t>
            </w:r>
            <w:r>
              <w:rPr>
                <w:rStyle w:val="IndexLink"/>
                <w:rtl w:val="true"/>
              </w:rPr>
              <w:tab/>
            </w:r>
            <w:r>
              <w:rPr>
                <w:rStyle w:val="IndexLink"/>
              </w:rPr>
              <w:t>307</w:t>
            </w:r>
          </w:hyperlink>
        </w:p>
        <w:p>
          <w:pPr>
            <w:pStyle w:val="Contents3"/>
            <w:tabs>
              <w:tab w:val="clear" w:pos="8459"/>
              <w:tab w:val="right" w:pos="9026" w:leader="dot"/>
            </w:tabs>
            <w:rPr/>
          </w:pPr>
          <w:hyperlink w:anchor="__RefHeading___Toc5261500_581953129">
            <w:r>
              <w:rPr>
                <w:webHidden/>
                <w:rStyle w:val="IndexLink"/>
              </w:rPr>
              <w:t>6</w:t>
            </w:r>
            <w:r>
              <w:rPr>
                <w:rStyle w:val="IndexLink"/>
                <w:rtl w:val="true"/>
              </w:rPr>
              <w:t xml:space="preserve">- </w:t>
            </w:r>
            <w:r>
              <w:rPr>
                <w:rStyle w:val="IndexLink"/>
                <w:rtl w:val="true"/>
              </w:rPr>
              <w:t>استثناهایی در تعیین تابعیت اشخاص حقوقی در ایران</w:t>
            </w:r>
            <w:r>
              <w:rPr>
                <w:rStyle w:val="IndexLink"/>
                <w:rtl w:val="true"/>
              </w:rPr>
              <w:tab/>
            </w:r>
            <w:r>
              <w:rPr>
                <w:rStyle w:val="IndexLink"/>
              </w:rPr>
              <w:t>310</w:t>
            </w:r>
          </w:hyperlink>
        </w:p>
        <w:p>
          <w:pPr>
            <w:pStyle w:val="Contents4"/>
            <w:tabs>
              <w:tab w:val="clear" w:pos="8176"/>
              <w:tab w:val="right" w:pos="9026" w:leader="dot"/>
            </w:tabs>
            <w:rPr/>
          </w:pPr>
          <w:hyperlink w:anchor="__RefHeading___Toc5261502_581953129">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5261504_581953129">
            <w:r>
              <w:rPr>
                <w:webHidden/>
                <w:rStyle w:val="IndexLink"/>
                <w:rtl w:val="true"/>
              </w:rPr>
              <w:t>الف</w:t>
            </w:r>
            <w:r>
              <w:rPr>
                <w:rStyle w:val="IndexLink"/>
                <w:rtl w:val="true"/>
              </w:rPr>
              <w:t xml:space="preserve">) </w:t>
            </w:r>
            <w:r>
              <w:rPr>
                <w:rStyle w:val="IndexLink"/>
                <w:rtl w:val="true"/>
              </w:rPr>
              <w:t>تابعیت سهام داران به عنوان معیار تعیین تابعیت بانک</w:t>
            </w:r>
            <w:r>
              <w:rPr>
                <w:rStyle w:val="IndexLink"/>
                <w:rtl w:val="true"/>
              </w:rPr>
              <w:tab/>
            </w:r>
            <w:r>
              <w:rPr>
                <w:rStyle w:val="IndexLink"/>
              </w:rPr>
              <w:t>311</w:t>
            </w:r>
          </w:hyperlink>
        </w:p>
        <w:p>
          <w:pPr>
            <w:pStyle w:val="Contents4"/>
            <w:tabs>
              <w:tab w:val="clear" w:pos="8176"/>
              <w:tab w:val="right" w:pos="9026" w:leader="dot"/>
            </w:tabs>
            <w:rPr/>
          </w:pPr>
          <w:hyperlink w:anchor="__RefHeading___Toc5261506_581953129">
            <w:r>
              <w:rPr>
                <w:webHidden/>
                <w:rStyle w:val="IndexLink"/>
                <w:rtl w:val="true"/>
              </w:rPr>
              <w:t>ب</w:t>
            </w:r>
            <w:r>
              <w:rPr>
                <w:rStyle w:val="IndexLink"/>
                <w:rtl w:val="true"/>
              </w:rPr>
              <w:t xml:space="preserve">) </w:t>
            </w:r>
            <w:r>
              <w:rPr>
                <w:rStyle w:val="IndexLink"/>
                <w:rtl w:val="true"/>
              </w:rPr>
              <w:t>تابعیت سهام داران به عنوان معیار تعیین تابعیت شرکت های هواپیمایی</w:t>
            </w:r>
            <w:r>
              <w:rPr>
                <w:rStyle w:val="IndexLink"/>
                <w:rtl w:val="true"/>
              </w:rPr>
              <w:tab/>
            </w:r>
            <w:r>
              <w:rPr>
                <w:rStyle w:val="IndexLink"/>
              </w:rPr>
              <w:t>311</w:t>
            </w:r>
          </w:hyperlink>
        </w:p>
        <w:p>
          <w:pPr>
            <w:pStyle w:val="Contents4"/>
            <w:tabs>
              <w:tab w:val="clear" w:pos="8176"/>
              <w:tab w:val="right" w:pos="9026" w:leader="dot"/>
            </w:tabs>
            <w:rPr/>
          </w:pPr>
          <w:hyperlink w:anchor="__RefHeading___Toc5261508_581953129">
            <w:r>
              <w:rPr>
                <w:webHidden/>
                <w:rStyle w:val="IndexLink"/>
                <w:rtl w:val="true"/>
              </w:rPr>
              <w:t>ج</w:t>
            </w:r>
            <w:r>
              <w:rPr>
                <w:rStyle w:val="IndexLink"/>
                <w:rtl w:val="true"/>
              </w:rPr>
              <w:t xml:space="preserve">) </w:t>
            </w:r>
            <w:r>
              <w:rPr>
                <w:rStyle w:val="IndexLink"/>
                <w:rtl w:val="true"/>
              </w:rPr>
              <w:t>معیار پذیرفته شده در بیانیه دولت جمهوری الجزایر درباره حل وفصل دعاوی میان دولت ایران و آمریکا</w:t>
            </w:r>
            <w:r>
              <w:rPr>
                <w:rStyle w:val="IndexLink"/>
                <w:rtl w:val="true"/>
              </w:rPr>
              <w:tab/>
            </w:r>
            <w:r>
              <w:rPr>
                <w:rStyle w:val="IndexLink"/>
              </w:rPr>
              <w:t>311</w:t>
            </w:r>
          </w:hyperlink>
        </w:p>
        <w:p>
          <w:pPr>
            <w:pStyle w:val="Contents3"/>
            <w:tabs>
              <w:tab w:val="clear" w:pos="8459"/>
              <w:tab w:val="right" w:pos="9026" w:leader="dot"/>
            </w:tabs>
            <w:rPr/>
          </w:pPr>
          <w:hyperlink w:anchor="__RefHeading___Toc5261510_581953129">
            <w:r>
              <w:rPr>
                <w:webHidden/>
                <w:rStyle w:val="IndexLink"/>
              </w:rPr>
              <w:t>7</w:t>
            </w:r>
            <w:r>
              <w:rPr>
                <w:rStyle w:val="IndexLink"/>
                <w:rtl w:val="true"/>
              </w:rPr>
              <w:t xml:space="preserve">- </w:t>
            </w:r>
            <w:r>
              <w:rPr>
                <w:rStyle w:val="IndexLink"/>
                <w:rtl w:val="true"/>
              </w:rPr>
              <w:t>تابعیت مضاعف اشخاص حقوقی</w:t>
            </w:r>
            <w:r>
              <w:rPr>
                <w:rStyle w:val="IndexLink"/>
                <w:rtl w:val="true"/>
              </w:rPr>
              <w:tab/>
            </w:r>
            <w:r>
              <w:rPr>
                <w:rStyle w:val="IndexLink"/>
              </w:rPr>
              <w:t>312</w:t>
            </w:r>
          </w:hyperlink>
        </w:p>
        <w:p>
          <w:pPr>
            <w:pStyle w:val="Contents3"/>
            <w:tabs>
              <w:tab w:val="clear" w:pos="8459"/>
              <w:tab w:val="right" w:pos="9026" w:leader="dot"/>
            </w:tabs>
            <w:rPr/>
          </w:pPr>
          <w:hyperlink w:anchor="__RefHeading___Toc5261512_581953129">
            <w:r>
              <w:rPr>
                <w:webHidden/>
                <w:rStyle w:val="IndexLink"/>
              </w:rPr>
              <w:t>8</w:t>
            </w:r>
            <w:r>
              <w:rPr>
                <w:rStyle w:val="IndexLink"/>
                <w:rtl w:val="true"/>
              </w:rPr>
              <w:t xml:space="preserve">- </w:t>
            </w:r>
            <w:r>
              <w:rPr>
                <w:rStyle w:val="IndexLink"/>
                <w:rtl w:val="true"/>
              </w:rPr>
              <w:t>تغییر تابعیت اشخاص حقوقی</w:t>
            </w:r>
            <w:r>
              <w:rPr>
                <w:rStyle w:val="IndexLink"/>
                <w:rtl w:val="true"/>
              </w:rPr>
              <w:tab/>
            </w:r>
            <w:r>
              <w:rPr>
                <w:rStyle w:val="IndexLink"/>
              </w:rPr>
              <w:t>312</w:t>
            </w:r>
          </w:hyperlink>
        </w:p>
        <w:p>
          <w:pPr>
            <w:pStyle w:val="Contents2"/>
            <w:tabs>
              <w:tab w:val="clear" w:pos="8743"/>
              <w:tab w:val="right" w:pos="9026" w:leader="dot"/>
            </w:tabs>
            <w:rPr/>
          </w:pPr>
          <w:hyperlink w:anchor="__RefHeading___Toc5261514_581953129">
            <w:r>
              <w:rPr>
                <w:webHidden/>
                <w:rStyle w:val="IndexLink"/>
              </w:rPr>
              <w:t>11</w:t>
            </w:r>
            <w:r>
              <w:rPr>
                <w:rStyle w:val="IndexLink"/>
                <w:rtl w:val="true"/>
              </w:rPr>
              <w:t xml:space="preserve">- </w:t>
            </w:r>
            <w:r>
              <w:rPr>
                <w:rStyle w:val="IndexLink"/>
                <w:rtl w:val="true"/>
              </w:rPr>
              <w:t xml:space="preserve">اقامتگاه </w:t>
            </w:r>
            <w:r>
              <w:rPr>
                <w:rStyle w:val="IndexLink"/>
                <w:rtl w:val="true"/>
              </w:rPr>
              <w:t>(</w:t>
            </w:r>
            <w:r>
              <w:rPr>
                <w:rStyle w:val="IndexLink"/>
              </w:rPr>
              <w:t>1</w:t>
            </w:r>
            <w:r>
              <w:rPr>
                <w:rStyle w:val="IndexLink"/>
                <w:rtl w:val="true"/>
              </w:rPr>
              <w:t>)</w:t>
              <w:tab/>
            </w:r>
            <w:r>
              <w:rPr>
                <w:rStyle w:val="IndexLink"/>
              </w:rPr>
              <w:t>328</w:t>
            </w:r>
          </w:hyperlink>
        </w:p>
        <w:p>
          <w:pPr>
            <w:pStyle w:val="Contents3"/>
            <w:tabs>
              <w:tab w:val="clear" w:pos="8459"/>
              <w:tab w:val="right" w:pos="9026" w:leader="dot"/>
            </w:tabs>
            <w:rPr/>
          </w:pPr>
          <w:hyperlink w:anchor="__RefHeading___Toc5261516_581953129">
            <w:r>
              <w:rPr>
                <w:webHidden/>
                <w:rStyle w:val="IndexLink"/>
                <w:rtl w:val="true"/>
              </w:rPr>
              <w:t>اشاره</w:t>
            </w:r>
            <w:r>
              <w:rPr>
                <w:rStyle w:val="IndexLink"/>
                <w:rtl w:val="true"/>
              </w:rPr>
              <w:tab/>
            </w:r>
            <w:r>
              <w:rPr>
                <w:rStyle w:val="IndexLink"/>
              </w:rPr>
              <w:t>328</w:t>
            </w:r>
          </w:hyperlink>
        </w:p>
        <w:p>
          <w:pPr>
            <w:pStyle w:val="Contents3"/>
            <w:tabs>
              <w:tab w:val="clear" w:pos="8459"/>
              <w:tab w:val="right" w:pos="9026" w:leader="dot"/>
            </w:tabs>
            <w:rPr/>
          </w:pPr>
          <w:hyperlink w:anchor="__RefHeading___Toc5261518_581953129">
            <w:r>
              <w:rPr>
                <w:webHidden/>
                <w:rStyle w:val="IndexLink"/>
              </w:rPr>
              <w:t>1</w:t>
            </w:r>
            <w:r>
              <w:rPr>
                <w:rStyle w:val="IndexLink"/>
                <w:rtl w:val="true"/>
              </w:rPr>
              <w:t xml:space="preserve">- </w:t>
            </w:r>
            <w:r>
              <w:rPr>
                <w:rStyle w:val="IndexLink"/>
                <w:rtl w:val="true"/>
              </w:rPr>
              <w:t>تعریف اقامتگاه</w:t>
            </w:r>
            <w:r>
              <w:rPr>
                <w:rStyle w:val="IndexLink"/>
                <w:rtl w:val="true"/>
              </w:rPr>
              <w:tab/>
            </w:r>
            <w:r>
              <w:rPr>
                <w:rStyle w:val="IndexLink"/>
              </w:rPr>
              <w:t>328</w:t>
            </w:r>
          </w:hyperlink>
        </w:p>
        <w:p>
          <w:pPr>
            <w:pStyle w:val="Contents4"/>
            <w:tabs>
              <w:tab w:val="clear" w:pos="8176"/>
              <w:tab w:val="right" w:pos="9026" w:leader="dot"/>
            </w:tabs>
            <w:rPr/>
          </w:pPr>
          <w:hyperlink w:anchor="__RefHeading___Toc5261520_581953129">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5261522_581953129">
            <w:r>
              <w:rPr>
                <w:webHidden/>
                <w:rStyle w:val="IndexLink"/>
                <w:rtl w:val="true"/>
              </w:rPr>
              <w:t>الف</w:t>
            </w:r>
            <w:r>
              <w:rPr>
                <w:rStyle w:val="IndexLink"/>
                <w:rtl w:val="true"/>
              </w:rPr>
              <w:t xml:space="preserve">) </w:t>
            </w:r>
            <w:r>
              <w:rPr>
                <w:rStyle w:val="IndexLink"/>
                <w:rtl w:val="true"/>
              </w:rPr>
              <w:t>فرق سکونت با اقامتگاه</w:t>
            </w:r>
            <w:r>
              <w:rPr>
                <w:rStyle w:val="IndexLink"/>
                <w:rtl w:val="true"/>
              </w:rPr>
              <w:tab/>
            </w:r>
            <w:r>
              <w:rPr>
                <w:rStyle w:val="IndexLink"/>
              </w:rPr>
              <w:t>330</w:t>
            </w:r>
          </w:hyperlink>
        </w:p>
        <w:p>
          <w:pPr>
            <w:pStyle w:val="Contents4"/>
            <w:tabs>
              <w:tab w:val="clear" w:pos="8176"/>
              <w:tab w:val="right" w:pos="9026" w:leader="dot"/>
            </w:tabs>
            <w:rPr/>
          </w:pPr>
          <w:hyperlink w:anchor="__RefHeading___Toc5261524_581953129">
            <w:r>
              <w:rPr>
                <w:webHidden/>
                <w:rStyle w:val="IndexLink"/>
                <w:rtl w:val="true"/>
              </w:rPr>
              <w:t>ب</w:t>
            </w:r>
            <w:r>
              <w:rPr>
                <w:rStyle w:val="IndexLink"/>
                <w:rtl w:val="true"/>
              </w:rPr>
              <w:t xml:space="preserve">) </w:t>
            </w:r>
            <w:r>
              <w:rPr>
                <w:rStyle w:val="IndexLink"/>
                <w:rtl w:val="true"/>
              </w:rPr>
              <w:t>فرق اقامتگاه با تابعیت</w:t>
            </w:r>
            <w:r>
              <w:rPr>
                <w:rStyle w:val="IndexLink"/>
                <w:rtl w:val="true"/>
              </w:rPr>
              <w:tab/>
            </w:r>
            <w:r>
              <w:rPr>
                <w:rStyle w:val="IndexLink"/>
              </w:rPr>
              <w:t>331</w:t>
            </w:r>
          </w:hyperlink>
        </w:p>
        <w:p>
          <w:pPr>
            <w:pStyle w:val="Contents3"/>
            <w:tabs>
              <w:tab w:val="clear" w:pos="8459"/>
              <w:tab w:val="right" w:pos="9026" w:leader="dot"/>
            </w:tabs>
            <w:rPr/>
          </w:pPr>
          <w:hyperlink w:anchor="__RefHeading___Toc5261526_581953129">
            <w:r>
              <w:rPr>
                <w:webHidden/>
                <w:rStyle w:val="IndexLink"/>
              </w:rPr>
              <w:t>2</w:t>
            </w:r>
            <w:r>
              <w:rPr>
                <w:rStyle w:val="IndexLink"/>
                <w:rtl w:val="true"/>
              </w:rPr>
              <w:t xml:space="preserve">- </w:t>
            </w:r>
            <w:r>
              <w:rPr>
                <w:rStyle w:val="IndexLink"/>
                <w:rtl w:val="true"/>
              </w:rPr>
              <w:t>ماهیت اقامتگاه</w:t>
            </w:r>
            <w:r>
              <w:rPr>
                <w:rStyle w:val="IndexLink"/>
                <w:rtl w:val="true"/>
              </w:rPr>
              <w:tab/>
            </w:r>
            <w:r>
              <w:rPr>
                <w:rStyle w:val="IndexLink"/>
              </w:rPr>
              <w:t>332</w:t>
            </w:r>
          </w:hyperlink>
        </w:p>
        <w:p>
          <w:pPr>
            <w:pStyle w:val="Contents4"/>
            <w:tabs>
              <w:tab w:val="clear" w:pos="8176"/>
              <w:tab w:val="right" w:pos="9026" w:leader="dot"/>
            </w:tabs>
            <w:rPr/>
          </w:pPr>
          <w:hyperlink w:anchor="__RefHeading___Toc5261528_581953129">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5261530_581953129">
            <w:r>
              <w:rPr>
                <w:webHidden/>
                <w:rStyle w:val="IndexLink"/>
                <w:rtl w:val="true"/>
              </w:rPr>
              <w:t>الف</w:t>
            </w:r>
            <w:r>
              <w:rPr>
                <w:rStyle w:val="IndexLink"/>
                <w:rtl w:val="true"/>
              </w:rPr>
              <w:t xml:space="preserve">) </w:t>
            </w:r>
            <w:r>
              <w:rPr>
                <w:rStyle w:val="IndexLink"/>
                <w:rtl w:val="true"/>
              </w:rPr>
              <w:t>اقامتگاه از نگاه حقوق داخلی</w:t>
            </w:r>
            <w:r>
              <w:rPr>
                <w:rStyle w:val="IndexLink"/>
                <w:rtl w:val="true"/>
              </w:rPr>
              <w:tab/>
            </w:r>
            <w:r>
              <w:rPr>
                <w:rStyle w:val="IndexLink"/>
              </w:rPr>
              <w:t>332</w:t>
            </w:r>
          </w:hyperlink>
        </w:p>
        <w:p>
          <w:pPr>
            <w:pStyle w:val="Contents4"/>
            <w:tabs>
              <w:tab w:val="clear" w:pos="8176"/>
              <w:tab w:val="right" w:pos="9026" w:leader="dot"/>
            </w:tabs>
            <w:rPr/>
          </w:pPr>
          <w:hyperlink w:anchor="__RefHeading___Toc5261532_581953129">
            <w:r>
              <w:rPr>
                <w:webHidden/>
                <w:rStyle w:val="IndexLink"/>
                <w:rtl w:val="true"/>
              </w:rPr>
              <w:t>ب</w:t>
            </w:r>
            <w:r>
              <w:rPr>
                <w:rStyle w:val="IndexLink"/>
                <w:rtl w:val="true"/>
              </w:rPr>
              <w:t xml:space="preserve">) </w:t>
            </w:r>
            <w:r>
              <w:rPr>
                <w:rStyle w:val="IndexLink"/>
                <w:rtl w:val="true"/>
              </w:rPr>
              <w:t>اقامتگاه از نگاه حقوق بین الملل</w:t>
            </w:r>
            <w:r>
              <w:rPr>
                <w:rStyle w:val="IndexLink"/>
                <w:rtl w:val="true"/>
              </w:rPr>
              <w:tab/>
            </w:r>
            <w:r>
              <w:rPr>
                <w:rStyle w:val="IndexLink"/>
              </w:rPr>
              <w:t>332</w:t>
            </w:r>
          </w:hyperlink>
        </w:p>
        <w:p>
          <w:pPr>
            <w:pStyle w:val="Contents3"/>
            <w:tabs>
              <w:tab w:val="clear" w:pos="8459"/>
              <w:tab w:val="right" w:pos="9026" w:leader="dot"/>
            </w:tabs>
            <w:rPr/>
          </w:pPr>
          <w:hyperlink w:anchor="__RefHeading___Toc5261534_581953129">
            <w:r>
              <w:rPr>
                <w:webHidden/>
                <w:rStyle w:val="IndexLink"/>
              </w:rPr>
              <w:t>3</w:t>
            </w:r>
            <w:r>
              <w:rPr>
                <w:rStyle w:val="IndexLink"/>
                <w:rtl w:val="true"/>
              </w:rPr>
              <w:t xml:space="preserve">- </w:t>
            </w:r>
            <w:r>
              <w:rPr>
                <w:rStyle w:val="IndexLink"/>
                <w:rtl w:val="true"/>
              </w:rPr>
              <w:t>اثرها و فایده های بحث از اقامتگاه بین المللی</w:t>
            </w:r>
            <w:r>
              <w:rPr>
                <w:rStyle w:val="IndexLink"/>
                <w:rtl w:val="true"/>
              </w:rPr>
              <w:tab/>
            </w:r>
            <w:r>
              <w:rPr>
                <w:rStyle w:val="IndexLink"/>
              </w:rPr>
              <w:t>333</w:t>
            </w:r>
          </w:hyperlink>
        </w:p>
        <w:p>
          <w:pPr>
            <w:pStyle w:val="Contents4"/>
            <w:tabs>
              <w:tab w:val="clear" w:pos="8176"/>
              <w:tab w:val="right" w:pos="9026" w:leader="dot"/>
            </w:tabs>
            <w:rPr/>
          </w:pPr>
          <w:hyperlink w:anchor="__RefHeading___Toc5261536_581953129">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5261538_581953129">
            <w:r>
              <w:rPr>
                <w:webHidden/>
                <w:rStyle w:val="IndexLink"/>
                <w:rtl w:val="true"/>
              </w:rPr>
              <w:t>الف</w:t>
            </w:r>
            <w:r>
              <w:rPr>
                <w:rStyle w:val="IndexLink"/>
                <w:rtl w:val="true"/>
              </w:rPr>
              <w:t xml:space="preserve">) </w:t>
            </w:r>
            <w:r>
              <w:rPr>
                <w:rStyle w:val="IndexLink"/>
                <w:rtl w:val="true"/>
              </w:rPr>
              <w:t>اقامتگاه درباره تعیین قانون صلاحیت دار</w:t>
            </w:r>
            <w:r>
              <w:rPr>
                <w:rStyle w:val="IndexLink"/>
                <w:rtl w:val="true"/>
              </w:rPr>
              <w:tab/>
            </w:r>
            <w:r>
              <w:rPr>
                <w:rStyle w:val="IndexLink"/>
              </w:rPr>
              <w:t>334</w:t>
            </w:r>
          </w:hyperlink>
        </w:p>
        <w:p>
          <w:pPr>
            <w:pStyle w:val="Contents4"/>
            <w:tabs>
              <w:tab w:val="clear" w:pos="8176"/>
              <w:tab w:val="right" w:pos="9026" w:leader="dot"/>
            </w:tabs>
            <w:rPr/>
          </w:pPr>
          <w:hyperlink w:anchor="__RefHeading___Toc5261540_581953129">
            <w:r>
              <w:rPr>
                <w:webHidden/>
                <w:rStyle w:val="IndexLink"/>
                <w:rtl w:val="true"/>
              </w:rPr>
              <w:t>ب</w:t>
            </w:r>
            <w:r>
              <w:rPr>
                <w:rStyle w:val="IndexLink"/>
                <w:rtl w:val="true"/>
              </w:rPr>
              <w:t xml:space="preserve">) </w:t>
            </w:r>
            <w:r>
              <w:rPr>
                <w:rStyle w:val="IndexLink"/>
                <w:rtl w:val="true"/>
              </w:rPr>
              <w:t>اقامتگاه در مورد تعیین محاکم صلاحیت دار</w:t>
            </w:r>
            <w:r>
              <w:rPr>
                <w:rStyle w:val="IndexLink"/>
                <w:rtl w:val="true"/>
              </w:rPr>
              <w:tab/>
            </w:r>
            <w:r>
              <w:rPr>
                <w:rStyle w:val="IndexLink"/>
              </w:rPr>
              <w:t>335</w:t>
            </w:r>
          </w:hyperlink>
        </w:p>
        <w:p>
          <w:pPr>
            <w:pStyle w:val="Contents4"/>
            <w:tabs>
              <w:tab w:val="clear" w:pos="8176"/>
              <w:tab w:val="right" w:pos="9026" w:leader="dot"/>
            </w:tabs>
            <w:rPr/>
          </w:pPr>
          <w:hyperlink w:anchor="__RefHeading___Toc5261542_581953129">
            <w:r>
              <w:rPr>
                <w:webHidden/>
                <w:rStyle w:val="IndexLink"/>
                <w:rtl w:val="true"/>
              </w:rPr>
              <w:t>ج</w:t>
            </w:r>
            <w:r>
              <w:rPr>
                <w:rStyle w:val="IndexLink"/>
                <w:rtl w:val="true"/>
              </w:rPr>
              <w:t xml:space="preserve">) </w:t>
            </w:r>
            <w:r>
              <w:rPr>
                <w:rStyle w:val="IndexLink"/>
                <w:rtl w:val="true"/>
              </w:rPr>
              <w:t>اقامتگاه در مورد بهره مندی از حقوق و یا انجام تعهدات</w:t>
            </w:r>
            <w:r>
              <w:rPr>
                <w:rStyle w:val="IndexLink"/>
                <w:rtl w:val="true"/>
              </w:rPr>
              <w:tab/>
            </w:r>
            <w:r>
              <w:rPr>
                <w:rStyle w:val="IndexLink"/>
              </w:rPr>
              <w:t>339</w:t>
            </w:r>
          </w:hyperlink>
        </w:p>
        <w:p>
          <w:pPr>
            <w:pStyle w:val="Contents3"/>
            <w:tabs>
              <w:tab w:val="clear" w:pos="8459"/>
              <w:tab w:val="right" w:pos="9026" w:leader="dot"/>
            </w:tabs>
            <w:rPr/>
          </w:pPr>
          <w:hyperlink w:anchor="__RefHeading___Toc5261544_581953129">
            <w:r>
              <w:rPr>
                <w:webHidden/>
                <w:rStyle w:val="IndexLink"/>
              </w:rPr>
              <w:t>4</w:t>
            </w:r>
            <w:r>
              <w:rPr>
                <w:rStyle w:val="IndexLink"/>
                <w:rtl w:val="true"/>
              </w:rPr>
              <w:t xml:space="preserve">- </w:t>
            </w:r>
            <w:r>
              <w:rPr>
                <w:rStyle w:val="IndexLink"/>
                <w:rtl w:val="true"/>
              </w:rPr>
              <w:t>اصول و مبانی اقامتگاه</w:t>
            </w:r>
            <w:r>
              <w:rPr>
                <w:rStyle w:val="IndexLink"/>
                <w:rtl w:val="true"/>
              </w:rPr>
              <w:tab/>
            </w:r>
            <w:r>
              <w:rPr>
                <w:rStyle w:val="IndexLink"/>
              </w:rPr>
              <w:t>341</w:t>
            </w:r>
          </w:hyperlink>
        </w:p>
        <w:p>
          <w:pPr>
            <w:pStyle w:val="Contents4"/>
            <w:tabs>
              <w:tab w:val="clear" w:pos="8176"/>
              <w:tab w:val="right" w:pos="9026" w:leader="dot"/>
            </w:tabs>
            <w:rPr/>
          </w:pPr>
          <w:hyperlink w:anchor="__RefHeading___Toc5261546_581953129">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5261548_581953129">
            <w:r>
              <w:rPr>
                <w:webHidden/>
                <w:rStyle w:val="IndexLink"/>
                <w:rtl w:val="true"/>
              </w:rPr>
              <w:t>الف</w:t>
            </w:r>
            <w:r>
              <w:rPr>
                <w:rStyle w:val="IndexLink"/>
                <w:rtl w:val="true"/>
              </w:rPr>
              <w:t xml:space="preserve">) </w:t>
            </w:r>
            <w:r>
              <w:rPr>
                <w:rStyle w:val="IndexLink"/>
                <w:rtl w:val="true"/>
              </w:rPr>
              <w:t>اصل لزوم اقامتگاه</w:t>
            </w:r>
            <w:r>
              <w:rPr>
                <w:rStyle w:val="IndexLink"/>
                <w:rtl w:val="true"/>
              </w:rPr>
              <w:tab/>
            </w:r>
            <w:r>
              <w:rPr>
                <w:rStyle w:val="IndexLink"/>
              </w:rPr>
              <w:t>341</w:t>
            </w:r>
          </w:hyperlink>
        </w:p>
        <w:p>
          <w:pPr>
            <w:pStyle w:val="Contents4"/>
            <w:tabs>
              <w:tab w:val="clear" w:pos="8176"/>
              <w:tab w:val="right" w:pos="9026" w:leader="dot"/>
            </w:tabs>
            <w:rPr/>
          </w:pPr>
          <w:hyperlink w:anchor="__RefHeading___Toc5261550_581953129">
            <w:r>
              <w:rPr>
                <w:webHidden/>
                <w:rStyle w:val="IndexLink"/>
                <w:rtl w:val="true"/>
              </w:rPr>
              <w:t>ب</w:t>
            </w:r>
            <w:r>
              <w:rPr>
                <w:rStyle w:val="IndexLink"/>
                <w:rtl w:val="true"/>
              </w:rPr>
              <w:t xml:space="preserve">) </w:t>
            </w:r>
            <w:r>
              <w:rPr>
                <w:rStyle w:val="IndexLink"/>
                <w:rtl w:val="true"/>
              </w:rPr>
              <w:t>اصل وحدت اقامتگاه</w:t>
            </w:r>
            <w:r>
              <w:rPr>
                <w:rStyle w:val="IndexLink"/>
                <w:rtl w:val="true"/>
              </w:rPr>
              <w:tab/>
            </w:r>
            <w:r>
              <w:rPr>
                <w:rStyle w:val="IndexLink"/>
              </w:rPr>
              <w:t>344</w:t>
            </w:r>
          </w:hyperlink>
        </w:p>
        <w:p>
          <w:pPr>
            <w:pStyle w:val="Contents4"/>
            <w:tabs>
              <w:tab w:val="clear" w:pos="8176"/>
              <w:tab w:val="right" w:pos="9026" w:leader="dot"/>
            </w:tabs>
            <w:rPr/>
          </w:pPr>
          <w:hyperlink w:anchor="__RefHeading___Toc5261552_581953129">
            <w:r>
              <w:rPr>
                <w:webHidden/>
                <w:rStyle w:val="IndexLink"/>
                <w:rtl w:val="true"/>
              </w:rPr>
              <w:t>ج</w:t>
            </w:r>
            <w:r>
              <w:rPr>
                <w:rStyle w:val="IndexLink"/>
                <w:rtl w:val="true"/>
              </w:rPr>
              <w:t xml:space="preserve">) </w:t>
            </w:r>
            <w:r>
              <w:rPr>
                <w:rStyle w:val="IndexLink"/>
                <w:rtl w:val="true"/>
              </w:rPr>
              <w:t>اصل تغییرپذیری اقامتگاه</w:t>
            </w:r>
            <w:r>
              <w:rPr>
                <w:rStyle w:val="IndexLink"/>
                <w:rtl w:val="true"/>
              </w:rPr>
              <w:tab/>
            </w:r>
            <w:r>
              <w:rPr>
                <w:rStyle w:val="IndexLink"/>
              </w:rPr>
              <w:t>346</w:t>
            </w:r>
          </w:hyperlink>
        </w:p>
        <w:p>
          <w:pPr>
            <w:pStyle w:val="Contents2"/>
            <w:tabs>
              <w:tab w:val="clear" w:pos="8743"/>
              <w:tab w:val="right" w:pos="9026" w:leader="dot"/>
            </w:tabs>
            <w:rPr/>
          </w:pPr>
          <w:hyperlink w:anchor="__RefHeading___Toc5261554_581953129">
            <w:r>
              <w:rPr>
                <w:webHidden/>
                <w:rStyle w:val="IndexLink"/>
              </w:rPr>
              <w:t>12</w:t>
            </w:r>
            <w:r>
              <w:rPr>
                <w:rStyle w:val="IndexLink"/>
                <w:rtl w:val="true"/>
              </w:rPr>
              <w:t xml:space="preserve">- </w:t>
            </w:r>
            <w:r>
              <w:rPr>
                <w:rStyle w:val="IndexLink"/>
                <w:rtl w:val="true"/>
              </w:rPr>
              <w:t xml:space="preserve">اقامتگاه </w:t>
            </w:r>
            <w:r>
              <w:rPr>
                <w:rStyle w:val="IndexLink"/>
                <w:rtl w:val="true"/>
              </w:rPr>
              <w:t>(</w:t>
            </w:r>
            <w:r>
              <w:rPr>
                <w:rStyle w:val="IndexLink"/>
              </w:rPr>
              <w:t>2</w:t>
            </w:r>
            <w:r>
              <w:rPr>
                <w:rStyle w:val="IndexLink"/>
                <w:rtl w:val="true"/>
              </w:rPr>
              <w:t>)</w:t>
              <w:tab/>
            </w:r>
            <w:r>
              <w:rPr>
                <w:rStyle w:val="IndexLink"/>
              </w:rPr>
              <w:t>356</w:t>
            </w:r>
          </w:hyperlink>
        </w:p>
        <w:p>
          <w:pPr>
            <w:pStyle w:val="Contents3"/>
            <w:tabs>
              <w:tab w:val="clear" w:pos="8459"/>
              <w:tab w:val="right" w:pos="9026" w:leader="dot"/>
            </w:tabs>
            <w:rPr/>
          </w:pPr>
          <w:hyperlink w:anchor="__RefHeading___Toc5261556_581953129">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5261558_581953129">
            <w:r>
              <w:rPr>
                <w:webHidden/>
                <w:rStyle w:val="IndexLink"/>
              </w:rPr>
              <w:t>1</w:t>
            </w:r>
            <w:r>
              <w:rPr>
                <w:rStyle w:val="IndexLink"/>
                <w:rtl w:val="true"/>
              </w:rPr>
              <w:t xml:space="preserve">- </w:t>
            </w:r>
            <w:r>
              <w:rPr>
                <w:rStyle w:val="IndexLink"/>
                <w:rtl w:val="true"/>
              </w:rPr>
              <w:t>اقسام اقامتگاه شخص حقیقی</w:t>
            </w:r>
            <w:r>
              <w:rPr>
                <w:rStyle w:val="IndexLink"/>
                <w:rtl w:val="true"/>
              </w:rPr>
              <w:tab/>
            </w:r>
            <w:r>
              <w:rPr>
                <w:rStyle w:val="IndexLink"/>
              </w:rPr>
              <w:t>356</w:t>
            </w:r>
          </w:hyperlink>
        </w:p>
        <w:p>
          <w:pPr>
            <w:pStyle w:val="Contents4"/>
            <w:tabs>
              <w:tab w:val="clear" w:pos="8176"/>
              <w:tab w:val="right" w:pos="9026" w:leader="dot"/>
            </w:tabs>
            <w:rPr/>
          </w:pPr>
          <w:hyperlink w:anchor="__RefHeading___Toc5261560_581953129">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5261562_581953129">
            <w:r>
              <w:rPr>
                <w:webHidden/>
                <w:rStyle w:val="IndexLink"/>
                <w:rtl w:val="true"/>
              </w:rPr>
              <w:t>الف</w:t>
            </w:r>
            <w:r>
              <w:rPr>
                <w:rStyle w:val="IndexLink"/>
                <w:rtl w:val="true"/>
              </w:rPr>
              <w:t xml:space="preserve">) </w:t>
            </w:r>
            <w:r>
              <w:rPr>
                <w:rStyle w:val="IndexLink"/>
                <w:rtl w:val="true"/>
              </w:rPr>
              <w:t xml:space="preserve">اقامتگاه عام </w:t>
            </w:r>
            <w:r>
              <w:rPr>
                <w:rStyle w:val="IndexLink"/>
                <w:rtl w:val="true"/>
              </w:rPr>
              <w:t>(</w:t>
            </w:r>
            <w:r>
              <w:rPr>
                <w:rStyle w:val="IndexLink"/>
                <w:rtl w:val="true"/>
              </w:rPr>
              <w:t>حقیقی، عمومی</w:t>
            </w:r>
            <w:r>
              <w:rPr>
                <w:rStyle w:val="IndexLink"/>
                <w:rtl w:val="true"/>
              </w:rPr>
              <w:t>)</w:t>
              <w:tab/>
            </w:r>
            <w:r>
              <w:rPr>
                <w:rStyle w:val="IndexLink"/>
              </w:rPr>
              <w:t>357</w:t>
            </w:r>
          </w:hyperlink>
        </w:p>
        <w:p>
          <w:pPr>
            <w:pStyle w:val="Contents4"/>
            <w:tabs>
              <w:tab w:val="clear" w:pos="8176"/>
              <w:tab w:val="right" w:pos="9026" w:leader="dot"/>
            </w:tabs>
            <w:rPr/>
          </w:pPr>
          <w:hyperlink w:anchor="__RefHeading___Toc5261564_581953129">
            <w:r>
              <w:rPr>
                <w:webHidden/>
                <w:rStyle w:val="IndexLink"/>
                <w:rtl w:val="true"/>
              </w:rPr>
              <w:t>ب</w:t>
            </w:r>
            <w:r>
              <w:rPr>
                <w:rStyle w:val="IndexLink"/>
                <w:rtl w:val="true"/>
              </w:rPr>
              <w:t xml:space="preserve">) </w:t>
            </w:r>
            <w:r>
              <w:rPr>
                <w:rStyle w:val="IndexLink"/>
                <w:rtl w:val="true"/>
              </w:rPr>
              <w:t>اقامتگاه خاص یا قراردادی</w:t>
            </w:r>
            <w:r>
              <w:rPr>
                <w:rStyle w:val="IndexLink"/>
                <w:rtl w:val="true"/>
              </w:rPr>
              <w:tab/>
            </w:r>
            <w:r>
              <w:rPr>
                <w:rStyle w:val="IndexLink"/>
              </w:rPr>
              <w:t>365</w:t>
            </w:r>
          </w:hyperlink>
        </w:p>
        <w:p>
          <w:pPr>
            <w:pStyle w:val="Contents3"/>
            <w:tabs>
              <w:tab w:val="clear" w:pos="8459"/>
              <w:tab w:val="right" w:pos="9026" w:leader="dot"/>
            </w:tabs>
            <w:rPr/>
          </w:pPr>
          <w:hyperlink w:anchor="__RefHeading___Toc5261566_581953129">
            <w:r>
              <w:rPr>
                <w:webHidden/>
                <w:rStyle w:val="IndexLink"/>
              </w:rPr>
              <w:t>2</w:t>
            </w:r>
            <w:r>
              <w:rPr>
                <w:rStyle w:val="IndexLink"/>
                <w:rtl w:val="true"/>
              </w:rPr>
              <w:t xml:space="preserve">- </w:t>
            </w:r>
            <w:r>
              <w:rPr>
                <w:rStyle w:val="IndexLink"/>
                <w:rtl w:val="true"/>
              </w:rPr>
              <w:t>اقامتگاه اشخاص حقوقی</w:t>
            </w:r>
            <w:r>
              <w:rPr>
                <w:rStyle w:val="IndexLink"/>
                <w:rtl w:val="true"/>
              </w:rPr>
              <w:tab/>
            </w:r>
            <w:r>
              <w:rPr>
                <w:rStyle w:val="IndexLink"/>
              </w:rPr>
              <w:t>367</w:t>
            </w:r>
          </w:hyperlink>
        </w:p>
        <w:p>
          <w:pPr>
            <w:pStyle w:val="Contents3"/>
            <w:tabs>
              <w:tab w:val="clear" w:pos="8459"/>
              <w:tab w:val="right" w:pos="9026" w:leader="dot"/>
            </w:tabs>
            <w:rPr/>
          </w:pPr>
          <w:hyperlink w:anchor="__RefHeading___Toc5261568_581953129">
            <w:r>
              <w:rPr>
                <w:webHidden/>
                <w:rStyle w:val="IndexLink"/>
              </w:rPr>
              <w:t>3</w:t>
            </w:r>
            <w:r>
              <w:rPr>
                <w:rStyle w:val="IndexLink"/>
                <w:rtl w:val="true"/>
              </w:rPr>
              <w:t xml:space="preserve">- </w:t>
            </w:r>
            <w:r>
              <w:rPr>
                <w:rStyle w:val="IndexLink"/>
                <w:rtl w:val="true"/>
              </w:rPr>
              <w:t>تغییر اقامتگاه اشخاص حقوقی</w:t>
            </w:r>
            <w:r>
              <w:rPr>
                <w:rStyle w:val="IndexLink"/>
                <w:rtl w:val="true"/>
              </w:rPr>
              <w:tab/>
            </w:r>
            <w:r>
              <w:rPr>
                <w:rStyle w:val="IndexLink"/>
              </w:rPr>
              <w:t>370</w:t>
            </w:r>
          </w:hyperlink>
        </w:p>
        <w:p>
          <w:pPr>
            <w:pStyle w:val="Contents3"/>
            <w:tabs>
              <w:tab w:val="clear" w:pos="8459"/>
              <w:tab w:val="right" w:pos="9026" w:leader="dot"/>
            </w:tabs>
            <w:rPr/>
          </w:pPr>
          <w:hyperlink w:anchor="__RefHeading___Toc5261570_581953129">
            <w:r>
              <w:rPr>
                <w:webHidden/>
                <w:rStyle w:val="IndexLink"/>
              </w:rPr>
              <w:t>4</w:t>
            </w:r>
            <w:r>
              <w:rPr>
                <w:rStyle w:val="IndexLink"/>
                <w:rtl w:val="true"/>
              </w:rPr>
              <w:t xml:space="preserve">- </w:t>
            </w:r>
            <w:r>
              <w:rPr>
                <w:rStyle w:val="IndexLink"/>
                <w:rtl w:val="true"/>
              </w:rPr>
              <w:t>انواع اقامتگاه های شخص حقوقی</w:t>
            </w:r>
            <w:r>
              <w:rPr>
                <w:rStyle w:val="IndexLink"/>
                <w:rtl w:val="true"/>
              </w:rPr>
              <w:tab/>
            </w:r>
            <w:r>
              <w:rPr>
                <w:rStyle w:val="IndexLink"/>
              </w:rPr>
              <w:t>370</w:t>
            </w:r>
          </w:hyperlink>
        </w:p>
        <w:p>
          <w:pPr>
            <w:pStyle w:val="Contents2"/>
            <w:tabs>
              <w:tab w:val="clear" w:pos="8743"/>
              <w:tab w:val="right" w:pos="9026" w:leader="dot"/>
            </w:tabs>
            <w:rPr/>
          </w:pPr>
          <w:hyperlink w:anchor="__RefHeading___Toc5261572_581953129">
            <w:r>
              <w:rPr>
                <w:webHidden/>
                <w:rStyle w:val="IndexLink"/>
              </w:rPr>
              <w:t>13</w:t>
            </w:r>
            <w:r>
              <w:rPr>
                <w:rStyle w:val="IndexLink"/>
                <w:rtl w:val="true"/>
              </w:rPr>
              <w:t xml:space="preserve">- </w:t>
            </w:r>
            <w:r>
              <w:rPr>
                <w:rStyle w:val="IndexLink"/>
                <w:rtl w:val="true"/>
              </w:rPr>
              <w:t>وضعیت بیگانگان</w:t>
            </w:r>
            <w:r>
              <w:rPr>
                <w:rStyle w:val="IndexLink"/>
                <w:rtl w:val="true"/>
              </w:rPr>
              <w:tab/>
            </w:r>
            <w:r>
              <w:rPr>
                <w:rStyle w:val="IndexLink"/>
              </w:rPr>
              <w:t>379</w:t>
            </w:r>
          </w:hyperlink>
        </w:p>
        <w:p>
          <w:pPr>
            <w:pStyle w:val="Contents3"/>
            <w:tabs>
              <w:tab w:val="clear" w:pos="8459"/>
              <w:tab w:val="right" w:pos="9026" w:leader="dot"/>
            </w:tabs>
            <w:rPr/>
          </w:pPr>
          <w:hyperlink w:anchor="__RefHeading___Toc5261574_581953129">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5261576_581953129">
            <w:r>
              <w:rPr>
                <w:webHidden/>
                <w:rStyle w:val="IndexLink"/>
              </w:rPr>
              <w:t>1</w:t>
            </w:r>
            <w:r>
              <w:rPr>
                <w:rStyle w:val="IndexLink"/>
                <w:rtl w:val="true"/>
              </w:rPr>
              <w:t xml:space="preserve">- </w:t>
            </w:r>
            <w:r>
              <w:rPr>
                <w:rStyle w:val="IndexLink"/>
                <w:rtl w:val="true"/>
              </w:rPr>
              <w:t>تعریف بیگانه</w:t>
            </w:r>
            <w:r>
              <w:rPr>
                <w:rStyle w:val="IndexLink"/>
                <w:rtl w:val="true"/>
              </w:rPr>
              <w:tab/>
            </w:r>
            <w:r>
              <w:rPr>
                <w:rStyle w:val="IndexLink"/>
              </w:rPr>
              <w:t>380</w:t>
            </w:r>
          </w:hyperlink>
        </w:p>
        <w:p>
          <w:pPr>
            <w:pStyle w:val="Contents3"/>
            <w:tabs>
              <w:tab w:val="clear" w:pos="8459"/>
              <w:tab w:val="right" w:pos="9026" w:leader="dot"/>
            </w:tabs>
            <w:rPr/>
          </w:pPr>
          <w:hyperlink w:anchor="__RefHeading___Toc5261578_581953129">
            <w:r>
              <w:rPr>
                <w:webHidden/>
                <w:rStyle w:val="IndexLink"/>
              </w:rPr>
              <w:t>2</w:t>
            </w:r>
            <w:r>
              <w:rPr>
                <w:rStyle w:val="IndexLink"/>
                <w:rtl w:val="true"/>
              </w:rPr>
              <w:t xml:space="preserve">- </w:t>
            </w:r>
            <w:r>
              <w:rPr>
                <w:rStyle w:val="IndexLink"/>
                <w:rtl w:val="true"/>
              </w:rPr>
              <w:t>انواع بیگانگان</w:t>
            </w:r>
            <w:r>
              <w:rPr>
                <w:rStyle w:val="IndexLink"/>
                <w:rtl w:val="true"/>
              </w:rPr>
              <w:tab/>
            </w:r>
            <w:r>
              <w:rPr>
                <w:rStyle w:val="IndexLink"/>
              </w:rPr>
              <w:t>381</w:t>
            </w:r>
          </w:hyperlink>
        </w:p>
        <w:p>
          <w:pPr>
            <w:pStyle w:val="Contents4"/>
            <w:tabs>
              <w:tab w:val="clear" w:pos="8176"/>
              <w:tab w:val="right" w:pos="9026" w:leader="dot"/>
            </w:tabs>
            <w:rPr/>
          </w:pPr>
          <w:hyperlink w:anchor="__RefHeading___Toc5261580_581953129">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5261582_581953129">
            <w:r>
              <w:rPr>
                <w:webHidden/>
                <w:rStyle w:val="IndexLink"/>
                <w:rtl w:val="true"/>
              </w:rPr>
              <w:t>الف</w:t>
            </w:r>
            <w:r>
              <w:rPr>
                <w:rStyle w:val="IndexLink"/>
                <w:rtl w:val="true"/>
              </w:rPr>
              <w:t xml:space="preserve">) </w:t>
            </w:r>
            <w:r>
              <w:rPr>
                <w:rStyle w:val="IndexLink"/>
                <w:rtl w:val="true"/>
              </w:rPr>
              <w:t>مهاجرین</w:t>
            </w:r>
            <w:r>
              <w:rPr>
                <w:rStyle w:val="IndexLink"/>
                <w:rtl w:val="true"/>
              </w:rPr>
              <w:tab/>
            </w:r>
            <w:r>
              <w:rPr>
                <w:rStyle w:val="IndexLink"/>
              </w:rPr>
              <w:t>381</w:t>
            </w:r>
          </w:hyperlink>
        </w:p>
        <w:p>
          <w:pPr>
            <w:pStyle w:val="Contents4"/>
            <w:tabs>
              <w:tab w:val="clear" w:pos="8176"/>
              <w:tab w:val="right" w:pos="9026" w:leader="dot"/>
            </w:tabs>
            <w:rPr/>
          </w:pPr>
          <w:hyperlink w:anchor="__RefHeading___Toc5261584_581953129">
            <w:r>
              <w:rPr>
                <w:webHidden/>
                <w:rStyle w:val="IndexLink"/>
                <w:rtl w:val="true"/>
              </w:rPr>
              <w:t>ب</w:t>
            </w:r>
            <w:r>
              <w:rPr>
                <w:rStyle w:val="IndexLink"/>
                <w:rtl w:val="true"/>
              </w:rPr>
              <w:t xml:space="preserve">) </w:t>
            </w:r>
            <w:r>
              <w:rPr>
                <w:rStyle w:val="IndexLink"/>
                <w:rtl w:val="true"/>
              </w:rPr>
              <w:t>جهانگردان</w:t>
            </w:r>
            <w:r>
              <w:rPr>
                <w:rStyle w:val="IndexLink"/>
                <w:rtl w:val="true"/>
              </w:rPr>
              <w:tab/>
            </w:r>
            <w:r>
              <w:rPr>
                <w:rStyle w:val="IndexLink"/>
              </w:rPr>
              <w:t>382</w:t>
            </w:r>
          </w:hyperlink>
        </w:p>
        <w:p>
          <w:pPr>
            <w:pStyle w:val="Contents4"/>
            <w:tabs>
              <w:tab w:val="clear" w:pos="8176"/>
              <w:tab w:val="right" w:pos="9026" w:leader="dot"/>
            </w:tabs>
            <w:rPr/>
          </w:pPr>
          <w:hyperlink w:anchor="__RefHeading___Toc5261586_581953129">
            <w:r>
              <w:rPr>
                <w:webHidden/>
                <w:rStyle w:val="IndexLink"/>
                <w:rtl w:val="true"/>
              </w:rPr>
              <w:t>ج</w:t>
            </w:r>
            <w:r>
              <w:rPr>
                <w:rStyle w:val="IndexLink"/>
                <w:rtl w:val="true"/>
              </w:rPr>
              <w:t xml:space="preserve">) </w:t>
            </w:r>
            <w:r>
              <w:rPr>
                <w:rStyle w:val="IndexLink"/>
                <w:rtl w:val="true"/>
              </w:rPr>
              <w:t>دانشجویان</w:t>
            </w:r>
            <w:r>
              <w:rPr>
                <w:rStyle w:val="IndexLink"/>
                <w:rtl w:val="true"/>
              </w:rPr>
              <w:tab/>
            </w:r>
            <w:r>
              <w:rPr>
                <w:rStyle w:val="IndexLink"/>
              </w:rPr>
              <w:t>382</w:t>
            </w:r>
          </w:hyperlink>
        </w:p>
        <w:p>
          <w:pPr>
            <w:pStyle w:val="Contents4"/>
            <w:tabs>
              <w:tab w:val="clear" w:pos="8176"/>
              <w:tab w:val="right" w:pos="9026" w:leader="dot"/>
            </w:tabs>
            <w:rPr/>
          </w:pPr>
          <w:hyperlink w:anchor="__RefHeading___Toc5261588_581953129">
            <w:r>
              <w:rPr>
                <w:webHidden/>
                <w:rStyle w:val="IndexLink"/>
                <w:rtl w:val="true"/>
              </w:rPr>
              <w:t>د</w:t>
            </w:r>
            <w:r>
              <w:rPr>
                <w:rStyle w:val="IndexLink"/>
                <w:rtl w:val="true"/>
              </w:rPr>
              <w:t xml:space="preserve">) </w:t>
            </w:r>
            <w:r>
              <w:rPr>
                <w:rStyle w:val="IndexLink"/>
                <w:rtl w:val="true"/>
              </w:rPr>
              <w:t>بازرگانان</w:t>
            </w:r>
            <w:r>
              <w:rPr>
                <w:rStyle w:val="IndexLink"/>
                <w:rtl w:val="true"/>
              </w:rPr>
              <w:tab/>
            </w:r>
            <w:r>
              <w:rPr>
                <w:rStyle w:val="IndexLink"/>
              </w:rPr>
              <w:t>382</w:t>
            </w:r>
          </w:hyperlink>
        </w:p>
        <w:p>
          <w:pPr>
            <w:pStyle w:val="Contents4"/>
            <w:tabs>
              <w:tab w:val="clear" w:pos="8176"/>
              <w:tab w:val="right" w:pos="9026" w:leader="dot"/>
            </w:tabs>
            <w:rPr/>
          </w:pPr>
          <w:hyperlink w:anchor="__RefHeading___Toc5261590_581953129">
            <w:r>
              <w:rPr>
                <w:webHidden/>
                <w:rStyle w:val="IndexLink"/>
                <w:rtl w:val="true"/>
              </w:rPr>
              <w:t>ه</w:t>
            </w:r>
            <w:r>
              <w:rPr>
                <w:rStyle w:val="IndexLink"/>
                <w:rtl w:val="true"/>
              </w:rPr>
              <w:t xml:space="preserve">) </w:t>
            </w:r>
            <w:r>
              <w:rPr>
                <w:rStyle w:val="IndexLink"/>
                <w:rtl w:val="true"/>
              </w:rPr>
              <w:t>کارگران</w:t>
            </w:r>
            <w:r>
              <w:rPr>
                <w:rStyle w:val="IndexLink"/>
                <w:rtl w:val="true"/>
              </w:rPr>
              <w:tab/>
            </w:r>
            <w:r>
              <w:rPr>
                <w:rStyle w:val="IndexLink"/>
              </w:rPr>
              <w:t>382</w:t>
            </w:r>
          </w:hyperlink>
        </w:p>
        <w:p>
          <w:pPr>
            <w:pStyle w:val="Contents4"/>
            <w:tabs>
              <w:tab w:val="clear" w:pos="8176"/>
              <w:tab w:val="right" w:pos="9026" w:leader="dot"/>
            </w:tabs>
            <w:rPr/>
          </w:pPr>
          <w:hyperlink w:anchor="__RefHeading___Toc5261592_581953129">
            <w:r>
              <w:rPr>
                <w:webHidden/>
                <w:rStyle w:val="IndexLink"/>
                <w:rtl w:val="true"/>
              </w:rPr>
              <w:t>و</w:t>
            </w:r>
            <w:r>
              <w:rPr>
                <w:rStyle w:val="IndexLink"/>
                <w:rtl w:val="true"/>
              </w:rPr>
              <w:t xml:space="preserve">) </w:t>
            </w:r>
            <w:r>
              <w:rPr>
                <w:rStyle w:val="IndexLink"/>
                <w:rtl w:val="true"/>
              </w:rPr>
              <w:t>افراد مقیم عادی</w:t>
            </w:r>
            <w:r>
              <w:rPr>
                <w:rStyle w:val="IndexLink"/>
                <w:rtl w:val="true"/>
              </w:rPr>
              <w:tab/>
            </w:r>
            <w:r>
              <w:rPr>
                <w:rStyle w:val="IndexLink"/>
              </w:rPr>
              <w:t>383</w:t>
            </w:r>
          </w:hyperlink>
        </w:p>
        <w:p>
          <w:pPr>
            <w:pStyle w:val="Contents4"/>
            <w:tabs>
              <w:tab w:val="clear" w:pos="8176"/>
              <w:tab w:val="right" w:pos="9026" w:leader="dot"/>
            </w:tabs>
            <w:rPr/>
          </w:pPr>
          <w:hyperlink w:anchor="__RefHeading___Toc5261594_581953129">
            <w:r>
              <w:rPr>
                <w:webHidden/>
                <w:rStyle w:val="IndexLink"/>
                <w:rtl w:val="true"/>
              </w:rPr>
              <w:t>ز</w:t>
            </w:r>
            <w:r>
              <w:rPr>
                <w:rStyle w:val="IndexLink"/>
                <w:rtl w:val="true"/>
              </w:rPr>
              <w:t xml:space="preserve">) </w:t>
            </w:r>
            <w:r>
              <w:rPr>
                <w:rStyle w:val="IndexLink"/>
                <w:rtl w:val="true"/>
              </w:rPr>
              <w:t>مجرم فراری</w:t>
            </w:r>
            <w:r>
              <w:rPr>
                <w:rStyle w:val="IndexLink"/>
                <w:rtl w:val="true"/>
              </w:rPr>
              <w:tab/>
            </w:r>
            <w:r>
              <w:rPr>
                <w:rStyle w:val="IndexLink"/>
              </w:rPr>
              <w:t>383</w:t>
            </w:r>
          </w:hyperlink>
        </w:p>
        <w:p>
          <w:pPr>
            <w:pStyle w:val="Contents4"/>
            <w:tabs>
              <w:tab w:val="clear" w:pos="8176"/>
              <w:tab w:val="right" w:pos="9026" w:leader="dot"/>
            </w:tabs>
            <w:rPr/>
          </w:pPr>
          <w:hyperlink w:anchor="__RefHeading___Toc5261596_581953129">
            <w:r>
              <w:rPr>
                <w:webHidden/>
                <w:rStyle w:val="IndexLink"/>
                <w:rtl w:val="true"/>
              </w:rPr>
              <w:t>ح</w:t>
            </w:r>
            <w:r>
              <w:rPr>
                <w:rStyle w:val="IndexLink"/>
                <w:rtl w:val="true"/>
              </w:rPr>
              <w:t xml:space="preserve">) </w:t>
            </w:r>
            <w:r>
              <w:rPr>
                <w:rStyle w:val="IndexLink"/>
                <w:rtl w:val="true"/>
              </w:rPr>
              <w:t>پناهنده</w:t>
            </w:r>
            <w:r>
              <w:rPr>
                <w:rStyle w:val="IndexLink"/>
                <w:rtl w:val="true"/>
              </w:rPr>
              <w:tab/>
            </w:r>
            <w:r>
              <w:rPr>
                <w:rStyle w:val="IndexLink"/>
              </w:rPr>
              <w:t>383</w:t>
            </w:r>
          </w:hyperlink>
        </w:p>
        <w:p>
          <w:pPr>
            <w:pStyle w:val="Contents4"/>
            <w:tabs>
              <w:tab w:val="clear" w:pos="8176"/>
              <w:tab w:val="right" w:pos="9026" w:leader="dot"/>
            </w:tabs>
            <w:rPr/>
          </w:pPr>
          <w:hyperlink w:anchor="__RefHeading___Toc5261598_581953129">
            <w:r>
              <w:rPr>
                <w:webHidden/>
                <w:rStyle w:val="IndexLink"/>
                <w:rtl w:val="true"/>
              </w:rPr>
              <w:t xml:space="preserve">ط </w:t>
            </w:r>
            <w:r>
              <w:rPr>
                <w:rStyle w:val="IndexLink"/>
                <w:rtl w:val="true"/>
              </w:rPr>
              <w:t xml:space="preserve">) </w:t>
            </w:r>
            <w:r>
              <w:rPr>
                <w:rStyle w:val="IndexLink"/>
                <w:rtl w:val="true"/>
              </w:rPr>
              <w:t>مأمور</w:t>
            </w:r>
            <w:r>
              <w:rPr>
                <w:rStyle w:val="IndexLink"/>
                <w:rtl w:val="true"/>
              </w:rPr>
              <w:tab/>
            </w:r>
            <w:r>
              <w:rPr>
                <w:rStyle w:val="IndexLink"/>
              </w:rPr>
              <w:t>384</w:t>
            </w:r>
          </w:hyperlink>
        </w:p>
        <w:p>
          <w:pPr>
            <w:pStyle w:val="Contents4"/>
            <w:tabs>
              <w:tab w:val="clear" w:pos="8176"/>
              <w:tab w:val="right" w:pos="9026" w:leader="dot"/>
            </w:tabs>
            <w:rPr/>
          </w:pPr>
          <w:hyperlink w:anchor="__RefHeading___Toc5261600_581953129">
            <w:r>
              <w:rPr>
                <w:webHidden/>
                <w:rStyle w:val="IndexLink"/>
                <w:rtl w:val="true"/>
              </w:rPr>
              <w:t xml:space="preserve">ی </w:t>
            </w:r>
            <w:r>
              <w:rPr>
                <w:rStyle w:val="IndexLink"/>
                <w:rtl w:val="true"/>
              </w:rPr>
              <w:t xml:space="preserve">) </w:t>
            </w:r>
            <w:r>
              <w:rPr>
                <w:rStyle w:val="IndexLink"/>
                <w:rtl w:val="true"/>
              </w:rPr>
              <w:t>آوارگان</w:t>
            </w:r>
            <w:r>
              <w:rPr>
                <w:rStyle w:val="IndexLink"/>
                <w:rtl w:val="true"/>
              </w:rPr>
              <w:tab/>
            </w:r>
            <w:r>
              <w:rPr>
                <w:rStyle w:val="IndexLink"/>
              </w:rPr>
              <w:t>384</w:t>
            </w:r>
          </w:hyperlink>
        </w:p>
        <w:p>
          <w:pPr>
            <w:pStyle w:val="Contents4"/>
            <w:tabs>
              <w:tab w:val="clear" w:pos="8176"/>
              <w:tab w:val="right" w:pos="9026" w:leader="dot"/>
            </w:tabs>
            <w:rPr/>
          </w:pPr>
          <w:hyperlink w:anchor="__RefHeading___Toc5261602_581953129">
            <w:r>
              <w:rPr>
                <w:webHidden/>
                <w:rStyle w:val="IndexLink"/>
                <w:rtl w:val="true"/>
              </w:rPr>
              <w:t>ک</w:t>
            </w:r>
            <w:r>
              <w:rPr>
                <w:rStyle w:val="IndexLink"/>
                <w:rtl w:val="true"/>
              </w:rPr>
              <w:t xml:space="preserve">) </w:t>
            </w:r>
            <w:r>
              <w:rPr>
                <w:rStyle w:val="IndexLink"/>
                <w:rtl w:val="true"/>
              </w:rPr>
              <w:t>خبرنگاران، عکاسان و دست اندرکاران مطبوعات</w:t>
            </w:r>
            <w:r>
              <w:rPr>
                <w:rStyle w:val="IndexLink"/>
                <w:rtl w:val="true"/>
              </w:rPr>
              <w:tab/>
            </w:r>
            <w:r>
              <w:rPr>
                <w:rStyle w:val="IndexLink"/>
              </w:rPr>
              <w:t>385</w:t>
            </w:r>
          </w:hyperlink>
        </w:p>
        <w:p>
          <w:pPr>
            <w:pStyle w:val="Contents4"/>
            <w:tabs>
              <w:tab w:val="clear" w:pos="8176"/>
              <w:tab w:val="right" w:pos="9026" w:leader="dot"/>
            </w:tabs>
            <w:rPr/>
          </w:pPr>
          <w:hyperlink w:anchor="__RefHeading___Toc5261604_581953129">
            <w:r>
              <w:rPr>
                <w:webHidden/>
                <w:rStyle w:val="IndexLink"/>
                <w:rtl w:val="true"/>
              </w:rPr>
              <w:t>ل</w:t>
            </w:r>
            <w:r>
              <w:rPr>
                <w:rStyle w:val="IndexLink"/>
                <w:rtl w:val="true"/>
              </w:rPr>
              <w:t xml:space="preserve">) </w:t>
            </w:r>
            <w:r>
              <w:rPr>
                <w:rStyle w:val="IndexLink"/>
                <w:rtl w:val="true"/>
              </w:rPr>
              <w:t>جویندگان کار</w:t>
            </w:r>
            <w:r>
              <w:rPr>
                <w:rStyle w:val="IndexLink"/>
                <w:rtl w:val="true"/>
              </w:rPr>
              <w:tab/>
            </w:r>
            <w:r>
              <w:rPr>
                <w:rStyle w:val="IndexLink"/>
              </w:rPr>
              <w:t>385</w:t>
            </w:r>
          </w:hyperlink>
        </w:p>
        <w:p>
          <w:pPr>
            <w:pStyle w:val="Contents3"/>
            <w:tabs>
              <w:tab w:val="clear" w:pos="8459"/>
              <w:tab w:val="right" w:pos="9026" w:leader="dot"/>
            </w:tabs>
            <w:rPr/>
          </w:pPr>
          <w:hyperlink w:anchor="__RefHeading___Toc5261606_581953129">
            <w:r>
              <w:rPr>
                <w:webHidden/>
                <w:rStyle w:val="IndexLink"/>
              </w:rPr>
              <w:t>3</w:t>
            </w:r>
            <w:r>
              <w:rPr>
                <w:rStyle w:val="IndexLink"/>
                <w:rtl w:val="true"/>
              </w:rPr>
              <w:t xml:space="preserve">- </w:t>
            </w:r>
            <w:r>
              <w:rPr>
                <w:rStyle w:val="IndexLink"/>
                <w:rtl w:val="true"/>
              </w:rPr>
              <w:t>اصول و مبانی حقوق بیگانگان</w:t>
            </w:r>
            <w:r>
              <w:rPr>
                <w:rStyle w:val="IndexLink"/>
                <w:rtl w:val="true"/>
              </w:rPr>
              <w:tab/>
            </w:r>
            <w:r>
              <w:rPr>
                <w:rStyle w:val="IndexLink"/>
              </w:rPr>
              <w:t>385</w:t>
            </w:r>
          </w:hyperlink>
        </w:p>
        <w:p>
          <w:pPr>
            <w:pStyle w:val="Contents4"/>
            <w:tabs>
              <w:tab w:val="clear" w:pos="8176"/>
              <w:tab w:val="right" w:pos="9026" w:leader="dot"/>
            </w:tabs>
            <w:rPr/>
          </w:pPr>
          <w:hyperlink w:anchor="__RefHeading___Toc5261608_581953129">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5261610_581953129">
            <w:r>
              <w:rPr>
                <w:webHidden/>
                <w:rStyle w:val="IndexLink"/>
                <w:rtl w:val="true"/>
              </w:rPr>
              <w:t>الف</w:t>
            </w:r>
            <w:r>
              <w:rPr>
                <w:rStyle w:val="IndexLink"/>
                <w:rtl w:val="true"/>
              </w:rPr>
              <w:t xml:space="preserve">) </w:t>
            </w:r>
            <w:r>
              <w:rPr>
                <w:rStyle w:val="IndexLink"/>
                <w:rtl w:val="true"/>
              </w:rPr>
              <w:t>اصل شناسایی حداقل حقوق برای بیگانگان</w:t>
            </w:r>
            <w:r>
              <w:rPr>
                <w:rStyle w:val="IndexLink"/>
                <w:rtl w:val="true"/>
              </w:rPr>
              <w:tab/>
            </w:r>
            <w:r>
              <w:rPr>
                <w:rStyle w:val="IndexLink"/>
              </w:rPr>
              <w:t>385</w:t>
            </w:r>
          </w:hyperlink>
        </w:p>
        <w:p>
          <w:pPr>
            <w:pStyle w:val="Contents4"/>
            <w:tabs>
              <w:tab w:val="clear" w:pos="8176"/>
              <w:tab w:val="right" w:pos="9026" w:leader="dot"/>
            </w:tabs>
            <w:rPr/>
          </w:pPr>
          <w:hyperlink w:anchor="__RefHeading___Toc5261612_581953129">
            <w:r>
              <w:rPr>
                <w:webHidden/>
                <w:rStyle w:val="IndexLink"/>
                <w:rtl w:val="true"/>
              </w:rPr>
              <w:t>ب</w:t>
            </w:r>
            <w:r>
              <w:rPr>
                <w:rStyle w:val="IndexLink"/>
                <w:rtl w:val="true"/>
              </w:rPr>
              <w:t xml:space="preserve">) </w:t>
            </w:r>
            <w:r>
              <w:rPr>
                <w:rStyle w:val="IndexLink"/>
                <w:rtl w:val="true"/>
              </w:rPr>
              <w:t>اصل رفتار متقابل بین دولت ها</w:t>
            </w:r>
            <w:r>
              <w:rPr>
                <w:rStyle w:val="IndexLink"/>
                <w:rtl w:val="true"/>
              </w:rPr>
              <w:tab/>
            </w:r>
            <w:r>
              <w:rPr>
                <w:rStyle w:val="IndexLink"/>
              </w:rPr>
              <w:t>387</w:t>
            </w:r>
          </w:hyperlink>
        </w:p>
        <w:p>
          <w:pPr>
            <w:pStyle w:val="Contents4"/>
            <w:tabs>
              <w:tab w:val="clear" w:pos="8176"/>
              <w:tab w:val="right" w:pos="9026" w:leader="dot"/>
            </w:tabs>
            <w:rPr/>
          </w:pPr>
          <w:hyperlink w:anchor="__RefHeading___Toc5261614_581953129">
            <w:r>
              <w:rPr>
                <w:webHidden/>
                <w:rStyle w:val="IndexLink"/>
                <w:rtl w:val="true"/>
              </w:rPr>
              <w:t>ج</w:t>
            </w:r>
            <w:r>
              <w:rPr>
                <w:rStyle w:val="IndexLink"/>
                <w:rtl w:val="true"/>
              </w:rPr>
              <w:t xml:space="preserve">) </w:t>
            </w:r>
            <w:r>
              <w:rPr>
                <w:rStyle w:val="IndexLink"/>
                <w:rtl w:val="true"/>
              </w:rPr>
              <w:t>اصل آزادی ورود، عبور و اقامت بیگانگان</w:t>
            </w:r>
            <w:r>
              <w:rPr>
                <w:rStyle w:val="IndexLink"/>
                <w:rtl w:val="true"/>
              </w:rPr>
              <w:tab/>
            </w:r>
            <w:r>
              <w:rPr>
                <w:rStyle w:val="IndexLink"/>
              </w:rPr>
              <w:t>389</w:t>
            </w:r>
          </w:hyperlink>
        </w:p>
        <w:p>
          <w:pPr>
            <w:pStyle w:val="Contents4"/>
            <w:tabs>
              <w:tab w:val="clear" w:pos="8176"/>
              <w:tab w:val="right" w:pos="9026" w:leader="dot"/>
            </w:tabs>
            <w:rPr/>
          </w:pPr>
          <w:hyperlink w:anchor="__RefHeading___Toc5261616_581953129">
            <w:r>
              <w:rPr>
                <w:webHidden/>
                <w:rStyle w:val="IndexLink"/>
                <w:rtl w:val="true"/>
              </w:rPr>
              <w:t>د</w:t>
            </w:r>
            <w:r>
              <w:rPr>
                <w:rStyle w:val="IndexLink"/>
                <w:rtl w:val="true"/>
              </w:rPr>
              <w:t xml:space="preserve">) </w:t>
            </w:r>
            <w:r>
              <w:rPr>
                <w:rStyle w:val="IndexLink"/>
                <w:rtl w:val="true"/>
              </w:rPr>
              <w:t>اصل قوانین داخلی</w:t>
            </w:r>
            <w:r>
              <w:rPr>
                <w:rStyle w:val="IndexLink"/>
                <w:rtl w:val="true"/>
              </w:rPr>
              <w:tab/>
            </w:r>
            <w:r>
              <w:rPr>
                <w:rStyle w:val="IndexLink"/>
              </w:rPr>
              <w:t>390</w:t>
            </w:r>
          </w:hyperlink>
        </w:p>
        <w:p>
          <w:pPr>
            <w:pStyle w:val="Contents3"/>
            <w:tabs>
              <w:tab w:val="clear" w:pos="8459"/>
              <w:tab w:val="right" w:pos="9026" w:leader="dot"/>
            </w:tabs>
            <w:rPr/>
          </w:pPr>
          <w:hyperlink w:anchor="__RefHeading___Toc5261618_581953129">
            <w:r>
              <w:rPr>
                <w:webHidden/>
                <w:rStyle w:val="IndexLink"/>
              </w:rPr>
              <w:t>4</w:t>
            </w:r>
            <w:r>
              <w:rPr>
                <w:rStyle w:val="IndexLink"/>
                <w:rtl w:val="true"/>
              </w:rPr>
              <w:t xml:space="preserve">- </w:t>
            </w:r>
            <w:r>
              <w:rPr>
                <w:rStyle w:val="IndexLink"/>
                <w:rtl w:val="true"/>
              </w:rPr>
              <w:t>وضعیت ورود، خروج و اقامت بیگانه در قوانین ایران</w:t>
            </w:r>
            <w:r>
              <w:rPr>
                <w:rStyle w:val="IndexLink"/>
                <w:rtl w:val="true"/>
              </w:rPr>
              <w:tab/>
            </w:r>
            <w:r>
              <w:rPr>
                <w:rStyle w:val="IndexLink"/>
              </w:rPr>
              <w:t>391</w:t>
            </w:r>
          </w:hyperlink>
        </w:p>
        <w:p>
          <w:pPr>
            <w:pStyle w:val="Contents4"/>
            <w:tabs>
              <w:tab w:val="clear" w:pos="8176"/>
              <w:tab w:val="right" w:pos="9026" w:leader="dot"/>
            </w:tabs>
            <w:rPr/>
          </w:pPr>
          <w:hyperlink w:anchor="__RefHeading___Toc5261620_581953129">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5261622_581953129">
            <w:r>
              <w:rPr>
                <w:webHidden/>
                <w:rStyle w:val="IndexLink"/>
                <w:rtl w:val="true"/>
              </w:rPr>
              <w:t>الف</w:t>
            </w:r>
            <w:r>
              <w:rPr>
                <w:rStyle w:val="IndexLink"/>
                <w:rtl w:val="true"/>
              </w:rPr>
              <w:t xml:space="preserve">) </w:t>
            </w:r>
            <w:r>
              <w:rPr>
                <w:rStyle w:val="IndexLink"/>
                <w:rtl w:val="true"/>
              </w:rPr>
              <w:t>وضعیت ورود اتباع بیگانه</w:t>
            </w:r>
            <w:r>
              <w:rPr>
                <w:rStyle w:val="IndexLink"/>
                <w:rtl w:val="true"/>
              </w:rPr>
              <w:tab/>
            </w:r>
            <w:r>
              <w:rPr>
                <w:rStyle w:val="IndexLink"/>
              </w:rPr>
              <w:t>392</w:t>
            </w:r>
          </w:hyperlink>
        </w:p>
        <w:p>
          <w:pPr>
            <w:pStyle w:val="Contents5"/>
            <w:tabs>
              <w:tab w:val="clear" w:pos="7892"/>
              <w:tab w:val="right" w:pos="9026" w:leader="dot"/>
            </w:tabs>
            <w:rPr/>
          </w:pPr>
          <w:hyperlink w:anchor="__RefHeading___Toc5261624_581953129">
            <w:r>
              <w:rPr>
                <w:webHidden/>
                <w:rStyle w:val="IndexLink"/>
                <w:rtl w:val="true"/>
              </w:rPr>
              <w:t>اشاره</w:t>
            </w:r>
            <w:r>
              <w:rPr>
                <w:rStyle w:val="IndexLink"/>
                <w:rtl w:val="true"/>
              </w:rPr>
              <w:tab/>
            </w:r>
            <w:r>
              <w:rPr>
                <w:rStyle w:val="IndexLink"/>
              </w:rPr>
              <w:t>392</w:t>
            </w:r>
          </w:hyperlink>
        </w:p>
        <w:p>
          <w:pPr>
            <w:pStyle w:val="Contents5"/>
            <w:tabs>
              <w:tab w:val="clear" w:pos="7892"/>
              <w:tab w:val="right" w:pos="9026" w:leader="dot"/>
            </w:tabs>
            <w:rPr/>
          </w:pPr>
          <w:hyperlink w:anchor="__RefHeading___Toc5261626_581953129">
            <w:r>
              <w:rPr>
                <w:webHidden/>
                <w:rStyle w:val="IndexLink"/>
                <w:rtl w:val="true"/>
              </w:rPr>
              <w:t>ب</w:t>
            </w:r>
            <w:r>
              <w:rPr>
                <w:rStyle w:val="IndexLink"/>
                <w:rtl w:val="true"/>
              </w:rPr>
              <w:t xml:space="preserve">) </w:t>
            </w:r>
            <w:r>
              <w:rPr>
                <w:rStyle w:val="IndexLink"/>
                <w:rtl w:val="true"/>
              </w:rPr>
              <w:t>اقامت اتباع بیگانه</w:t>
            </w:r>
            <w:r>
              <w:rPr>
                <w:rStyle w:val="IndexLink"/>
                <w:rtl w:val="true"/>
              </w:rPr>
              <w:tab/>
            </w:r>
            <w:r>
              <w:rPr>
                <w:rStyle w:val="IndexLink"/>
              </w:rPr>
              <w:t>395</w:t>
            </w:r>
          </w:hyperlink>
        </w:p>
        <w:p>
          <w:pPr>
            <w:pStyle w:val="Contents5"/>
            <w:tabs>
              <w:tab w:val="clear" w:pos="7892"/>
              <w:tab w:val="right" w:pos="9026" w:leader="dot"/>
            </w:tabs>
            <w:rPr/>
          </w:pPr>
          <w:hyperlink w:anchor="__RefHeading___Toc5261628_581953129">
            <w:r>
              <w:rPr>
                <w:webHidden/>
                <w:rStyle w:val="IndexLink"/>
                <w:rtl w:val="true"/>
              </w:rPr>
              <w:t>ج</w:t>
            </w:r>
            <w:r>
              <w:rPr>
                <w:rStyle w:val="IndexLink"/>
                <w:rtl w:val="true"/>
              </w:rPr>
              <w:t xml:space="preserve">) </w:t>
            </w:r>
            <w:r>
              <w:rPr>
                <w:rStyle w:val="IndexLink"/>
                <w:rtl w:val="true"/>
              </w:rPr>
              <w:t>عبور اتباع بیگانه</w:t>
            </w:r>
            <w:r>
              <w:rPr>
                <w:rStyle w:val="IndexLink"/>
                <w:rtl w:val="true"/>
              </w:rPr>
              <w:tab/>
            </w:r>
            <w:r>
              <w:rPr>
                <w:rStyle w:val="IndexLink"/>
              </w:rPr>
              <w:t>397</w:t>
            </w:r>
          </w:hyperlink>
        </w:p>
        <w:p>
          <w:pPr>
            <w:pStyle w:val="Contents5"/>
            <w:tabs>
              <w:tab w:val="clear" w:pos="7892"/>
              <w:tab w:val="right" w:pos="9026" w:leader="dot"/>
            </w:tabs>
            <w:rPr/>
          </w:pPr>
          <w:hyperlink w:anchor="__RefHeading___Toc5261630_581953129">
            <w:r>
              <w:rPr>
                <w:webHidden/>
                <w:rStyle w:val="IndexLink"/>
                <w:rtl w:val="true"/>
              </w:rPr>
              <w:t>د</w:t>
            </w:r>
            <w:r>
              <w:rPr>
                <w:rStyle w:val="IndexLink"/>
                <w:rtl w:val="true"/>
              </w:rPr>
              <w:t xml:space="preserve">) </w:t>
            </w:r>
            <w:r>
              <w:rPr>
                <w:rStyle w:val="IndexLink"/>
                <w:rtl w:val="true"/>
              </w:rPr>
              <w:t>خروج اتباع بیگانه</w:t>
            </w:r>
            <w:r>
              <w:rPr>
                <w:rStyle w:val="IndexLink"/>
                <w:rtl w:val="true"/>
              </w:rPr>
              <w:tab/>
            </w:r>
            <w:r>
              <w:rPr>
                <w:rStyle w:val="IndexLink"/>
              </w:rPr>
              <w:t>398</w:t>
            </w:r>
          </w:hyperlink>
        </w:p>
        <w:p>
          <w:pPr>
            <w:pStyle w:val="Contents5"/>
            <w:tabs>
              <w:tab w:val="clear" w:pos="7892"/>
              <w:tab w:val="right" w:pos="9026" w:leader="dot"/>
            </w:tabs>
            <w:rPr/>
          </w:pPr>
          <w:hyperlink w:anchor="__RefHeading___Toc5261632_581953129">
            <w:r>
              <w:rPr>
                <w:webHidden/>
                <w:rStyle w:val="IndexLink"/>
                <w:rtl w:val="true"/>
              </w:rPr>
              <w:t>ه</w:t>
            </w:r>
            <w:r>
              <w:rPr>
                <w:rStyle w:val="IndexLink"/>
                <w:rtl w:val="true"/>
              </w:rPr>
              <w:t xml:space="preserve">) </w:t>
            </w:r>
            <w:r>
              <w:rPr>
                <w:rStyle w:val="IndexLink"/>
                <w:rtl w:val="true"/>
              </w:rPr>
              <w:t>اخراج اتباع بیگانه</w:t>
            </w:r>
            <w:r>
              <w:rPr>
                <w:rStyle w:val="IndexLink"/>
                <w:rtl w:val="true"/>
              </w:rPr>
              <w:tab/>
            </w:r>
            <w:r>
              <w:rPr>
                <w:rStyle w:val="IndexLink"/>
              </w:rPr>
              <w:t>399</w:t>
            </w:r>
          </w:hyperlink>
        </w:p>
        <w:p>
          <w:pPr>
            <w:pStyle w:val="Contents2"/>
            <w:tabs>
              <w:tab w:val="clear" w:pos="8743"/>
              <w:tab w:val="right" w:pos="9026" w:leader="dot"/>
            </w:tabs>
            <w:rPr/>
          </w:pPr>
          <w:hyperlink w:anchor="__RefHeading___Toc5261634_581953129">
            <w:r>
              <w:rPr>
                <w:webHidden/>
                <w:rStyle w:val="IndexLink"/>
              </w:rPr>
              <w:t>14</w:t>
            </w:r>
            <w:r>
              <w:rPr>
                <w:rStyle w:val="IndexLink"/>
                <w:rtl w:val="true"/>
              </w:rPr>
              <w:t xml:space="preserve">- </w:t>
            </w:r>
            <w:r>
              <w:rPr>
                <w:rStyle w:val="IndexLink"/>
                <w:rtl w:val="true"/>
              </w:rPr>
              <w:t>وضعیت حقوق خصوصی اشخاص حقیقی بیگانه در ایران</w:t>
            </w:r>
            <w:r>
              <w:rPr>
                <w:rStyle w:val="IndexLink"/>
                <w:rtl w:val="true"/>
              </w:rPr>
              <w:tab/>
            </w:r>
            <w:r>
              <w:rPr>
                <w:rStyle w:val="IndexLink"/>
              </w:rPr>
              <w:t>416</w:t>
            </w:r>
          </w:hyperlink>
        </w:p>
        <w:p>
          <w:pPr>
            <w:pStyle w:val="Contents3"/>
            <w:tabs>
              <w:tab w:val="clear" w:pos="8459"/>
              <w:tab w:val="right" w:pos="9026" w:leader="dot"/>
            </w:tabs>
            <w:rPr/>
          </w:pPr>
          <w:hyperlink w:anchor="__RefHeading___Toc5261636_581953129">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5261638_581953129">
            <w:r>
              <w:rPr>
                <w:webHidden/>
                <w:rStyle w:val="IndexLink"/>
              </w:rPr>
              <w:t>1</w:t>
            </w:r>
            <w:r>
              <w:rPr>
                <w:rStyle w:val="IndexLink"/>
                <w:rtl w:val="true"/>
              </w:rPr>
              <w:t xml:space="preserve">- </w:t>
            </w:r>
            <w:r>
              <w:rPr>
                <w:rStyle w:val="IndexLink"/>
                <w:rtl w:val="true"/>
              </w:rPr>
              <w:t>استثناهای اصل فوق نسبت به اصل کلّی برخورداری از حقوق خصوصی</w:t>
            </w:r>
            <w:r>
              <w:rPr>
                <w:rStyle w:val="IndexLink"/>
                <w:rtl w:val="true"/>
              </w:rPr>
              <w:tab/>
            </w:r>
            <w:r>
              <w:rPr>
                <w:rStyle w:val="IndexLink"/>
              </w:rPr>
              <w:t>417</w:t>
            </w:r>
          </w:hyperlink>
        </w:p>
        <w:p>
          <w:pPr>
            <w:pStyle w:val="Contents3"/>
            <w:tabs>
              <w:tab w:val="clear" w:pos="8459"/>
              <w:tab w:val="right" w:pos="9026" w:leader="dot"/>
            </w:tabs>
            <w:rPr/>
          </w:pPr>
          <w:hyperlink w:anchor="__RefHeading___Toc5261640_581953129">
            <w:r>
              <w:rPr>
                <w:webHidden/>
                <w:rStyle w:val="IndexLink"/>
              </w:rPr>
              <w:t>2</w:t>
            </w:r>
            <w:r>
              <w:rPr>
                <w:rStyle w:val="IndexLink"/>
                <w:rtl w:val="true"/>
              </w:rPr>
              <w:t xml:space="preserve">- </w:t>
            </w:r>
            <w:r>
              <w:rPr>
                <w:rStyle w:val="IndexLink"/>
                <w:rtl w:val="true"/>
              </w:rPr>
              <w:t>حقوق تصریح شده برای بیگانگان</w:t>
            </w:r>
            <w:r>
              <w:rPr>
                <w:rStyle w:val="IndexLink"/>
                <w:rtl w:val="true"/>
              </w:rPr>
              <w:tab/>
            </w:r>
            <w:r>
              <w:rPr>
                <w:rStyle w:val="IndexLink"/>
              </w:rPr>
              <w:t>421</w:t>
            </w:r>
          </w:hyperlink>
        </w:p>
        <w:p>
          <w:pPr>
            <w:pStyle w:val="Contents3"/>
            <w:tabs>
              <w:tab w:val="clear" w:pos="8459"/>
              <w:tab w:val="right" w:pos="9026" w:leader="dot"/>
            </w:tabs>
            <w:rPr/>
          </w:pPr>
          <w:hyperlink w:anchor="__RefHeading___Toc5261642_581953129">
            <w:r>
              <w:rPr>
                <w:webHidden/>
                <w:rStyle w:val="IndexLink"/>
              </w:rPr>
              <w:t>3</w:t>
            </w:r>
            <w:r>
              <w:rPr>
                <w:rStyle w:val="IndexLink"/>
                <w:rtl w:val="true"/>
              </w:rPr>
              <w:t xml:space="preserve">- </w:t>
            </w:r>
            <w:r>
              <w:rPr>
                <w:rStyle w:val="IndexLink"/>
                <w:rtl w:val="true"/>
              </w:rPr>
              <w:t>برخی دیگر از حقوق خصوصی اشخاص حقیقی بیگانه در ایران</w:t>
            </w:r>
            <w:r>
              <w:rPr>
                <w:rStyle w:val="IndexLink"/>
                <w:rtl w:val="true"/>
              </w:rPr>
              <w:tab/>
            </w:r>
            <w:r>
              <w:rPr>
                <w:rStyle w:val="IndexLink"/>
              </w:rPr>
              <w:t>422</w:t>
            </w:r>
          </w:hyperlink>
        </w:p>
        <w:p>
          <w:pPr>
            <w:pStyle w:val="Contents4"/>
            <w:tabs>
              <w:tab w:val="clear" w:pos="8176"/>
              <w:tab w:val="right" w:pos="9026" w:leader="dot"/>
            </w:tabs>
            <w:rPr/>
          </w:pPr>
          <w:hyperlink w:anchor="__RefHeading___Toc5261644_581953129">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5261646_581953129">
            <w:r>
              <w:rPr>
                <w:webHidden/>
                <w:rStyle w:val="IndexLink"/>
                <w:rtl w:val="true"/>
              </w:rPr>
              <w:t>الف</w:t>
            </w:r>
            <w:r>
              <w:rPr>
                <w:rStyle w:val="IndexLink"/>
                <w:rtl w:val="true"/>
              </w:rPr>
              <w:t xml:space="preserve">) </w:t>
            </w:r>
            <w:r>
              <w:rPr>
                <w:rStyle w:val="IndexLink"/>
                <w:rtl w:val="true"/>
              </w:rPr>
              <w:t>احترام به مالکیت های معنوی بیگانگان و حمایت از آن</w:t>
            </w:r>
            <w:r>
              <w:rPr>
                <w:rStyle w:val="IndexLink"/>
                <w:rtl w:val="true"/>
              </w:rPr>
              <w:tab/>
            </w:r>
            <w:r>
              <w:rPr>
                <w:rStyle w:val="IndexLink"/>
              </w:rPr>
              <w:t>422</w:t>
            </w:r>
          </w:hyperlink>
        </w:p>
        <w:p>
          <w:pPr>
            <w:pStyle w:val="Contents4"/>
            <w:tabs>
              <w:tab w:val="clear" w:pos="8176"/>
              <w:tab w:val="right" w:pos="9026" w:leader="dot"/>
            </w:tabs>
            <w:rPr/>
          </w:pPr>
          <w:hyperlink w:anchor="__RefHeading___Toc5261648_581953129">
            <w:r>
              <w:rPr>
                <w:webHidden/>
                <w:rStyle w:val="IndexLink"/>
                <w:rtl w:val="true"/>
              </w:rPr>
              <w:t>ب</w:t>
            </w:r>
            <w:r>
              <w:rPr>
                <w:rStyle w:val="IndexLink"/>
                <w:rtl w:val="true"/>
              </w:rPr>
              <w:t xml:space="preserve">) </w:t>
            </w:r>
            <w:r>
              <w:rPr>
                <w:rStyle w:val="IndexLink"/>
                <w:rtl w:val="true"/>
              </w:rPr>
              <w:t>پذیرش رهن از سوی بیگانگان</w:t>
            </w:r>
            <w:r>
              <w:rPr>
                <w:rStyle w:val="IndexLink"/>
                <w:rtl w:val="true"/>
              </w:rPr>
              <w:tab/>
            </w:r>
            <w:r>
              <w:rPr>
                <w:rStyle w:val="IndexLink"/>
              </w:rPr>
              <w:t>424</w:t>
            </w:r>
          </w:hyperlink>
        </w:p>
        <w:p>
          <w:pPr>
            <w:pStyle w:val="Contents4"/>
            <w:tabs>
              <w:tab w:val="clear" w:pos="8176"/>
              <w:tab w:val="right" w:pos="9026" w:leader="dot"/>
            </w:tabs>
            <w:rPr/>
          </w:pPr>
          <w:hyperlink w:anchor="__RefHeading___Toc5261650_581953129">
            <w:r>
              <w:rPr>
                <w:webHidden/>
                <w:rStyle w:val="IndexLink"/>
                <w:rtl w:val="true"/>
              </w:rPr>
              <w:t>ج</w:t>
            </w:r>
            <w:r>
              <w:rPr>
                <w:rStyle w:val="IndexLink"/>
                <w:rtl w:val="true"/>
              </w:rPr>
              <w:t xml:space="preserve">) </w:t>
            </w:r>
            <w:r>
              <w:rPr>
                <w:rStyle w:val="IndexLink"/>
                <w:rtl w:val="true"/>
              </w:rPr>
              <w:t>به دست آوردن و تصرف و نقل و انتقال دارایی های منقول اتباع آلمانی</w:t>
            </w:r>
            <w:r>
              <w:rPr>
                <w:rStyle w:val="IndexLink"/>
                <w:rtl w:val="true"/>
              </w:rPr>
              <w:tab/>
            </w:r>
            <w:r>
              <w:rPr>
                <w:rStyle w:val="IndexLink"/>
              </w:rPr>
              <w:t>424</w:t>
            </w:r>
          </w:hyperlink>
        </w:p>
        <w:p>
          <w:pPr>
            <w:pStyle w:val="Contents4"/>
            <w:tabs>
              <w:tab w:val="clear" w:pos="8176"/>
              <w:tab w:val="right" w:pos="9026" w:leader="dot"/>
            </w:tabs>
            <w:rPr/>
          </w:pPr>
          <w:hyperlink w:anchor="__RefHeading___Toc5261652_581953129">
            <w:r>
              <w:rPr>
                <w:webHidden/>
                <w:rStyle w:val="IndexLink"/>
                <w:rtl w:val="true"/>
              </w:rPr>
              <w:t>د</w:t>
            </w:r>
            <w:r>
              <w:rPr>
                <w:rStyle w:val="IndexLink"/>
                <w:rtl w:val="true"/>
              </w:rPr>
              <w:t xml:space="preserve">) </w:t>
            </w:r>
            <w:r>
              <w:rPr>
                <w:rStyle w:val="IndexLink"/>
                <w:rtl w:val="true"/>
              </w:rPr>
              <w:t>مالک شدن دارایی های غیرمنقول از سوی اتباع بیگانه</w:t>
            </w:r>
            <w:r>
              <w:rPr>
                <w:rStyle w:val="IndexLink"/>
                <w:rtl w:val="true"/>
              </w:rPr>
              <w:tab/>
            </w:r>
            <w:r>
              <w:rPr>
                <w:rStyle w:val="IndexLink"/>
              </w:rPr>
              <w:t>425</w:t>
            </w:r>
          </w:hyperlink>
        </w:p>
        <w:p>
          <w:pPr>
            <w:pStyle w:val="Contents4"/>
            <w:tabs>
              <w:tab w:val="clear" w:pos="8176"/>
              <w:tab w:val="right" w:pos="9026" w:leader="dot"/>
            </w:tabs>
            <w:rPr/>
          </w:pPr>
          <w:hyperlink w:anchor="__RefHeading___Toc5261654_581953129">
            <w:r>
              <w:rPr>
                <w:webHidden/>
                <w:rStyle w:val="IndexLink"/>
                <w:rtl w:val="true"/>
              </w:rPr>
              <w:t>ه</w:t>
            </w:r>
            <w:r>
              <w:rPr>
                <w:rStyle w:val="IndexLink"/>
                <w:rtl w:val="true"/>
              </w:rPr>
              <w:t xml:space="preserve">) </w:t>
            </w:r>
            <w:r>
              <w:rPr>
                <w:rStyle w:val="IndexLink"/>
                <w:rtl w:val="true"/>
              </w:rPr>
              <w:t>احوال شخصیه بیگانگان</w:t>
            </w:r>
            <w:r>
              <w:rPr>
                <w:rStyle w:val="IndexLink"/>
                <w:rtl w:val="true"/>
              </w:rPr>
              <w:tab/>
            </w:r>
            <w:r>
              <w:rPr>
                <w:rStyle w:val="IndexLink"/>
              </w:rPr>
              <w:t>425</w:t>
            </w:r>
          </w:hyperlink>
        </w:p>
        <w:p>
          <w:pPr>
            <w:pStyle w:val="Contents2"/>
            <w:tabs>
              <w:tab w:val="clear" w:pos="8743"/>
              <w:tab w:val="right" w:pos="9026" w:leader="dot"/>
            </w:tabs>
            <w:rPr/>
          </w:pPr>
          <w:hyperlink w:anchor="__RefHeading___Toc5261656_581953129">
            <w:r>
              <w:rPr>
                <w:webHidden/>
                <w:rStyle w:val="IndexLink"/>
              </w:rPr>
              <w:t>15</w:t>
            </w:r>
            <w:r>
              <w:rPr>
                <w:rStyle w:val="IndexLink"/>
                <w:rtl w:val="true"/>
              </w:rPr>
              <w:t xml:space="preserve">- </w:t>
            </w:r>
            <w:r>
              <w:rPr>
                <w:rStyle w:val="IndexLink"/>
                <w:rtl w:val="true"/>
              </w:rPr>
              <w:t>وضعیت حقوق عمومی اشخاص حقیقی بیگانه در ایران</w:t>
            </w:r>
            <w:r>
              <w:rPr>
                <w:rStyle w:val="IndexLink"/>
                <w:rtl w:val="true"/>
              </w:rPr>
              <w:tab/>
            </w:r>
            <w:r>
              <w:rPr>
                <w:rStyle w:val="IndexLink"/>
              </w:rPr>
              <w:t>438</w:t>
            </w:r>
          </w:hyperlink>
        </w:p>
        <w:p>
          <w:pPr>
            <w:pStyle w:val="Contents3"/>
            <w:tabs>
              <w:tab w:val="clear" w:pos="8459"/>
              <w:tab w:val="right" w:pos="9026" w:leader="dot"/>
            </w:tabs>
            <w:rPr/>
          </w:pPr>
          <w:hyperlink w:anchor="__RefHeading___Toc5261658_581953129">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5261660_581953129">
            <w:r>
              <w:rPr>
                <w:webHidden/>
                <w:rStyle w:val="IndexLink"/>
              </w:rPr>
              <w:t>1</w:t>
            </w:r>
            <w:r>
              <w:rPr>
                <w:rStyle w:val="IndexLink"/>
                <w:rtl w:val="true"/>
              </w:rPr>
              <w:t xml:space="preserve">- </w:t>
            </w:r>
            <w:r>
              <w:rPr>
                <w:rStyle w:val="IndexLink"/>
                <w:rtl w:val="true"/>
              </w:rPr>
              <w:t>بهره ها و امتیازهای بیگانگان در بحث حقوق عمومی</w:t>
            </w:r>
            <w:r>
              <w:rPr>
                <w:rStyle w:val="IndexLink"/>
                <w:rtl w:val="true"/>
              </w:rPr>
              <w:tab/>
            </w:r>
            <w:r>
              <w:rPr>
                <w:rStyle w:val="IndexLink"/>
              </w:rPr>
              <w:t>439</w:t>
            </w:r>
          </w:hyperlink>
        </w:p>
        <w:p>
          <w:pPr>
            <w:pStyle w:val="Contents4"/>
            <w:tabs>
              <w:tab w:val="clear" w:pos="8176"/>
              <w:tab w:val="right" w:pos="9026" w:leader="dot"/>
            </w:tabs>
            <w:rPr/>
          </w:pPr>
          <w:hyperlink w:anchor="__RefHeading___Toc5261662_581953129">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5261664_581953129">
            <w:r>
              <w:rPr>
                <w:webHidden/>
                <w:rStyle w:val="IndexLink"/>
                <w:rtl w:val="true"/>
              </w:rPr>
              <w:t>الف</w:t>
            </w:r>
            <w:r>
              <w:rPr>
                <w:rStyle w:val="IndexLink"/>
                <w:rtl w:val="true"/>
              </w:rPr>
              <w:t xml:space="preserve">) </w:t>
            </w:r>
            <w:r>
              <w:rPr>
                <w:rStyle w:val="IndexLink"/>
                <w:rtl w:val="true"/>
              </w:rPr>
              <w:t xml:space="preserve">حقوق اساسی </w:t>
            </w:r>
            <w:r>
              <w:rPr>
                <w:rStyle w:val="IndexLink"/>
                <w:rtl w:val="true"/>
              </w:rPr>
              <w:t>(</w:t>
            </w:r>
            <w:r>
              <w:rPr>
                <w:rStyle w:val="IndexLink"/>
                <w:rtl w:val="true"/>
              </w:rPr>
              <w:t>آزادی های فردی و مصونیت های شخصی</w:t>
            </w:r>
            <w:r>
              <w:rPr>
                <w:rStyle w:val="IndexLink"/>
                <w:rtl w:val="true"/>
              </w:rPr>
              <w:t>)</w:t>
              <w:tab/>
            </w:r>
            <w:r>
              <w:rPr>
                <w:rStyle w:val="IndexLink"/>
              </w:rPr>
              <w:t>439</w:t>
            </w:r>
          </w:hyperlink>
        </w:p>
        <w:p>
          <w:pPr>
            <w:pStyle w:val="Contents4"/>
            <w:tabs>
              <w:tab w:val="clear" w:pos="8176"/>
              <w:tab w:val="right" w:pos="9026" w:leader="dot"/>
            </w:tabs>
            <w:rPr/>
          </w:pPr>
          <w:hyperlink w:anchor="__RefHeading___Toc5261666_581953129">
            <w:r>
              <w:rPr>
                <w:webHidden/>
                <w:rStyle w:val="IndexLink"/>
                <w:rtl w:val="true"/>
              </w:rPr>
              <w:t>ب</w:t>
            </w:r>
            <w:r>
              <w:rPr>
                <w:rStyle w:val="IndexLink"/>
                <w:rtl w:val="true"/>
              </w:rPr>
              <w:t xml:space="preserve">) </w:t>
            </w:r>
            <w:r>
              <w:rPr>
                <w:rStyle w:val="IndexLink"/>
                <w:rtl w:val="true"/>
              </w:rPr>
              <w:t>حقوق اقتصادی</w:t>
            </w:r>
            <w:r>
              <w:rPr>
                <w:rStyle w:val="IndexLink"/>
                <w:rtl w:val="true"/>
              </w:rPr>
              <w:tab/>
            </w:r>
            <w:r>
              <w:rPr>
                <w:rStyle w:val="IndexLink"/>
              </w:rPr>
              <w:t>443</w:t>
            </w:r>
          </w:hyperlink>
        </w:p>
        <w:p>
          <w:pPr>
            <w:pStyle w:val="Contents4"/>
            <w:tabs>
              <w:tab w:val="clear" w:pos="8176"/>
              <w:tab w:val="right" w:pos="9026" w:leader="dot"/>
            </w:tabs>
            <w:rPr/>
          </w:pPr>
          <w:hyperlink w:anchor="__RefHeading___Toc5261668_581953129">
            <w:r>
              <w:rPr>
                <w:webHidden/>
                <w:rStyle w:val="IndexLink"/>
                <w:rtl w:val="true"/>
              </w:rPr>
              <w:t>ج</w:t>
            </w:r>
            <w:r>
              <w:rPr>
                <w:rStyle w:val="IndexLink"/>
                <w:rtl w:val="true"/>
              </w:rPr>
              <w:t xml:space="preserve">) </w:t>
            </w:r>
            <w:r>
              <w:rPr>
                <w:rStyle w:val="IndexLink"/>
                <w:rtl w:val="true"/>
              </w:rPr>
              <w:t>حقوق قضایی</w:t>
            </w:r>
            <w:r>
              <w:rPr>
                <w:rStyle w:val="IndexLink"/>
                <w:rtl w:val="true"/>
              </w:rPr>
              <w:tab/>
            </w:r>
            <w:r>
              <w:rPr>
                <w:rStyle w:val="IndexLink"/>
              </w:rPr>
              <w:t>445</w:t>
            </w:r>
          </w:hyperlink>
        </w:p>
        <w:p>
          <w:pPr>
            <w:pStyle w:val="Contents3"/>
            <w:tabs>
              <w:tab w:val="clear" w:pos="8459"/>
              <w:tab w:val="right" w:pos="9026" w:leader="dot"/>
            </w:tabs>
            <w:rPr/>
          </w:pPr>
          <w:hyperlink w:anchor="__RefHeading___Toc5261670_581953129">
            <w:r>
              <w:rPr>
                <w:webHidden/>
                <w:rStyle w:val="IndexLink"/>
              </w:rPr>
              <w:t>2</w:t>
            </w:r>
            <w:r>
              <w:rPr>
                <w:rStyle w:val="IndexLink"/>
                <w:rtl w:val="true"/>
              </w:rPr>
              <w:t xml:space="preserve">- </w:t>
            </w:r>
            <w:r>
              <w:rPr>
                <w:rStyle w:val="IndexLink"/>
                <w:rtl w:val="true"/>
              </w:rPr>
              <w:t>محرومیت ها، معافیت ها و تکالیف</w:t>
            </w:r>
            <w:r>
              <w:rPr>
                <w:rStyle w:val="IndexLink"/>
                <w:rtl w:val="true"/>
              </w:rPr>
              <w:tab/>
            </w:r>
            <w:r>
              <w:rPr>
                <w:rStyle w:val="IndexLink"/>
              </w:rPr>
              <w:t>447</w:t>
            </w:r>
          </w:hyperlink>
        </w:p>
        <w:p>
          <w:pPr>
            <w:pStyle w:val="Contents4"/>
            <w:tabs>
              <w:tab w:val="clear" w:pos="8176"/>
              <w:tab w:val="right" w:pos="9026" w:leader="dot"/>
            </w:tabs>
            <w:rPr/>
          </w:pPr>
          <w:hyperlink w:anchor="__RefHeading___Toc5261672_581953129">
            <w:r>
              <w:rPr>
                <w:webHidden/>
                <w:rStyle w:val="IndexLink"/>
                <w:rtl w:val="true"/>
              </w:rPr>
              <w:t>الف</w:t>
            </w:r>
            <w:r>
              <w:rPr>
                <w:rStyle w:val="IndexLink"/>
                <w:rtl w:val="true"/>
              </w:rPr>
              <w:t xml:space="preserve">) </w:t>
            </w:r>
            <w:r>
              <w:rPr>
                <w:rStyle w:val="IndexLink"/>
                <w:rtl w:val="true"/>
              </w:rPr>
              <w:t>محرومیت ها</w:t>
            </w:r>
            <w:r>
              <w:rPr>
                <w:rStyle w:val="IndexLink"/>
                <w:rtl w:val="true"/>
              </w:rPr>
              <w:tab/>
            </w:r>
            <w:r>
              <w:rPr>
                <w:rStyle w:val="IndexLink"/>
              </w:rPr>
              <w:t>447</w:t>
            </w:r>
          </w:hyperlink>
        </w:p>
        <w:p>
          <w:pPr>
            <w:pStyle w:val="Contents4"/>
            <w:tabs>
              <w:tab w:val="clear" w:pos="8176"/>
              <w:tab w:val="right" w:pos="9026" w:leader="dot"/>
            </w:tabs>
            <w:rPr/>
          </w:pPr>
          <w:hyperlink w:anchor="__RefHeading___Toc5261674_581953129">
            <w:r>
              <w:rPr>
                <w:webHidden/>
                <w:rStyle w:val="IndexLink"/>
                <w:rtl w:val="true"/>
              </w:rPr>
              <w:t>ب</w:t>
            </w:r>
            <w:r>
              <w:rPr>
                <w:rStyle w:val="IndexLink"/>
                <w:rtl w:val="true"/>
              </w:rPr>
              <w:t xml:space="preserve">) </w:t>
            </w:r>
            <w:r>
              <w:rPr>
                <w:rStyle w:val="IndexLink"/>
                <w:rtl w:val="true"/>
              </w:rPr>
              <w:t>معافیت ها</w:t>
            </w:r>
            <w:r>
              <w:rPr>
                <w:rStyle w:val="IndexLink"/>
                <w:rtl w:val="true"/>
              </w:rPr>
              <w:tab/>
            </w:r>
            <w:r>
              <w:rPr>
                <w:rStyle w:val="IndexLink"/>
              </w:rPr>
              <w:t>449</w:t>
            </w:r>
          </w:hyperlink>
        </w:p>
        <w:p>
          <w:pPr>
            <w:pStyle w:val="Contents4"/>
            <w:tabs>
              <w:tab w:val="clear" w:pos="8176"/>
              <w:tab w:val="right" w:pos="9026" w:leader="dot"/>
            </w:tabs>
            <w:rPr/>
          </w:pPr>
          <w:hyperlink w:anchor="__RefHeading___Toc5261676_581953129">
            <w:r>
              <w:rPr>
                <w:webHidden/>
                <w:rStyle w:val="IndexLink"/>
                <w:rtl w:val="true"/>
              </w:rPr>
              <w:t>ج</w:t>
            </w:r>
            <w:r>
              <w:rPr>
                <w:rStyle w:val="IndexLink"/>
                <w:rtl w:val="true"/>
              </w:rPr>
              <w:t xml:space="preserve">) </w:t>
            </w:r>
            <w:r>
              <w:rPr>
                <w:rStyle w:val="IndexLink"/>
                <w:rtl w:val="true"/>
              </w:rPr>
              <w:t>تکالیف</w:t>
            </w:r>
            <w:r>
              <w:rPr>
                <w:rStyle w:val="IndexLink"/>
                <w:rtl w:val="true"/>
              </w:rPr>
              <w:tab/>
            </w:r>
            <w:r>
              <w:rPr>
                <w:rStyle w:val="IndexLink"/>
              </w:rPr>
              <w:t>452</w:t>
            </w:r>
          </w:hyperlink>
        </w:p>
        <w:p>
          <w:pPr>
            <w:pStyle w:val="Contents2"/>
            <w:tabs>
              <w:tab w:val="clear" w:pos="8743"/>
              <w:tab w:val="right" w:pos="9026" w:leader="dot"/>
            </w:tabs>
            <w:rPr/>
          </w:pPr>
          <w:hyperlink w:anchor="__RefHeading___Toc5261678_581953129">
            <w:r>
              <w:rPr>
                <w:webHidden/>
                <w:rStyle w:val="IndexLink"/>
              </w:rPr>
              <w:t>16</w:t>
            </w:r>
            <w:r>
              <w:rPr>
                <w:rStyle w:val="IndexLink"/>
                <w:rtl w:val="true"/>
              </w:rPr>
              <w:t xml:space="preserve">- </w:t>
            </w:r>
            <w:r>
              <w:rPr>
                <w:rStyle w:val="IndexLink"/>
                <w:rtl w:val="true"/>
              </w:rPr>
              <w:t>وضعیت اشخاص حقوقی بیگانه</w:t>
            </w:r>
            <w:r>
              <w:rPr>
                <w:rStyle w:val="IndexLink"/>
                <w:rtl w:val="true"/>
              </w:rPr>
              <w:tab/>
            </w:r>
            <w:r>
              <w:rPr>
                <w:rStyle w:val="IndexLink"/>
              </w:rPr>
              <w:t>461</w:t>
            </w:r>
          </w:hyperlink>
        </w:p>
        <w:p>
          <w:pPr>
            <w:pStyle w:val="Contents3"/>
            <w:tabs>
              <w:tab w:val="clear" w:pos="8459"/>
              <w:tab w:val="right" w:pos="9026" w:leader="dot"/>
            </w:tabs>
            <w:rPr/>
          </w:pPr>
          <w:hyperlink w:anchor="__RefHeading___Toc5261680_581953129">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5261682_581953129">
            <w:r>
              <w:rPr>
                <w:webHidden/>
                <w:rStyle w:val="IndexLink"/>
              </w:rPr>
              <w:t>1</w:t>
            </w:r>
            <w:r>
              <w:rPr>
                <w:rStyle w:val="IndexLink"/>
                <w:rtl w:val="true"/>
              </w:rPr>
              <w:t xml:space="preserve">- </w:t>
            </w:r>
            <w:r>
              <w:rPr>
                <w:rStyle w:val="IndexLink"/>
                <w:rtl w:val="true"/>
              </w:rPr>
              <w:t>شناسایی اشخاص حقوقی در ایران</w:t>
            </w:r>
            <w:r>
              <w:rPr>
                <w:rStyle w:val="IndexLink"/>
                <w:rtl w:val="true"/>
              </w:rPr>
              <w:tab/>
            </w:r>
            <w:r>
              <w:rPr>
                <w:rStyle w:val="IndexLink"/>
              </w:rPr>
              <w:t>462</w:t>
            </w:r>
          </w:hyperlink>
        </w:p>
        <w:p>
          <w:pPr>
            <w:pStyle w:val="Contents3"/>
            <w:tabs>
              <w:tab w:val="clear" w:pos="8459"/>
              <w:tab w:val="right" w:pos="9026" w:leader="dot"/>
            </w:tabs>
            <w:rPr/>
          </w:pPr>
          <w:hyperlink w:anchor="__RefHeading___Toc5261684_581953129">
            <w:r>
              <w:rPr>
                <w:webHidden/>
                <w:rStyle w:val="IndexLink"/>
              </w:rPr>
              <w:t>2</w:t>
            </w:r>
            <w:r>
              <w:rPr>
                <w:rStyle w:val="IndexLink"/>
                <w:rtl w:val="true"/>
              </w:rPr>
              <w:t xml:space="preserve">- </w:t>
            </w:r>
            <w:r>
              <w:rPr>
                <w:rStyle w:val="IndexLink"/>
                <w:rtl w:val="true"/>
              </w:rPr>
              <w:t>شناسایی اشخاص حقوقی از راه معاهده ها</w:t>
            </w:r>
            <w:r>
              <w:rPr>
                <w:rStyle w:val="IndexLink"/>
                <w:rtl w:val="true"/>
              </w:rPr>
              <w:tab/>
            </w:r>
            <w:r>
              <w:rPr>
                <w:rStyle w:val="IndexLink"/>
              </w:rPr>
              <w:t>464</w:t>
            </w:r>
          </w:hyperlink>
        </w:p>
        <w:p>
          <w:pPr>
            <w:pStyle w:val="Contents3"/>
            <w:tabs>
              <w:tab w:val="clear" w:pos="8459"/>
              <w:tab w:val="right" w:pos="9026" w:leader="dot"/>
            </w:tabs>
            <w:rPr/>
          </w:pPr>
          <w:hyperlink w:anchor="__RefHeading___Toc5261686_581953129">
            <w:r>
              <w:rPr>
                <w:webHidden/>
                <w:rStyle w:val="IndexLink"/>
              </w:rPr>
              <w:t>3</w:t>
            </w:r>
            <w:r>
              <w:rPr>
                <w:rStyle w:val="IndexLink"/>
                <w:rtl w:val="true"/>
              </w:rPr>
              <w:t xml:space="preserve">- </w:t>
            </w:r>
            <w:r>
              <w:rPr>
                <w:rStyle w:val="IndexLink"/>
                <w:rtl w:val="true"/>
              </w:rPr>
              <w:t>حقوق اشخاص حقوقی بیگانه</w:t>
            </w:r>
            <w:r>
              <w:rPr>
                <w:rStyle w:val="IndexLink"/>
                <w:rtl w:val="true"/>
              </w:rPr>
              <w:tab/>
            </w:r>
            <w:r>
              <w:rPr>
                <w:rStyle w:val="IndexLink"/>
              </w:rPr>
              <w:t>465</w:t>
            </w:r>
          </w:hyperlink>
        </w:p>
        <w:p>
          <w:pPr>
            <w:pStyle w:val="Contents4"/>
            <w:tabs>
              <w:tab w:val="clear" w:pos="8176"/>
              <w:tab w:val="right" w:pos="9026" w:leader="dot"/>
            </w:tabs>
            <w:rPr/>
          </w:pPr>
          <w:hyperlink w:anchor="__RefHeading___Toc5261688_581953129">
            <w:r>
              <w:rPr>
                <w:webHidden/>
                <w:rStyle w:val="IndexLink"/>
                <w:rtl w:val="true"/>
              </w:rPr>
              <w:t>الف</w:t>
            </w:r>
            <w:r>
              <w:rPr>
                <w:rStyle w:val="IndexLink"/>
                <w:rtl w:val="true"/>
              </w:rPr>
              <w:t xml:space="preserve">) </w:t>
            </w:r>
            <w:r>
              <w:rPr>
                <w:rStyle w:val="IndexLink"/>
                <w:rtl w:val="true"/>
              </w:rPr>
              <w:t>حق مالکیت دارایی های غیرمنقول</w:t>
            </w:r>
            <w:r>
              <w:rPr>
                <w:rStyle w:val="IndexLink"/>
                <w:rtl w:val="true"/>
              </w:rPr>
              <w:tab/>
            </w:r>
            <w:r>
              <w:rPr>
                <w:rStyle w:val="IndexLink"/>
              </w:rPr>
              <w:t>465</w:t>
            </w:r>
          </w:hyperlink>
        </w:p>
        <w:p>
          <w:pPr>
            <w:pStyle w:val="Contents4"/>
            <w:tabs>
              <w:tab w:val="clear" w:pos="8176"/>
              <w:tab w:val="right" w:pos="9026" w:leader="dot"/>
            </w:tabs>
            <w:rPr/>
          </w:pPr>
          <w:hyperlink w:anchor="__RefHeading___Toc5261690_581953129">
            <w:r>
              <w:rPr>
                <w:webHidden/>
                <w:rStyle w:val="IndexLink"/>
                <w:rtl w:val="true"/>
              </w:rPr>
              <w:t>ب</w:t>
            </w:r>
            <w:r>
              <w:rPr>
                <w:rStyle w:val="IndexLink"/>
                <w:rtl w:val="true"/>
              </w:rPr>
              <w:t xml:space="preserve">) </w:t>
            </w:r>
            <w:r>
              <w:rPr>
                <w:rStyle w:val="IndexLink"/>
                <w:rtl w:val="true"/>
              </w:rPr>
              <w:t>حق انجام معامله</w:t>
            </w:r>
            <w:r>
              <w:rPr>
                <w:rStyle w:val="IndexLink"/>
                <w:rtl w:val="true"/>
              </w:rPr>
              <w:tab/>
            </w:r>
            <w:r>
              <w:rPr>
                <w:rStyle w:val="IndexLink"/>
              </w:rPr>
              <w:t>465</w:t>
            </w:r>
          </w:hyperlink>
        </w:p>
        <w:p>
          <w:pPr>
            <w:pStyle w:val="Contents4"/>
            <w:tabs>
              <w:tab w:val="clear" w:pos="8176"/>
              <w:tab w:val="right" w:pos="9026" w:leader="dot"/>
            </w:tabs>
            <w:rPr/>
          </w:pPr>
          <w:hyperlink w:anchor="__RefHeading___Toc5261692_581953129">
            <w:r>
              <w:rPr>
                <w:webHidden/>
                <w:rStyle w:val="IndexLink"/>
                <w:rtl w:val="true"/>
              </w:rPr>
              <w:t>ج</w:t>
            </w:r>
            <w:r>
              <w:rPr>
                <w:rStyle w:val="IndexLink"/>
                <w:rtl w:val="true"/>
              </w:rPr>
              <w:t xml:space="preserve">) </w:t>
            </w:r>
            <w:r>
              <w:rPr>
                <w:rStyle w:val="IndexLink"/>
                <w:rtl w:val="true"/>
              </w:rPr>
              <w:t>مصونیت محل شرکت و دفاتر و اوراق حسابداری آن</w:t>
            </w:r>
            <w:r>
              <w:rPr>
                <w:rStyle w:val="IndexLink"/>
                <w:rtl w:val="true"/>
              </w:rPr>
              <w:tab/>
            </w:r>
            <w:r>
              <w:rPr>
                <w:rStyle w:val="IndexLink"/>
              </w:rPr>
              <w:t>466</w:t>
            </w:r>
          </w:hyperlink>
        </w:p>
        <w:p>
          <w:pPr>
            <w:pStyle w:val="Contents4"/>
            <w:tabs>
              <w:tab w:val="clear" w:pos="8176"/>
              <w:tab w:val="right" w:pos="9026" w:leader="dot"/>
            </w:tabs>
            <w:rPr/>
          </w:pPr>
          <w:hyperlink w:anchor="__RefHeading___Toc5261694_581953129">
            <w:r>
              <w:rPr>
                <w:webHidden/>
                <w:rStyle w:val="IndexLink"/>
                <w:rtl w:val="true"/>
              </w:rPr>
              <w:t>د</w:t>
            </w:r>
            <w:r>
              <w:rPr>
                <w:rStyle w:val="IndexLink"/>
                <w:rtl w:val="true"/>
              </w:rPr>
              <w:t xml:space="preserve">) </w:t>
            </w:r>
            <w:r>
              <w:rPr>
                <w:rStyle w:val="IndexLink"/>
                <w:rtl w:val="true"/>
              </w:rPr>
              <w:t>حق ترافع قضایی و مراجعه به دادگاه ها</w:t>
            </w:r>
            <w:r>
              <w:rPr>
                <w:rStyle w:val="IndexLink"/>
                <w:rtl w:val="true"/>
              </w:rPr>
              <w:tab/>
            </w:r>
            <w:r>
              <w:rPr>
                <w:rStyle w:val="IndexLink"/>
              </w:rPr>
              <w:t>466</w:t>
            </w:r>
          </w:hyperlink>
        </w:p>
        <w:p>
          <w:pPr>
            <w:pStyle w:val="Contents3"/>
            <w:tabs>
              <w:tab w:val="clear" w:pos="8459"/>
              <w:tab w:val="right" w:pos="9026" w:leader="dot"/>
            </w:tabs>
            <w:rPr/>
          </w:pPr>
          <w:hyperlink w:anchor="__RefHeading___Toc5261696_581953129">
            <w:r>
              <w:rPr>
                <w:webHidden/>
                <w:rStyle w:val="IndexLink"/>
              </w:rPr>
              <w:t>4</w:t>
            </w:r>
            <w:r>
              <w:rPr>
                <w:rStyle w:val="IndexLink"/>
                <w:rtl w:val="true"/>
              </w:rPr>
              <w:t xml:space="preserve">- </w:t>
            </w:r>
            <w:r>
              <w:rPr>
                <w:rStyle w:val="IndexLink"/>
                <w:rtl w:val="true"/>
              </w:rPr>
              <w:t>تکالیف اشخاص حقوقی بیگانه</w:t>
            </w:r>
            <w:r>
              <w:rPr>
                <w:rStyle w:val="IndexLink"/>
                <w:rtl w:val="true"/>
              </w:rPr>
              <w:tab/>
            </w:r>
            <w:r>
              <w:rPr>
                <w:rStyle w:val="IndexLink"/>
              </w:rPr>
              <w:t>466</w:t>
            </w:r>
          </w:hyperlink>
        </w:p>
        <w:p>
          <w:pPr>
            <w:pStyle w:val="Contents4"/>
            <w:tabs>
              <w:tab w:val="clear" w:pos="8176"/>
              <w:tab w:val="right" w:pos="9026" w:leader="dot"/>
            </w:tabs>
            <w:rPr/>
          </w:pPr>
          <w:hyperlink w:anchor="__RefHeading___Toc5261698_581953129">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5261700_581953129">
            <w:r>
              <w:rPr>
                <w:webHidden/>
                <w:rStyle w:val="IndexLink"/>
                <w:rtl w:val="true"/>
              </w:rPr>
              <w:t>الف</w:t>
            </w:r>
            <w:r>
              <w:rPr>
                <w:rStyle w:val="IndexLink"/>
                <w:rtl w:val="true"/>
              </w:rPr>
              <w:t xml:space="preserve">) </w:t>
            </w:r>
            <w:r>
              <w:rPr>
                <w:rStyle w:val="IndexLink"/>
                <w:rtl w:val="true"/>
              </w:rPr>
              <w:t>تکلیف به ارائه گزارش دوره ای فعالیت به مراجع داخلی</w:t>
            </w:r>
            <w:r>
              <w:rPr>
                <w:rStyle w:val="IndexLink"/>
                <w:rtl w:val="true"/>
              </w:rPr>
              <w:tab/>
            </w:r>
            <w:r>
              <w:rPr>
                <w:rStyle w:val="IndexLink"/>
              </w:rPr>
              <w:t>467</w:t>
            </w:r>
          </w:hyperlink>
        </w:p>
        <w:p>
          <w:pPr>
            <w:pStyle w:val="Contents4"/>
            <w:tabs>
              <w:tab w:val="clear" w:pos="8176"/>
              <w:tab w:val="right" w:pos="9026" w:leader="dot"/>
            </w:tabs>
            <w:rPr/>
          </w:pPr>
          <w:hyperlink w:anchor="__RefHeading___Toc5261702_581953129">
            <w:r>
              <w:rPr>
                <w:webHidden/>
                <w:rStyle w:val="IndexLink"/>
                <w:rtl w:val="true"/>
              </w:rPr>
              <w:t>ب</w:t>
            </w:r>
            <w:r>
              <w:rPr>
                <w:rStyle w:val="IndexLink"/>
                <w:rtl w:val="true"/>
              </w:rPr>
              <w:t xml:space="preserve">) </w:t>
            </w:r>
            <w:r>
              <w:rPr>
                <w:rStyle w:val="IndexLink"/>
                <w:rtl w:val="true"/>
              </w:rPr>
              <w:t>تکلیف به پرداخت مالیات و عوارض</w:t>
            </w:r>
            <w:r>
              <w:rPr>
                <w:rStyle w:val="IndexLink"/>
                <w:rtl w:val="true"/>
              </w:rPr>
              <w:tab/>
            </w:r>
            <w:r>
              <w:rPr>
                <w:rStyle w:val="IndexLink"/>
              </w:rPr>
              <w:t>467</w:t>
            </w:r>
          </w:hyperlink>
        </w:p>
        <w:p>
          <w:pPr>
            <w:pStyle w:val="Contents2"/>
            <w:tabs>
              <w:tab w:val="clear" w:pos="8743"/>
              <w:tab w:val="right" w:pos="9026" w:leader="dot"/>
            </w:tabs>
            <w:rPr/>
          </w:pPr>
          <w:hyperlink w:anchor="__RefHeading___Toc5261704_581953129">
            <w:r>
              <w:rPr>
                <w:webHidden/>
                <w:rStyle w:val="IndexLink"/>
                <w:rtl w:val="true"/>
              </w:rPr>
              <w:t>پیوست ها</w:t>
            </w:r>
            <w:r>
              <w:rPr>
                <w:rStyle w:val="IndexLink"/>
                <w:rtl w:val="true"/>
              </w:rPr>
              <w:tab/>
            </w:r>
            <w:r>
              <w:rPr>
                <w:rStyle w:val="IndexLink"/>
              </w:rPr>
              <w:t>474</w:t>
            </w:r>
          </w:hyperlink>
        </w:p>
        <w:p>
          <w:pPr>
            <w:pStyle w:val="Contents2"/>
            <w:tabs>
              <w:tab w:val="clear" w:pos="8743"/>
              <w:tab w:val="right" w:pos="9026" w:leader="dot"/>
            </w:tabs>
            <w:rPr/>
          </w:pPr>
          <w:hyperlink w:anchor="__RefHeading___Toc5261706_581953129">
            <w:r>
              <w:rPr>
                <w:webHidden/>
                <w:rStyle w:val="IndexLink"/>
                <w:rtl w:val="true"/>
              </w:rPr>
              <w:t>پاسخ نامه پرسش های تستی</w:t>
            </w:r>
            <w:r>
              <w:rPr>
                <w:rStyle w:val="IndexLink"/>
                <w:rtl w:val="true"/>
              </w:rPr>
              <w:tab/>
            </w:r>
            <w:r>
              <w:rPr>
                <w:rStyle w:val="IndexLink"/>
              </w:rPr>
              <w:t>488</w:t>
            </w:r>
          </w:hyperlink>
        </w:p>
        <w:p>
          <w:pPr>
            <w:pStyle w:val="Contents2"/>
            <w:tabs>
              <w:tab w:val="clear" w:pos="8743"/>
              <w:tab w:val="right" w:pos="9026" w:leader="dot"/>
            </w:tabs>
            <w:rPr/>
          </w:pPr>
          <w:hyperlink w:anchor="__RefHeading___Toc5261708_581953129">
            <w:r>
              <w:rPr>
                <w:webHidden/>
                <w:rStyle w:val="IndexLink"/>
                <w:rtl w:val="true"/>
              </w:rPr>
              <w:t>کتابنامه</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88_35744"/>
      <w:bookmarkStart w:id="1" w:name="pg5888_35744"/>
      <w:bookmarkEnd w:id="1"/>
    </w:p>
    <w:p>
      <w:pPr>
        <w:pStyle w:val="Heading2"/>
        <w:numPr>
          <w:ilvl w:val="1"/>
          <w:numId w:val="1"/>
        </w:numPr>
        <w:rPr/>
      </w:pPr>
      <w:bookmarkStart w:id="2" w:name="pg5888_35744"/>
      <w:bookmarkStart w:id="3" w:name="__RefHeading___Toc526114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کریمی‌نیا، محمدمهدی،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بین‌الملل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تابعیت، اقامتگاه و وضعیت بیگانگان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محمدمهدی کریمی‌نیا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مرکز بین‌المللی ترجمه و نشر المصطفی صلی الله علیه و آله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eastAsia="IRNazanin" w:cs="IRNazanin"/>
          <w:color w:val="111111"/>
          <w:sz w:val="28"/>
          <w:szCs w:val="28"/>
          <w:lang w:bidi="fa-IR"/>
        </w:rPr>
        <w:t>7040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9/340</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2510522</w:t>
      </w:r>
    </w:p>
    <w:p>
      <w:pPr>
        <w:pStyle w:val="BookText"/>
        <w:rPr/>
      </w:pPr>
      <w:r>
        <w:rPr>
          <w:rFonts w:ascii="IRNazanin" w:hAnsi="IRNazanin" w:eastAsia="IRNazanin"/>
          <w:color w:val="111111"/>
          <w:sz w:val="28"/>
          <w:sz w:val="28"/>
          <w:szCs w:val="28"/>
          <w:rtl w:val="true"/>
          <w:lang w:bidi="fa-IR"/>
        </w:rPr>
        <w:t xml:space="preserve">حقوق بین‌الملل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تابعیت و وضعیت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محمدمهدی کریمی‌نیا</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قیمت</w:t>
      </w:r>
      <w:r>
        <w:rPr>
          <w:rFonts w:eastAsia="IRNazanin" w:cs="IRNazanin"/>
          <w:color w:val="111111"/>
          <w:sz w:val="28"/>
          <w:szCs w:val="28"/>
          <w:rtl w:val="true"/>
          <w:lang w:bidi="fa-IR"/>
        </w:rPr>
        <w:t xml:space="preserve">: </w:t>
      </w:r>
      <w:r>
        <w:rPr>
          <w:rFonts w:eastAsia="IRNazanin" w:cs="IRNazanin"/>
          <w:color w:val="111111"/>
          <w:sz w:val="28"/>
          <w:szCs w:val="28"/>
          <w:lang w:bidi="fa-IR"/>
        </w:rPr>
        <w:t>82000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مراکز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میدان شهدا، خیابان حجتیه، روبه‌روی مدرسه حجتیه،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 xml:space="preserve">قم، بلوار محمدامین، سه‌راه سالاریه، جنب جامعة‌العلوم، فروشگاه مرکز بین‌المللی ترجمه و نشر المصطفی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02512133106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pStyle w:val="BookText"/>
        <w:rPr/>
      </w:pPr>
      <w:r>
        <w:rPr>
          <w:rFonts w:eastAsia="Times New Roman" w:cs="Times New Roman" w:ascii="Times New Roman" w:hAnsi="Times New Roman"/>
          <w:color w:val="111111"/>
          <w:sz w:val="28"/>
          <w:szCs w:val="28"/>
          <w:lang w:val="en-US" w:bidi="en-US"/>
        </w:rPr>
        <w:t>Root@miup.ir 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6114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حقوق بین‌الملل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تابعیت، اقامتگاه و وضعیت بیگانگان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محمدمهدی کریمی‌نیا</w:t>
      </w:r>
      <w:bookmarkStart w:id="7" w:name="pg5888_35751"/>
    </w:p>
    <w:p>
      <w:pPr>
        <w:pStyle w:val="Heading2"/>
        <w:numPr>
          <w:ilvl w:val="1"/>
          <w:numId w:val="1"/>
        </w:numPr>
        <w:rPr/>
      </w:pPr>
      <w:bookmarkStart w:id="8" w:name="__RefHeading___Toc5261150_581953129"/>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برنامه‌ریزی آموزشی باید امری پویا و متناسب با دگرگونی‌هایی باشد که در ساختار دانش و رشته‌های علمی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اجتماعی، نیازهای نوظهور فراگیران و مقتضیات جدید دانش، اطلاعات، مهارت‌ها، گرایش‌ها و ارزش‌های نوینی را فرا می‌خواند که پاسخ‌گویی به آنها، ایجاد رشته‌های تحصیلی جدید و تربیت نیروهای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فرهنگ‌های سلطه‌گر جهانی و جهانی‌شدن فرهنگ، در سایهْ رسانه‌های فرهنگی و ارتباطی، مشکلات و نیازهای نوظهوری را پیش رو گذارده است که رویارویی منطقی با آنها، در پرتو آراستن افراد به اندیشه‌های بارور، ارزش‌های متعالی و رفتارهای منطقی که در قالب موقعیت‌های رسمی آموزشگاهی، با ایجاد رشته‌ها و متون جدید و گسترش دامنه آموزش‌ها و مهارت‌ها و تربیت سازمان‌یافته صورت گیرد امکان‌پذیر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بالندگی مراکز آموزشی در گرو نظام آموزشی استوار، قاعده‌مند و تجربه‌پذیر است که در آن، برنامه‌های آموزشی، متن‌های درسی و استادان، ارکان اصلی به شمار می‌آیند؛ همچنین بالندگی برنامه آموزشی به هماهنگی آن با نیاز زمان، استعدادِ علم‌آموزان و امکانات موجود،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استواری متن‌های درسی به ارائه تازه‌ترین</w:t>
      </w:r>
    </w:p>
    <w:p>
      <w:pPr>
        <w:pStyle w:val="BookText"/>
        <w:rPr/>
      </w:pPr>
      <w:r>
        <w:rPr>
          <w:rFonts w:ascii="IRNazanin" w:hAnsi="IRNazanin" w:eastAsia="IRNazanin"/>
          <w:color w:val="111111"/>
          <w:sz w:val="28"/>
          <w:sz w:val="28"/>
          <w:szCs w:val="28"/>
          <w:rtl w:val="true"/>
          <w:lang w:bidi="fa-IR"/>
        </w:rPr>
        <w:t>دستاوردهای علم در قالب نوترین شیوه‌ها و فنّاوری‌های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بازنگری متن‌ها و شیوه‌های آموزشی و به‌روز کردن آنها 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 ، به‌عنوان بخشی از این مجموعه که رسالت آموزش و پرورش دانش‌پژوهان غیرایرانی را برعهده دارد، با ارج نهادن به تلاش‌های صورت‌گرفته و خوشه‌چینی از خرمن دانش عالمان گران‌قدر، بر آن شد تا با بهره‌گیری از شیوه‌های جدید آموزشی و تازه‌ترین دستاوردهای علمی به آماده‌سازی نوشتارهای آموزشی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و نشر افزون بر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متن درسی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در موضوعات گوناگون علوم دینی، با زبان‌های زنده دنیا، برآیند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با عنوان حقوق بین‌الملل خصوصی ، حاصل تلاش علمی و درخور تقدیر جناب دکتر محمدمهدی کریمی‌نیا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 از نگارنده گرانمایه و سایر فرزانگانی که در به ثمررسیدن این اثر، بذل عنایت کرده‌اند، سپاسگزاری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فرهیختگان دانشور را به یاری خوانده، چشم امید به نقد و نظر آنان دوخته‌ایم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888_35756"/>
    </w:p>
    <w:p>
      <w:pPr>
        <w:pStyle w:val="Heading2"/>
        <w:numPr>
          <w:ilvl w:val="1"/>
          <w:numId w:val="1"/>
        </w:numPr>
        <w:rPr/>
      </w:pPr>
      <w:bookmarkStart w:id="11" w:name="__RefHeading___Toc5261152_581953129"/>
      <w:bookmarkStart w:id="12" w:name="_Toc4"/>
      <w:bookmarkEnd w:id="10"/>
      <w:bookmarkEnd w:id="11"/>
      <w:r>
        <w:rPr>
          <w:rtl w:val="true"/>
        </w:rPr>
        <w:t>سخن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حوزه‌های علمیه در تلاش وصف‌ناپذیر خود در طول تاریخ، همواره تعلیم و تربیت شاگردان را جزو رسالت‌های اصیل خود قرار داده و بدین‌وسیله، معارف فاخر اسلام و علوم اهل‌بیت علیهم السلام را نسل‌به‌نسل به دست ما رسانیده‌اند و به همین سبب، به کتاب‌های آموزشی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فنّاوری، پیشرفت شگرفی را در عرصه علم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آگاهی‌های مورد نیاز بشر در تمام عرصه‌ها، به سرعت دست‌یافتنی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سنتی و انبوه‌خوانی جای خود را به روش‌های نوین آموزشی داده است که این دگرگونی‌ها در پی رسیدن هرچه سریع‌تر به اهداف آموزشی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جامعة المصطفی صلی الله علیه و آله العالمیة نهادی حوزوی است که تعلیم و تربیت فراگیران غیرایرانی را در حوزه علوم اسلامی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زیادی از ملیت‌های گوناگون در سطوح مختلف آموزشی و در رشته‌های متنوع علوم اسلامی و انسانی در این دانشگاه تحصیل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بینش اسلامی طلاّب غیرایرانی، با توجه به تنوع منطقه‌ای و کشوری، تفاوت‌هایی دارد؛ همین امر</w:t>
      </w:r>
    </w:p>
    <w:p>
      <w:pPr>
        <w:pStyle w:val="BookText"/>
        <w:rPr/>
      </w:pPr>
      <w:r>
        <w:rPr>
          <w:rFonts w:ascii="IRNazanin" w:hAnsi="IRNazanin" w:eastAsia="IRNazanin"/>
          <w:color w:val="111111"/>
          <w:sz w:val="28"/>
          <w:sz w:val="28"/>
          <w:szCs w:val="28"/>
          <w:rtl w:val="true"/>
          <w:lang w:bidi="fa-IR"/>
        </w:rPr>
        <w:t>جامعة‌المصطفی صلی الله علیه و آله العالمیة را به تدوین نگاشته‌های نوین و هماهنگ با گستردگی و گوناگونی ملیت‌ها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و اندیشمندان حوزوی، به‌ویژه امام‌خمینی قدس سره و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تأکید داشته‌اند که آموزش‌های حوزوی با شیوه‌های جدید و مبتنی بر روش‌های استنباط فقه جواهری تدوین شود و رو به شکوفایی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هشتادوشش، در جمع روحانیون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علم در این بیست‌سالی که گذشت، یقیناً به مراتب کمتر از شتاب علم و پیشرفت فنّاوری در بیست‌سالی است که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درسی باید عبارت را آن‌چنان واضح بیان کنیم تا کسی که دنبال فهم مطلب است، بتواند به‌راحتی 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شود که سطح مطلب پایین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پروردگار، پس از انقلاب اسلامی ایران، ظرفیت مناسبی در اختیار محیطهای علمی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 در پرتو معارف اهل‌بیت علیهم السلام و به برکت انقلاب شکوهمند اسلامی، به منظور تحول در نظام آموزشی، با بهره‌گیری از گروه‌های علمی، آموزشی و پژوهشی و نیز سازماندهی متون درسی و با نگاهی ویژه به اقتضائات خاص منطقه‌ای و بین‌المللی این نهاد، تدوین متون درسی متناسب برای نظام آموزشی را از مأموریت‌های ویژه پژوهشگاه بین‌المللی المصطفی صلی الله علیه و آله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پژوهشگاه، تجربه ارزشمندی از تحقیقات تدوین متون را در خود جای داده است و با اتکا به تجربه مجموعه‌های تدوین متون دو سازمان پیشین،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حوزه‌ها و مدارس علمیه خارج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شکوفایی جدیدی در تولید علم دست یافته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آموزشی در داخل و خارج از کشور و</w:t>
      </w:r>
    </w:p>
    <w:p>
      <w:pPr>
        <w:pStyle w:val="BookText"/>
        <w:rPr/>
      </w:pPr>
      <w:r>
        <w:rPr>
          <w:rFonts w:ascii="IRNazanin" w:hAnsi="IRNazanin" w:eastAsia="IRNazanin"/>
          <w:color w:val="111111"/>
          <w:sz w:val="28"/>
          <w:sz w:val="28"/>
          <w:szCs w:val="28"/>
          <w:rtl w:val="true"/>
          <w:lang w:bidi="fa-IR"/>
        </w:rPr>
        <w:t xml:space="preserve">آماده‌سازی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جزوه درسی، بخشی از فعالیت‌های علمی در عرصه تدوین متون درسی است که امید است با عنایات الهی و توجهات حضرت ولی‌عصر عجل الله تعالی فرجه شریف سهمی کوچک در گسترش فرهنگ و معارف اسلام ناب محمدی صلی الله علیه و آله 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بین‌المللی المصطفی صلی الله علیه و آله با قدردانی از فعالیت‌های گذشتگان و با هدایت و نظارت مدیریت برنامه‌ریزی آموزشی و نیز همکاری گروه‌های علمی پژوهشکده‌ها، بر آن است که برای تأمین نیازهای آموزشی با معیارهای پیشرفته متون درسی، ادامه‌دهنده این جریان مبارک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پیشِ‌رو که با عنوان حقوق بین‌الملل خصوصی برای دوره کارشناسی رشته حقوق نگارش یافته است، حاصل تلاش ارزشمند جناب آقای دکترمحمدمهدی کریمی‌نیا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و دیگر فرزانگانی که در به ثمر رسیدن این اثر نقش داشته‌اند، صمیمانه سپاسگزاری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پیشاپیش از خوانندگان ارجمندی که با ارسال نظرات سازنده خویش ما را در زدودن کاستی‌های این اثر، یاری می‌رسانند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w:t>
      </w:r>
      <w:bookmarkStart w:id="13" w:name="pg5888_35763"/>
    </w:p>
    <w:p>
      <w:pPr>
        <w:pStyle w:val="Heading2"/>
        <w:numPr>
          <w:ilvl w:val="1"/>
          <w:numId w:val="1"/>
        </w:numPr>
        <w:rPr/>
      </w:pPr>
      <w:bookmarkStart w:id="14" w:name="__RefHeading___Toc5261154_581953129"/>
      <w:bookmarkStart w:id="15" w:name="_Toc5"/>
      <w:bookmarkEnd w:id="13"/>
      <w:bookmarkEnd w:id="14"/>
      <w:r>
        <w:rPr>
          <w:rtl w:val="true"/>
        </w:rPr>
        <w:t>فهرست</w:t>
      </w:r>
      <w:bookmarkEnd w:id="15"/>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مشخّصات و فایده‌های حقوق بین‌الملل خصوصی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حقوق بین‌الملل خصوصی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مرز در حقوق بین‌الملل خصوصی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نام حقوق بین‌الملل خصوصی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قوانین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بین‌الملل خصوصی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حقوق بین‌الملل خصوصی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بین‌المللی‌بودن آن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خصوصی‌بودن 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و تازگی موضوعات 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تأثیرپذیری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فواید حقوق بین‌الملل خصوصی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عملی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فواید علمی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حقوق بین‌الملل خصوصی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داخلی حقوق بین‌الملل خصوصی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قضایی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w:t>
      </w:r>
      <w:r>
        <w:rPr>
          <w:rFonts w:eastAsia="IRNazanin" w:cs="IRNazanin"/>
          <w:color w:val="111111"/>
          <w:sz w:val="28"/>
          <w:szCs w:val="28"/>
          <w:lang w:bidi="fa-IR"/>
        </w:rPr>
        <w:t>54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علمای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حقوق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بین‌المللی حقوق بین‌الملل خصوصی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عهدنامه‌های بین‌المللی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رویه قضایی بین‌المللی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بین‌المللی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کلّی بین‌المللی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حقوق بین‌الملل خصوصی اسلامی؛ تابعیت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حقوق بین‌الملل خصوصی اسلامی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بین‌المللی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حکومتی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شریعت‌ها و کتاب‌های آسمانی دیگر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معاهدات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تابعیت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تابعیت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تابعیت و ملیت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تحقّق تابعیت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مبانی تابعیت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تخلّف از اصول تابعیت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بی‌تابعیتی، تابعیت مضاعف و روش خون و خاک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بی‌تابعیتی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قوانین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پناهندگی و مهاجرت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مجازات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خاص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شخص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یا ترک تابعیت قبلی و دریافت نکردن تابعیت جدید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رفع مشکل بی‌تابعیتی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امتیازات ویژه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تابعیت از دست‌رفته </w:t>
      </w:r>
      <w:r>
        <w:rPr>
          <w:rFonts w:eastAsia="IRNazanin" w:cs="IRNazanin"/>
          <w:color w:val="111111"/>
          <w:sz w:val="28"/>
          <w:szCs w:val="28"/>
          <w:lang w:bidi="fa-IR"/>
        </w:rPr>
        <w:t>116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با فاقدان تابعیت، همانند آوارگان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مجازات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محل تولد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پیدایش تابعیت مضاعف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سیستم‌های پذیرفته‌شده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تابعیت جدید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مضاعف در اثر ازدواج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تابعیت از پدر و مادر با تابعیت گوناگون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مضاعف، نتیجه تفسیر مختلف از معاهدات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رفع یا جلوگیری از تابعیت مضاعف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تابعیت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تابعیت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تولّدی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دلایل طرفداران آن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طرفداران آن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میان دو روش خون و خاک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تابعیت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تابعیت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تغییرپذیری تابعیت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اصل تغییرپذیری تابعیت در حقوق بین‌الملل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تغییر تابعیت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مؤثّر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تولّدی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روش خون، طبق قانون ایران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روش خاک، طبق قانون ایران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اکتسابی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اقسام تابعیت اکتسابی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اکتسابی فرزندان خردسال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اکتسابی همسر مردی که تابعیت ایران را دریافت کرده است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تابعیت، بر اثر جدا شدن بخشی از سرزمین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اکتسابی زن در اثر ازدواج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اکتسابی در اثر تقاضای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تحصیلی</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تابعیت ایران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دریافت تابعیت ایران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اهلیت </w:t>
      </w:r>
      <w:r>
        <w:rPr>
          <w:rFonts w:eastAsia="IRNazanin" w:cs="IRNazanin"/>
          <w:color w:val="111111"/>
          <w:sz w:val="28"/>
          <w:szCs w:val="28"/>
          <w:lang w:bidi="fa-IR"/>
        </w:rPr>
        <w:t>219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اقامت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اخلاقی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توانایی مالی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قانونی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تشریفات دریافت تابعیت جمهوری اسلامی ایران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دریافت تابعیت جمهوری اسلامی ایران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دریافت تابعیت، نسبت به فرزندان خردسال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دریافت تابعیت، نسبت به فرزندان بزرگسال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دریافت تابعیت، نسبت به زن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دریافت تابعیت ایران، نسبت به خود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تکالیف</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دادن تابعیت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راه‌های از دست دادن تابعیت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بخشی از خاک یک کشور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تابعیت در اثر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تابعیت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تابعیت در اثر ازدواج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تابعیت در اثر تقاضای خودِ شخص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تابعیت ایران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ترک تابعیت قانونی ایران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ماهوی ترک تابعیت ایران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صوری ترک تابعیت ایران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تابعیت ایران بدون رعایت قانون </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ترک تابعیت ایران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ترک تابعیت نسبت به خود شخص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ترک تابعیت ایران، نسبت به خانواده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ترک تابعیت زن ایرانی بی‌شوهر بر روی فرزندانش </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ترک تابعیت غیرقانونی ایران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نداشتن تابعیت خارجی آنان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دارایی‌های غیرمنقول آنان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از شغل‌های دولتی </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ترک تابعیت قانونی، بدون رعایت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خروج از تابعیت در ایران در فاصله سنّی هجده تا نوزده سالگی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خروج از تابعیت ایران در پیوند با ازدواج یا انحلال ازدواج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تابعیت ایران </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اشخاص حقوقی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اشخاص حقوقی و انواع آن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حقوقی حقوق عمومی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حقوقی حقوق خصوصی </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تشخیص تابعیت اشخاص حقوقی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 درباره شخص حقوقی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انکار وجود شخص حقوقی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وجود واقعی شخص حقوقی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وجود فرضی شخص حقوقی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ضابطه تعیین تابعیت اشخاص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راه‌حل‌های پیشنهادی</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تابعیت شرکت، مطابق با تابعیت شریکان یا سهام‌داران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تابعیت شرکت بر اساس اراده مؤسّسان شرکت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تابعیت شرکت بر اساس محل تعهد پرداخت بهای سهام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تابعیت شرکت بر اساس محل تأسیس و ثبت شرکت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تابعیت شرکت بر اساس مرکز فعالیت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تابعیت شرکت بر اساس مرکز اداری یا مرکز اصلی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ضابطه تعیین تابعیت اشخاص حقوقی در قوانین ایران </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استثناهایی در تعیین تابعیت اشخاص حقوقی در ایران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سهام‌داران به‌عنوان معیار تعیین تابعیت بانک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سهام‌داران به‌عنوان معیار تعیین تابعیت شرکت‌های هواپیمایی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پذیرفته‌شده در بیانیه دولت جمهوری الجزایر درباره حل‌وفصل دعاوی میان دولت ایران و آمریکا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مضاعف اشخاص حقوقی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تابعیت اشخاص حقوقی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اقامتگاه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اقامتگاه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سکونت با اقامتگاه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اقامتگاه با تابعیت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ماهیت اقامتگاه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از نگاه حقوق داخلی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از نگاه حقوق بین‌الملل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اثرها و فایده‌های بحث از اقامتگاه بین‌المللی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درباره تعیین قانون صلاحیت‌دار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در مورد تعیین محاکم صلاحیت‌دار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در مورد بهره‌مندی از حقوق و یا انجام تعهدات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اقامتگاه </w:t>
      </w:r>
      <w:r>
        <w:rPr>
          <w:rFonts w:eastAsia="IRNazanin" w:cs="IRNazanin"/>
          <w:color w:val="111111"/>
          <w:sz w:val="28"/>
          <w:szCs w:val="28"/>
          <w:lang w:bidi="fa-IR"/>
        </w:rPr>
        <w:t>346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لزوم اقامتگاه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وحدت اقامتگاه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تغییرپذیری اقامتگاه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اقامتگاه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اقامتگاه شخص حقیقی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خاص یا قراردادی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اقامتگاه اشخاص حقوقی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اقامتگاه اشخاص حقوقی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اقامتگاه‌های شخص حقوقی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بیگانگان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بیگانه </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انواع بیگانگان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مهاجرین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جهانگردان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مقیم عادی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فراری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آوارگان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خبرنگاران، عکاسان و دست‌اندرکاران مطبوعات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جویندگان کار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حقوق بیگانگان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شناسایی حداقل حقوق برای بیگانگان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رفتار متقابل بین دولت‌ها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آزادی ورود، عبور و اقامت بیگانگان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قوانین داخلی </w:t>
      </w:r>
      <w:r>
        <w:rPr>
          <w:rFonts w:eastAsia="IRNazanin" w:cs="IRNazanin"/>
          <w:color w:val="111111"/>
          <w:sz w:val="28"/>
          <w:szCs w:val="28"/>
          <w:lang w:bidi="fa-IR"/>
        </w:rPr>
        <w:t>396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ورود، خروج و اقامت بیگانه در قوانین ایران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ورود اتباع بیگانه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اتباع بیگانه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اتباع بیگانه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اتباع بیگانه </w:t>
      </w:r>
      <w:r>
        <w:rPr>
          <w:rFonts w:eastAsia="IRNazanin" w:cs="IRNazanin"/>
          <w:color w:val="111111"/>
          <w:sz w:val="28"/>
          <w:szCs w:val="28"/>
          <w:lang w:bidi="fa-IR"/>
        </w:rPr>
        <w:t>404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اتباع بیگانه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حقوق خصوصی اشخاص حقیقی بیگانه در ایران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استثناهای اصل فوق نسبت به اصل کلّی برخورداری از حقوق خصوصی </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تصریح‌شده برای بیگانگان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از حقوق خصوصی اشخاص حقیقی بیگانه در ایران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مالکیت‌های معنوی بیگانگان و حمایت از آن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رهن از سوی بیگانگان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به‌دست‌آوردن و تصرف و نقل و انتقال دارایی‌های منقول اتباع آلمانی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شدن دارایی‌های غیرمنقول از سوی اتباع بیگانه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شخصیه بیگانگان </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حقوق عمومی اشخاص حقیقی بیگانه در ایران </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بهره‌ها و امتیازهای بیگانگان در بحث حقوق عمومی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آزادی‌های فردی و مصونیت‌های شخصی</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اقتصادی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قضایی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محرومیت‌ها، معافیت‌ها و تکالیف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معافیت‌ها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وضعیت اشخاص حقوقی بیگانه </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اشخاص حقوقی در ایران </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اشخاص حقوقی از راه معاهده‌ها </w:t>
      </w:r>
      <w:r>
        <w:rPr>
          <w:rFonts w:eastAsia="IRNazanin" w:cs="IRNazanin"/>
          <w:color w:val="111111"/>
          <w:sz w:val="28"/>
          <w:szCs w:val="28"/>
          <w:lang w:bidi="fa-IR"/>
        </w:rPr>
        <w:t>472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اشخاص حقوقی بیگانه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انجام معامله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محل شرکت و دفاتر و اوراق حسابداری آن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ترافع قضایی و مراجعه به دادگاه‌ها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تکالیف اشخاص حقوقی بیگانه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ارائه گزارش دوره‌ای فعالیت به مراجع داخلی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پرداخت مالیات و عوارض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پیوست‌ها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پاسخ‌نامه پرسش‌های تستی </w:t>
      </w:r>
      <w:r>
        <w:rPr>
          <w:rFonts w:eastAsia="IRNazanin" w:cs="IRNazanin"/>
          <w:color w:val="111111"/>
          <w:sz w:val="28"/>
          <w:szCs w:val="28"/>
          <w:lang w:bidi="fa-IR"/>
        </w:rPr>
        <w:t>499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535</w:t>
      </w:r>
      <w:bookmarkStart w:id="16" w:name="pg5888_35780"/>
    </w:p>
    <w:p>
      <w:pPr>
        <w:pStyle w:val="Heading2"/>
        <w:numPr>
          <w:ilvl w:val="1"/>
          <w:numId w:val="1"/>
        </w:numPr>
        <w:rPr/>
      </w:pPr>
      <w:bookmarkStart w:id="17" w:name="__RefHeading___Toc5261156_581953129"/>
      <w:bookmarkStart w:id="18" w:name="_Toc6"/>
      <w:bookmarkEnd w:id="16"/>
      <w:bookmarkEnd w:id="17"/>
      <w:r>
        <w:rPr>
          <w:rtl w:val="true"/>
        </w:rPr>
        <w:t>پیشگفتار</w:t>
      </w:r>
      <w:bookmarkEnd w:id="18"/>
    </w:p>
    <w:p>
      <w:pPr>
        <w:pStyle w:val="BookText"/>
        <w:rPr/>
      </w:pPr>
      <w:r>
        <w:rPr>
          <w:rFonts w:ascii="IRNazanin" w:hAnsi="IRNazanin" w:eastAsia="IRNazanin"/>
          <w:color w:val="111111"/>
          <w:sz w:val="28"/>
          <w:sz w:val="28"/>
          <w:szCs w:val="28"/>
          <w:rtl w:val="true"/>
          <w:lang w:bidi="fa-IR"/>
        </w:rPr>
        <w:t xml:space="preserve">حقوق در یک تقسیم‌بندی، به حقوق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تقسیم‌بندی دیگر، به حقوق عمومی و خصوصی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 این دو نیز چهار رشته اصلی حقوق شکل می‌گیرد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بین‌الملل عمومی؛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بین‌الملل خصوصی، مجموعه قواعد و مقرراتی است که روابط حقوقی بین‌المللی اشخاص حقیقی یا حقوقی را با یکدیگر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موضوعی به حقوق بین‌الملل خصوصی مربوط است که از مرز یک کشور گذشته و به کشوری دیگر گسترش یابد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انتخاب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رشته، به سال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برمی‌گردد؛ زمانی که حقوق‌دانی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ژُزفِ استوری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این عنوان را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زندگی انسان‌ها به مرزهای یک سرزمین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با انگیزه‌هایی نظیر تحصیل، تجارت، معالجه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دیگری اقامت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وابستگی اقتصادی، تجاری و فرهنگی کشورها به یکدیگر، رفت‌وآمد اتباع آنها را بیشتر کرده است؛ چنان‌که در این حالت،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تبعه، کسی است که وابسته به کشوری خاص بوده و از تابعیت آن کشور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اجازه دولت میزبان، به منظور تحصیل، تجارت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کوتاه و یا طولانی در کشوری اقامت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است که مسئله حقوق و تکالیف اتباع بیگانه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دریافت تابعیت، اقامتگاه و وضع حقوقی بیگانگان از اهمیت بسیاری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حقوق بین‌الملل خصوصی برای سامان‌دهی حقوقی زندگی بین‌المللی افراد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افراد در کشور اصلی خویش زندگی کنند، فقط حقوق داخلی عهده‌دار حقوق و وظایف آنان است؛ امّا هنگامی که آنان دارای تعاملات بین‌المللی باشند و با اتباع کشورهای دیگر رابطه برقرار کنند، حقوق بین‌الملل خصوصی نقش‌آفرین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قوانین کشورها دارای ضوابطی است که اتباع کشور خود را از اتباع سایر کشورها متمایز کرده، حقوق و تکالیف اتباع بیگانه را مشخص می‌سازد، تا افرادی که وارد کشور می‌شوند از تعرّض و آسیب مصون بمانند و وضعیت حقوقی آنان دچار آشفتگی نشود؛ همچنین در هنگام بروز اختلاف، بتوانند از راه مراجع قضایی، دعاوی خویش را حل‌وفصل 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عمده‌ترین مباحث حقوق بین‌الملل خصوصی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وضعیت بیگانگان، اقامتگاه و تعارض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به‌عنوان کلیات، مباحث</w:t>
      </w:r>
    </w:p>
    <w:p>
      <w:pPr>
        <w:pStyle w:val="BookText"/>
        <w:rPr/>
      </w:pPr>
      <w:r>
        <w:rPr>
          <w:rFonts w:ascii="IRNazanin" w:hAnsi="IRNazanin" w:eastAsia="IRNazanin"/>
          <w:color w:val="111111"/>
          <w:sz w:val="28"/>
          <w:sz w:val="28"/>
          <w:szCs w:val="28"/>
          <w:rtl w:val="true"/>
          <w:lang w:bidi="fa-IR"/>
        </w:rPr>
        <w:t>دیگری مانند تعریف حقوق بین‌الملل خصوصی، ویژگی‌ها، فواید، تاریخچه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بررسی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پس از بیان کلیات، مباحث عمده حقوق بین‌الملل خصوصی، یعنی تابعیت، وضعیت بیگانگان و اقامتگاه،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نگارش این کتاب، تهیه یک متن آموزشی برای دانشجویان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دانشجویان باید دست‌کم به میزان دو واحد درسی، حقوق بین‌الملل خصوصی را بیاموزند، این نوشتار در قالب شانزده درس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درس، چکیده، پرسش‌ها و موضوعاتی برای پژوهش و تأمل بیشتر دانشجویان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تناسب درس‌ها، پرسش‌های تستی آزمون‌های گوناگون، مانند آزمون سراسری، آزمون دانشگاه آزاد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تلاش ناچیز، مورد پذیرش اندیشمندان و دانش‌پژوهان قرار گرفته، نگارنده را از پیشنهادها و انتقادهای سازنده خود بهره‌مند سازند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بر خود می‌دانم تلاش‌های دست‌اندرکاران واحد تدوین متون جامعة‌المصطفی صلی الله علیه و آله العالمیة، به‌ویژه دوستان دیرین و صمیمی، حجج اسلام آقایان دکتر میرصالح حسینی و عزّالدین رضانژاد و نیز همکاران گرانمایه انتشارات، به‌ویژه جناب آقای سید علی شاه‌چراغ را سپاس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اگر همیاری این بزرگواران نبود، این اثر به سامان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بذل توجّه و حوصله دو تن از نویسندگان و اساتید حقوق بین‌الملل خصوصی، آقایان دکتر نجادعلی الماسی ، نگارنده کتاب حقوق بین‌الملل خصوصی و دکتر مصطفی دانش‌پژوه ، نویسنده کتاب اسلام و حقوق بین‌الملل خصوصی را که در مطالعه و ارائه پیشنهادهای اصلاحی و تکمیلی این اثر کوشیدند، ارج می‌نهم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مهربان می‌خواهم تا همواره ما را از لغزش و اشتباه بازدارد و این گام ناچیز را ذخیره روز واپسین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پاداش معنوی این اثر را به پدر و مادر عزیزم و نیز به برادر شهیدم علی‌نقی کریمی‌نیا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عملیات کربلای پنج،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بی‌شمار به آنان مدیونم، تقدیم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توفیقی إِلاّ بِاللّه، عَلیه تَوکّلتُ واِلیهِ انیب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محمدمهدی کریمی‌نیا</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Kariminiya2003@yahoo.com</w:t>
      </w:r>
      <w:bookmarkStart w:id="19" w:name="pg5888_35787"/>
    </w:p>
    <w:p>
      <w:pPr>
        <w:pStyle w:val="Heading2"/>
        <w:numPr>
          <w:ilvl w:val="1"/>
          <w:numId w:val="1"/>
        </w:numPr>
        <w:rPr/>
      </w:pPr>
      <w:bookmarkStart w:id="20" w:name="__RefHeading___Toc5261158_581953129"/>
      <w:bookmarkStart w:id="21" w:name="_Toc7"/>
      <w:bookmarkEnd w:id="19"/>
      <w:bookmarkEnd w:id="20"/>
      <w:r>
        <w:rPr/>
        <w:t>1</w:t>
      </w:r>
      <w:r>
        <w:rPr>
          <w:rtl w:val="true"/>
        </w:rPr>
        <w:t>-</w:t>
      </w:r>
      <w:r>
        <w:rPr>
          <w:rtl w:val="true"/>
        </w:rPr>
        <w:t>کلیات</w:t>
      </w:r>
      <w:r>
        <w:rPr>
          <w:rtl w:val="true"/>
        </w:rPr>
        <w:t>(</w:t>
      </w:r>
      <w:r>
        <w:rPr/>
        <w:t>1</w:t>
      </w:r>
      <w:r>
        <w:rPr>
          <w:rtl w:val="true"/>
        </w:rPr>
        <w:t>)</w:t>
      </w:r>
      <w:bookmarkEnd w:id="21"/>
    </w:p>
    <w:p>
      <w:pPr>
        <w:pStyle w:val="Heading3"/>
        <w:numPr>
          <w:ilvl w:val="2"/>
          <w:numId w:val="1"/>
        </w:numPr>
        <w:rPr/>
      </w:pPr>
      <w:bookmarkStart w:id="22" w:name="__RefHeading___Toc5261160_581953129"/>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تعریف، مشخّصات و فایده های حقوق بین الملل خصوصی</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دقیق حقوق بین‌الملل خصوصی و بیان تفاوت آن با حقوق داخلی؛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نقش و عامل مرز، در به‌وجود آمدن حقوق بین‌الملل خصوصی؛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عنوان‌های دیگری که برای این رشته حقوق پیشنهاد 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ویژگی‌ها و مشخّصات حقوق بین‌الملل خصوصی؛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فایده‌های حقوق بین‌الملل خصوصی</w:t>
      </w:r>
      <w:r>
        <w:rPr>
          <w:rFonts w:eastAsia="IRNazanin" w:cs="IRNazanin"/>
          <w:color w:val="111111"/>
          <w:sz w:val="28"/>
          <w:szCs w:val="28"/>
          <w:rtl w:val="true"/>
          <w:lang w:bidi="fa-IR"/>
        </w:rPr>
        <w:t>.</w:t>
      </w:r>
    </w:p>
    <w:p>
      <w:pPr>
        <w:pStyle w:val="Heading3"/>
        <w:numPr>
          <w:ilvl w:val="2"/>
          <w:numId w:val="1"/>
        </w:numPr>
        <w:rPr/>
      </w:pPr>
      <w:bookmarkStart w:id="24" w:name="__RefHeading___Toc5261162_581953129"/>
      <w:bookmarkStart w:id="25" w:name="_Toc9"/>
      <w:bookmarkEnd w:id="24"/>
      <w:r>
        <w:rPr/>
        <w:t>1</w:t>
      </w:r>
      <w:r>
        <w:rPr>
          <w:rtl w:val="true"/>
        </w:rPr>
        <w:t xml:space="preserve">- </w:t>
      </w:r>
      <w:r>
        <w:rPr>
          <w:rtl w:val="true"/>
        </w:rPr>
        <w:t>تعریف حقوق بین الملل خصوصی</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این امکان وجود داشت که ملت‌ها در مرزهای سرزمین خویش محصور شوند؛ امّا امروزه این امر ناممکن است؛ برای مثال، بیش از دو هزار سال پیش، حاکمان کشور چین تصمیم گرفتند دیوار عظیم چین را بنا نهند تا از ورود دشمنان و خارجیان به سرزمین خویش جلوگیری کرده، مانع خروج اتباع کشور از این سرزمین شوند؛ امّا امروزه ساختن دیوار در پیرامون یک کشور، کاری نابخردانه است؛ چه اینکه تعامل و ارتباط بین اتباع کشورهای مختلف بسیار ضروری است؛ همچنان‌که زندگی حقوقی اشخاص، به علت پیشرفت‌های اقتصادی، صنعتی و علمی نمی‌تواند در سطح ملّی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جامعه جهانی بر اساس روابط حقوق بین‌الملل شکل می‌گیرد و استمرار و بقای آن، به‌وجود مقررات و قواعدی وابسته است که به روابط حقوقی مذکور نظم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توسعه روابط در سطح بین‌الملل، نیازمند قواعد و مقررات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قواعد و مقررات، روابط بین دولت‌ها و سازمان‌های بین‌المللی را سامان دهند، در حقوق بین‌الملل عمومی مورد بحث و بررسی قرار می‌گیرند و درصورتی‌که به تنظیم روابط میان اتباع آنها بپردازند، در حقوق بین‌الملل خصوصی، بحث و بررسی می‌شوند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تعریف حقوق بین‌الملل خصوصی 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بین‌الملل خصوصی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از علم حقوق که از روابط افراد در زندگی بین‌المللی بحث 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تعریف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بین‌الملل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مقرراتی که روابط بین اشخاص، اعم از حقیقی و حقوقی را در جوامع مختلف با یکدیگر تنظیم می‌کند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همچنین در تعریف دیگری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بین‌الملل خصوصی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مقررات و قواعد حاکم بر اشخاص، اعم از حقیقی و حقوقی از کشورهای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جوامع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یا با دولت‌ها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ازدواج مرد ایرانی با زن افغانی، به دلیل اختلاف تابعیت آن دو، موضوع حقوق بین‌الملل خصوصی است و یا روابط تجاری مرد ایرانی مقیم قم با مرد ایرانی مقیم پاریس، به دلیل اختلاف اقامتگاه، در حقوق بین‌الملل خصوصی بررسی می‌شود</w:t>
      </w:r>
      <w:r>
        <w:rPr>
          <w:rFonts w:eastAsia="IRNazanin" w:cs="IRNazanin"/>
          <w:color w:val="111111"/>
          <w:sz w:val="28"/>
          <w:szCs w:val="28"/>
          <w:rtl w:val="true"/>
          <w:lang w:bidi="fa-IR"/>
        </w:rPr>
        <w:t>.</w:t>
      </w:r>
      <w:bookmarkStart w:id="26" w:name="pg5888_35791"/>
    </w:p>
    <w:p>
      <w:pPr>
        <w:pStyle w:val="Heading3"/>
        <w:numPr>
          <w:ilvl w:val="2"/>
          <w:numId w:val="1"/>
        </w:numPr>
        <w:rPr/>
      </w:pPr>
      <w:bookmarkStart w:id="27" w:name="__RefHeading___Toc5261164_581953129"/>
      <w:bookmarkStart w:id="28" w:name="_Toc10"/>
      <w:bookmarkEnd w:id="26"/>
      <w:bookmarkEnd w:id="27"/>
      <w:r>
        <w:rPr/>
        <w:t>2</w:t>
      </w:r>
      <w:r>
        <w:rPr>
          <w:rtl w:val="true"/>
        </w:rPr>
        <w:t xml:space="preserve">- </w:t>
      </w:r>
      <w:r>
        <w:rPr>
          <w:rtl w:val="true"/>
        </w:rPr>
        <w:t>عامل مرز در حقوق بین الملل خصوصی</w:t>
      </w:r>
      <w:bookmarkEnd w:id="28"/>
    </w:p>
    <w:p>
      <w:pPr>
        <w:pStyle w:val="BookText"/>
        <w:rPr/>
      </w:pPr>
      <w:r>
        <w:rPr>
          <w:rFonts w:ascii="IRNazanin" w:hAnsi="IRNazanin" w:eastAsia="IRNazanin"/>
          <w:color w:val="111111"/>
          <w:sz w:val="28"/>
          <w:sz w:val="28"/>
          <w:szCs w:val="28"/>
          <w:rtl w:val="true"/>
          <w:lang w:bidi="fa-IR"/>
        </w:rPr>
        <w:t>پدیده مرز بین کشورها، عامل مهمی در شکل‌گیری حقوق بین‌الملل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عامل وجود نداشت، چنین رشته‌ای به‌وجود نمی‌آمد؛ برای مثال اگر مرزهای میان کشورهای دنیا برداشته شود و همه مردم، تحت یک حاکمیت جهانی زندگی کنند، در این حالت، فقط یک حقوق، بر روابط مردم دنیا حاکم می‌شود؛ امّا در وضعیت کنونی، شاهد حدود دویست کشور، با مرزهای جغرافیایی خاص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حقوق بین‌الملل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بین‌الملل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مقررات تنظیم‌کننده روابط بین دولت‌ها و سازمان‌های بین‌المللی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تنظیم‌کننده روابط خصوصی بین اتباع کشورهای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موارد، زندگی حقوقی مردم، در داخل کشور و در سطح ملّی انجام می‌شود؛ برای نمونه، تاجر تهرانی با تاجر اصفهانی به داد و ستد می‌پردازد؛ یا یک مرد قمی با یک زن کاشانی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هیچ عامل بین‌المللی وجود ندارد؛ امّا گاهی یک تاجر تهرانی با یک تاجر افغانی قراردادی تجاری منعقد می‌کند که کالایی را به او تحویل دهد؛ و یا یک مرد ایرانی با یک زن عراقی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معامله یا ازدواج، بین دو نفر از دو ملیت مختلف انجام شده است و عامل مرز در آن نقش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بین‌الملل خصوصی این مسئله مطرح است که مقررات کدام کشور در مورد شرایط و آثار این قرارداد یا ازدواج، لازم‌الاجرا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نی‌بوایه</w:t>
      </w:r>
      <w:r>
        <w:rPr>
          <w:rStyle w:val="FootnoteAnchor"/>
          <w:rtl w:val="true"/>
        </w:rPr>
        <w:footnoteReference w:id="6"/>
      </w:r>
      <w:r>
        <w:rPr>
          <w:rFonts w:ascii="IRNazanin" w:hAnsi="IRNazanin" w:eastAsia="IRNazanin"/>
          <w:color w:val="111111"/>
          <w:sz w:val="28"/>
          <w:sz w:val="28"/>
          <w:szCs w:val="28"/>
          <w:rtl w:val="true"/>
          <w:lang w:bidi="fa-IR"/>
        </w:rPr>
        <w:t>حقوق بین‌الملل خصوصی را چنین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شعبه‌ای است از حقوق موضوعه، که روابط افراد را در زندگی خصوصی، به موجب پدیده مرز تنظیم می‌کند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بنابراین، به عقیده وی هنگامی یک موضوع به حقوق بین‌الملل مربوط می‌شود که از مرز یک کشور گذشته و به کشور دیگری ارتباط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چند عنصر خارجی در یک مسئله دخالت می‌کنند و موجب پیچیدگی آن می‌شوند؛ برای مثال، شخصی به نام مالیبران</w:t>
      </w:r>
      <w:r>
        <w:rPr>
          <w:rStyle w:val="FootnoteAnchor"/>
          <w:rtl w:val="true"/>
        </w:rPr>
        <w:footnoteReference w:id="8"/>
      </w:r>
      <w:r>
        <w:rPr>
          <w:rFonts w:ascii="IRNazanin" w:hAnsi="IRNazanin" w:eastAsia="IRNazanin"/>
          <w:color w:val="111111"/>
          <w:sz w:val="28"/>
          <w:sz w:val="28"/>
          <w:szCs w:val="28"/>
          <w:rtl w:val="true"/>
          <w:lang w:bidi="fa-IR"/>
        </w:rPr>
        <w:t>که در پاریس از پدر و مادر اسپانیایی به دنیا آمد، ابتدا با یک زن فرانسوی در اورلئان جدید و سپس با یک زن در فرانسه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در منچسترِ انگلستان درگذشت و در بلژیک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در تقسیم ترکه چنین کسی، قواعد چندین کشور مطرح است و حل مسئله به عهده قواعد حقوق بین‌الملل خصوصی خواهد بود</w:t>
      </w:r>
      <w:r>
        <w:rPr>
          <w:rFonts w:eastAsia="IRNazanin" w:cs="IRNazanin"/>
          <w:color w:val="111111"/>
          <w:sz w:val="28"/>
          <w:szCs w:val="28"/>
          <w:rtl w:val="true"/>
          <w:lang w:bidi="fa-IR"/>
        </w:rPr>
        <w:t>.</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ضروری است که حقوق بین‌الملل خصوصی فقط ناظر به روابط افرادی که دارای تابعیت مختلف باشند،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برخلاف پندار بعضی از مردم، حقوق، خاص بیگانگان نیست؛ چه اینکه ممکن است روابط اتباع داخله یک کشور نیز به علت دخالت یک عامل خارجی، مشمول حقوق بین‌الملل خصوصی باشد؛ برای نمونه، هرگاه دو ایرانی در ایران قراردادی ببندند که موضوع آن بیع یا اجاره یک مال غیرمنقول موجود در خارج از ایران باشد، مسئله، جنبه بین‌المللی پیدا کرده، در قلمرو این موضوع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اقامتگاه متعاملین یا یکی از آنان و یا محل تنظیم سند، در خارج از ایران باشد نیز این‌گونه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یک تاجر ایرانی به حکم دادگاه ایران ورشکسته اعلام شود، ولی چند بستانکار خارجی داشته باشد، حقوق بین‌الملل</w:t>
      </w:r>
      <w:bookmarkStart w:id="29" w:name="pg5888_35796"/>
    </w:p>
    <w:p>
      <w:pPr>
        <w:pStyle w:val="BookText"/>
        <w:rPr/>
      </w:pPr>
      <w:bookmarkEnd w:id="29"/>
      <w:r>
        <w:rPr>
          <w:rFonts w:ascii="IRNazanin" w:hAnsi="IRNazanin" w:eastAsia="IRNazanin"/>
          <w:color w:val="111111"/>
          <w:sz w:val="28"/>
          <w:sz w:val="28"/>
          <w:szCs w:val="28"/>
          <w:rtl w:val="true"/>
          <w:lang w:bidi="fa-IR"/>
        </w:rPr>
        <w:t xml:space="preserve">خصوصی در حل مسئله ذی‌نفع خواهد بود؛ یا اگر عمل حقوقی، 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یک خارجی آن را قبول یا ظَهرنویسی کند، باز هم به علت وجود یک عامل خارجی، مشمول حقوق بین‌الملل خصوصی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عامل خارجی ممکن است تابعیت خارجی یکی از طرفین یا هر دو، اقامتگاه آنان در خارج، وقوع عمل یا واقعه حقوقی و یا دارایی مورد معامله در کشور بیگانه باشد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30" w:name="__RefHeading___Toc5261166_581953129"/>
      <w:bookmarkStart w:id="31" w:name="_Toc11"/>
      <w:bookmarkEnd w:id="30"/>
      <w:r>
        <w:rPr/>
        <w:t>3</w:t>
      </w:r>
      <w:r>
        <w:rPr>
          <w:rtl w:val="true"/>
        </w:rPr>
        <w:t xml:space="preserve">- </w:t>
      </w:r>
      <w:r>
        <w:rPr>
          <w:rtl w:val="true"/>
        </w:rPr>
        <w:t>انتخاب نام حقوق بین الملل خصوصی</w:t>
      </w:r>
      <w:bookmarkEnd w:id="31"/>
    </w:p>
    <w:p>
      <w:pPr>
        <w:pStyle w:val="Heading4"/>
        <w:numPr>
          <w:ilvl w:val="3"/>
          <w:numId w:val="1"/>
        </w:numPr>
        <w:rPr/>
      </w:pPr>
      <w:bookmarkStart w:id="32" w:name="__RefHeading___Toc5261168_581953129"/>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برای این رشته از حقوق، عنوان‌های گوناگونی پیشنهاد شده است که مهم‌ترین آنها عبارت‌اند از</w:t>
      </w:r>
      <w:r>
        <w:rPr>
          <w:rFonts w:eastAsia="IRNazanin" w:cs="IRNazanin"/>
          <w:color w:val="111111"/>
          <w:sz w:val="28"/>
          <w:szCs w:val="28"/>
          <w:rtl w:val="true"/>
          <w:lang w:bidi="fa-IR"/>
        </w:rPr>
        <w:t>:</w:t>
      </w:r>
    </w:p>
    <w:p>
      <w:pPr>
        <w:pStyle w:val="Heading4"/>
        <w:numPr>
          <w:ilvl w:val="3"/>
          <w:numId w:val="1"/>
        </w:numPr>
        <w:rPr/>
      </w:pPr>
      <w:bookmarkStart w:id="34" w:name="__RefHeading___Toc5261170_581953129"/>
      <w:bookmarkStart w:id="35" w:name="_Toc13"/>
      <w:bookmarkEnd w:id="34"/>
      <w:r>
        <w:rPr>
          <w:rtl w:val="true"/>
        </w:rPr>
        <w:t>الف</w:t>
      </w:r>
      <w:r>
        <w:rPr>
          <w:rtl w:val="true"/>
        </w:rPr>
        <w:t xml:space="preserve">) </w:t>
      </w:r>
      <w:r>
        <w:rPr>
          <w:rtl w:val="true"/>
        </w:rPr>
        <w:t>تعارض قوانین</w:t>
      </w:r>
      <w:bookmarkEnd w:id="35"/>
    </w:p>
    <w:p>
      <w:pPr>
        <w:pStyle w:val="BookText"/>
        <w:rPr/>
      </w:pP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در نظام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که حقوق‌دانان آمریکایی و انگلیسی عموماً از آن استفاده می‌کنند، برای نخستین‌بار به‌وسیله دایسی</w:t>
      </w:r>
      <w:r>
        <w:rPr>
          <w:rStyle w:val="FootnoteAnchor"/>
          <w:rtl w:val="true"/>
        </w:rPr>
        <w:footnoteReference w:id="13"/>
      </w:r>
      <w:r>
        <w:rPr>
          <w:rFonts w:ascii="IRNazanin" w:hAnsi="IRNazanin" w:eastAsia="IRNazanin"/>
          <w:color w:val="111111"/>
          <w:sz w:val="28"/>
          <w:sz w:val="28"/>
          <w:szCs w:val="28"/>
          <w:rtl w:val="true"/>
          <w:lang w:bidi="fa-IR"/>
        </w:rPr>
        <w:t xml:space="preserve">حقوق‌دان انگلیسی، در سال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6" w:name="__RefHeading___Toc5261172_581953129"/>
      <w:bookmarkStart w:id="37" w:name="_Toc14"/>
      <w:bookmarkEnd w:id="36"/>
      <w:r>
        <w:rPr>
          <w:rtl w:val="true"/>
        </w:rPr>
        <w:t>ب</w:t>
      </w:r>
      <w:r>
        <w:rPr>
          <w:rtl w:val="true"/>
        </w:rPr>
        <w:t xml:space="preserve">) </w:t>
      </w:r>
      <w:r>
        <w:rPr>
          <w:rtl w:val="true"/>
        </w:rPr>
        <w:t>حقوق بین الملل خصوصی</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اصطلاح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نوشته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و یا حقوق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ژرمنی استفاده می‌شود، نخستین‌بار به‌وسیله حقوق‌دانی به نام ژزف ستوری</w:t>
      </w:r>
      <w:r>
        <w:rPr>
          <w:rStyle w:val="FootnoteAnchor"/>
          <w:rtl w:val="true"/>
        </w:rPr>
        <w:footnoteReference w:id="16"/>
      </w:r>
      <w:r>
        <w:rPr>
          <w:rFonts w:ascii="IRNazanin" w:hAnsi="IRNazanin" w:eastAsia="IRNazanin"/>
          <w:color w:val="111111"/>
          <w:sz w:val="28"/>
          <w:sz w:val="28"/>
          <w:szCs w:val="28"/>
          <w:rtl w:val="true"/>
          <w:lang w:bidi="fa-IR"/>
        </w:rPr>
        <w:t>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w:t>
      </w:r>
      <w:bookmarkStart w:id="38" w:name="pg5888_35798"/>
    </w:p>
    <w:p>
      <w:pPr>
        <w:pStyle w:val="BookText"/>
        <w:rPr/>
      </w:pPr>
      <w:bookmarkEnd w:id="38"/>
      <w:r>
        <w:rPr>
          <w:rFonts w:ascii="IRNazanin" w:hAnsi="IRNazanin" w:eastAsia="IRNazanin"/>
          <w:color w:val="111111"/>
          <w:sz w:val="28"/>
          <w:sz w:val="28"/>
          <w:szCs w:val="28"/>
          <w:rtl w:val="true"/>
          <w:lang w:bidi="fa-IR"/>
        </w:rPr>
        <w:t>تفاسیر مربوط به تعارض قوانین</w:t>
      </w:r>
      <w:r>
        <w:rPr>
          <w:rStyle w:val="FootnoteAnchor"/>
          <w:rtl w:val="true"/>
        </w:rPr>
        <w:footnoteReference w:id="17"/>
      </w:r>
      <w:r>
        <w:rPr>
          <w:rFonts w:ascii="IRNazanin" w:hAnsi="IRNazanin" w:eastAsia="IRNazanin"/>
          <w:color w:val="111111"/>
          <w:sz w:val="28"/>
          <w:sz w:val="28"/>
          <w:szCs w:val="28"/>
          <w:rtl w:val="true"/>
          <w:lang w:bidi="fa-IR"/>
        </w:rPr>
        <w:t>خویش این عنوان</w:t>
      </w:r>
      <w:r>
        <w:rPr>
          <w:rStyle w:val="FootnoteAnchor"/>
          <w:rtl w:val="true"/>
        </w:rPr>
        <w:footnoteReference w:id="18"/>
      </w:r>
      <w:r>
        <w:rPr>
          <w:rFonts w:ascii="IRNazanin" w:hAnsi="IRNazanin" w:eastAsia="IRNazanin"/>
          <w:color w:val="111111"/>
          <w:sz w:val="28"/>
          <w:sz w:val="28"/>
          <w:szCs w:val="28"/>
          <w:rtl w:val="true"/>
          <w:lang w:bidi="fa-IR"/>
        </w:rPr>
        <w:t>را ارائه کرد که ازسوی برخی نویسندگان انگلیسی، مانند وست لیک</w:t>
      </w:r>
      <w:r>
        <w:rPr>
          <w:rStyle w:val="FootnoteAnchor"/>
          <w:rtl w:val="true"/>
        </w:rPr>
        <w:footnoteReference w:id="19"/>
      </w:r>
      <w:r>
        <w:rPr>
          <w:rFonts w:ascii="IRNazanin" w:hAnsi="IRNazanin" w:eastAsia="IRNazanin"/>
          <w:color w:val="111111"/>
          <w:sz w:val="28"/>
          <w:sz w:val="28"/>
          <w:szCs w:val="28"/>
          <w:rtl w:val="true"/>
          <w:lang w:bidi="fa-IR"/>
        </w:rPr>
        <w:t>و فوت</w:t>
      </w:r>
      <w:r>
        <w:rPr>
          <w:rStyle w:val="FootnoteAnchor"/>
          <w:rtl w:val="true"/>
        </w:rPr>
        <w:footnoteReference w:id="20"/>
      </w:r>
      <w:r>
        <w:rPr>
          <w:rFonts w:ascii="IRNazanin" w:hAnsi="IRNazanin" w:eastAsia="IRNazanin"/>
          <w:color w:val="111111"/>
          <w:sz w:val="28"/>
          <w:sz w:val="28"/>
          <w:szCs w:val="28"/>
          <w:rtl w:val="true"/>
          <w:lang w:bidi="fa-IR"/>
        </w:rPr>
        <w:t>مورد تأکید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دو عنوان فوق، کم و بیش مورد اعتراض برخی حقوق‌دانان و نویسندگان قرار گرفته است، 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عنوان دیگر مورد توجه و استقبال واقع شده است؛ چه اینکه از جامعیت بیشتری برخوردار بوده، موضوع‌ها متنوّع‌تری را در برمی‌گیرد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9" w:name="__RefHeading___Toc5261174_581953129"/>
      <w:bookmarkStart w:id="40" w:name="_Toc15"/>
      <w:bookmarkEnd w:id="39"/>
      <w:r>
        <w:rPr/>
        <w:t>4</w:t>
      </w:r>
      <w:r>
        <w:rPr>
          <w:rtl w:val="true"/>
        </w:rPr>
        <w:t xml:space="preserve">- </w:t>
      </w:r>
      <w:r>
        <w:rPr>
          <w:rtl w:val="true"/>
        </w:rPr>
        <w:t>مشخّصات حقوق بین الملل خصوصی</w:t>
      </w:r>
      <w:bookmarkEnd w:id="40"/>
    </w:p>
    <w:p>
      <w:pPr>
        <w:pStyle w:val="Heading4"/>
        <w:numPr>
          <w:ilvl w:val="3"/>
          <w:numId w:val="1"/>
        </w:numPr>
        <w:rPr/>
      </w:pPr>
      <w:bookmarkStart w:id="41" w:name="__RefHeading___Toc5261176_581953129"/>
      <w:bookmarkStart w:id="42" w:name="_Toc16"/>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حقوق بین‌الملل خصوصی، که یکی از شاخه‌های مهم حقوق بین‌الملل به‌شمار می‌آید، دارای مشخّصات زیر است</w:t>
      </w:r>
      <w:r>
        <w:rPr>
          <w:rFonts w:eastAsia="IRNazanin" w:cs="IRNazanin"/>
          <w:color w:val="111111"/>
          <w:sz w:val="28"/>
          <w:szCs w:val="28"/>
          <w:rtl w:val="true"/>
          <w:lang w:bidi="fa-IR"/>
        </w:rPr>
        <w:t>:</w:t>
      </w:r>
    </w:p>
    <w:p>
      <w:pPr>
        <w:pStyle w:val="Heading4"/>
        <w:numPr>
          <w:ilvl w:val="3"/>
          <w:numId w:val="1"/>
        </w:numPr>
        <w:rPr/>
      </w:pPr>
      <w:bookmarkStart w:id="43" w:name="__RefHeading___Toc5261178_581953129"/>
      <w:bookmarkStart w:id="44" w:name="_Toc17"/>
      <w:bookmarkEnd w:id="43"/>
      <w:r>
        <w:rPr>
          <w:rtl w:val="true"/>
        </w:rPr>
        <w:t>الف</w:t>
      </w:r>
      <w:r>
        <w:rPr>
          <w:rtl w:val="true"/>
        </w:rPr>
        <w:t xml:space="preserve">) </w:t>
      </w:r>
      <w:r>
        <w:rPr>
          <w:rtl w:val="true"/>
        </w:rPr>
        <w:t>بین المللی بودن آن</w:t>
      </w:r>
      <w:bookmarkEnd w:id="44"/>
    </w:p>
    <w:p>
      <w:pPr>
        <w:pStyle w:val="BookText"/>
        <w:rPr/>
      </w:pPr>
      <w:r>
        <w:rPr>
          <w:rFonts w:ascii="IRNazanin" w:hAnsi="IRNazanin" w:eastAsia="IRNazanin"/>
          <w:color w:val="111111"/>
          <w:sz w:val="28"/>
          <w:sz w:val="28"/>
          <w:szCs w:val="28"/>
          <w:rtl w:val="true"/>
          <w:lang w:bidi="fa-IR"/>
        </w:rPr>
        <w:t>این رشته حقوقی، از مرز یک کشور فراتر رفته و حقوق دو یا چند کشور در آن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هر دولتی در موضوعات مربوط به حقوق بین‌الملل خصوصی، ناگزیر به رعایت حاکمیت سایر کشورها است؛ برای نمونه، قانون مدنی ایران در ماده هفت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خارجه مقیم در خاک ایران از حیث مسائل مربوطه به احوال شخصیه و اهلیت خود و همچنین از حیث حقوق ارثیه در حدود معاهده‌ها، مطیع قوانین و مقررات دولت متبوع خود خواهند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قاضی ایران در مورد دعاوی مربوط به احوال شخصیه اتباع</w:t>
      </w:r>
      <w:bookmarkStart w:id="45" w:name="pg5888_35800"/>
    </w:p>
    <w:p>
      <w:pPr>
        <w:pStyle w:val="BookText"/>
        <w:rPr/>
      </w:pPr>
      <w:bookmarkEnd w:id="45"/>
      <w:r>
        <w:rPr>
          <w:rFonts w:ascii="IRNazanin" w:hAnsi="IRNazanin" w:eastAsia="IRNazanin"/>
          <w:color w:val="111111"/>
          <w:sz w:val="28"/>
          <w:sz w:val="28"/>
          <w:szCs w:val="28"/>
          <w:rtl w:val="true"/>
          <w:lang w:bidi="fa-IR"/>
        </w:rPr>
        <w:t>خارجی که در ایران زندگی می‌کنند، به جای اجرای قانون کشور ایران، قانون کشور شهروند خارجی را اجرا می‌کند</w:t>
      </w:r>
      <w:r>
        <w:rPr>
          <w:rFonts w:eastAsia="IRNazanin" w:cs="IRNazanin"/>
          <w:color w:val="111111"/>
          <w:sz w:val="28"/>
          <w:szCs w:val="28"/>
          <w:rtl w:val="true"/>
          <w:lang w:bidi="fa-IR"/>
        </w:rPr>
        <w:t>.</w:t>
      </w:r>
    </w:p>
    <w:p>
      <w:pPr>
        <w:pStyle w:val="Heading4"/>
        <w:numPr>
          <w:ilvl w:val="3"/>
          <w:numId w:val="1"/>
        </w:numPr>
        <w:rPr/>
      </w:pPr>
      <w:bookmarkStart w:id="46" w:name="__RefHeading___Toc5261180_581953129"/>
      <w:bookmarkStart w:id="47" w:name="_Toc18"/>
      <w:bookmarkEnd w:id="46"/>
      <w:r>
        <w:rPr>
          <w:rtl w:val="true"/>
        </w:rPr>
        <w:t>ب</w:t>
      </w:r>
      <w:r>
        <w:rPr>
          <w:rtl w:val="true"/>
        </w:rPr>
        <w:t xml:space="preserve">) </w:t>
      </w:r>
      <w:r>
        <w:rPr>
          <w:rtl w:val="true"/>
        </w:rPr>
        <w:t>خصوصی بودن آن</w:t>
      </w:r>
      <w:bookmarkEnd w:id="47"/>
    </w:p>
    <w:p>
      <w:pPr>
        <w:pStyle w:val="BookText"/>
        <w:rPr/>
      </w:pPr>
      <w:r>
        <w:rPr>
          <w:rFonts w:ascii="IRNazanin" w:hAnsi="IRNazanin" w:eastAsia="IRNazanin"/>
          <w:color w:val="111111"/>
          <w:sz w:val="28"/>
          <w:sz w:val="28"/>
          <w:szCs w:val="28"/>
          <w:rtl w:val="true"/>
          <w:lang w:bidi="fa-IR"/>
        </w:rPr>
        <w:t>حقوق بین‌الملل خصوصی، به روابط دولت‌ها با یکدیگر مربوط نمی‌شود؛ بلکه روابط خصوصی بین اشخاص، اعم از حقیقی و حقوقی را در جوامع مختلف مورد بررسی قرار می‌دهد</w:t>
      </w:r>
      <w:r>
        <w:rPr>
          <w:rFonts w:eastAsia="IRNazanin" w:cs="IRNazanin"/>
          <w:color w:val="111111"/>
          <w:sz w:val="28"/>
          <w:szCs w:val="28"/>
          <w:rtl w:val="true"/>
          <w:lang w:bidi="fa-IR"/>
        </w:rPr>
        <w:t>.</w:t>
      </w:r>
    </w:p>
    <w:p>
      <w:pPr>
        <w:pStyle w:val="Heading4"/>
        <w:numPr>
          <w:ilvl w:val="3"/>
          <w:numId w:val="1"/>
        </w:numPr>
        <w:rPr/>
      </w:pPr>
      <w:bookmarkStart w:id="48" w:name="__RefHeading___Toc5261182_581953129"/>
      <w:bookmarkStart w:id="49" w:name="_Toc19"/>
      <w:bookmarkEnd w:id="48"/>
      <w:r>
        <w:rPr>
          <w:rtl w:val="true"/>
        </w:rPr>
        <w:t>ج</w:t>
      </w:r>
      <w:r>
        <w:rPr>
          <w:rtl w:val="true"/>
        </w:rPr>
        <w:t xml:space="preserve">) </w:t>
      </w:r>
      <w:r>
        <w:rPr>
          <w:rtl w:val="true"/>
        </w:rPr>
        <w:t>استقلال و تازگی موضوعات آن</w:t>
      </w:r>
      <w:bookmarkEnd w:id="49"/>
    </w:p>
    <w:p>
      <w:pPr>
        <w:pStyle w:val="BookText"/>
        <w:rPr/>
      </w:pPr>
      <w:r>
        <w:rPr>
          <w:rFonts w:ascii="IRNazanin" w:hAnsi="IRNazanin" w:eastAsia="IRNazanin"/>
          <w:color w:val="111111"/>
          <w:sz w:val="28"/>
          <w:sz w:val="28"/>
          <w:szCs w:val="28"/>
          <w:rtl w:val="true"/>
          <w:lang w:bidi="fa-IR"/>
        </w:rPr>
        <w:t>حقوق بین‌الملل خصوصی، رشته‌ای مستقل و دارای موضوع‌ها، احکام و قواعد مخصوص به خود است و از ترکیب یا امتزاج سایر رشته‌های حقوق به‌وجود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با توجه به توسعه روزافزون روابط حقوقی بین ملت‌ها، پیوسته، موضوع‌ها و مقررات جدیدی مطرح می‌شوند که این مسئله در دیگر رشته‌های حقوقی کمتر وجود دارد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50" w:name="__RefHeading___Toc5261184_581953129"/>
      <w:bookmarkStart w:id="51" w:name="_Toc20"/>
      <w:bookmarkEnd w:id="50"/>
      <w:r>
        <w:rPr>
          <w:rtl w:val="true"/>
        </w:rPr>
        <w:t>د</w:t>
      </w:r>
      <w:r>
        <w:rPr>
          <w:rtl w:val="true"/>
        </w:rPr>
        <w:t xml:space="preserve">) </w:t>
      </w:r>
      <w:r>
        <w:rPr>
          <w:rtl w:val="true"/>
        </w:rPr>
        <w:t>تأثیرپذیری</w:t>
      </w:r>
      <w:bookmarkEnd w:id="51"/>
    </w:p>
    <w:p>
      <w:pPr>
        <w:pStyle w:val="BookText"/>
        <w:rPr/>
      </w:pPr>
      <w:r>
        <w:rPr>
          <w:rFonts w:ascii="IRNazanin" w:hAnsi="IRNazanin" w:eastAsia="IRNazanin"/>
          <w:color w:val="111111"/>
          <w:sz w:val="28"/>
          <w:sz w:val="28"/>
          <w:szCs w:val="28"/>
          <w:rtl w:val="true"/>
          <w:lang w:bidi="fa-IR"/>
        </w:rPr>
        <w:t>اگرچه حقوق بین‌الملل خصوصی یکی از بخش‌های اساسی حقوق هر کشور است، ولی تصمیمات قضایی، نوشته‌های حقوق‌دانان و مقررات دیگر نظام‌های حقوقی، بر رشد و تحوّل آن تأثیرگذار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2" w:name="__RefHeading___Toc5261186_581953129"/>
      <w:bookmarkStart w:id="53" w:name="_Toc21"/>
      <w:bookmarkEnd w:id="52"/>
      <w:r>
        <w:rPr/>
        <w:t>5</w:t>
      </w:r>
      <w:r>
        <w:rPr>
          <w:rtl w:val="true"/>
        </w:rPr>
        <w:t xml:space="preserve">- </w:t>
      </w:r>
      <w:r>
        <w:rPr>
          <w:rtl w:val="true"/>
        </w:rPr>
        <w:t>فواید حقوق بین الملل خصوصی</w:t>
      </w:r>
      <w:bookmarkEnd w:id="53"/>
    </w:p>
    <w:p>
      <w:pPr>
        <w:pStyle w:val="Heading4"/>
        <w:numPr>
          <w:ilvl w:val="3"/>
          <w:numId w:val="1"/>
        </w:numPr>
        <w:rPr/>
      </w:pPr>
      <w:bookmarkStart w:id="54" w:name="__RefHeading___Toc5261188_581953129"/>
      <w:bookmarkStart w:id="55" w:name="_Toc22"/>
      <w:bookmarkEnd w:id="54"/>
      <w:r>
        <w:rPr>
          <w:rtl w:val="true"/>
        </w:rPr>
        <w:t>اشاره</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رشته، از رشته‌های حقوقی پرفایده است؛ چون افزایش روابط مردم دنیا با</w:t>
      </w:r>
      <w:bookmarkStart w:id="56" w:name="pg5888_35802"/>
    </w:p>
    <w:p>
      <w:pPr>
        <w:pStyle w:val="BookText"/>
        <w:rPr/>
      </w:pPr>
      <w:bookmarkEnd w:id="56"/>
      <w:r>
        <w:rPr>
          <w:rFonts w:ascii="IRNazanin" w:hAnsi="IRNazanin" w:eastAsia="IRNazanin"/>
          <w:color w:val="111111"/>
          <w:sz w:val="28"/>
          <w:sz w:val="28"/>
          <w:szCs w:val="28"/>
          <w:rtl w:val="true"/>
          <w:lang w:bidi="fa-IR"/>
        </w:rPr>
        <w:t xml:space="preserve">یکدیگر، توسعه روزافزون مسائل اقتصادی، صنعتی و فرهنگی و تسهیل رفت‌وآمد موجب انتقال اموال، اشخاص و عقایدِ مردم، از کشوری به کشور دیگر می‌شود و هر یک از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اشخاص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برای حقوق بین‌الملل خصوصی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جابه‌جا شدن اشیا، اشخاص، افکار و عقاید از کشوری به کشور دیگر، مسائل متعدّد بین‌المللی را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امکان خروج افراد از مرز کشور خود بیشتر فراهم شود و روابط علمی، اقتصادی و فرهنگی با دیگر مردم کشورها توسعه پیدا کند، طبیعی است حقوق بین‌الملل هم تحرک بیشتری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فواید حقوق بین‌الملل خصوصی را از دو منظر مورد توجه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عملی و فواید علمی</w:t>
      </w:r>
      <w:r>
        <w:rPr>
          <w:rFonts w:eastAsia="IRNazanin" w:cs="IRNazanin"/>
          <w:color w:val="111111"/>
          <w:sz w:val="28"/>
          <w:szCs w:val="28"/>
          <w:rtl w:val="true"/>
          <w:lang w:bidi="fa-IR"/>
        </w:rPr>
        <w:t>.</w:t>
      </w:r>
    </w:p>
    <w:p>
      <w:pPr>
        <w:pStyle w:val="Heading4"/>
        <w:numPr>
          <w:ilvl w:val="3"/>
          <w:numId w:val="1"/>
        </w:numPr>
        <w:rPr/>
      </w:pPr>
      <w:bookmarkStart w:id="57" w:name="__RefHeading___Toc5261190_581953129"/>
      <w:bookmarkStart w:id="58" w:name="_Toc23"/>
      <w:bookmarkEnd w:id="57"/>
      <w:r>
        <w:rPr>
          <w:rtl w:val="true"/>
        </w:rPr>
        <w:t>الف</w:t>
      </w:r>
      <w:r>
        <w:rPr>
          <w:rtl w:val="true"/>
        </w:rPr>
        <w:t xml:space="preserve">) </w:t>
      </w:r>
      <w:r>
        <w:rPr>
          <w:rtl w:val="true"/>
        </w:rPr>
        <w:t>فواید عملی</w:t>
      </w:r>
      <w:bookmarkEnd w:id="58"/>
    </w:p>
    <w:p>
      <w:pPr>
        <w:pStyle w:val="BookText"/>
        <w:rPr/>
      </w:pPr>
      <w:r>
        <w:rPr>
          <w:rFonts w:ascii="IRNazanin" w:hAnsi="IRNazanin" w:eastAsia="IRNazanin"/>
          <w:color w:val="111111"/>
          <w:sz w:val="28"/>
          <w:sz w:val="28"/>
          <w:szCs w:val="28"/>
          <w:rtl w:val="true"/>
          <w:lang w:bidi="fa-IR"/>
        </w:rPr>
        <w:t>فواید عملی این رشته در چهار بخش اموال، اشخاص، اعمال حقوقی و احوال شخصیه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w:t>
      </w:r>
    </w:p>
    <w:p>
      <w:pPr>
        <w:pStyle w:val="BookText"/>
        <w:rPr/>
      </w:pPr>
      <w:r>
        <w:rPr>
          <w:rFonts w:ascii="IRNazanin" w:hAnsi="IRNazanin" w:eastAsia="IRNazanin"/>
          <w:color w:val="111111"/>
          <w:sz w:val="28"/>
          <w:sz w:val="28"/>
          <w:szCs w:val="28"/>
          <w:rtl w:val="true"/>
          <w:lang w:bidi="fa-IR"/>
        </w:rPr>
        <w:t>مسائل مربوط به اموال را در حالت‌های زیر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اموال منقول؛ مالکیت اموال غیرمنقول؛ مالکیت‌های معنوی؛ اوراق بهادار؛ ارث؛ رژیم حقوقی زوجین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اموال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اثر داد و ستد بین دو یا چند نفر از دو یا چند کشور گوناگون، اموال منقولی مبادله شود، تشخیص اینکه قانون کدام کشور در مورد این قرارداد لازم‌الاجراست، به عهده حقوق بین‌الملل خصوصی است؛ برای نمونه، هرگاه یک تاجر ایرانی با یک تاجر پاکستانی در کشور هندوستان</w:t>
      </w:r>
    </w:p>
    <w:p>
      <w:pPr>
        <w:pStyle w:val="BookText"/>
        <w:rPr/>
      </w:pPr>
      <w:r>
        <w:rPr>
          <w:rFonts w:ascii="IRNazanin" w:hAnsi="IRNazanin" w:eastAsia="IRNazanin"/>
          <w:color w:val="111111"/>
          <w:sz w:val="28"/>
          <w:sz w:val="28"/>
          <w:szCs w:val="28"/>
          <w:rtl w:val="true"/>
          <w:lang w:bidi="fa-IR"/>
        </w:rPr>
        <w:t>قراردادی امضا کند و سپس بین آنان اختلافی پیش آید، باید تشخیص دهیم که در مورد اجرای قرارداد، حمل و نقل، مالیات و غیره قانون کدام کشور حاکم است؛ ایران، پاکستان و یا هندوستان؟ تشخیص این مسئله بر عهده حقوق بین‌الملل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اموال غیرمنقول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حقوق بین‌الملل خصوصی این است که اتباع خارجی چه حقوق و تکالیفی از جهت تصرف و مالکیت در اموال غیرمنقول دارند؛ افزون بر این، هرگاه دارایی غیرمنقولی در کشوری باشد که مالک آن در کشور دیگر مقیم است، هر نوع مسئله حقوقی که راجع به این دارایی غیرمنقول پیش آید، حل آن بر عهده حقوق بین‌الملل خصوصی است، تا تشخیص داده شود که کدام قانون حاکم است؛ قانون محل وقوع مال، قانون کشور متبوع مالک و یا قانون اقامتگاه محل؟</w:t>
      </w:r>
    </w:p>
    <w:p>
      <w:pPr>
        <w:pStyle w:val="BookText"/>
        <w:rPr/>
      </w:pPr>
      <w:r>
        <w:rPr>
          <w:rFonts w:ascii="IRNazanin" w:hAnsi="IRNazanin" w:eastAsia="IRNazanin"/>
          <w:color w:val="111111"/>
          <w:sz w:val="28"/>
          <w:sz w:val="28"/>
          <w:szCs w:val="28"/>
          <w:rtl w:val="true"/>
          <w:lang w:bidi="fa-IR"/>
        </w:rPr>
        <w:t>مالکیت‌های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مالکیت معنوی، اموری مانند حق تألیف، حق ترجمه، حق اختراع، علایم تجاری و صنعتی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کتاب نویسنده‌ای در کشور دیگری تجدید چاپ یا ترجمه شود، وی چگونه می‌تواند از حق خویش دفاع کند؟ برای نمونه، در فرانسه، قانون از مؤلف در تمام مدّت حیات و تا مدّتی پس از مرگش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در همه کشورها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در برخی کشورها از آثار مؤلفین خارجی حمایت نکنند؛ چنان‌که ترجمه آثار خارجی در ایران طبق مقررات آزاد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ممکن است علائم تجاری در کشور دیگری تقلید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قانون چه کشوری باید به این مسئله رسیدگی کند؟ قانون کشور اول یا قانون کشور دوم؟ پاسخ به این چنین پرسش‌هایی برعهده حقوق بین‌الملل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اوراق بهادار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اوراق بهاداری مانند اوراق قرضه، از کشوری به کشور دیگر منتقل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این پرسش مطرح است که قانون کدام کشور در مورد دعاوی مربوط به آن اوراق، حاکم خواهد بود؟ برای نمونه، ممکن است اوراق قرضه یک ایرانی، از سوی فرد آمریکایی ربوده شده، در کشور پاکستان به فروش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خریدار به کشور ایران آید تا منافع آن را دریافت کند و مالک اصلی درصدد مطالبه آن برآید، چگونه می‌تواند اقدام کند؟ حل این مسئله بر عهده حقوق بین‌الملل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ایرانی در عراق فوت کند و اموال او در ایران، عراق و ترکیه باشد، باید دانست قانون کدام کشور در مورد تقسیم ترکه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به این‌چنین پرسش‌هایی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اموال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کشورها مانند پاکستان و ایران، اموال زن و شوهر از یکدیگر جداست و هر یک از زوج‌ها به تنهایی مالک دارایی خویش است؛ برای نمونه، ماده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مستقلاً می‌تواند در دارایی خود هر تصرفی را که می‌خواهد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 کشورهایی مانند آمریکا و فرانسه، زن و شوهر پس از ازدواج در اموال یکدیگر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مردی آمریکایی با زنی ایرانی ازدواج کند، قانون کدام کشور در مورد دارایی‌های آنان حاکم خواهد بود؟ یا اگر یک مرد پاکستانی با زنی آمریکایی ازدواج کرده، سپس در ایران از یکدیگر جدا شوند، رژیم مالی کدام کشور در مورد دارایی‌های آنان حاکم است؛ ایران، پاکستان و یا آمریکا؟ قواعد حقوق بین‌الملل خصوصی، پاسخگوی این پرسش‌ها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حقوق بین‌الملل خصوصی را در هر یک از این موارد جداگانه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گسترش وسایل حمل‌ونقل و تسهیل رفت‌وآمد، ممکن است اشخاص حقیقی از کشوری به کشور دیگر مسافرت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مسافرت آنان نیز ممکن است تجارت، تحصیل، جهانگردی، پناهندگی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مسائلی مانند حق ورود، اقامت و خروج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کشورها اجازه کامل ورود و خروج آزادانه و کار و تحصیل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کشورهای مهاجرپذیر مانند آمریکا، مقررات مشروحی در این زمینه تهیه کرده‌اند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افراد مهاجر، دارای اموال و دارایی‌هایی هستند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اشخاص غیرتبعه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مسائل مربوط به این دسته از مسافرت‌هاست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کشور میزبان، از قواعد و مقرراتی پیرامون حقوق و تکالیف این دسته از افراد برخوردار باشد، که در قالب حقوق بین‌الملل خصوصی کشور، مشخص و معین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اشخاص حقوقی، مانند شرکت‌های تجاری، مؤسسه‌های مالی و اعتباری و کمپانی‌ها توسعه گسترده‌ای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شرکت‌ها دارای تابعیت یک کشور بوده، ممکن است در چندین کشور دارای شعبه و یا نمایندگی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دارای چندین تابعیت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شرکت‌های بزرگ برخوردار از شعبه در کشورهای گوناگون، چگونه می‌توانند توسعه یابند و در کشور دیگری به ثبت برسند، یا اختیارات مدیران و مؤسسان آنها در کشورهای دیگر تا چه حد است و یا اینکه ثبت آنها در یک</w:t>
      </w:r>
    </w:p>
    <w:p>
      <w:pPr>
        <w:pStyle w:val="BookText"/>
        <w:rPr/>
      </w:pPr>
      <w:r>
        <w:rPr>
          <w:rFonts w:ascii="IRNazanin" w:hAnsi="IRNazanin" w:eastAsia="IRNazanin"/>
          <w:color w:val="111111"/>
          <w:sz w:val="28"/>
          <w:sz w:val="28"/>
          <w:szCs w:val="28"/>
          <w:rtl w:val="true"/>
          <w:lang w:bidi="fa-IR"/>
        </w:rPr>
        <w:t>کشور، در کشورهای دیگر نیز دارای اعتبار هست یا نه، همگی از مسایل مربوط به حقوق بین‌الملل خصوصی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حقوقی</w:t>
      </w:r>
    </w:p>
    <w:p>
      <w:pPr>
        <w:pStyle w:val="BookText"/>
        <w:rPr/>
      </w:pPr>
      <w:r>
        <w:rPr>
          <w:rFonts w:ascii="IRNazanin" w:hAnsi="IRNazanin" w:eastAsia="IRNazanin"/>
          <w:color w:val="111111"/>
          <w:sz w:val="28"/>
          <w:sz w:val="28"/>
          <w:szCs w:val="28"/>
          <w:rtl w:val="true"/>
          <w:lang w:bidi="fa-IR"/>
        </w:rPr>
        <w:t>گاهی قراردادها و تعهدها در محدوده سرزمین یک دولت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حقوق داخلی بر آن قرارداد حاکم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قراردادها و تعهدها در سطح بین‌المللی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قوانین کشورها در مورد تعهدها و قراردادها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چنانچه درباره چگونگی اجرای آن اختلاف پیش آید، قانون کدام کشور لازم‌الاجرا خواهد بود؟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انعقاد یک قرارداد خرید و فروش بین دو ایرانی و افغانی، مال مورد معامله از مالکیت فروشنده ایرانی خارج و به مالکیت خریدار افغانی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بین این دو در مورد اجرای قرارداد یا حمل‌ونقل کالا، اختلافی پدید آید، قانون کدام یک از دو کشور ایران و افغانستان قابل اجرا خواهد بود؟ افزون بر این، ممکن است محل انعقاد قرارداد نیز در کشور سومی باشد و مثلاً این ایرانی و افغانی، یکدیگر را در پاکستان ملاقات و در آنجا قرارداد خود را منعقد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باید روشن شود که در مورد این قرارداد، از بین سه قانون ایران، افغانستان و پاکستان کدام‌یک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مسئله نیز بر عهده حقوق بین‌الملل خصوصی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شخصّیه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احوال شخصیه در اینجا اموری مانند تولد، مرگ، ازدواج و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امور در کشور دیگری اتفاق می‌افتند؛ برای نمونه، پدر و مادر عراقی</w:t>
      </w:r>
      <w:bookmarkStart w:id="59" w:name="pg5888_35812"/>
    </w:p>
    <w:p>
      <w:pPr>
        <w:pStyle w:val="BookText"/>
        <w:rPr/>
      </w:pPr>
      <w:bookmarkEnd w:id="59"/>
      <w:r>
        <w:rPr>
          <w:rFonts w:ascii="IRNazanin" w:hAnsi="IRNazanin" w:eastAsia="IRNazanin"/>
          <w:color w:val="111111"/>
          <w:sz w:val="28"/>
          <w:sz w:val="28"/>
          <w:szCs w:val="28"/>
          <w:rtl w:val="true"/>
          <w:lang w:bidi="fa-IR"/>
        </w:rPr>
        <w:t>در ایران صاحب فرزند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دارای تابعیت ایران است یا عراق؟ همچنین اگر مرگ، ازدواج و یا طلاق در کشور دیگری اتفاق افتد، قانون کدام کشور حاکم خواهد بود؟ حقوق بین‌الملل خصوصی معین می‌کند که این احوال شخصیه تابع قانون چه کشوری خواهد بود</w:t>
      </w:r>
      <w:r>
        <w:rPr>
          <w:rFonts w:eastAsia="IRNazanin" w:cs="IRNazanin"/>
          <w:color w:val="111111"/>
          <w:sz w:val="28"/>
          <w:szCs w:val="28"/>
          <w:rtl w:val="true"/>
          <w:lang w:bidi="fa-IR"/>
        </w:rPr>
        <w:t>.</w:t>
      </w:r>
    </w:p>
    <w:p>
      <w:pPr>
        <w:pStyle w:val="Heading4"/>
        <w:numPr>
          <w:ilvl w:val="3"/>
          <w:numId w:val="1"/>
        </w:numPr>
        <w:rPr/>
      </w:pPr>
      <w:bookmarkStart w:id="60" w:name="__RefHeading___Toc5261192_581953129"/>
      <w:bookmarkStart w:id="61" w:name="_Toc24"/>
      <w:bookmarkEnd w:id="60"/>
      <w:r>
        <w:rPr>
          <w:rtl w:val="true"/>
        </w:rPr>
        <w:t>ب</w:t>
      </w:r>
      <w:r>
        <w:rPr>
          <w:rtl w:val="true"/>
        </w:rPr>
        <w:t xml:space="preserve">) </w:t>
      </w:r>
      <w:r>
        <w:rPr>
          <w:rtl w:val="true"/>
        </w:rPr>
        <w:t>فواید علمی</w:t>
      </w:r>
      <w:bookmarkEnd w:id="61"/>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ذهن</w:t>
      </w:r>
    </w:p>
    <w:p>
      <w:pPr>
        <w:pStyle w:val="BookText"/>
        <w:rPr/>
      </w:pPr>
      <w:r>
        <w:rPr>
          <w:rFonts w:ascii="IRNazanin" w:hAnsi="IRNazanin" w:eastAsia="IRNazanin"/>
          <w:color w:val="111111"/>
          <w:sz w:val="28"/>
          <w:sz w:val="28"/>
          <w:szCs w:val="28"/>
          <w:rtl w:val="true"/>
          <w:lang w:bidi="fa-IR"/>
        </w:rPr>
        <w:t>در حقوق بین‌الملل خصوصی، نوعی انطباق و تطبیق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حقوق‌دان یا قاضی باید حقوق دو یا چند کشور را مورد مطالعه، مقایسه و تطبیق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حل‌وفصل موضوع‌ها و دعاوی مربوط به حقوق بین‌الملل خصوصی فقط یک قانون یا رویه قضایی مبنا و ملاک نخواهد بود؛ بلکه حقوق‌دان هرگاه بخواهد موضوعی از موضوع‌های حقوق بین‌الملل خصوصی را بررسی کند، باید بداند از بین چند کشور، قانون کدام کشور لازم‌الاجراست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از قوانین، رویه قضایی، عرف بین‌المللی و عهدنامه‌های سیاسی آن کشورها نیز کسب اطلاع کند، تا به راه حل مناسبی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اثر تحقیق و تطبیق، دانش حقوقی و نیروی استنباط شخص افزایش یافته، نوعی سازندگی ذهنی در وی ایجاد می‌شود که در سایر رشته‌های حقوقی کمتر قابل مشاهده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ضروری است که در حل‌وفصل دعاوی و موضوع‌های مربوط به حقوق بین‌الملل خصوصی، فقط مباحث حقوقی دخیل نیستند؛ بلکه همواره یک عامل سیاسی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قدرت حاکمیت و استقلال دولت‌ها نیز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دلیل می‌توان گفت حقوق بین‌الملل خصوصی یک رشته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حقوق‌دان از جنبه‌های حقوقی، سیاسی، جامعه‌شناختی،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کشورها نیز اطلّاع</w:t>
      </w:r>
    </w:p>
    <w:p>
      <w:pPr>
        <w:pStyle w:val="BookText"/>
        <w:rPr/>
      </w:pPr>
      <w:r>
        <w:rPr>
          <w:rFonts w:ascii="IRNazanin" w:hAnsi="IRNazanin" w:eastAsia="IRNazanin"/>
          <w:color w:val="111111"/>
          <w:sz w:val="28"/>
          <w:sz w:val="28"/>
          <w:szCs w:val="28"/>
          <w:rtl w:val="true"/>
          <w:lang w:bidi="fa-IR"/>
        </w:rPr>
        <w:t>پیدا می‌کند و در اثر این کوشش فکری، نیروی استنباط وی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w:t>
      </w:r>
      <w:r>
        <w:rPr>
          <w:rStyle w:val="FootnoteAnchor"/>
          <w:rtl w:val="true"/>
        </w:rPr>
        <w:footnoteReference w:id="28"/>
      </w:r>
      <w:r>
        <w:rPr>
          <w:rFonts w:ascii="IRNazanin" w:hAnsi="IRNazanin" w:eastAsia="IRNazanin"/>
          <w:color w:val="111111"/>
          <w:sz w:val="28"/>
          <w:sz w:val="28"/>
          <w:szCs w:val="28"/>
          <w:rtl w:val="true"/>
          <w:lang w:bidi="fa-IR"/>
        </w:rPr>
        <w:t>در این زمینه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حرکت ورزشکار اگرچه ظاهراً بی‌فایده باشد، در حقیقت، عضلات او را نیرومند می‌کند، در مطالعه این رشته نیز فایده مهم، همان نیرومندی فکر و شمّ حقوقی است که در نتیجه ورزش فکری عاید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از قدیم یک رشته سازنده درجه اول تلقّی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امر بدان سبب است که این رشته به موضوعات و مسائلی می‌پردازد که بررسی آنها فراتر از یک نظام منفرد حقوق داخلی است و از راه عوامل ارتباط،</w:t>
      </w:r>
      <w:r>
        <w:rPr>
          <w:rStyle w:val="FootnoteAnchor"/>
          <w:rtl w:val="true"/>
        </w:rPr>
        <w:footnoteReference w:id="30"/>
      </w:r>
      <w:r>
        <w:rPr>
          <w:rFonts w:ascii="IRNazanin" w:hAnsi="IRNazanin" w:eastAsia="IRNazanin"/>
          <w:color w:val="111111"/>
          <w:sz w:val="28"/>
          <w:sz w:val="28"/>
          <w:szCs w:val="28"/>
          <w:rtl w:val="true"/>
          <w:lang w:bidi="fa-IR"/>
        </w:rPr>
        <w:t>به دو یا چند کشور تسّری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بهتر سایر رشته‌های حقوقی</w:t>
      </w:r>
    </w:p>
    <w:p>
      <w:pPr>
        <w:pStyle w:val="BookText"/>
        <w:rPr/>
      </w:pPr>
      <w:r>
        <w:rPr>
          <w:rFonts w:ascii="IRNazanin" w:hAnsi="IRNazanin" w:eastAsia="IRNazanin"/>
          <w:color w:val="111111"/>
          <w:sz w:val="28"/>
          <w:sz w:val="28"/>
          <w:szCs w:val="28"/>
          <w:rtl w:val="true"/>
          <w:lang w:bidi="fa-IR"/>
        </w:rPr>
        <w:t>هر یک از رشته‌های علم حقوق، در فهم دیگر رشته‌ها مؤثّر است؛ امّا در این میان، حقوق بین‌الملل خصوصی نقش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 لازم است از سایر رشته‌های حقوق، به‌ویژه حقوق داخلی کشورها درک بهتری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مانند یک کانون نور است که با پرتوهای خود بر تأسیسات حقوقی می‌تابد تا هر موضوعی را به دقت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نی‌بوایه</w:t>
      </w:r>
      <w:r>
        <w:rPr>
          <w:rStyle w:val="FootnoteAnchor"/>
          <w:rtl w:val="true"/>
        </w:rPr>
        <w:footnoteReference w:id="31"/>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بین‌الملل خصوصی، به مثابه نورافکنی است که به موضوع‌ها و تأسیسات حقوق نورافشانی می‌کند تا سطح بیرونی و حدود هر موضوعی را روشن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حقوق مدنی کشوری، تنظیم سند رسمی در عقدی شرط صحّت آن باشد، به صرف عدم تنظیم سند، عقد را صحیح نمی‌دانیم؛ درحالی‌که در مورد همین عقد در حقوق بین‌الملل خصوصی، پیش‌تر باید بدانیم که شرط تنظیم سند، یک شرط شکلی است یا یک شرط ماهوی؛ زیرا با قرار گرفتن در هر یک از این دو گروه، ممکن است قانونی که در مورد این مسئله لازم‌الاجراست، تفاوت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بین‌الملل خصوصی، شکل اسناد، تابع قانون محل تنظیم سند است؛ درحالی‌که شرایط ماهوی عقد، تابع قانون مورد نظر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مشاهده می‌شود که در مسائل مطرح شده در حقوق بین‌الملل خصوصی، تعمّق بیشتری لازم است که باعث درک بهتر و تجزیه و تحلیل حقوق داخلی می‌شود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موضوع‌ها</w:t>
      </w:r>
    </w:p>
    <w:p>
      <w:pPr>
        <w:pStyle w:val="BookText"/>
        <w:rPr/>
      </w:pPr>
      <w:r>
        <w:rPr>
          <w:rFonts w:ascii="IRNazanin" w:hAnsi="IRNazanin" w:eastAsia="IRNazanin"/>
          <w:color w:val="111111"/>
          <w:sz w:val="28"/>
          <w:sz w:val="28"/>
          <w:szCs w:val="28"/>
          <w:rtl w:val="true"/>
          <w:lang w:bidi="fa-IR"/>
        </w:rPr>
        <w:t>موضوع‌های حقوق بین‌الملل خصوصی، از مسائل جدید حقوقی و دارای قواعد و احکام مخصوص به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 از علم حقوق، از ترکیب و آمیختگی سایر رشته‌های حقوق به‌وجود نیامده است؛ بلکه رشته‌ای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نقاط ضعف و قوّت حقوق داخلی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رشته به سبب تعاملات گسترده با عناصر ارتباطی</w:t>
      </w:r>
      <w:r>
        <w:rPr>
          <w:rStyle w:val="FootnoteAnchor"/>
          <w:rtl w:val="true"/>
        </w:rPr>
        <w:footnoteReference w:id="34"/>
      </w:r>
      <w:r>
        <w:rPr>
          <w:rFonts w:ascii="IRNazanin" w:hAnsi="IRNazanin" w:eastAsia="IRNazanin"/>
          <w:color w:val="111111"/>
          <w:sz w:val="28"/>
          <w:sz w:val="28"/>
          <w:szCs w:val="28"/>
          <w:rtl w:val="true"/>
          <w:lang w:bidi="fa-IR"/>
        </w:rPr>
        <w:t>و قواعد حل تعارض</w:t>
      </w:r>
      <w:r>
        <w:rPr>
          <w:rStyle w:val="FootnoteAnchor"/>
          <w:rtl w:val="true"/>
        </w:rPr>
        <w:footnoteReference w:id="35"/>
      </w:r>
      <w:r>
        <w:rPr>
          <w:rFonts w:ascii="IRNazanin" w:hAnsi="IRNazanin" w:eastAsia="IRNazanin"/>
          <w:color w:val="111111"/>
          <w:sz w:val="28"/>
          <w:sz w:val="28"/>
          <w:szCs w:val="28"/>
          <w:rtl w:val="true"/>
          <w:lang w:bidi="fa-IR"/>
        </w:rPr>
        <w:t>و همچنین لزوم تطبیق و انطباق آن با دیگر نظام‌های حقوقی، به شناخت و درک نقاط قوّت و ضعف حقوق داخلی کمک فراوانی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بین‌الملل خصوصی عبارت است از مجموعه مقررات و قواعد حاکم بر اشخاص، اعم از حقیقی و حقوقی، از کشورهای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جوامع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همدیگر یا با دولت‌ها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شکل‌گیری این رشته،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نفر از دو کشور با یکدیگر ازدواج کنند یا به مبادله کالا بپردازند، این پرسش مطرح می‌شود که مقررات کدام کشور در مورد شرایط و آثار این قرارداد یا ازدواج لازم‌الاجراست؟ درحالی‌که اگر این مبادله یا ازدواج، مربوط به اتباع یک کشور و در داخل کشور خودشان باشد، حقوق بین‌الملل خصوصی معنا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این رشته از حقوق، نام‌های گوناگونی پیشنهاد شده است؛ مانند حقوق بین‌الملل خصوصی و تعارض قوانین؛ ولی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عنوان‌های دیگر مورد توجه و استقبال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مشخّصات و ویژگی‌های حقوق بین‌الملل خصوصی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بین‌المللی بودن آن، خصوصی بودن آن، استقلال و تازگی موضوع‌های حقوق بین‌الملل خصوصی و تأثیرپذیری آن از مقررات دیگر نظام‌های حقوقی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مالکیت اموال منقول، مالکیت اموال غیرمنقول، مالکیت معنوی، اوراق بهادار، ارث و بحث رژیم مالی زوجین مطرح است و نیز اینکه قواعد و مقرراتِ کدام کشور حاکم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مطرح است که هرگاه افراد مهاجر به دلیل تحصیل، تجارت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سرزمین دیگری شوند، کشور میزبان درباره حقوق و تکالیف آنان، از چه قواعد و مقرراتی برخوردار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قراردادها و تعهدها که در سطح بین‌المللی انجام می‌گیرند، چنانچه درباره چگونگی اجرای آن اختلاف پیش آید، قانون کدام کشور حاکم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شخصیه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تولد، مرگ، ازدواج و طلاق، هرگاه این موارد در کشور دیگری غیر از کشور اصلی اتفاق افتد، حقوق بین‌الملل خصوصی تعیین می‌کند که این وقایع حقوقی، تابع قانون چه کشوری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فایده‌های علمی حقوق بین‌الملل خصوصی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ذهن، درک بهتر سایر رشته‌های حقوقی، تازگی موضوعات و شناخت نقاط ضعف و قوّت حقوق داخلی کشورهای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بین‌الملل خصوصی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بین‌الملل خصوصی را با حقوق داخلی مقایسه کنید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حقوق بین‌الملل خصوصی همراه با مثال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عناوین پیشنهادی دیگر مورد توجه قرار گرفت؟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و ویژگی‌های حقوق بین‌الملل خصوصی را نام برده، هر یک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فایده حقوق بین‌الملل خصوصی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مختلف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فایده حقوق بین‌الملل خصوصی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حقیقی و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فایده حقوق بین‌الملل خصوصی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حقوقی و احوال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فایده عملی حقوق بین‌الملل خصوصی را نام برده، هر یک را به اختصار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تاریخچه حقوق بین‌الملل خصوصی و تاریخچه حقوق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تحقیق در این زمینه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عامری؛ حقوق بین‌الملل خصوصی ؛</w:t>
      </w:r>
    </w:p>
    <w:p>
      <w:pPr>
        <w:pStyle w:val="BookText"/>
        <w:rPr/>
      </w:pPr>
      <w:r>
        <w:rPr>
          <w:rFonts w:ascii="IRNazanin" w:hAnsi="IRNazanin" w:eastAsia="IRNazanin"/>
          <w:color w:val="111111"/>
          <w:sz w:val="28"/>
          <w:sz w:val="28"/>
          <w:szCs w:val="28"/>
          <w:rtl w:val="true"/>
          <w:lang w:bidi="fa-IR"/>
        </w:rPr>
        <w:t>دکتر علی‌محمد مکرمی؛ حقوق بین‌الملل خصوصی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رشید؛ اسلام و حقوق بین‌الملل عمومی ؛</w:t>
      </w:r>
    </w:p>
    <w:p>
      <w:pPr>
        <w:pStyle w:val="BookText"/>
        <w:rPr/>
      </w:pPr>
      <w:r>
        <w:rPr>
          <w:rFonts w:ascii="IRNazanin" w:hAnsi="IRNazanin" w:eastAsia="IRNazanin"/>
          <w:color w:val="111111"/>
          <w:sz w:val="28"/>
          <w:sz w:val="28"/>
          <w:szCs w:val="28"/>
          <w:rtl w:val="true"/>
          <w:lang w:bidi="fa-IR"/>
        </w:rPr>
        <w:t>عبدالحکیم سلیمی؛ نقش اسلام در توسعه حقوق بین‌الملل ؛</w:t>
      </w:r>
    </w:p>
    <w:p>
      <w:pPr>
        <w:pStyle w:val="BookText"/>
        <w:rPr/>
      </w:pPr>
      <w:r>
        <w:rPr>
          <w:rFonts w:ascii="IRNazanin" w:hAnsi="IRNazanin" w:eastAsia="IRNazanin"/>
          <w:color w:val="111111"/>
          <w:sz w:val="28"/>
          <w:sz w:val="28"/>
          <w:szCs w:val="28"/>
          <w:rtl w:val="true"/>
          <w:lang w:bidi="fa-IR"/>
        </w:rPr>
        <w:t>دکتر مصطفی دانش‌پژوه؛ اسلام و حقوق بین‌الملل خصوصی ؛</w:t>
      </w:r>
    </w:p>
    <w:p>
      <w:pPr>
        <w:pStyle w:val="BookText"/>
        <w:rPr/>
      </w:pPr>
      <w:r>
        <w:rPr>
          <w:rFonts w:ascii="IRNazanin" w:hAnsi="IRNazanin" w:eastAsia="IRNazanin"/>
          <w:color w:val="111111"/>
          <w:sz w:val="28"/>
          <w:sz w:val="28"/>
          <w:szCs w:val="28"/>
          <w:rtl w:val="true"/>
          <w:lang w:bidi="fa-IR"/>
        </w:rPr>
        <w:t>آیت‌اللّه عباس علی عمید زنجانی؛ فقه سیاسی ، به‌ویژه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اقلیت‌ها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و هم‌زیستی مسالمت‌آمیز؛</w:t>
      </w:r>
    </w:p>
    <w:p>
      <w:pPr>
        <w:pStyle w:val="BookText"/>
        <w:rPr/>
      </w:pPr>
      <w:r>
        <w:rPr>
          <w:rFonts w:ascii="IRNazanin" w:hAnsi="IRNazanin" w:eastAsia="IRNazanin"/>
          <w:color w:val="111111"/>
          <w:sz w:val="28"/>
          <w:sz w:val="28"/>
          <w:szCs w:val="28"/>
          <w:rtl w:val="true"/>
          <w:lang w:bidi="fa-IR"/>
        </w:rPr>
        <w:t>دکتر محمدجعفر جعفری لنگرودی؛ حقوق اسلام ؛</w:t>
      </w:r>
    </w:p>
    <w:p>
      <w:pPr>
        <w:pStyle w:val="BookText"/>
        <w:rPr/>
      </w:pPr>
      <w:r>
        <w:rPr>
          <w:rFonts w:ascii="IRNazanin" w:hAnsi="IRNazanin" w:eastAsia="IRNazanin"/>
          <w:color w:val="111111"/>
          <w:sz w:val="28"/>
          <w:sz w:val="28"/>
          <w:szCs w:val="28"/>
          <w:rtl w:val="true"/>
          <w:lang w:bidi="fa-IR"/>
        </w:rPr>
        <w:t xml:space="preserve">دکتر محمدمهدی کریمی‌نیا؛ هم‌زیستی مسالمت‌آمیز در اسلام و حقوق بین‌الملل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شاخه‌های علم حقوق و جایگاه دانش حقوق بین‌الملل خصوصی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موضوع، برخی از منابع تحقیق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ناصر کاتوزیان، مقدمه علم حقوق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فلسفه علم حقوق ؛</w:t>
      </w:r>
    </w:p>
    <w:p>
      <w:pPr>
        <w:pStyle w:val="BookText"/>
        <w:rPr/>
      </w:pPr>
      <w:r>
        <w:rPr>
          <w:rFonts w:ascii="IRNazanin" w:hAnsi="IRNazanin" w:eastAsia="IRNazanin"/>
          <w:color w:val="111111"/>
          <w:sz w:val="28"/>
          <w:sz w:val="28"/>
          <w:szCs w:val="28"/>
          <w:rtl w:val="true"/>
          <w:lang w:bidi="fa-IR"/>
        </w:rPr>
        <w:t>دکتر محمدجعفر جعفری لنگرودی، مقدمه علم حقوق ؛</w:t>
      </w:r>
    </w:p>
    <w:p>
      <w:pPr>
        <w:pStyle w:val="BookText"/>
        <w:rPr/>
      </w:pPr>
      <w:r>
        <w:rPr>
          <w:rFonts w:ascii="IRNazanin" w:hAnsi="IRNazanin" w:eastAsia="IRNazanin"/>
          <w:color w:val="111111"/>
          <w:sz w:val="28"/>
          <w:sz w:val="28"/>
          <w:szCs w:val="28"/>
          <w:rtl w:val="true"/>
          <w:lang w:bidi="fa-IR"/>
        </w:rPr>
        <w:t>دکتر مصطفی دانش‌پژوه، فلسفه حقوق ؛</w:t>
      </w:r>
    </w:p>
    <w:p>
      <w:pPr>
        <w:pStyle w:val="BookText"/>
        <w:rPr/>
      </w:pPr>
      <w:r>
        <w:rPr>
          <w:rFonts w:ascii="IRNazanin" w:hAnsi="IRNazanin" w:eastAsia="IRNazanin"/>
          <w:color w:val="111111"/>
          <w:sz w:val="28"/>
          <w:sz w:val="28"/>
          <w:szCs w:val="28"/>
          <w:rtl w:val="true"/>
          <w:lang w:bidi="fa-IR"/>
        </w:rPr>
        <w:t>دکتر قدرت‌اللّه واحدی، کلیات علم حقوق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کتاب‌های مربوط به حقوق بین‌الملل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فواید علمی حقوق بین‌الملل خصوصی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موضوعات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اختصاصی بودن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فهمیدن سایر رشته‌های حقوق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مسائل نقل و انتقال بین‌المللی اشیا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 از درآمیختن شاخه‌های دیگر حقوق به‌وجود نیامده، دنباله انتظامات حقوقی دیگر نیست و باید جداگانه آن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بیانگر کدام فایده حقوق بین‌الملل خصوصی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اختصاصی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موضوعات حقوق بین‌الملل خصوصی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در حقوق داخلی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ممکن و نا ممکن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 فن تطبیق و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بیانگر کدام فایده حقوق بین‌الملل خصوصی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اختصاصی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موضوع‌های حقوق بین‌الملل خصوصی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تعمّق در حقوق داخلی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ممکن و ناممکن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زیر از کیست و بیانگر کدام فایده حقوق بین‌الملل خصوصی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 به مثابه نورافکنی است که به موضوع‌ها و</w:t>
      </w:r>
    </w:p>
    <w:p>
      <w:pPr>
        <w:pStyle w:val="BookText"/>
        <w:rPr/>
      </w:pPr>
      <w:r>
        <w:rPr>
          <w:rFonts w:ascii="IRNazanin" w:hAnsi="IRNazanin" w:eastAsia="IRNazanin"/>
          <w:color w:val="111111"/>
          <w:sz w:val="28"/>
          <w:sz w:val="28"/>
          <w:szCs w:val="28"/>
          <w:rtl w:val="true"/>
          <w:lang w:bidi="fa-IR"/>
        </w:rPr>
        <w:t>تأسیسات حقوق نورافشانی می‌کند تا سطح بیرونی و حدود هر موضوعی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بوآیه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اختصاصی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وری سومیر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فهمیدن سایر رشته‌های حقوق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وری سومیر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اختصاصی بودن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بوآیه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فهمیدن سایر رشته‌های حقوق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حقوق بین‌الملل خصوصی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روابط افراد و دولت‌ها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روابط دولت‌ها با هم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روابط خصوصی افراد در زندگی بین‌المللی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نی‌بوآیه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بین‌الملل خصوصی دارای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و بین‌المللی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رشته‌ای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از درآمیختن شاخه‌های دیگر حقوق به‌وجود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بین‌المللی بودن این رشته، مطالعه آن در فهم بهتر حقوق داخلی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دارای جنبه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دارای جنبه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دارای جنبه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تفاوت‌های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خصوصی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رشته 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رسیدگی به اختلافات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حقوق بین‌الملل خصوصی در هر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قواعد و مقررات ناشی از روابط دولت‌ها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تعهدات پذیرفته‌شده در عهدنامه بین‌المللی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مصوّبات سازمان‌های بین‌المللی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قانون‌گذار داخلی هر کشور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حقوق بین‌الملل خصوصی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حقوقی مشترک بین دولت‌ها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حقوقی داخلی یک دولت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موضوعه داخلی نیستند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روابط اشخاص خصوصی و دولت‌ها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بین‌الملل خصوصی از لحاظ شیوه حل مسائل، به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بین‌المللی عمومی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بین‌المللی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مالیه بین‌المللی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بین‌المللی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خصوصی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اجرایی و منابع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خارجی و ضمانت اجرایی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عنصر خارجی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مرجع رسیدگی به اختلاف‌ها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جنبه بین‌المللی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ضمانت اجرایی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منبع بین‌المللی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بین‌المللی و منبع بین‌المللی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بین‌الملل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سراسری</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کیفری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بین‌المللی کیفری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مالیه کیفری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تجارت بین‌المللی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تجارت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کیفری بین‌المللی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بین‌المللی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مالیه بین‌المللی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حقوق بین‌الملل خصوصی،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مجموعه قوانین داخلی هر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قواعد حقوق بین‌الملل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جنبه بین‌المللی دارد و قسمتی جنبه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اشخاص بین‌المللی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گزینه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 بین‌الملل خصوصی برخلاف قواعد حقوق بین‌الملل عمومی، منشأ صددرصد داخلی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 بین‌الملل خصوصی همانند قواعد حقوق بین‌الملل عمومی، منشأ صددرصد داخلی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 بین‌الملل خصوصی، هم منشأ خارجی و هم منشأ داخلی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 بین‌الملل خصوصی، بین کشورهای مختلف مشترک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قواعد حقوق بین‌الملل خصوصی،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هستند که همه کشورها آنها را پذیرفته و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داخلی و بین‌المللی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قواعد حقوق بین‌الملل عمومی هستند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هستند که قانون‌گذار داخلی آنها را وضع می‌کند</w:t>
      </w:r>
      <w:r>
        <w:rPr>
          <w:rFonts w:eastAsia="IRNazanin" w:cs="IRNazanin"/>
          <w:color w:val="111111"/>
          <w:sz w:val="28"/>
          <w:szCs w:val="28"/>
          <w:rtl w:val="true"/>
          <w:lang w:bidi="fa-IR"/>
        </w:rPr>
        <w:t>.</w:t>
      </w:r>
      <w:bookmarkStart w:id="62" w:name="pg5888_35840"/>
    </w:p>
    <w:p>
      <w:pPr>
        <w:pStyle w:val="Heading2"/>
        <w:numPr>
          <w:ilvl w:val="1"/>
          <w:numId w:val="1"/>
        </w:numPr>
        <w:rPr/>
      </w:pPr>
      <w:bookmarkStart w:id="63" w:name="__RefHeading___Toc5261194_581953129"/>
      <w:bookmarkStart w:id="64" w:name="_Toc25"/>
      <w:bookmarkEnd w:id="62"/>
      <w:bookmarkEnd w:id="63"/>
      <w:r>
        <w:rPr/>
        <w:t>2</w:t>
      </w:r>
      <w:r>
        <w:rPr>
          <w:rtl w:val="true"/>
        </w:rPr>
        <w:t>-</w:t>
      </w:r>
      <w:r>
        <w:rPr>
          <w:rtl w:val="true"/>
        </w:rPr>
        <w:t>کلیات</w:t>
      </w:r>
      <w:r>
        <w:rPr>
          <w:rtl w:val="true"/>
        </w:rPr>
        <w:t>(</w:t>
      </w:r>
      <w:r>
        <w:rPr/>
        <w:t>2</w:t>
      </w:r>
      <w:r>
        <w:rPr>
          <w:rtl w:val="true"/>
        </w:rPr>
        <w:t>)</w:t>
      </w:r>
      <w:bookmarkEnd w:id="64"/>
    </w:p>
    <w:p>
      <w:pPr>
        <w:pStyle w:val="Heading3"/>
        <w:numPr>
          <w:ilvl w:val="2"/>
          <w:numId w:val="1"/>
        </w:numPr>
        <w:rPr/>
      </w:pPr>
      <w:bookmarkStart w:id="65" w:name="__RefHeading___Toc5261196_581953129"/>
      <w:bookmarkStart w:id="66" w:name="_Toc26"/>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منابع حقوق بین الملل خصوصی</w:t>
      </w:r>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منابع داخلی حقوق بین‌الملل خصوصی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رویه قضایی، عرف و نظریه علمای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منابع بین‌المللی حقوق بین‌الملل خصوصی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عهدنامه‌های بین‌المللی، رویه قضایی بین‌المللی، عرف بین‌المللی و اصول کلّی بین‌المللی؛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انواع عهدنامه‌های بین‌المللی، ماهیت حقوقی عهدنامه، تعارض بین عهدنامه بین‌المللی و قانون داخلی، تفسیر عهدنامه بین‌المللی و قطع اثر عهدنامه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حقوق بین‌الملل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عوامل سازنده و ایجادکننده حقوق بین‌الملل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در پی پاسخ این پرسش هستیم که حقوق بین‌الملل خصوصی از چه عوامل و مؤلّفه‌هایی سرچشمه می‌گیرد و تغذیه می‌شود؟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شکل‌گیری حقوق بین‌الملل خصوصی، هم مقررات داخلی کشورها و هم قواعد و مقررات بین‌المللی نقش و تأثیر دارند</w:t>
      </w:r>
      <w:r>
        <w:rPr>
          <w:rFonts w:eastAsia="IRNazanin" w:cs="IRNazanin"/>
          <w:color w:val="111111"/>
          <w:sz w:val="28"/>
          <w:szCs w:val="28"/>
          <w:rtl w:val="true"/>
          <w:lang w:bidi="fa-IR"/>
        </w:rPr>
        <w:t>.</w:t>
      </w:r>
      <w:bookmarkStart w:id="67" w:name="pg5888_35842"/>
    </w:p>
    <w:p>
      <w:pPr>
        <w:pStyle w:val="BookText"/>
        <w:rPr/>
      </w:pPr>
      <w:bookmarkEnd w:id="67"/>
      <w:r>
        <w:rPr>
          <w:rFonts w:ascii="IRNazanin" w:hAnsi="IRNazanin" w:eastAsia="IRNazanin"/>
          <w:color w:val="111111"/>
          <w:sz w:val="28"/>
          <w:sz w:val="28"/>
          <w:szCs w:val="28"/>
          <w:rtl w:val="true"/>
          <w:lang w:bidi="fa-IR"/>
        </w:rPr>
        <w:t xml:space="preserve">این حقوق نیز، همچون مقررات حقوق داخلی، از سوی حاکمیت هر دولتی تعیین و وضع شده و به اجرا درمی‌آید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ازآنجاکه این رشته دارای وصف بین‌المللی نیز هست و گاه با حاکمیت دیگر کشورها برخورد دارد، دولت‌ها با توافق و عقد قردادهای سیاسی یا توافق ضمنی و ایجاد عرف بین‌المللی، سعی در حل مسائل مربوط به حقوق اتباع خود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بین‌المللی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بنابراین، منابع حقوق بین‌الملل خصوصی را در دو بخش پی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داخلی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حقوق بین‌الملل خصوصی؛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بین‌المللی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حقوق بین‌الملل خصوصی</w:t>
      </w:r>
      <w:r>
        <w:rPr>
          <w:rFonts w:eastAsia="IRNazanin" w:cs="IRNazanin"/>
          <w:color w:val="111111"/>
          <w:sz w:val="28"/>
          <w:szCs w:val="28"/>
          <w:rtl w:val="true"/>
          <w:lang w:bidi="fa-IR"/>
        </w:rPr>
        <w:t>.</w:t>
      </w:r>
    </w:p>
    <w:p>
      <w:pPr>
        <w:pStyle w:val="Heading3"/>
        <w:numPr>
          <w:ilvl w:val="2"/>
          <w:numId w:val="1"/>
        </w:numPr>
        <w:rPr/>
      </w:pPr>
      <w:bookmarkStart w:id="68" w:name="__RefHeading___Toc5261198_581953129"/>
      <w:bookmarkStart w:id="69" w:name="_Toc27"/>
      <w:bookmarkEnd w:id="68"/>
      <w:r>
        <w:rPr/>
        <w:t>1</w:t>
      </w:r>
      <w:r>
        <w:rPr>
          <w:rtl w:val="true"/>
        </w:rPr>
        <w:t xml:space="preserve">- </w:t>
      </w:r>
      <w:r>
        <w:rPr>
          <w:rtl w:val="true"/>
        </w:rPr>
        <w:t>منابع داخلی حقوق بین الملل خصوصی</w:t>
      </w:r>
      <w:bookmarkEnd w:id="69"/>
    </w:p>
    <w:p>
      <w:pPr>
        <w:pStyle w:val="Heading4"/>
        <w:numPr>
          <w:ilvl w:val="3"/>
          <w:numId w:val="1"/>
        </w:numPr>
        <w:rPr/>
      </w:pPr>
      <w:bookmarkStart w:id="70" w:name="__RefHeading___Toc5261200_581953129"/>
      <w:bookmarkStart w:id="71" w:name="_Toc28"/>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منابع داخلی، منابعی هستند که در داخل یک سرزمین، مورد عمل و استناد قرار می‌گیرند که به‌طور عمده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رویه قضایی، عرف و عقاید علمای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حقوقی</w:t>
      </w:r>
      <w:r>
        <w:rPr>
          <w:rFonts w:eastAsia="IRNazanin" w:cs="IRNazanin"/>
          <w:color w:val="111111"/>
          <w:sz w:val="28"/>
          <w:szCs w:val="28"/>
          <w:rtl w:val="true"/>
          <w:lang w:bidi="fa-IR"/>
        </w:rPr>
        <w:t>).</w:t>
      </w:r>
    </w:p>
    <w:p>
      <w:pPr>
        <w:pStyle w:val="Heading4"/>
        <w:numPr>
          <w:ilvl w:val="3"/>
          <w:numId w:val="1"/>
        </w:numPr>
        <w:rPr/>
      </w:pPr>
      <w:bookmarkStart w:id="72" w:name="__RefHeading___Toc5261202_581953129"/>
      <w:bookmarkStart w:id="73" w:name="_Toc29"/>
      <w:bookmarkEnd w:id="72"/>
      <w:r>
        <w:rPr>
          <w:rtl w:val="true"/>
        </w:rPr>
        <w:t>الف</w:t>
      </w:r>
      <w:r>
        <w:rPr>
          <w:rtl w:val="true"/>
        </w:rPr>
        <w:t xml:space="preserve">) </w:t>
      </w:r>
      <w:r>
        <w:rPr>
          <w:rtl w:val="true"/>
        </w:rPr>
        <w:t>قانون</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هر کشور، درباره موضوع‌ها و مسائل حقوق بین‌الملل خصوصی، مانند تابعیت، وضع اتباع بیگانه و تعارض قوانین، بر اساس قانون همان کشور تصمیم‌گیری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مسئله‌ای مربوط به تابعیت در دادگاه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ایرانی، فقط قانون ایران را اعمال می‌کند و اگر در موردی قانون مدنی کشوری مانند فرانسه را نسبت به اتباع آن اجرا کند، باز هم به دستور قانون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منبع داخلی در ایران است که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نوشته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قوانین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قانونی درباره مسائل و موضوع‌ها حقوق بین‌الملل خصوصی، به‌صورتِ پراکنده در قوانین گوناگون ایران وجود دارند که به چند نمونه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قانون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تبصره ماده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قانون آیین دادرسی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امور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راجع به مواد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مصوّب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اجرای احکام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اول آبان </w:t>
      </w:r>
      <w:r>
        <w:rPr>
          <w:rFonts w:eastAsia="IRNazanin" w:cs="IRNazanin"/>
          <w:color w:val="111111"/>
          <w:sz w:val="28"/>
          <w:szCs w:val="28"/>
          <w:lang w:bidi="fa-IR"/>
        </w:rPr>
        <w:t>1356</w:t>
      </w:r>
      <w:r>
        <w:rPr>
          <w:rFonts w:eastAsia="IRNazanin" w:cs="IRNazanin"/>
          <w:color w:val="111111"/>
          <w:sz w:val="28"/>
          <w:szCs w:val="28"/>
          <w:rtl w:val="true"/>
          <w:lang w:bidi="fa-IR"/>
        </w:rPr>
        <w:t>.</w:t>
      </w:r>
      <w:r>
        <w:rPr>
          <w:rStyle w:val="FootnoteAnchor"/>
          <w:rtl w:val="true"/>
        </w:rPr>
        <w:footnoteReference w:id="40"/>
      </w:r>
      <w:bookmarkStart w:id="74" w:name="pg5888_35846"/>
    </w:p>
    <w:p>
      <w:pPr>
        <w:pStyle w:val="Heading4"/>
        <w:numPr>
          <w:ilvl w:val="3"/>
          <w:numId w:val="1"/>
        </w:numPr>
        <w:rPr/>
      </w:pPr>
      <w:bookmarkStart w:id="75" w:name="__RefHeading___Toc5261204_581953129"/>
      <w:bookmarkStart w:id="76" w:name="_Toc30"/>
      <w:bookmarkEnd w:id="74"/>
      <w:bookmarkEnd w:id="75"/>
      <w:r>
        <w:rPr>
          <w:rtl w:val="true"/>
        </w:rPr>
        <w:t>ب</w:t>
      </w:r>
      <w:r>
        <w:rPr>
          <w:rtl w:val="true"/>
        </w:rPr>
        <w:t xml:space="preserve">) </w:t>
      </w:r>
      <w:r>
        <w:rPr>
          <w:rtl w:val="true"/>
        </w:rPr>
        <w:t>رویه قضایی</w:t>
      </w:r>
      <w:bookmarkEnd w:id="76"/>
    </w:p>
    <w:p>
      <w:pPr>
        <w:pStyle w:val="BookText"/>
        <w:rPr/>
      </w:pP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مهم در حقوق بین‌الملل خصوصی، رویه قضایی است که بر اساسِ تصمیمات قضایی در دادگاه‌ها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رویه قضایی در معنای فراگیر خود عبارت است از روشی که قضات و دادگاه‌ها، آن را در حل‌وفصل دعواها و اختلافات، به‌ویژه در مواردی که قوانین کشور، مبهم، ساکت، ناقص و یا متناقض باشند، به کار می‌گیرند؛ امّا رویه قضایی در ایران در معنای خاص، عبارت است از آراء هیئت عمومی دیوان عالی کشور در مورد یکسان کردن آرای متضادی که از محاکم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 و دیوان عالی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آراء وحدت رویه، از موازین قضایی کشور و یکی از منابع حقوقی است و از آن در استنباط قضایی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جمهوری اسلامی ایران، یکی از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عالی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وحدت رویه قضایی معرفی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رویه قضایی به شکلی فراگیر در آراء محاکم دادگستری و به‌ویژه دیوان عالی کشور بازتاب یافته است که گاه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برخی کشورها مانند آلمان، فرانسه و ایتالیا بیشتر قواعد حقوق بین‌الملل خصوصی که به‌وسیله آرای دادگاه‌ها ایجاد و متداول شده‌اند، مانند قانون قابل احترام است و رعایت نکردن آنها نقض در دیوان کشور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حقوق ایران، رویه قضایی، یک منبع مهم شمرده نمی‌شود، بلکه قانون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زیادی برخوردار است؛ برای</w:t>
      </w:r>
    </w:p>
    <w:p>
      <w:pPr>
        <w:pStyle w:val="BookText"/>
        <w:rPr/>
      </w:pPr>
      <w:r>
        <w:rPr>
          <w:rFonts w:ascii="IRNazanin" w:hAnsi="IRNazanin" w:eastAsia="IRNazanin"/>
          <w:color w:val="111111"/>
          <w:sz w:val="28"/>
          <w:sz w:val="28"/>
          <w:szCs w:val="28"/>
          <w:rtl w:val="true"/>
          <w:lang w:bidi="fa-IR"/>
        </w:rPr>
        <w:t xml:space="preserve">نمونه، در فرانسه، قاعده مهمی که اسناد را از نظر شکل و تشریفات، تابع قانون محل تنظیم قرار می‌دهد، بر رویه قضایی مبتنی است و در قوانین آن کشور نص خاص وجود ندارد؛ ولی در ایران، ماده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این قاعده را به صراحت پذیرفته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هرچند رویه قضایی در نظام حقوقی ایران، به‌عنوان منبع حقوق بین‌الملل خصوصی، اهمیت بسزایی ندارد، ولی ممکن است دیدگاه تفسیری شورای نگهبان در فرایند شکل‌گیری و تدوین قواعد و مقررات رشته حقوق بین‌الملل خصوصی نقشی اثرگذار ایفا کند؛ برای نمونه، نظر شورای نگهبان، پیرامون دریافت بهره و خسارات تأخیر تأدیه از دولت‌ها، مؤسسّه‌ها، شرکت‌ها و اشخاص خارجی این است که دریافت بهره و خسارت تأخیر تأدیه از دولت‌ها، شرکت‌های خارجی و مؤسساتی که طبق مبانی عقیدتی خود دریافت آن را ممنوع نمی‌دانند، به لحاظ شرعی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مطالبه وصول این‌گونه وجوه، مغایر با قانون اساسی نیست و اصول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شامل این مورد نمی‌شود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همچنین شورای نگهبان درباره به کارگیری موقّت کارشناسان خارجی در ارتش اظهار داشته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گرفتن کارشناسان خارجی و استفاده از تخصّص به‌طور موقّت در ارتش، عضویت در ارتش که در اصل یکصدوچهل‌وپنجم قانون اساسی جمهوری اسلامی ایران ممنوع شده، شمرده نمی‌گردد</w:t>
      </w:r>
      <w:r>
        <w:rPr>
          <w:rFonts w:eastAsia="IRNazanin" w:cs="IRNazanin"/>
          <w:color w:val="111111"/>
          <w:sz w:val="28"/>
          <w:szCs w:val="28"/>
          <w:rtl w:val="true"/>
          <w:lang w:bidi="fa-IR"/>
        </w:rPr>
        <w:t>.</w:t>
      </w:r>
      <w:r>
        <w:rPr>
          <w:rStyle w:val="FootnoteAnchor"/>
          <w:rtl w:val="true"/>
        </w:rPr>
        <w:footnoteReference w:id="46"/>
      </w:r>
      <w:bookmarkStart w:id="77" w:name="pg5888_35851"/>
    </w:p>
    <w:p>
      <w:pPr>
        <w:pStyle w:val="BookText"/>
        <w:rPr/>
      </w:pPr>
      <w:bookmarkEnd w:id="77"/>
      <w:r>
        <w:rPr>
          <w:rFonts w:ascii="IRNazanin" w:hAnsi="IRNazanin" w:eastAsia="IRNazanin"/>
          <w:color w:val="111111"/>
          <w:sz w:val="28"/>
          <w:sz w:val="28"/>
          <w:szCs w:val="28"/>
          <w:rtl w:val="true"/>
          <w:lang w:bidi="fa-IR"/>
        </w:rPr>
        <w:t>در مواردی ممکن است رویه قضایی دو کشور در یک مسئله از مسائل حقوق بین‌الملل خصوصی متفاوت بوده و یا حتی متناقض باشد؛ برای نمونه، زن و شوهری انگلیسی که در ایران اقامت داشته‌اند می‌خواهند با طلاق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حقوق بین‌الملل خصوصی ایران، طلاق آنها را تابع قانون ملّی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حال آنکه در روش انگلیسی حقوق بین‌الملل خصوصی، طلاق، تابع قانون اقامتگاه زوجین است؛ یعنی در این مورد باید قانون ایران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شگفت‌انگیز، قضات ایران و انگلستان را وادار می‌سازد تا در اثر قاعده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قانون مملکت خود را اعمال کنند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78" w:name="__RefHeading___Toc5261206_581953129"/>
      <w:bookmarkStart w:id="79" w:name="_Toc31"/>
      <w:bookmarkEnd w:id="78"/>
      <w:r>
        <w:rPr>
          <w:rtl w:val="true"/>
        </w:rPr>
        <w:t>ج</w:t>
      </w:r>
      <w:r>
        <w:rPr>
          <w:rtl w:val="true"/>
        </w:rPr>
        <w:t xml:space="preserve">) </w:t>
      </w:r>
      <w:r>
        <w:rPr>
          <w:rtl w:val="true"/>
        </w:rPr>
        <w:t>عرف</w:t>
      </w:r>
      <w:bookmarkEnd w:id="79"/>
    </w:p>
    <w:p>
      <w:pPr>
        <w:pStyle w:val="BookText"/>
        <w:rPr/>
      </w:pPr>
      <w:r>
        <w:rPr>
          <w:rFonts w:ascii="IRNazanin" w:hAnsi="IRNazanin" w:eastAsia="IRNazanin"/>
          <w:color w:val="111111"/>
          <w:sz w:val="28"/>
          <w:sz w:val="28"/>
          <w:szCs w:val="28"/>
          <w:rtl w:val="true"/>
          <w:lang w:bidi="fa-IR"/>
        </w:rPr>
        <w:t>عرف، عبارت است از عادت تمام یا اکثریتی از افراد یک محل یا یک قوم در گفتار یا رفتار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وقتی رسم و قاعده‌ای بین مردم متداول شود و آن‌چنان در میان آنان گسترش و نفوذ یابد که به حدّ الزام برسد، عرف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قانون خاصی وضع نشده است و یا معاهده‌ها ساکت است و رویه قضایی نیز وجود ندارد، بیشتر مواقع، عرف از قدرت قانون برخوردار خواهد بود و برای رفع مشکلات از آن استفاده می‌کنند؛ زیرا عرف، رافع ضرورت حقوقی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عرف هنگامی می‌تواند یکی از منابع حقوق به‌شمار آید که مسلَّم و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دادرسی مدنی می‌گوید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دادگاه‌های دادگستری موظف‌اند به دعاوی موافق قوانین رسیدگی کرده، حکم داده یا فصل کنند و در صورتی که قوانین موضوعه کشوری کامل یا</w:t>
      </w:r>
    </w:p>
    <w:p>
      <w:pPr>
        <w:pStyle w:val="BookText"/>
        <w:rPr/>
      </w:pPr>
      <w:r>
        <w:rPr>
          <w:rFonts w:ascii="IRNazanin" w:hAnsi="IRNazanin" w:eastAsia="IRNazanin"/>
          <w:color w:val="111111"/>
          <w:sz w:val="28"/>
          <w:sz w:val="28"/>
          <w:szCs w:val="28"/>
          <w:rtl w:val="true"/>
          <w:lang w:bidi="fa-IR"/>
        </w:rPr>
        <w:t>صریح نبوده و یا متناقض باشد یا اصلاً قانونی در قضیه مطروحه وجود نداشته باشد، دادگاه‌های دادگستری باید موافق روح و مفاد قوانین موضوعه و عرف و عادت مسلَّم، قضیه را قطع و فصل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رویه قضایی را به مفهوم فراگیر آن در نظر گرفته‌اند، که شامل عرف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در حقوق بین‌الملل خصوصی، رویه قضایی با عرف همبستگی کامل دارد و هر وقت سخن از عرف به میان می‌آید، مراد عرفی است که رویه دادگاه‌ها آن را احراز و مشخّص کرده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بنابراین در حقوق بین‌الملل خصوصی، عرف به تنهایی نمی‌تواند به‌عنوان منبع شناخته شود؛ بلکه با اتکا به رویه قضایی و یا معاهده‌ها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انقلاب اسلامی، محدودیت عرف بیشتر شده است؛ زیرا گمان می‌رود ماده سه قانون آیین دادرسی مدنی که نفوذ و قدرتی برای عرف قائل شده است، با تثبیت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دیگر قابل استفاده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سهولتی که امروزه در وضع قوانین به‌وجود آمده است، پیش از آنکه قاعده‌ای جنبه عرف پیدا کند، در قالب قانون معرفی می‌شود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عرف با دو شرط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فعل یا ترک فعل آگاهانه به‌طور مستمر وجود داشته باشد؛ دیگر آنکه وجدان عمومی آن را الزام‌آور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ایران در مواردی حل مسائل را به عرف و عادت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کیفیات انتفاع از مال دیگری به نحوی خواهد بود که مالک قرار داده و یا عرف و عادت اقتضا کند</w:t>
      </w:r>
      <w:r>
        <w:rPr>
          <w:rFonts w:eastAsia="IRNazanin" w:cs="IRNazanin"/>
          <w:color w:val="111111"/>
          <w:sz w:val="28"/>
          <w:szCs w:val="28"/>
          <w:rtl w:val="true"/>
          <w:lang w:bidi="fa-IR"/>
        </w:rPr>
        <w:t>.</w:t>
      </w:r>
      <w:bookmarkStart w:id="80" w:name="pg5888_35855"/>
    </w:p>
    <w:p>
      <w:pPr>
        <w:pStyle w:val="Heading4"/>
        <w:numPr>
          <w:ilvl w:val="3"/>
          <w:numId w:val="1"/>
        </w:numPr>
        <w:rPr/>
      </w:pPr>
      <w:bookmarkStart w:id="81" w:name="__RefHeading___Toc5261208_581953129"/>
      <w:bookmarkStart w:id="82" w:name="_Toc32"/>
      <w:bookmarkEnd w:id="80"/>
      <w:bookmarkEnd w:id="81"/>
      <w:r>
        <w:rPr>
          <w:rtl w:val="true"/>
        </w:rPr>
        <w:t>د</w:t>
      </w:r>
      <w:r>
        <w:rPr>
          <w:rtl w:val="true"/>
        </w:rPr>
        <w:t xml:space="preserve">) </w:t>
      </w:r>
      <w:r>
        <w:rPr>
          <w:rtl w:val="true"/>
        </w:rPr>
        <w:t xml:space="preserve">عقاید علمای حقوق </w:t>
      </w:r>
      <w:r>
        <w:rPr>
          <w:rtl w:val="true"/>
        </w:rPr>
        <w:t>(</w:t>
      </w:r>
      <w:r>
        <w:rPr>
          <w:rtl w:val="true"/>
        </w:rPr>
        <w:t>دکترین حقوق</w:t>
      </w:r>
      <w:r>
        <w:rPr>
          <w:rtl w:val="true"/>
        </w:rPr>
        <w:t>)</w:t>
      </w:r>
      <w:bookmarkEnd w:id="82"/>
    </w:p>
    <w:p>
      <w:pPr>
        <w:pStyle w:val="BookText"/>
        <w:rPr/>
      </w:pP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علمای حقوق و قضات، یکی از منابع غیرمستقیم حقوق بین‌الملل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حقوق، از راه مطالعه و ارائهْ دیدگاه‌ها، به تشکیل قواعد حقوق بین‌الملل خصوصی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نیز به نظریات آنان توجه کرده، در تفسیر قوانین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علمای حقوق، با مقایسه، تجزیه و ترکیب و تنظیم آراء دادگاه‌ها، قواعدی را از آن استخراج می‌کنند و بدین‌ترتیب در شکل گرفتن رویه‌های قضایی مؤثّر واقع می‌شوند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بنابراین، دکترین، یک منبع غیرمستقیم حقوق بین‌الملل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به‌طور مستقیم، ایجاد قواعد حقوقی نمی‌کند؛ بلکه دادگاه‌ها را در ایجاد قاعده حقوقی راهنمایی و در تنظیم این قواعد نیز دخالت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نظریه علمای حقوق هیچ‌گاه جنبه اجبار و الزام ندارد</w:t>
      </w:r>
      <w:r>
        <w:rPr>
          <w:rFonts w:eastAsia="IRNazanin" w:cs="IRNazanin"/>
          <w:color w:val="111111"/>
          <w:sz w:val="28"/>
          <w:szCs w:val="28"/>
          <w:rtl w:val="true"/>
          <w:lang w:bidi="fa-IR"/>
        </w:rPr>
        <w:t>.</w:t>
      </w:r>
    </w:p>
    <w:p>
      <w:pPr>
        <w:pStyle w:val="Heading3"/>
        <w:numPr>
          <w:ilvl w:val="2"/>
          <w:numId w:val="1"/>
        </w:numPr>
        <w:rPr/>
      </w:pPr>
      <w:bookmarkStart w:id="83" w:name="__RefHeading___Toc5261210_581953129"/>
      <w:bookmarkStart w:id="84" w:name="_Toc33"/>
      <w:bookmarkEnd w:id="83"/>
      <w:r>
        <w:rPr/>
        <w:t>2</w:t>
      </w:r>
      <w:r>
        <w:rPr>
          <w:rtl w:val="true"/>
        </w:rPr>
        <w:t xml:space="preserve">- </w:t>
      </w:r>
      <w:r>
        <w:rPr>
          <w:rtl w:val="true"/>
        </w:rPr>
        <w:t>منابع بین المللی حقوق بین الملل خصوصی</w:t>
      </w:r>
      <w:bookmarkEnd w:id="84"/>
    </w:p>
    <w:p>
      <w:pPr>
        <w:pStyle w:val="Heading4"/>
        <w:numPr>
          <w:ilvl w:val="3"/>
          <w:numId w:val="1"/>
        </w:numPr>
        <w:rPr/>
      </w:pPr>
      <w:bookmarkStart w:id="85" w:name="__RefHeading___Toc5261212_581953129"/>
      <w:bookmarkStart w:id="86" w:name="_Toc34"/>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منابع بین‌المللی حقوق بین‌الملل خصوصی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عهدنامه‌های بین‌المللی، رویه قضایی بین‌المللی، عرف بین‌المللی و اصول کلّی بین‌المللی</w:t>
      </w:r>
      <w:r>
        <w:rPr>
          <w:rFonts w:eastAsia="IRNazanin" w:cs="IRNazanin"/>
          <w:color w:val="111111"/>
          <w:sz w:val="28"/>
          <w:szCs w:val="28"/>
          <w:rtl w:val="true"/>
          <w:lang w:bidi="fa-IR"/>
        </w:rPr>
        <w:t>.</w:t>
      </w:r>
    </w:p>
    <w:p>
      <w:pPr>
        <w:pStyle w:val="Heading4"/>
        <w:numPr>
          <w:ilvl w:val="3"/>
          <w:numId w:val="1"/>
        </w:numPr>
        <w:rPr/>
      </w:pPr>
      <w:bookmarkStart w:id="87" w:name="__RefHeading___Toc5261214_581953129"/>
      <w:bookmarkStart w:id="88" w:name="_Toc35"/>
      <w:bookmarkEnd w:id="87"/>
      <w:r>
        <w:rPr>
          <w:rtl w:val="true"/>
        </w:rPr>
        <w:t>الف</w:t>
      </w:r>
      <w:r>
        <w:rPr>
          <w:rtl w:val="true"/>
        </w:rPr>
        <w:t xml:space="preserve">) </w:t>
      </w:r>
      <w:r>
        <w:rPr>
          <w:rtl w:val="true"/>
        </w:rPr>
        <w:t>عهدنامه های بین المللی</w:t>
      </w:r>
      <w:bookmarkEnd w:id="8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عهدنامه یا قرارداد بین‌المللی، توافق سیاسی یا پروتکل انعقادیافته بین دو یا چند دولت است که در زمینه‌های گوناگون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عهدنامه‌ها یکی از منابع مهم حقوق بین‌الملل خصوصی هستند و مواد هفت، هشت و نه قانون مدنی ایران پیرامون آن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عهدنامه‌ها و قراردادهای بین‌المللی حقوق بین‌الملل عمومی بیش از عهدنامه‌ها و قراردادهای مربوط به حقوق بین‌الملل خصوصی است؛ چراکه در حقوق بین‌الملل خصوصی، روابط افراد مورد نظر است و دولت‌ها علاقه زیادی به تنظیم قرارداد در این مورد ندارند؛ زیرا تنظیم قرارداد با یک دولت دیگر، مستلزم سازش و منطبق کردن نسبی قانون‌گذاری خود با قانون‌گذاری کشور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عهدنامه‌ها در حقوق بین‌الملل خصوصی، نسبت به حقوق بین‌الملل عمومی چندان توسعه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خلاف موضوع تابعیت می‌توان قراردادهای به نسبت بیشتری را یافت؛ زیرا به‌طور معمول، هدف این قراردادها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بی‌تابعیتی و دو تابعیتی و در واقع، رعایت اصل تابعیت واحد است، که متأسفانه کمتر دولتی به این امر مهم توجّه نشان داده است؛ امّا هدف قراردادهای بین‌المللی در مورد وضع بیگانگان، بهبود وضع آنان و برخورداری از حقوقی است که تا حد امکان، نزدیک به حقوق اتباع کشور باشد و نیز هدف عهدنامه‌های بین‌المللی مربوط به تعارض قوانین، ممکن است وحدت قواعد حل تعارض یا وحدت قواعد مادی باشد</w:t>
      </w:r>
      <w:r>
        <w:rPr>
          <w:rFonts w:eastAsia="IRNazanin" w:cs="IRNazanin"/>
          <w:color w:val="111111"/>
          <w:sz w:val="28"/>
          <w:szCs w:val="28"/>
          <w:rtl w:val="true"/>
          <w:lang w:bidi="fa-IR"/>
        </w:rPr>
        <w:t>.</w:t>
      </w:r>
      <w:r>
        <w:rPr>
          <w:rStyle w:val="FootnoteAnchor"/>
          <w:rtl w:val="true"/>
        </w:rPr>
        <w:footnoteReference w:id="5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عهدنامه‌ها نسبت به دیگر منابع حقوق بین‌المللی، آن است که در آنها دولت‌ها در برابر یکدیگر و با حقوق متساوی، اجرای قاعده‌های حقوقی معینی را برعهده می‌گیرند و با پیش‌بینی مقرراتی خاص، مانند شرط داوری، امکان اجرای آنها را از راه‌های قضایی فراهم می‌سازند، و چون قاعده‌های مندرج در آنها، مانند قاعده‌های منعکس در قوانین داخلی نوشته شده و از صراحت</w:t>
      </w:r>
    </w:p>
    <w:p>
      <w:pPr>
        <w:pStyle w:val="BookText"/>
        <w:rPr/>
      </w:pPr>
      <w:r>
        <w:rPr>
          <w:rFonts w:ascii="IRNazanin" w:hAnsi="IRNazanin" w:eastAsia="IRNazanin"/>
          <w:color w:val="111111"/>
          <w:sz w:val="28"/>
          <w:sz w:val="28"/>
          <w:szCs w:val="28"/>
          <w:rtl w:val="true"/>
          <w:lang w:bidi="fa-IR"/>
        </w:rPr>
        <w:t>برخوردار است، از نظر نوشته بودن، هم‌تراز قانون در حقوق داخلی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عهدنامه‌ها برجسته‌ترین و مطمئن‌ترین منابع حقوق بین‌المللی را تشکیل می‌دهند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عهدنامه اگرچه یکی از منابع بین‌المللی حقوق است، ولی در ایران تا هنگامی که به تصویب قوه مقننه نرسیده و به‌صورتِ یک قانون داخلی در نیامده است، لازم‌الاجرا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عهدنامه‌ها، مقاوله‌نامه، قراردادها و موافقت‌نامه‌های بین‌المللی باید به تصویب مجلس شورای اسلامی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مباحثی درباره عهدنامه‌های بین‌المللی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عهدنامه‌ها</w:t>
      </w:r>
    </w:p>
    <w:p>
      <w:pPr>
        <w:pStyle w:val="BookText"/>
        <w:rPr/>
      </w:pPr>
      <w:r>
        <w:rPr>
          <w:rFonts w:ascii="IRNazanin" w:hAnsi="IRNazanin" w:eastAsia="IRNazanin"/>
          <w:color w:val="111111"/>
          <w:sz w:val="28"/>
          <w:sz w:val="28"/>
          <w:szCs w:val="28"/>
          <w:rtl w:val="true"/>
          <w:lang w:bidi="fa-IR"/>
        </w:rPr>
        <w:t>عهدنامه‌ها دو گونه‌اند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جانبه </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قراردادی است که فقط نسبت به دو طرف معاهده، لازم‌الاجراست و به‌هیچ‌وجه در مقابل دولت سوم،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عهدنامه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به‌وسیله آن، دو کشور به‌طور متقابل، امور حقوقی اتباع خود را در قلمرو حکومت یکدیگر تعیین و تنظیم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ایران و آلمان در مورد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قرارداد اقامت ایران و چک‌واسلواکی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قرارداد ایران و فرانسه در مورد اقامت و دریانوردی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عهدنامه‌های ایران با سایر کشورها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مودّت و اقامت؛ عهدنامه مودّت، اقامت و تجارت؛ عهدنامه مودّت، اقامت، تجارت و بحرپیمایی؛ قرارداد اقامت؛ قرارداد تعاون قضایی و عهدنامه مودّت، روابط اقتصادی، حقوقی و کنسولی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ایران و آمریکا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محتوا و مندرجات این عهدنامه‌ها متفاوت است و بیشتر مقررات آنها، مانند پیروی احوال شخصیه اتباع کشور طرف عهدنامه از قانون کشور متبوع خود، یا حق‌مراجعه آنان به دادگاه‌های ایران با حدود تملّک آنان در ایران، در تأیید حقوق عام ایران درباره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هم در آنها احکامی خاص مشاهده می‌شود؛ مانند معاف بودن از دادن تأمین مقرّر درباره بیگانگانی که خواهان واقع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عهدنامه با سوئیس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مصونیت اجرایی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منعکس در عهدنامه با اتحاد جماهیر 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مسئله شناسایی اشخاص حقوقی که مقر اصلی آنها در خاک یکی از دولت‌های متعاهدین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 قرارداد اقامت بین دولت ایران و چک و اسلواکی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کشور ایران تاکنون به انعقاد معاهده‌های دو جانبه زیادی دراین‌باره پرداخته است که به بیان برخی از آنان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معاهده اقامت بین دولت ایران و آلمان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معاهده اقامت بین دولت ایران و بلژیک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معاهده و قرارداد اقامت، تجارت و بحرپیمایی، انعقادیافته بین دولت ایران و یونان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معاهده قرار وجه‌الضمان و ارفاق قضایی، انعقادیافته بین دولت ایران و سوئیس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معاهده اقامت و دریانوردی، بین دولت ایران و فرانسه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معاهده بازرگانی، بین دولت جمهوری اسلامی ایران و مالزی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معاهده تشویق و حمایت متقابل از سرمایه‌گذاری، بین دولت جمهوری اسلامی ایران و جمهوری ارمنستان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معاهده همکاری‌های تجاری، بین دولت جمهوری اسلامی ایران و جمهوری بوسنی و هرزگوین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معاهده معاضدت در پرونده‌های مدنی و جزایی، بین دولت جمهوری اسلامی ایران و فدراسیون روسیه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جانبه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قراردادی است که بین سه دولت یا بیشتر منعقد می‌شود و نسبت به تمام کشورهای شرکت‌کننده در قرارداد لازم‌الاجرا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منظور این است که با انعقاد این قراردادها، گروه زیادی از دولت‌ها در چارچوب یک رشته مقررات حقوقی مشترک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انعقاد چنین معاهداتی در حقوق بین‌الملل خصوصی، یکسان‌سازی مقررات و قواعد حقوقی و نیز قواعد حل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معاهده‌های چند جانبه در برابر معاهده‌های دو جانبه، به دلیل تلاقی ارائه تعداد بیشتری از دولت‌ها و خلق اصول کلّی حقوقی و عرف بین‌المللی، از استحکام و اعتبار بیشتری برخوردار هستند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نمونه از معاهده‌های چند جانبه بین‌المللی که ایران نیز بدان پیوسته ازاین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شیکاگو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حمل‌ونقل هوایی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اتحادیه عمومی بین‌المللی،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معاهده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حمایت از مالکیت صنعتی، تجاری و کشاورزی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یکنواخت کردن بعضی از مقررات مربوط به حقوق ممتاز و رهن دریایی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حمل‌ونقل بین‌المللی کالاهای تجارتی، مسافر و اثاثیه با راه‌آهن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حقوقی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ماهیت حقوقی عهدنامه، این اختلاف نظر وجود دارد که آیا از نوع قرارداد است یا قانون؟ بعضی از علمای حقوق عمومی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چند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ماهیت قانونی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دو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ماهیت قراردادی است؛ ولی در حقیقت، این راه‌حل، نادرست بوده و مسئله آن‌چنان‌که شایسته است، 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ناشی از آمیختگی و تفکیک نشد و نوع رابطه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دولت‌ها با یکدیگر؛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دولت و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ماهیت حقوقی عهدنامه را باید با توجه به هر یک از این دو نوع رابطه تعیین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حقوقی عهدنامه، در رابطه بین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بین دولت‌های امضاکننده یک عهدنامه، بی‌شک عهدنامه، قراردادی است که تعهدات متقابلی برای آنها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دولت‌های طرف قرارداد باید شرایط و مواد قرارداد را رعایت کند؛ چنان‌که هیچ قانون داخلی معارضِ عهدنامه، در مقابل</w:t>
      </w:r>
    </w:p>
    <w:p>
      <w:pPr>
        <w:pStyle w:val="BookText"/>
        <w:rPr/>
      </w:pPr>
      <w:r>
        <w:rPr>
          <w:rFonts w:ascii="IRNazanin" w:hAnsi="IRNazanin" w:eastAsia="IRNazanin"/>
          <w:color w:val="111111"/>
          <w:sz w:val="28"/>
          <w:sz w:val="28"/>
          <w:szCs w:val="28"/>
          <w:rtl w:val="true"/>
          <w:lang w:bidi="fa-IR"/>
        </w:rPr>
        <w:t>دولت طرف قرارداد، معتبر و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کشور فرانسه در یک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ژوئن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یک قانون آلمانی که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ورسای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همین نظر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عهدنامه در روابط بین دولت‌ها قرارداد شمرده می‌شود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ماهیت حقوقی عهدنامه در رابطه بین هر یک از دولت‌های امضاکننده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مسئله دقیق اجرای عهدنامه در حقوق داخلی مطرح می‌شود و باید دانست در صورتی که عهدنامه، مخالف قانون داخلی باشد، چگونه باید رفتار کرد و اینکه آیا می‌توان عهدنامه را نسبت به افراد، نوعی قانون دانست؟ در حقوق ایران، بین قانون و عهدنامه شباهت بسیاری وجود 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عهدنامه‌ای، مانند قانون باید به تصویب قوه مقننه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بدون هیچ استثنایی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عهدنامه‌ها، مقاوله‌نامه‌ها، قراردادها و موافقت‌نامه‌های بین‌المللی باید به تصویب مجلس شورای اسلامی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عهدنامه، مانند قانون باید در روزنامه رسمی منتشر شود و پس از گذشت مدّتی که برای قوانین داخلی مقرر است یا مدّتی که در خود عهدنامه پیش‌بینی شده است، لازم‌الاجرا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نه قانون مدنی ایران به صراحت عهدنامه را در حکم قانون به‌شمار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عهودی که بر طبق قانون اساسی بین دولت ایران و سایر دول منعقد شده باشد، در حکم قانون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 نسبت به افراد، دارای ماهیت قانونی است و رعایت آن مانند رعایت قوانین داخلی، الزامی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حال، در صورت تعارض عهدنامه و قانون داخلی چه باید کرد؟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عهدنامه و قانون داخلی</w:t>
      </w:r>
    </w:p>
    <w:p>
      <w:pPr>
        <w:pStyle w:val="BookText"/>
        <w:rPr/>
      </w:pPr>
      <w:r>
        <w:rPr>
          <w:rFonts w:ascii="IRNazanin" w:hAnsi="IRNazanin" w:eastAsia="IRNazanin"/>
          <w:color w:val="111111"/>
          <w:sz w:val="28"/>
          <w:sz w:val="28"/>
          <w:szCs w:val="28"/>
          <w:rtl w:val="true"/>
          <w:lang w:bidi="fa-IR"/>
        </w:rPr>
        <w:t>چنان‌که ممکن است بین مفاد دو قانون داخلی، تعارض پدید آید، بین عهدنامه و قانون داخلی نیز تعارض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تعارض هنگامی رخ می‌دهد که عهدنامه در حکم قانون داخلی باشد، نه بالاتر از آن؛ چه اینکه اگر عهدنامه، مافوق قانون داخلی باشد، طبیعی است که بر قانون داخلی مقدّم بوده و تعارضی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قانون ایران، عهدنامه، مافوق قانون داخلی شمرده نمی‌شود و در صورت تصویب عهدنامه از سوی مجلس قانون‌گذاری، همانند قانون داخلی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ممکن است میان آن دو تعارض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تعارض می‌توان دو فرض زیر را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 عهدنامه و قانون داخلی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پس از تصویب یک قانون و در یک فاصله زمانی، عهدنامه‌ای منعقد شده است که عهدنامه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حکم قانون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قانون سابق دارای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فاصله زمانی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یا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عهدنامه با یک قانون داخلی که پیش‌تر وضع شده است تعارض داشته باشد، طبق قواعد مربوط به نسخ قانون، باید عهدنامه را تا حدی که معارض با قانون داخلی است، ناسخ ضمنی آن تلقّی کرد؛ همان‌طور که در تعارض بین دو قانون داخلی رفتار می‌شود؛ یعنی قانون مؤخر، می‌تواند ناسخ قانون قبلی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چنانچه قانون داخلی، عام و عهدنامه، خاص باشد، عهدنامه، قانون سابق</w:t>
      </w:r>
    </w:p>
    <w:p>
      <w:pPr>
        <w:pStyle w:val="BookText"/>
        <w:rPr/>
      </w:pPr>
      <w:r>
        <w:rPr>
          <w:rFonts w:ascii="IRNazanin" w:hAnsi="IRNazanin" w:eastAsia="IRNazanin"/>
          <w:color w:val="111111"/>
          <w:sz w:val="28"/>
          <w:sz w:val="28"/>
          <w:szCs w:val="28"/>
          <w:rtl w:val="true"/>
          <w:lang w:bidi="fa-IR"/>
        </w:rPr>
        <w:t xml:space="preserve">را تخصیص می‌زند؛ برای نمونه، هرگاه در کشوری قانونی وضع شده باشد که به موجب آن، خارجیان ملزم به پرداخت نوعی مالیات باشند، سپس این کشور با کشور دیگری عهدنامه‌ای منعقد کند که بر اساس آن، اتباع یک کشور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کشور طرف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پرداخت آن نوع مالیات معاف باشند، دراین‌صورت قانون و عهدنامه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می‌شوند؛ زیرا تعارضی بین آن دو وجود ندارد؛</w:t>
      </w:r>
      <w:r>
        <w:rPr>
          <w:rStyle w:val="FootnoteAnchor"/>
          <w:rtl w:val="true"/>
        </w:rPr>
        <w:footnoteReference w:id="62"/>
      </w:r>
      <w:r>
        <w:rPr>
          <w:rFonts w:ascii="IRNazanin" w:hAnsi="IRNazanin" w:eastAsia="IRNazanin"/>
          <w:color w:val="111111"/>
          <w:sz w:val="28"/>
          <w:sz w:val="28"/>
          <w:szCs w:val="28"/>
          <w:rtl w:val="true"/>
          <w:lang w:bidi="fa-IR"/>
        </w:rPr>
        <w:t>چه اینکه عهدنامه، استثنایی بر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بین قانون جدید و عهدنامه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دقیق‌تر و پیچیده‌تر از فرض پیشین است؛ زیرا 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اراده مشترک دو یا چند دولت ناشی می‌شود و اراده واحد یکی از این دولت‌ها با وضع یک قانون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معارض آن قرارداد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مقررات آن را نسخ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هرگاه قراردادِ مقدّم، خاص و قانون جدید، عام باشد، به‌طور معمول، مقررات عام نمی‌تواند ناسخ مقررات خاص باشد؛ زیرا امکان دارد با وجود وضع قانون عام جدید، منظور قانون‌گذار، رعایت مقررات خاص سابق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مطلب به تشخیص قاضی رسیدگی‌کننده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حل مسئله تعارض، باید دید آیا قانون داخلی می‌تواند ناسخ عهدنامه سابق باشد یا نه؟ به‌عبارت‌دیگر، آیا آن دو از ارزش یکسانی برخورداند یا عهدنامه مقدّم بر قانون داخلی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آن به مقررات و سیاست‌های اتخاذ شده در قوانین اساسی کشورها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اولی دراین‌باره آن است که بنا بر الزام‌آور بودنِ معاهده‌های انعقادیافته بین کشورها، کشور متعاهِد نمی‌تواند به وضع قانون یا قوانینی بپردازد که به‌طور صریح یا ضمنی، معاهده لازم‌الاجرا را نقض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در صورت چنین رویدادی، مسئولیت بین‌المللی در قبال چنین معاهداتی و نیز نقض تعهدات آمده در آنها به عهده همان دولت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فرانسه، پیش از قانون اساسی </w:t>
      </w: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دادگاه‌ها بیشتر اجرای قانون داخلی را لازم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صراحت مقرر داشت که عهدنامه‌های سیاسی، مقدّم و برتر از قانون داخلی بوده، دارای اعتبار بیشتری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فرانسه نیز همین اصل را تأیید کرد؛ ولی عده‌ای از حقوق‌دانان، از جمله پروفسور باتیفول</w:t>
      </w:r>
      <w:r>
        <w:rPr>
          <w:rStyle w:val="FootnoteAnchor"/>
          <w:rtl w:val="true"/>
        </w:rPr>
        <w:footnoteReference w:id="63"/>
      </w:r>
      <w:r>
        <w:rPr>
          <w:rFonts w:ascii="IRNazanin" w:hAnsi="IRNazanin" w:eastAsia="IRNazanin"/>
          <w:color w:val="111111"/>
          <w:sz w:val="28"/>
          <w:sz w:val="28"/>
          <w:szCs w:val="28"/>
          <w:rtl w:val="true"/>
          <w:lang w:bidi="fa-IR"/>
        </w:rPr>
        <w:t>معتقد بودند هر چند برتری عهدنامه نسبت به قانون داخلی در قانون اساسی پیش‌بینی شده است، ولی قاضی نمی‌تواند از اجرای قانون معارض با عهدنامه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مؤلفین فرانسوی طرفدار این نظریه هستند و بیشتر دادگاه‌ها نیز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قاضی نمی‌تواند از اجرای قانونی که ناقض عهدنامه است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قانون اساسی </w:t>
      </w: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شورایی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قانون اساسی</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تأسیس کرد که می‌تواند قبل از توشیح قانون، به تقاضای رئیس‌جمهور یا رئیس مجلس سنا و یا رئیس مجمع ملّی، درباره مطابقت آن با قانون اساسی اظهار نظر کند، که این اظهار نظر برکلیه مقامات عمومی الزام‌آور خواهد بود؛ امّا همین که قانونی به توشیح رسید، دیگر نمی‌توان از اجرای آن جلوگیری کرد</w:t>
      </w:r>
      <w:r>
        <w:rPr>
          <w:rFonts w:eastAsia="IRNazanin" w:cs="IRNazanin"/>
          <w:color w:val="111111"/>
          <w:sz w:val="28"/>
          <w:szCs w:val="28"/>
          <w:rtl w:val="true"/>
          <w:lang w:bidi="fa-IR"/>
        </w:rPr>
        <w:t>.</w:t>
      </w:r>
      <w:r>
        <w:rPr>
          <w:rStyle w:val="FootnoteAnchor"/>
          <w:rtl w:val="true"/>
        </w:rPr>
        <w:footnoteReference w:id="6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در حقوق ایران چه راه حلی را می‌توان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ایران دراین‌باره ساکت است؛ ولی چنانچه تشریفات مورد لزوم در انعقاد یک معاهده رعایت شده و مطابق اصول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به تصویب مجلس شورای اسلامی، تأیید شورای نگهبان و امضای رئیس</w:t>
      </w:r>
    </w:p>
    <w:p>
      <w:pPr>
        <w:pStyle w:val="BookText"/>
        <w:rPr/>
      </w:pPr>
      <w:r>
        <w:rPr>
          <w:rFonts w:ascii="IRNazanin" w:hAnsi="IRNazanin" w:eastAsia="IRNazanin"/>
          <w:color w:val="111111"/>
          <w:sz w:val="28"/>
          <w:sz w:val="28"/>
          <w:szCs w:val="28"/>
          <w:rtl w:val="true"/>
          <w:lang w:bidi="fa-IR"/>
        </w:rPr>
        <w:t>جمهور یا نماینده قانونی او برسد، در حکم قانون بوده و لازم‌الاجرا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گفت در رفع تعارض بین قانون و معاهده نیز همانند وجود تعارض بین دو قانون داخلی عمل می‌شود؛ بدین‌معنا که قانون لاحق را تا آنجا که با معاهده سابق تعارض داشته باشد، ناسخ آن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دادگاه‌ها نمی‌توانند از اجرای آن قانون خودداری ورزند ازاین‌رو، هرگاه قانونی مخالف با معاهده وضع شود، محاکم داخلی باید قانون مخالف را که آخرین اراده قانون‌گذار است،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درصورتی که بتوان بین آن دو جمع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جایی که قانون، عام و معاهده، 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قانون را ناسخ معاهده دانست؛ بلکه باید معاهده را مخصِّص قانون به‌شمار آورد و هر دو را اجرا کرد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عهدنامه</w:t>
      </w:r>
    </w:p>
    <w:p>
      <w:pPr>
        <w:pStyle w:val="BookText"/>
        <w:rPr/>
      </w:pPr>
      <w:r>
        <w:rPr>
          <w:rFonts w:ascii="IRNazanin" w:hAnsi="IRNazanin" w:eastAsia="IRNazanin"/>
          <w:color w:val="111111"/>
          <w:sz w:val="28"/>
          <w:sz w:val="28"/>
          <w:szCs w:val="28"/>
          <w:rtl w:val="true"/>
          <w:lang w:bidi="fa-IR"/>
        </w:rPr>
        <w:t>گاه در قوانین، ابهام، اجمال و یا تناقض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رخ دادن چنین امری در قوانین داخلی، در قوانین اساسی کشورها، ترتیبات و مراجع خاصی برای رفع ابهام، شفاف‌سازی و تفسیر پیش‌بینی شده است؛ ولی اگر چنین ابهام و اجمالی در معاهده‌های بین‌المللی اتفاق افتد و اجرای آنها نیازمند تفسیر باشد، طبق قوانین اساسی کشورها، مراجع زیر نسبت به تفسیر آن اقدام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ضروری است که تفسیر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بین‌المللی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یک تا سه، مصداق تفسیر بین‌المللی و بند چهار، مصداق تفسیر داخلی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از راه دادگاه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طرفین یا اطراف یک معاهده</w:t>
      </w:r>
    </w:p>
    <w:p>
      <w:pPr>
        <w:pStyle w:val="BookText"/>
        <w:rPr/>
      </w:pPr>
      <w:r>
        <w:rPr>
          <w:rFonts w:ascii="IRNazanin" w:hAnsi="IRNazanin" w:eastAsia="IRNazanin"/>
          <w:color w:val="111111"/>
          <w:sz w:val="28"/>
          <w:sz w:val="28"/>
          <w:szCs w:val="28"/>
          <w:rtl w:val="true"/>
          <w:lang w:bidi="fa-IR"/>
        </w:rPr>
        <w:t xml:space="preserve">بین‌المللی، صلاحیت تفسیر آن را به یک دادگاه بین‌المللی،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بین‌المللی دادگستری لاهه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کنند، این دیوان به موجب 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اساسنامه خود نسبت‌به این تفسیر اقدام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از راه قرارداد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پاره‌ای از مواد یک معاهده بین‌المللی، مورد اختلاف بوده، نیاز به تفسیر داشته باشد، همزمان یا پس از انعقاد قرارداد بین دو طرف، قرارداد بین‌المللی دیگری که به تصویب مقامات صلاحیت‌دار کشور ذی‌نفع نیز رسیده باشد، منعقد و مبادله خواهد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برای این نوع تفسیر، در بیشتر موارد به جای انعقاد عهدنامه جدید از راه عادی و با تشریفات معمول، به مبادله‌نامه که یک روش ساده برای انعقاد قرارداد است،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مبادله‌نامه هنگامی یک قرارداد بین‌المللی شمرده و الزام‌آور است که به تصویب مقامات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قراردادی چون دارای جنبه تفسیری است، عطف به ماسبق می‌شود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تفسیر از راه دیپلماسی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است که دو طرف معاهده یک ترتیب خاص سیاسی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راه تماس‌های 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یک معاهده بین‌المللی پیش‌بینی کرده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از راه محاکم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محکمه داخلی صلاحیت تفسیر قضایی قوانین داخلی را دارد، می‌تواند معاهده‌ای را که دولت متبوع وی با یک کشور دیگر منعقد کرده است نیز به‌طور یک جانبه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 و قضات داخلی در غالب کشورها صلاحیت دارند که معاهده مبهم و مجمل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آن بخشی که تفسیر معاهده، با حقوق و منافع خصوصی در ارتباط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این تفسیر، توجه به دو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تفسیرهای ارائه شده در حکم قانون نبوده، بلکه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فقط نسبت به همان معاهده و موضوع خاص آن، اعمال پذیر است و حتی خود محکمه نیز در موارد مشابه، ملزم به پیروی از تفسیر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مواردی که تفسیر معاهده با مسائل مربوط به حقوق عمومی و یا نظام بین‌الملل عمومی ارتباط پیدا کند، لازم است غیر از محاکم داخلی، ترتیبات خاص رسمی دیگری برای تفسیر معاهده‌های بین‌المللی از سوی دولت‌ها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ایران نیز با توجه به اینکه ماده نه قانون مدنی، معاهده را در حکم قانون می‌داند، می‌توان تفسیر معاهده‌های بین‌المللی را در صلاحیت محاکم داخلی و مقامات قضایی نیز قرار داد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اثر عهدنامه</w:t>
      </w:r>
    </w:p>
    <w:p>
      <w:pPr>
        <w:pStyle w:val="BookText"/>
        <w:rPr/>
      </w:pPr>
      <w:r>
        <w:rPr>
          <w:rFonts w:ascii="IRNazanin" w:hAnsi="IRNazanin" w:eastAsia="IRNazanin"/>
          <w:color w:val="111111"/>
          <w:sz w:val="28"/>
          <w:sz w:val="28"/>
          <w:szCs w:val="28"/>
          <w:rtl w:val="true"/>
          <w:lang w:bidi="fa-IR"/>
        </w:rPr>
        <w:t>ممکن است معاهده‌ها و قراردادهای بین‌المللی پس از مدّتی اعتبار و ارزش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علت‌های انقضای عهدنامه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انقضای مدّت؛ لغو عهدنامه از سوی قانون یا عهدنامه مخالف؛ پیش‌بینی حق فسخ معاهده؛ جنگ و تغییر بنیادین اوضاع و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انقضای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معاهده یا قرارداد بین‌المللی برای مدّت محدود و زمان معینی منعقد شده باشد، پس از انقضای مدّت، بدون نیاز به فسخ از سوی طرفین، اثر آن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از معمولی‌ترین روش‌های قطع اثر عهدنامه است و بیشتر در مورد عهدنامه‌های تجاری و فرهنگی استفاده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تفاوت‌های عهدنامه با قانون، موقّت یا محدود بودن اعتبار عهدنامه به</w:t>
      </w:r>
    </w:p>
    <w:p>
      <w:pPr>
        <w:pStyle w:val="BookText"/>
        <w:rPr/>
      </w:pPr>
      <w:r>
        <w:rPr>
          <w:rFonts w:ascii="IRNazanin" w:hAnsi="IRNazanin" w:eastAsia="IRNazanin"/>
          <w:color w:val="111111"/>
          <w:sz w:val="28"/>
          <w:sz w:val="28"/>
          <w:szCs w:val="28"/>
          <w:rtl w:val="true"/>
          <w:lang w:bidi="fa-IR"/>
        </w:rPr>
        <w:t>مدّت معین، و دائم بودن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مدّت در عهدنامه برای آن است که اگر در جریان رخ‌دادهای بین‌المللی، روابط دو دولت دچار دگرگونی‌هایی شود، با انقضای مدّت آن، موضوع، خود به خود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برای اینکه در صورت نبودن موجباتی برای انصراف از معاهده، تنها سپری شدن مدّت، سبب از میان رفتن آن نشود، این شرط نیز بر آن افزوده می‌شود که مدّت پیش‌بینی شده، تا زمانی که یکی از دو طرف، قصد خود را بر عدم تمدید به‌طرف دیگر اعلام نداشته، معاهده خود به خود تمدید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شرط است که می‌توان عهدنامه‌هایی را مشاهده کرد که برای مدّتی کوتاه انعقاد یافته، امّا با گذشت مدّتی طولانی هنوز معتبر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اقامت میان دولت‌های ایران و سوئیس، انعقادیافته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مدّت آن پنج سال بوده و هنوز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سبب می‌شود ضمن مراعات مدّت در عهدنامه، تدوام آن نیز تأمین‌شده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لغو عهدنامه توسط قانون یا عهدنامه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 قانون جدید می‌تواند قانون قبل از خود را لغو کند، عهدنامه نیز می‌تواند عهدنامه سابق را از اعتبار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پس از توافق دولت‌های متعاهد بر لغو یک عهدنامه، این امر را می‌توان با عقد معاهده‌ای جدید یا وضع قانونی مبنی بر لغو آن عهدنامه، در هر یک از کشورهای متعاهد انجام داد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پیش‌بینی حق فسخ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عهدنامه، حق فسخ پس از طی شرایطی، مانند انقضای مدّتی مشخص، پیش‌بینی شده باشد؛ برای نمونه، در قرارداد اقامت و دریانوردی، انعقادیافته بین ایران و فرانسه، مصوّب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ماده پانزده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اعتبار این قرارداد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پس از این مدّت نیز تا زمانی که یکی از طرفین تصمیم خود را مبنی بر فسخ آن با اطلاع قبلی شش ماهه به‌طرف دیگر ابلاغ نکند، همچنان معتبر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علل بی‌اعتباری معاهده‌ها و قراردادهای بین‌المللی،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عهدنامه پیرامون حقوق عمومی باشد، در اثر وقوع جنگ بین کشورهای متعاهد، اثر خود را از دست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استرداد 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عقیده دارند هر نوع عهدنامه‌ای به مجرد وقوع جنگ، برای دولت‌های درحال جنگ از اعتبار می‌افتد؛ امّا بعضی دیگر معتقدند عهدنامه در مدّت جنگ به حال تعلیق درآمده، پس از جنگ می‌تواند دوباره به اجرا درآید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آن دسته از معاهداتی نیز که پیرامون مقررات زمان جنگ است، با وقوع جنگ به اجرا در می‌آید و اعتبار و کاربرد آنها فقط برای زمان جنگ است و پس از آن اعتبار خود را از دست می‌دهد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تغییر بنیادین اوضاع و احوال</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ازآنجاکه کشورها در زمان تنظیم عهدنامه بین‌المللی، اوضاع و احوال زمان انعقاد قرارداد را در نظر می‌گیرند و با توجه به آن، در مورد مسائل توافق می‌کنند، هرگاه پس از انعقاد قرارداد، در آن اوضاع و احوال تغییراتی روی دهد، این امر می‌تواند موجب ایجاد تغییراتی در عهدنامه شود؛ امّا دو شرط برای وقوع چنین تغییراتی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اوضاع و احوال بسته به عمل خود دولت نباشد؛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 تحوّل غیر قابل پیش‌بینی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تغییر اوضاع و احوال هیچ‌گاه به خودی خود نمی‌تواند عهدنامه را لغو</w:t>
      </w:r>
      <w:bookmarkStart w:id="89" w:name="pg5888_35886"/>
    </w:p>
    <w:p>
      <w:pPr>
        <w:pStyle w:val="BookText"/>
        <w:rPr/>
      </w:pPr>
      <w:bookmarkEnd w:id="89"/>
      <w:r>
        <w:rPr>
          <w:rFonts w:ascii="IRNazanin" w:hAnsi="IRNazanin" w:eastAsia="IRNazanin"/>
          <w:color w:val="111111"/>
          <w:sz w:val="28"/>
          <w:sz w:val="28"/>
          <w:szCs w:val="28"/>
          <w:rtl w:val="true"/>
          <w:lang w:bidi="fa-IR"/>
        </w:rPr>
        <w:t>کند، بلکه فقط موجب می‌شود که دولت‌های متعاهد برای انطباق قرارداد با وضعیت جدید، در قرارداد قبلی تجدیدنظر کرده، یا قرارداد جدیدی وضع و قرارداد قبلی را لغو کنند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0" w:name="__RefHeading___Toc5261216_581953129"/>
      <w:bookmarkStart w:id="91" w:name="_Toc36"/>
      <w:bookmarkEnd w:id="90"/>
      <w:r>
        <w:rPr>
          <w:rtl w:val="true"/>
        </w:rPr>
        <w:t>ب</w:t>
      </w:r>
      <w:r>
        <w:rPr>
          <w:rtl w:val="true"/>
        </w:rPr>
        <w:t xml:space="preserve">) </w:t>
      </w:r>
      <w:r>
        <w:rPr>
          <w:rtl w:val="true"/>
        </w:rPr>
        <w:t>رویه قضایی بین المللی</w:t>
      </w:r>
      <w:bookmarkEnd w:id="91"/>
    </w:p>
    <w:p>
      <w:pPr>
        <w:pStyle w:val="BookText"/>
        <w:rPr/>
      </w:pPr>
      <w:r>
        <w:rPr>
          <w:rFonts w:ascii="IRNazanin" w:hAnsi="IRNazanin" w:eastAsia="IRNazanin"/>
          <w:color w:val="111111"/>
          <w:sz w:val="28"/>
          <w:sz w:val="28"/>
          <w:szCs w:val="28"/>
          <w:rtl w:val="true"/>
          <w:lang w:bidi="fa-IR"/>
        </w:rPr>
        <w:t xml:space="preserve">دادگاه‌های بین‌المللی،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بین‌المللی دادگستری لاهه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راجع به مسائل مربوط به حقوق بین‌الملل خصوصی نظیر تابعیت و وضع بیگانگان،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رویه قضایی بین‌المللی را از منابع بین‌المللی حقوق بین‌الملل خصوصی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قواعد حقوقی که از آراء مشورتی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بین‌المللی دادگستری لاهه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تعهدات بین‌المللی هر دولت، آزادی قانون‌گذاری او را محدود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تابعیت، دولت‌ها هیچ تعهدی نسبت به یکدیگر، جز آنچه از معاهده‌ها ناشی می‌شود،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مالکیت و مصادره اموال بیگانگان، بدون پرداخت غرامت، خلاف حقوق مشترک بین‌المللی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حقوق بین‌الملل خصوصی، جزء حقوق داخلی هستند؛ مگر آنکه این قواعد در اثر قرارداد یا عرف بین‌المللی بین دولت‌ها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جزء حقوق بین‌الملل که تنظیم‌کننده روابط بین دولت‌هاست، به‌شمار خواهند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رابطه تابعیت یک فرد با دولتی، کافی، واقعی و مؤثّر نباشد، این دولت نمی‌تواند از او به‌عنوان تبعه خود حمایت کند</w:t>
      </w:r>
      <w:r>
        <w:rPr>
          <w:rFonts w:eastAsia="IRNazanin" w:cs="IRNazanin"/>
          <w:color w:val="111111"/>
          <w:sz w:val="28"/>
          <w:szCs w:val="28"/>
          <w:rtl w:val="true"/>
          <w:lang w:bidi="fa-IR"/>
        </w:rPr>
        <w:t>.</w:t>
      </w:r>
      <w:bookmarkStart w:id="92" w:name="pg5888_35888"/>
    </w:p>
    <w:p>
      <w:pPr>
        <w:pStyle w:val="BookText"/>
        <w:rPr/>
      </w:pPr>
      <w:bookmarkEnd w:id="92"/>
      <w:r>
        <w:rPr>
          <w:rFonts w:ascii="IRNazanin" w:hAnsi="IRNazanin" w:eastAsia="IRNazanin"/>
          <w:color w:val="111111"/>
          <w:sz w:val="28"/>
          <w:sz w:val="28"/>
          <w:szCs w:val="28"/>
          <w:rtl w:val="true"/>
          <w:lang w:bidi="fa-IR"/>
        </w:rPr>
        <w:t>بااین‌وجود، رویه قضایی در حقوق بین‌الملل خصوصی، رشد و توسعه چندانی نیافته است؛ زیرا کشورها حاضر نیستند به‌راحتی صلاحیت خود را محدود ساخته، از مقررات یک دادگاه بین‌المللی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دعاوی ارجاعی به دادگاه‌های بین‌المللی بسیار محدود هستند؛ زیرا فقط دعاوی بین دولت‌ها به داوری بین‌المللی ارجاع می‌شود و دعاوی بین اشخاص در روابط بین‌المللی به‌طور معمول در داخل کشورها حل‌وفصل می‌شوند؛ مگر اینکه طرفین، حل اختلاف خود را بر اساس شرط داوری و یا موافقتنامه داوری مستقل، به مراکز بین‌المللی داوری، نظیر اتاق بازرگانی بین‌المللی ارجاع دهند</w:t>
      </w:r>
      <w:r>
        <w:rPr>
          <w:rFonts w:eastAsia="IRNazanin" w:cs="IRNazanin"/>
          <w:color w:val="111111"/>
          <w:sz w:val="28"/>
          <w:szCs w:val="28"/>
          <w:rtl w:val="true"/>
          <w:lang w:bidi="fa-IR"/>
        </w:rPr>
        <w:t>.</w:t>
      </w:r>
    </w:p>
    <w:p>
      <w:pPr>
        <w:pStyle w:val="Heading4"/>
        <w:numPr>
          <w:ilvl w:val="3"/>
          <w:numId w:val="1"/>
        </w:numPr>
        <w:rPr/>
      </w:pPr>
      <w:bookmarkStart w:id="93" w:name="__RefHeading___Toc5261218_581953129"/>
      <w:bookmarkStart w:id="94" w:name="_Toc37"/>
      <w:bookmarkEnd w:id="93"/>
      <w:r>
        <w:rPr>
          <w:rtl w:val="true"/>
        </w:rPr>
        <w:t>ج</w:t>
      </w:r>
      <w:r>
        <w:rPr>
          <w:rtl w:val="true"/>
        </w:rPr>
        <w:t xml:space="preserve">) </w:t>
      </w:r>
      <w:r>
        <w:rPr>
          <w:rtl w:val="true"/>
        </w:rPr>
        <w:t>عرف بین المللی</w:t>
      </w:r>
      <w:bookmarkEnd w:id="94"/>
    </w:p>
    <w:p>
      <w:pPr>
        <w:pStyle w:val="BookText"/>
        <w:rPr/>
      </w:pPr>
      <w:r>
        <w:rPr>
          <w:rFonts w:ascii="IRNazanin" w:hAnsi="IRNazanin" w:eastAsia="IRNazanin"/>
          <w:color w:val="111111"/>
          <w:sz w:val="28"/>
          <w:sz w:val="28"/>
          <w:szCs w:val="28"/>
          <w:rtl w:val="true"/>
          <w:lang w:bidi="fa-IR"/>
        </w:rPr>
        <w:t xml:space="preserve">همان‌طور که در حقوق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مهم حقوق به‌شمار می‌آید، در حقوق بین‌الملل نیز این منبع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بین‌المللی به یک فعل یا ترک فعل آگاهانه متحدالشکل که به مرور زمان لازم‌الاجرا شده است، اطلاق می‌شود؛ به‌طوری‌که اجرا نشدن آن با واکنش افراد یا کشورهای ذی‌نفع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بودن، ارادی بودن و اینکه عرف نباید به‌صورتِ نوشته درآمده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مشخّصات دیگر عرف در حقوق بین‌الملل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قواعد حقوق بین‌الملل که به‌صورتِ عرف بین‌المللی درآمده است، مورد پذیرش کلیه کشورها بوده و موضوع آن، یک قاعده حقوق بین‌الملل خصوصی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ازاین قواعد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غیرمنقول، تابع قانون محل وقوع مال است</w:t>
      </w:r>
      <w:r>
        <w:rPr>
          <w:rFonts w:eastAsia="IRNazanin" w:cs="IRNazanin"/>
          <w:color w:val="111111"/>
          <w:sz w:val="28"/>
          <w:szCs w:val="28"/>
          <w:rtl w:val="true"/>
          <w:lang w:bidi="fa-IR"/>
        </w:rPr>
        <w:t>.</w:t>
      </w:r>
      <w:bookmarkStart w:id="95" w:name="pg5888_35890"/>
    </w:p>
    <w:p>
      <w:pPr>
        <w:pStyle w:val="BookText"/>
        <w:rPr/>
      </w:pPr>
      <w:bookmarkEnd w:id="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شکل اسناد، تابع قانون محل تنظیم 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دادرسی، تابع قانون مقر دادگاه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حداقل حقوق برای اتباع کشورهای دیگر که در قلمرو حکومت کشوری اقامت دارند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96" w:name="__RefHeading___Toc5261220_581953129"/>
      <w:bookmarkStart w:id="97" w:name="_Toc38"/>
      <w:bookmarkEnd w:id="96"/>
      <w:r>
        <w:rPr>
          <w:rtl w:val="true"/>
        </w:rPr>
        <w:t>د</w:t>
      </w:r>
      <w:r>
        <w:rPr>
          <w:rtl w:val="true"/>
        </w:rPr>
        <w:t xml:space="preserve">) </w:t>
      </w:r>
      <w:r>
        <w:rPr>
          <w:rtl w:val="true"/>
        </w:rPr>
        <w:t>اصول کلّی بین المللی</w:t>
      </w:r>
      <w:bookmarkEnd w:id="9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قواعد کلّی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کشورها قرار می‌گیرد که در روابط خویش آن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که می‌توان آن را منبع بین‌المللی حقوق بین‌الملل خصوصی نیز دانست،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احترام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به حقوق مکتسبه، رعایت حقوق بیگانگان، احترام به حاکمیت اراده طرفین، آزادی قراردادی و اصل آزادی اقلیت‌ها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حقوق بین‌الملل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سازنده و ایجادکننده حقوق بین‌الملل خصوصی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حقوق، هم دارای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مانند مقررات حقوق داخلی، از سوی قوه حاکمه هر دولتی تعیین و وضع می‌شود و هم دارای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دولت‌ها با توافق و عقد قراردادهای سیاسی یا توافق و ایجاد عرف بین‌المللی، در حل مسائل مربوط به حقوق اتباع خود می‌کوشند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حقوق بین‌الملل خصوصی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داخلی حقوق بین‌الملل خصوصی، و منابع بین‌الملل حقوق بین‌الملل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داخلی، منابعی هستند که در داخل یک سرزمین مورد عمل و استناد واقع می‌شوند، که به‌طور عمده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رویه قضایی، عرف و عقاید علمای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حقوق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بین‌الملل که در سطح بین‌الملل و در بین کشورها مورد استناد و احترام‌اند،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عهدنامه‌های بین‌المللی، رویه قضایی بین‌المللی، عرف بین‌المللی و اصول کلّی بین‌المللی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عهدنامه‌های بین‌المللی،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جانبه که فقط نسبت به دو طرف معاهده لازم‌الاجراست و عهدنامه چند جانبه، که دست کم بین سه دولت منعقد می‌شود و نسبت به تمام کشورهای شرکت‌کننده در قرارداد، لازم‌الاجراست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ماهیت حقوقی عهدنامه، اختلاف نظر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 ماهیت حقوقی عهدنامه در رابطه بین دولت‌ها قراردادی</w:t>
      </w:r>
    </w:p>
    <w:p>
      <w:pPr>
        <w:pStyle w:val="BookText"/>
        <w:rPr/>
      </w:pPr>
      <w:r>
        <w:rPr>
          <w:rFonts w:ascii="IRNazanin" w:hAnsi="IRNazanin" w:eastAsia="IRNazanin"/>
          <w:color w:val="111111"/>
          <w:sz w:val="28"/>
          <w:sz w:val="28"/>
          <w:szCs w:val="28"/>
          <w:rtl w:val="true"/>
          <w:lang w:bidi="fa-IR"/>
        </w:rPr>
        <w:t xml:space="preserve">است که تعهدات متقابلی برای آنها ایجاد می‌کند؛ امّا عهدنامه در حقوق داخلی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نه قانون مدنی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مشروط بر اینکه به تصویب مجلس شورای اسلامی رسیده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عهدنامه جدید با یک قانون داخلی که پیش‌تر وضع شده است تعارض داشته باشد، طبق قواعد مربوط به نسخ قانون، باید عهدنامه را تا حدی که معارض با قانون داخلی است، ناسخ ضمنی آن تلقّی کرد؛ همان‌طور که در تعارض بین دو قانون داخلی رفتار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قانون جدید با عهدنامه سابق در تعارض باشد، باید دید آیا قانون داخلی می‌تواند ناسخ عهدنامه سابق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آن به مقررات و سیاست‌های به کار گرفته شده در قوانین اساسی کشورها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ایران دراین‌باره ساکت است؛ ولی می‌توان همانند وجود تعارض بین دو قانون داخلی عمل کرد؛ بدین‌معنا که قانون لاحق را تا آنجا که با معاهده سابق تعارض داشته باشد، ناسخ آن تلقّی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عهدنامه بین‌المللی، گاه مانند قانون داخلی، به دلیل ابهام و اجمال نیازمند تفسیر و تبیین است، که در مواردی از سوی محاکم داخلی و گاه از راه بین‌المللی تفسیر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علل انقضای عهدنامه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انقضای مدّت، لغو عهدنامه از سوی قانون یا عهدنامه مخالف، پیش‌بینی حق فسخ در خود معاهده، و جنگ و تغییر بنیادین اوضاع و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منابع حقوق بین‌الملل خصوصی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منابع داخلی و بین‌المللی حقوق بین‌الملل خصوصی را نام برده، هر یک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منبع در بحث موضوع‌ها و مسائل حقوق بین‌الملل خصوصی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رویه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کرده، جایگاه آن را در حقوق ایران و نیز سایر کشورها در مسائل حقوق بین‌الملل خصوصی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را تعریف کرده، شرایط تحقّق آن را بیان کنید و چگونگی منبع بودن آن را در حقوق بین‌الملل خصوصی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عهدنامه بین‌المللی 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آن را تبیین کرده، چگونگی منبع بودن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حقوقی عهدنامه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بین عهدنامه بین‌المللی و قانون داخلی تعارض باشد، راه حل آن را در دو فرض زیر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عهدنامه و قانون داخلی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قانون جدید و عهدنامه 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عهدنامه بین‌المللی به چه منظوری است؟ راه‌های گوناگون تفسیر عهدنامه بین‌المللی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علل انقضای عهدنامه بین‌المللی را نام برده، هر یک را به اختصار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قوانین گوناگون ایران در بحث حقوق بین‌الملل خصوصی تحقیق و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مواد را جمع‌آوری و با یکدیگر مقایسه کرده، موارد مشابه، مخالف، تناقض احتمالی و نقص و مزیت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مورد نقش و جایگاه رویه قضایی در ایجاد حقوق بین‌الملل خصوصی ارائه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از منابع تحقیق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سید نصراللّه ابراهیمی؛ حقوق بین‌الملل خصوصی ، 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بهشید ارفع‌نیا؛ حقوق بین‌الملل خصوصی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علی محمد مکرمی؛ حقوق بین‌الملل خصوصی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محمود سلجوقی؛ حقوق بین‌الملل خصوصی ،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برخی عرف‌های بین‌المللی حقوق خصوصی و جایگاه آن در حقوق ایران تحقیق و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تحقیق در این زمینه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ناصر کاتوزیان، فلسفه حقوق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کتاب‌های مربوط به حقوق بین‌الملل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دکترین، از کدام نوع منابع حقوق بین‌الملل خصوصی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غیرمستقیم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بیانگر منابع داخلی حقوق بین‌الملل خصوصی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قضایی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عهدنامه‌ها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منبع حقوق بین‌الملل خصوصی در فرانسه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قضایی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بین‌الملل و عهدنامه‌ها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منابع حقوق بین‌الملل خصوصی، منبع مختلط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عرف‌های بین‌المللی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رویه‌های قضایی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کدام‌یک از موارد زیر، از منابع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بین‌المللی حقوق بین‌الملل خصوصی ایران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بین‌المللی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وحدت رویه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اصلی حقوق بین‌الملل خصوصی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رویه قضایی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عرف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قضایی و دکترین حقوقی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دکترین حقوقی و اصول کلّی حقوق بین‌الملل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ارتباط با منابع حقوق بین‌الملل خصوصی ایران، کدام‌یک از پاسخ‌های زیر صحیح‌تر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عهدنامه‌هایی که ایران عضو آن است، قانون مدنی ایران، رویه قضایی ایران، رویه قضایی و داوری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عهدنامه‌های بین‌المللی، قانون مجازات اسلامی، قانون مسؤولیت مدنی و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عمومی، قانون کار ایران، قانون مدنی و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قضایی یا داوری بین‌الملل، دکترین حقوقی، قوانین جزایی و قانون 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حقوق بین‌الملل خصوصی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و بین‌المللی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 و منطقه‌ای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و بین‌المللی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فراملّی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منابع داخلی حقوق بین‌الملل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بین‌الملل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قراردادهای اشخاص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عهدنامه‌ای که طبق مقررات قانون اساسی، بین دولت ایران و دولت‌های دیگر منعقد می‌شود، نمی‌تواند قانون داخلی را نقض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بعد از عهدنامه، فقط می‌تواند ناقض قسمتی از عهدنامه که با مفاد قانون در تعارض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بعد از عهدنامه، به‌هیچ‌وجه نمی‌تواند ناقض تمام یا قسمتی از آن عهدنامه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منابع حقوق بین‌الملل خصوصی از منابع غیرمستقیم این رشته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گزارش‌های کتبی، آموزش و رویه قضایی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عهدنامه‌ها، عرف بین‌الملل و رویه قضایی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قانون و رویه قضایی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گزارشات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انجمن‌های علمی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حقوق بین‌الملل خصوصی چیست؟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افراد و دولت‌ها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دولت‌ها با 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افراد در زندگی بین‌المللی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حقوق بین‌الملل خصوصی در هر کشور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قواعد و مقررات ناشی از روابط دولت‌هاست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تعهدات پذیرفته شده در عهدنامه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مصوّبات سازمان‌های بین‌المللی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قانون‌گذار داخلی هر کشور است</w:t>
      </w:r>
      <w:r>
        <w:rPr>
          <w:rFonts w:eastAsia="IRNazanin" w:cs="IRNazanin"/>
          <w:color w:val="111111"/>
          <w:sz w:val="28"/>
          <w:szCs w:val="28"/>
          <w:rtl w:val="true"/>
          <w:lang w:bidi="fa-IR"/>
        </w:rPr>
        <w:t>.</w:t>
      </w:r>
      <w:bookmarkStart w:id="98" w:name="pg5888_35910"/>
    </w:p>
    <w:p>
      <w:pPr>
        <w:pStyle w:val="Heading2"/>
        <w:numPr>
          <w:ilvl w:val="1"/>
          <w:numId w:val="1"/>
        </w:numPr>
        <w:rPr/>
      </w:pPr>
      <w:bookmarkStart w:id="99" w:name="__RefHeading___Toc5261222_581953129"/>
      <w:bookmarkStart w:id="100" w:name="_Toc39"/>
      <w:bookmarkEnd w:id="98"/>
      <w:bookmarkEnd w:id="99"/>
      <w:r>
        <w:rPr/>
        <w:t>3</w:t>
      </w:r>
      <w:r>
        <w:rPr>
          <w:rtl w:val="true"/>
        </w:rPr>
        <w:t xml:space="preserve">- </w:t>
      </w:r>
      <w:r>
        <w:rPr>
          <w:rtl w:val="true"/>
        </w:rPr>
        <w:t>منابع حقوق بین الملل خصوصی اسلامی؛ تابعیت</w:t>
      </w:r>
      <w:bookmarkEnd w:id="100"/>
    </w:p>
    <w:p>
      <w:pPr>
        <w:pStyle w:val="Heading3"/>
        <w:numPr>
          <w:ilvl w:val="2"/>
          <w:numId w:val="1"/>
        </w:numPr>
        <w:rPr/>
      </w:pPr>
      <w:bookmarkStart w:id="101" w:name="__RefHeading___Toc5261224_581953129"/>
      <w:bookmarkStart w:id="102" w:name="_Toc40"/>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منابع مهم بین‌الملل اسلامی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سنّت، اجماع و 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منابع دیگر حقوق بین‌المللی اسلامی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بین‌المللی، احکام حکومتی، شریعت‌ها و کتاب‌های آسمانی دیگر و معاهده‌های بین‌المللی؛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تعریف‌های مختلف از تابعیت؛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ویژگی‌های مختلف تابعیت،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تشخیص خودی از بیگانه؛ بین‌المللی بودن رابطه تابعیت؛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رابطه تابعیت؛ سیاسی بودن رابطه تابعیت؛ حقوقی بودن رابطه تابعیت؛ معنوی بودن رابطه تابعیت؛ تابعیت، عامل توسعه، یا تحدید اعمال حاکمیت دولت؛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تفاوت و تشابه تابعیت و ملیت؛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شرایط تحقّق تابعیت و نیز اصول و مبانی تابعیت؛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موارد تخلّف از اصل ضرورتِ تابعیت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بی‌تابعیتی؛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مضاعف</w:t>
      </w:r>
      <w:r>
        <w:rPr>
          <w:rFonts w:eastAsia="IRNazanin" w:cs="IRNazanin"/>
          <w:color w:val="111111"/>
          <w:sz w:val="28"/>
          <w:szCs w:val="28"/>
          <w:rtl w:val="true"/>
          <w:lang w:bidi="fa-IR"/>
        </w:rPr>
        <w:t>.</w:t>
      </w:r>
    </w:p>
    <w:p>
      <w:pPr>
        <w:pStyle w:val="Heading3"/>
        <w:numPr>
          <w:ilvl w:val="2"/>
          <w:numId w:val="1"/>
        </w:numPr>
        <w:rPr/>
      </w:pPr>
      <w:bookmarkStart w:id="103" w:name="__RefHeading___Toc5261226_581953129"/>
      <w:bookmarkStart w:id="104" w:name="_Toc41"/>
      <w:bookmarkEnd w:id="103"/>
      <w:r>
        <w:rPr/>
        <w:t>1</w:t>
      </w:r>
      <w:r>
        <w:rPr>
          <w:rtl w:val="true"/>
        </w:rPr>
        <w:t xml:space="preserve">- </w:t>
      </w:r>
      <w:r>
        <w:rPr>
          <w:rtl w:val="true"/>
        </w:rPr>
        <w:t>منابع حقوق بین الملل خصوصی اسلامی</w:t>
      </w:r>
      <w:bookmarkEnd w:id="104"/>
    </w:p>
    <w:p>
      <w:pPr>
        <w:pStyle w:val="Heading4"/>
        <w:numPr>
          <w:ilvl w:val="3"/>
          <w:numId w:val="1"/>
        </w:numPr>
        <w:rPr/>
      </w:pPr>
      <w:bookmarkStart w:id="105" w:name="__RefHeading___Toc5261228_581953129"/>
      <w:bookmarkStart w:id="106" w:name="_Toc42"/>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ازآنجاکه حقوق بین‌الملل اسلامی یکی از رشته‌های حقوق اسلامی است، برای شناخت منابع آن باید منابع حقوق اسلام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قواعد و مقررات حقوق اسلامی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سنت، اجماع و عقل</w:t>
      </w:r>
      <w:r>
        <w:rPr>
          <w:rFonts w:eastAsia="IRNazanin" w:cs="IRNazanin"/>
          <w:color w:val="111111"/>
          <w:sz w:val="28"/>
          <w:szCs w:val="28"/>
          <w:rtl w:val="true"/>
          <w:lang w:bidi="fa-IR"/>
        </w:rPr>
        <w:t>.</w:t>
      </w:r>
    </w:p>
    <w:p>
      <w:pPr>
        <w:pStyle w:val="Heading4"/>
        <w:numPr>
          <w:ilvl w:val="3"/>
          <w:numId w:val="1"/>
        </w:numPr>
        <w:rPr/>
      </w:pPr>
      <w:bookmarkStart w:id="107" w:name="__RefHeading___Toc5261230_581953129"/>
      <w:bookmarkStart w:id="108" w:name="_Toc43"/>
      <w:bookmarkEnd w:id="107"/>
      <w:r>
        <w:rPr>
          <w:rtl w:val="true"/>
        </w:rPr>
        <w:t>الف</w:t>
      </w:r>
      <w:r>
        <w:rPr>
          <w:rtl w:val="true"/>
        </w:rPr>
        <w:t xml:space="preserve">) </w:t>
      </w:r>
      <w:r>
        <w:rPr>
          <w:rtl w:val="true"/>
        </w:rPr>
        <w:t>قرآن کریم</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و بنیادی‌ترین منبع حقوق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منبعی</w:t>
      </w:r>
    </w:p>
    <w:p>
      <w:pPr>
        <w:pStyle w:val="BookText"/>
        <w:rPr/>
      </w:pPr>
      <w:r>
        <w:rPr>
          <w:rFonts w:ascii="IRNazanin" w:hAnsi="IRNazanin" w:eastAsia="IRNazanin"/>
          <w:color w:val="111111"/>
          <w:sz w:val="28"/>
          <w:sz w:val="28"/>
          <w:szCs w:val="28"/>
          <w:rtl w:val="true"/>
          <w:lang w:bidi="fa-IR"/>
        </w:rPr>
        <w:t>همیشه‌فیاض، راهنمایی بالنده، سیال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علوم اسلامی، از جمله حقوق، ریشه در قرآن دارند؛ قرآنی که از راه وحی بر پیامبر عظیم‌الشأن اسلام صلی الله علیه و آله فرو فرستاده شده و چراغ هدایت انسان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بلندای چهارده قرن، بدون هیچ تغییر و تحریفی باقی مانده و همه فرقه‌های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چندگانگی و اختلاف افکار و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اصالت و حکومت قاطع احکام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کلام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تصریح می‌کند که آنچه حضرت محمد صلی الله علیه و آله می‌گوید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 ؛</w:t>
      </w:r>
      <w:r>
        <w:rPr>
          <w:rStyle w:val="FootnoteAnchor"/>
          <w:rtl w:val="true"/>
        </w:rPr>
        <w:footnoteReference w:id="76"/>
      </w:r>
      <w:r>
        <w:rPr>
          <w:rFonts w:ascii="IRNazanin" w:hAnsi="IRNazanin" w:eastAsia="IRNazanin"/>
          <w:color w:val="111111"/>
          <w:sz w:val="28"/>
          <w:sz w:val="28"/>
          <w:szCs w:val="28"/>
          <w:rtl w:val="true"/>
          <w:lang w:bidi="fa-IR"/>
        </w:rPr>
        <w:t>هرگز از روی هوای نفس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چیزی جز وحی که بر او نازل شده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اثبات‌کننده سنّت یا گفتار پیامبر صلی الله علیه و آله است؛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آتاکُمُ الرَّسُولُ فَخُذُوهُ وَ ما نَهاکُمْ عَنْهُ فَانْتَهُوا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نهی کرده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پانصد آیه به روابط حقوقی اختصاص یافته،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آیه‌های فقهی و حقوقی را در کتاب‌های مستقلی مورد مطالعه و بررسی قرار داده‌اند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آیات به سیاست خارجی و روابط بین‌المللی مسلمانان مربوط است که در بردارنده احکام، مقررات، خط مشی‌ها، راهنمایی‌ها و بیان</w:t>
      </w:r>
      <w:bookmarkStart w:id="109" w:name="pg5888_35914"/>
    </w:p>
    <w:p>
      <w:pPr>
        <w:pStyle w:val="BookText"/>
        <w:rPr/>
      </w:pPr>
      <w:bookmarkEnd w:id="109"/>
      <w:r>
        <w:rPr>
          <w:rFonts w:ascii="IRNazanin" w:hAnsi="IRNazanin" w:eastAsia="IRNazanin"/>
          <w:color w:val="111111"/>
          <w:sz w:val="28"/>
          <w:sz w:val="28"/>
          <w:szCs w:val="28"/>
          <w:rtl w:val="true"/>
          <w:lang w:bidi="fa-IR"/>
        </w:rPr>
        <w:t>سرگذشت‌هایی است که از مجموع آنان، سیاست خارجی اسلام ترسیم شده است و حقوق مربوط به روابط مسلمین با افراد جوامع دیگر شکل می‌گیرد</w:t>
      </w:r>
      <w:r>
        <w:rPr>
          <w:rFonts w:eastAsia="IRNazanin" w:cs="IRNazanin"/>
          <w:color w:val="111111"/>
          <w:sz w:val="28"/>
          <w:szCs w:val="28"/>
          <w:rtl w:val="true"/>
          <w:lang w:bidi="fa-IR"/>
        </w:rPr>
        <w:t>.</w:t>
      </w:r>
    </w:p>
    <w:p>
      <w:pPr>
        <w:pStyle w:val="Heading4"/>
        <w:numPr>
          <w:ilvl w:val="3"/>
          <w:numId w:val="1"/>
        </w:numPr>
        <w:rPr/>
      </w:pPr>
      <w:bookmarkStart w:id="110" w:name="__RefHeading___Toc5261232_581953129"/>
      <w:bookmarkStart w:id="111" w:name="_Toc44"/>
      <w:bookmarkEnd w:id="110"/>
      <w:r>
        <w:rPr>
          <w:rtl w:val="true"/>
        </w:rPr>
        <w:t>ب</w:t>
      </w:r>
      <w:r>
        <w:rPr>
          <w:rtl w:val="true"/>
        </w:rPr>
        <w:t xml:space="preserve">) </w:t>
      </w:r>
      <w:r>
        <w:rPr>
          <w:rtl w:val="true"/>
        </w:rPr>
        <w:t>سنّت</w:t>
      </w:r>
      <w:bookmarkEnd w:id="111"/>
    </w:p>
    <w:p>
      <w:pPr>
        <w:pStyle w:val="BookText"/>
        <w:rPr/>
      </w:pPr>
      <w:r>
        <w:rPr>
          <w:rFonts w:ascii="IRNazanin" w:hAnsi="IRNazanin" w:eastAsia="IRNazanin"/>
          <w:color w:val="111111"/>
          <w:sz w:val="28"/>
          <w:sz w:val="28"/>
          <w:szCs w:val="28"/>
          <w:rtl w:val="true"/>
          <w:lang w:bidi="fa-IR"/>
        </w:rPr>
        <w:t>پیامبر اکرم صلی الله علیه و آله با بهره‌مندی از علم الهی، همواره قوانین اسلام را به مردم ارائه می‌داد و جز حکم خدا را بیان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فرمان خداوند، پیروی از دستورات پیامبر صلی الله علیه و آله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بر حق پیامبر اسلام صلی الله علیه و آله نیز از صلاحیت کامل برای بیان احکام و قوانین اسلامی برخوردار بوده، گفتارشان برای کشف حکم خدا اصالت و سندیت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علم اصول، سنّت را چنین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عبارت است از قول، فعل و تقریر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قول و فعل، گفتار و کردار پیغمبر اسلام صلی الله علیه و آله یا امام علیه السلام است و مقصود از تقریر، سکوت و رفتار تأییدآمیز معصوم علیه السلام نسبت به فعل یا قول یا عقیده‌ای است که در حضور ایشان مطرح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کتاب‌های حدیث شیعه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تألیف شیخ کلینی، من لا یحضره الفقیه تألیف شیخ صدوق، استبصار و تهذیب تألیف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در قرن چهارم هجری نگاشته شده‌اند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کتاب‌های حدیثی که به‌وسیله علمای سنّی تألیف شده است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 صحیح مسلم ، سنن ابن ماجه ، سنن ابوداود سجستانی و سنن ترمذی که مربوط به قرن سوّم هجری است</w:t>
      </w:r>
      <w:r>
        <w:rPr>
          <w:rFonts w:eastAsia="IRNazanin" w:cs="IRNazanin"/>
          <w:color w:val="111111"/>
          <w:sz w:val="28"/>
          <w:szCs w:val="28"/>
          <w:rtl w:val="true"/>
          <w:lang w:bidi="fa-IR"/>
        </w:rPr>
        <w:t>.</w:t>
      </w:r>
      <w:r>
        <w:rPr>
          <w:rStyle w:val="FootnoteAnchor"/>
          <w:rtl w:val="true"/>
        </w:rPr>
        <w:footnoteReference w:id="79"/>
      </w:r>
      <w:bookmarkStart w:id="112" w:name="pg5888_35916"/>
    </w:p>
    <w:p>
      <w:pPr>
        <w:pStyle w:val="Heading4"/>
        <w:numPr>
          <w:ilvl w:val="3"/>
          <w:numId w:val="1"/>
        </w:numPr>
        <w:rPr/>
      </w:pPr>
      <w:bookmarkStart w:id="113" w:name="__RefHeading___Toc5261234_581953129"/>
      <w:bookmarkStart w:id="114" w:name="_Toc45"/>
      <w:bookmarkEnd w:id="112"/>
      <w:bookmarkEnd w:id="113"/>
      <w:r>
        <w:rPr>
          <w:rtl w:val="true"/>
        </w:rPr>
        <w:t>ج</w:t>
      </w:r>
      <w:r>
        <w:rPr>
          <w:rtl w:val="true"/>
        </w:rPr>
        <w:t xml:space="preserve">) </w:t>
      </w:r>
      <w:r>
        <w:rPr>
          <w:rtl w:val="true"/>
        </w:rPr>
        <w:t>اجماع</w:t>
      </w:r>
      <w:bookmarkEnd w:id="114"/>
    </w:p>
    <w:p>
      <w:pPr>
        <w:pStyle w:val="BookText"/>
        <w:rPr/>
      </w:pPr>
      <w:r>
        <w:rPr>
          <w:rFonts w:ascii="IRNazanin" w:hAnsi="IRNazanin" w:eastAsia="IRNazanin"/>
          <w:color w:val="111111"/>
          <w:sz w:val="28"/>
          <w:sz w:val="28"/>
          <w:szCs w:val="28"/>
          <w:rtl w:val="true"/>
          <w:lang w:bidi="fa-IR"/>
        </w:rPr>
        <w:t xml:space="preserve">اجماع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علمای شیعه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جماعتی از اندیشمندان که اتفاق آنها کاشف از رأی معصوم علیه السلام باشد، بر یکی از امور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 عقیده اهل سنت، اجماع عبارت است از اتفاق امت محمد صلی الله علیه و آله بر امری از امور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عمده این دو دیدگاه این است که اهل سنت، حجیت اجماع را به واسطه خود اجماع می‌دانند؛ ولی شیعیان اجماع را به سبب اینکه کاشف از رأی معصوم علیه السلام است، حجت می‌دانند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اجماع، یکی از منابع حقوق اسلامی است که البته نزد حقوق‌دانان شیعه، یک منبع مستقل به‌شمار نمی‌آید؛ بلکه یک منبع کمکی و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تشکیل‌دهندهْ اجماع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اتفاق نظر فقهای اسلامی؛ اتفاق نظر در یک عصر؛ معلوم نبودن مستند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اگر مستند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آیات یا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باشد، همان به‌عنوان منبع حقوق خواهد بود؛ برای نمونه، مضاربه در اسلام از موارد سکوت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مدرک قانونی بودن این عقد، اجماع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15" w:name="__RefHeading___Toc5261236_581953129"/>
      <w:bookmarkStart w:id="116" w:name="_Toc46"/>
      <w:bookmarkEnd w:id="115"/>
      <w:r>
        <w:rPr>
          <w:rtl w:val="true"/>
        </w:rPr>
        <w:t>د</w:t>
      </w:r>
      <w:r>
        <w:rPr>
          <w:rtl w:val="true"/>
        </w:rPr>
        <w:t xml:space="preserve">) </w:t>
      </w:r>
      <w:r>
        <w:rPr>
          <w:rtl w:val="true"/>
        </w:rPr>
        <w:t>عقل</w:t>
      </w:r>
      <w:bookmarkEnd w:id="11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عبارت است از نیروی ادراک انسان که می‌تواند زمینه یک حکم شرعی یا قاعده حقوقی را فراهم سازد؛ برای نمونه، در مسئله تزاحم احکام، عقل به تخییر حکم می‌کند؛ چنان‌که هرگاه شخصی مأمور نگهداری دو نفر باشد و هر دو در</w:t>
      </w:r>
    </w:p>
    <w:p>
      <w:pPr>
        <w:pStyle w:val="BookText"/>
        <w:rPr/>
      </w:pPr>
      <w:r>
        <w:rPr>
          <w:rFonts w:ascii="IRNazanin" w:hAnsi="IRNazanin" w:eastAsia="IRNazanin"/>
          <w:color w:val="111111"/>
          <w:sz w:val="28"/>
          <w:sz w:val="28"/>
          <w:szCs w:val="28"/>
          <w:rtl w:val="true"/>
          <w:lang w:bidi="fa-IR"/>
        </w:rPr>
        <w:t>معرض حادثه‌ای قرار گیرند که خطر مرگ آن یکسان باشد و مأمور فقط بتواند یکی از آن دو را نجات بدهد، عقل حکم می‌کند که چنین شخصی، مختار به نجات هر یک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مستقلات عقلی، و استلزامات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مستقلات عقلی، ادراک مستقیم عقل است بدون خطاب شرعی؛ برای نمونه، عقل به خودی خود، ظلم را محکوم می‌کند و بازگرداندن امانت و نیکی کردن را توصیه می‌کند، هرچند که حکم شرع را هم نداند و یا به آن بی‌توجه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استلزامات عقلی آن چیزی است که لازمه حکم شرع و در پیوند با آن است؛ برای نمونه، شرع، تحویل مال محجور را پس از رفع حَجْر لازم شمرده است و عقل حکم می‌کند که قیم و سرپرست باید برای دوران تصّدی، صورت حساب تدارک ببیند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کاربرد دلیل عقل، در حوزه مالانص فیه و قلمرو ناگفته احکام اسلام قابل تصوّر است؛ زیرا دلایل عقلی، راهنمای عمل، در موارد عدم دستیابی به حکم از راه کتاب، سنّت و اجماع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حکم شرعی به‌وسیله حکم قطعی عقل بر چند اصل مبتنی است؛ از جمله آنکه احکام شرعی تابع مصالح و مفاسد واقعی در موضوع‌ها و متعلّقات آنهاست؛ دیگر آنکه عقل، فی‌الجمله توانایی شناختن مصالح و مفاسد واقعی را دارد، که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ملازمه بین حکم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دانشمندان علم اصول، به‌ویژه شیخ انصاری و فقیهان پس از وی در حجیت قطع، نشان می‌دهد که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نظری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یقین و قطع برسد، در ذات خود حجّت بوده، حتی از سوی شرع نیز قابل رد نیست و عمل به</w:t>
      </w:r>
      <w:bookmarkStart w:id="117" w:name="pg5888_35920"/>
    </w:p>
    <w:p>
      <w:pPr>
        <w:pStyle w:val="BookText"/>
        <w:rPr/>
      </w:pPr>
      <w:bookmarkEnd w:id="117"/>
      <w:r>
        <w:rPr>
          <w:rFonts w:ascii="IRNazanin" w:hAnsi="IRNazanin" w:eastAsia="IRNazanin"/>
          <w:color w:val="111111"/>
          <w:sz w:val="28"/>
          <w:sz w:val="28"/>
          <w:szCs w:val="28"/>
          <w:rtl w:val="true"/>
          <w:lang w:bidi="fa-IR"/>
        </w:rPr>
        <w:t>مقتضای آن اجتناب‌ناپذیر تلقّی می‌شود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همچنین ثبوت فعلیت و تنجّز تکلیف با قطع عقلی، بی‌نیاز از دلیل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مشکلِ بهره‌گیری از عقل قطعی، در فقه و حقوق اسلامی این است که امکان دسترسی به آن در مسائلی نظیر حقوق وجود ندارد و به‌طور معمول دستیابی به آن در حوزه مسائل فقهی و حقوقی امکان‌ناپذیر است؛ زیرا عقل بدون دستیابی به قرآن و سنّت نمی‌تواند به حکم شرعی قطع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با توجه به اصل توقیفی بودن احکام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محدود بودن بیان حکم شرعی و اختصاص آن به مجاری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می‌شود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18" w:name="__RefHeading___Toc5261238_581953129"/>
      <w:bookmarkStart w:id="119" w:name="_Toc47"/>
      <w:bookmarkEnd w:id="118"/>
      <w:r>
        <w:rPr>
          <w:rtl w:val="true"/>
        </w:rPr>
        <w:t>ه</w:t>
      </w:r>
      <w:r>
        <w:rPr>
          <w:rtl w:val="true"/>
        </w:rPr>
        <w:t xml:space="preserve">) </w:t>
      </w:r>
      <w:r>
        <w:rPr>
          <w:rtl w:val="true"/>
        </w:rPr>
        <w:t>عرف بین المللی</w:t>
      </w:r>
      <w:bookmarkEnd w:id="119"/>
    </w:p>
    <w:p>
      <w:pPr>
        <w:pStyle w:val="BookText"/>
        <w:rPr/>
      </w:pPr>
      <w:r>
        <w:rPr>
          <w:rFonts w:ascii="IRNazanin" w:hAnsi="IRNazanin" w:eastAsia="IRNazanin"/>
          <w:color w:val="111111"/>
          <w:sz w:val="28"/>
          <w:sz w:val="28"/>
          <w:szCs w:val="28"/>
          <w:rtl w:val="true"/>
          <w:lang w:bidi="fa-IR"/>
        </w:rPr>
        <w:t>عرف یا سیره، قاعده‌ای است که به‌تدریج و خودبه‌خود، میان همه مردم یا گروه ویژه‌ای از آنان به‌عنوان قاعده‌ای الزام‌آور مرسوم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دو عنصر اساسی استخراج می‌شود که جمع آنها برای ایجاد یک قاعده عرفی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ازاین دو عنصر، مادی بوده و ناظر بر فرایند تکوین عرف و سیر تکامل آن در میان عادت‌ها و رسوم اجتماعی است، و دیگری معنوی است و در مورد آراستن رسم اجتماعی با لباس حقوقی می‌باشد</w:t>
      </w:r>
      <w:r>
        <w:rPr>
          <w:rFonts w:eastAsia="IRNazanin" w:cs="IRNazanin"/>
          <w:color w:val="111111"/>
          <w:sz w:val="28"/>
          <w:szCs w:val="28"/>
          <w:rtl w:val="true"/>
          <w:lang w:bidi="fa-IR"/>
        </w:rPr>
        <w:t>.</w:t>
      </w:r>
      <w:r>
        <w:rPr>
          <w:rStyle w:val="FootnoteAnchor"/>
          <w:rtl w:val="true"/>
        </w:rPr>
        <w:footnoteReference w:id="8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و سیره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عام یا سیره عقلا و عرف خاص یا 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صرف‌نظر از پایبندی به شریعت الهی و بدون دخالت ویژگی‌های زمانی، مکانی، نژادی، قومی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سلوک خاصی به‌طور تقریبی در بین تمام</w:t>
      </w:r>
    </w:p>
    <w:p>
      <w:pPr>
        <w:pStyle w:val="BookText"/>
        <w:rPr/>
      </w:pPr>
      <w:r>
        <w:rPr>
          <w:rFonts w:ascii="IRNazanin" w:hAnsi="IRNazanin" w:eastAsia="IRNazanin"/>
          <w:color w:val="111111"/>
          <w:sz w:val="28"/>
          <w:sz w:val="28"/>
          <w:szCs w:val="28"/>
          <w:rtl w:val="true"/>
          <w:lang w:bidi="fa-IR"/>
        </w:rPr>
        <w:t xml:space="preserve">مردم جهان جریان یابد،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عام یا سیره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ستدهایی که به منظور تسهیل زندگی در بین همه عقلا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عرف، مخصوص جامعه اسلامی باشد، بدان سبب که عمومیت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از آن نظر که مخصوص مسلمانان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سیره متشرعه به زمان ائمه علیهم السلام پیوند خورده و کاشف از حکم شرعی و رضایت معصوم علیه السلام باشد، به‌طور طبیعی در حکم نوعی، اجماع عملی است، که چون همه مسلمانان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عالم و جاهل و مجتهد و مقلّد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می‌شود، نسبت به اجماع قولی اهمیت بیشتری داشته و از حجیت و اعتبار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عرف عام و سیره عقلا و اینکه چگونه منبع حقوق به‌شمار می‌آیند و کجا می‌توان به آنها استناد کرد، بحث‌های فراوانی مطرح است که در یک جمع‌بندی</w:t>
      </w:r>
      <w:r>
        <w:rPr>
          <w:rStyle w:val="FootnoteAnchor"/>
          <w:rtl w:val="true"/>
        </w:rPr>
        <w:footnoteReference w:id="87"/>
      </w:r>
      <w:r>
        <w:rPr>
          <w:rFonts w:ascii="IRNazanin" w:hAnsi="IRNazanin" w:eastAsia="IRNazanin"/>
          <w:color w:val="111111"/>
          <w:sz w:val="28"/>
          <w:sz w:val="28"/>
          <w:szCs w:val="28"/>
          <w:rtl w:val="true"/>
          <w:lang w:bidi="fa-IR"/>
        </w:rPr>
        <w:t>چنین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تعیین و تشخیص موضوع احکام و قواعد حقوقی، می‌توان از عرف عام استفاده کرد؛ به این معنا که مفاهیم و موضوع‌ها و بلکه همه واژگانی که در دلیل‌های شرعی به کار 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مصطلحات خاص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گرفته شده‌اند و در نتیجه، به‌وسیله عرف هم تفسیر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برخی از قواعد حقوقی را که در عرف مردم معمول و متداول هستند می‌توان با شرایطی چند به‌عنوان منبع حقوق اسلام مورد استفاده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به قواعد عرفی در زمان شارع مقدس عمل شده باشد؛ دوّم آنکه در صورت مخالف بودن شارع با آن قواعد، امکان اظهار مخالفت برای او وجود داشته باشد؛ و سوّم آنکه شارع، قواعد عرفی را امضا کرده یا دست کم با آنها مخالفت نکرده باشد</w:t>
      </w:r>
      <w:r>
        <w:rPr>
          <w:rFonts w:eastAsia="IRNazanin" w:cs="IRNazanin"/>
          <w:color w:val="111111"/>
          <w:sz w:val="28"/>
          <w:szCs w:val="28"/>
          <w:rtl w:val="true"/>
          <w:lang w:bidi="fa-IR"/>
        </w:rPr>
        <w:t>.</w:t>
      </w:r>
      <w:bookmarkStart w:id="120" w:name="pg5888_35925"/>
    </w:p>
    <w:p>
      <w:pPr>
        <w:pStyle w:val="Heading4"/>
        <w:numPr>
          <w:ilvl w:val="3"/>
          <w:numId w:val="1"/>
        </w:numPr>
        <w:rPr/>
      </w:pPr>
      <w:bookmarkStart w:id="121" w:name="__RefHeading___Toc5261240_581953129"/>
      <w:bookmarkStart w:id="122" w:name="_Toc48"/>
      <w:bookmarkEnd w:id="120"/>
      <w:bookmarkEnd w:id="121"/>
      <w:r>
        <w:rPr>
          <w:rtl w:val="true"/>
        </w:rPr>
        <w:t>و</w:t>
      </w:r>
      <w:r>
        <w:rPr>
          <w:rtl w:val="true"/>
        </w:rPr>
        <w:t xml:space="preserve">) </w:t>
      </w:r>
      <w:r>
        <w:rPr>
          <w:rtl w:val="true"/>
        </w:rPr>
        <w:t>احکام حکومتی</w:t>
      </w:r>
      <w:bookmarkEnd w:id="122"/>
    </w:p>
    <w:p>
      <w:pPr>
        <w:pStyle w:val="BookText"/>
        <w:rPr/>
      </w:pPr>
      <w:r>
        <w:rPr>
          <w:rFonts w:ascii="IRNazanin" w:hAnsi="IRNazanin" w:eastAsia="IRNazanin"/>
          <w:color w:val="111111"/>
          <w:sz w:val="28"/>
          <w:sz w:val="28"/>
          <w:szCs w:val="28"/>
          <w:rtl w:val="true"/>
          <w:lang w:bidi="fa-IR"/>
        </w:rPr>
        <w:t xml:space="preserve">از جمله منابع حقوق بین‌الملل اسلام، احکامی است که از سوی حاکم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الفراغ</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تصمیم‌گیری پیرامون مسائل جزئی و اجرایی اسلام از وظایف حکومت اسلامی است، در مواردی که حکم الزامی از سوی شارع مقدس صادر نشده است، حاکم اسلامی وظیفه دارد به منظور تنظیم روابط اجتماعی و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را تدارک ببیند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احکام اسلامی که از راه وحی بر پیامبر اکرم صلی الله علیه و آله نازل شده است، تغییر ناپذیر است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احکام و مجازات متخلفان وظیفه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می‌تواند در پرتو احکام شریعت، یک سلسله تصمیمات بایسته با توجّه به مصلحت زمان گرفته، بر اساس آن مقرراتی را وضع 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مقررات مانند شریعت لازم‌الاجرا هستند؛ با این تفاوت که قوانین آسمانی، ثابت بوده، ولی احکام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مقررات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ثبات و دوام، تابع مصلحت پدیدآورده خود هستند و چون زندگی انسانی همواره در حال تحوّل و روبه‌تکامل است، احکام حکومتی نیز به‌تدریج تکامل یافته و جای خود را به بهتر از خود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حاکم اسلامی در عرصه‌های آزاد حقوقی بر اساس اصل مشورت با اهل فن، سرنوشت‌ساز خواهد بود</w:t>
      </w:r>
      <w:r>
        <w:rPr>
          <w:rFonts w:eastAsia="IRNazanin" w:cs="IRNazanin"/>
          <w:color w:val="111111"/>
          <w:sz w:val="28"/>
          <w:szCs w:val="28"/>
          <w:rtl w:val="true"/>
          <w:lang w:bidi="fa-IR"/>
        </w:rPr>
        <w:t>.</w:t>
      </w:r>
      <w:r>
        <w:rPr>
          <w:rStyle w:val="FootnoteAnchor"/>
          <w:rtl w:val="true"/>
        </w:rPr>
        <w:footnoteReference w:id="89"/>
      </w:r>
      <w:bookmarkStart w:id="123" w:name="pg5888_35927"/>
    </w:p>
    <w:p>
      <w:pPr>
        <w:pStyle w:val="Heading4"/>
        <w:numPr>
          <w:ilvl w:val="3"/>
          <w:numId w:val="1"/>
        </w:numPr>
        <w:rPr/>
      </w:pPr>
      <w:bookmarkStart w:id="124" w:name="__RefHeading___Toc5261242_581953129"/>
      <w:bookmarkStart w:id="125" w:name="_Toc49"/>
      <w:bookmarkEnd w:id="123"/>
      <w:bookmarkEnd w:id="124"/>
      <w:r>
        <w:rPr>
          <w:rtl w:val="true"/>
        </w:rPr>
        <w:t>ز</w:t>
      </w:r>
      <w:r>
        <w:rPr>
          <w:rtl w:val="true"/>
        </w:rPr>
        <w:t xml:space="preserve">) </w:t>
      </w:r>
      <w:r>
        <w:rPr>
          <w:rtl w:val="true"/>
        </w:rPr>
        <w:t>شریعت ها و کتاب های آسمانی دیگر</w:t>
      </w:r>
      <w:bookmarkEnd w:id="125"/>
    </w:p>
    <w:p>
      <w:pPr>
        <w:pStyle w:val="BookText"/>
        <w:rPr/>
      </w:pPr>
      <w:r>
        <w:rPr>
          <w:rFonts w:ascii="IRNazanin" w:hAnsi="IRNazanin" w:eastAsia="IRNazanin"/>
          <w:color w:val="111111"/>
          <w:sz w:val="28"/>
          <w:sz w:val="28"/>
          <w:szCs w:val="28"/>
          <w:rtl w:val="true"/>
          <w:lang w:bidi="fa-IR"/>
        </w:rPr>
        <w:t>اسلام در مواردی به مقتضای قاعده الزام، از نظر حقوقی، اجرای احکام خاص اقلیت‌ها را مطابق کتاب‌های آنان پذیرفته است ازاین‌رو، تورات ، کتاب مقدّس یهود و نیز کتاب‌های انجیل و اوستا برای پیروان آنها، از منابع حقوق بین‌الملل اسلامی به‌شمار می‌آید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26" w:name="__RefHeading___Toc5261244_581953129"/>
      <w:bookmarkStart w:id="127" w:name="_Toc50"/>
      <w:bookmarkEnd w:id="126"/>
      <w:r>
        <w:rPr>
          <w:rtl w:val="true"/>
        </w:rPr>
        <w:t>ح</w:t>
      </w:r>
      <w:r>
        <w:rPr>
          <w:rtl w:val="true"/>
        </w:rPr>
        <w:t xml:space="preserve">) </w:t>
      </w:r>
      <w:r>
        <w:rPr>
          <w:rtl w:val="true"/>
        </w:rPr>
        <w:t>معاهدات</w:t>
      </w:r>
      <w:bookmarkEnd w:id="127"/>
    </w:p>
    <w:p>
      <w:pPr>
        <w:pStyle w:val="BookText"/>
        <w:rPr/>
      </w:pPr>
      <w:r>
        <w:rPr>
          <w:rFonts w:ascii="IRNazanin" w:hAnsi="IRNazanin" w:eastAsia="IRNazanin"/>
          <w:color w:val="111111"/>
          <w:sz w:val="28"/>
          <w:sz w:val="28"/>
          <w:szCs w:val="28"/>
          <w:rtl w:val="true"/>
          <w:lang w:bidi="fa-IR"/>
        </w:rPr>
        <w:t>یکی از منابع حقوق بین‌الملل اسلامی، معاهده‌ها یا قراردادهایی هستند که به شکل دو یا چند جانبه بین کشورها منعقد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منبع بودن معاهدات،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کریم</w:t>
      </w:r>
      <w:r>
        <w:rPr>
          <w:rStyle w:val="FootnoteAnchor"/>
          <w:rtl w:val="true"/>
        </w:rPr>
        <w:footnoteReference w:id="91"/>
      </w:r>
      <w:r>
        <w:rPr>
          <w:rFonts w:ascii="IRNazanin" w:hAnsi="IRNazanin" w:eastAsia="IRNazanin"/>
          <w:color w:val="111111"/>
          <w:sz w:val="28"/>
          <w:sz w:val="28"/>
          <w:szCs w:val="28"/>
          <w:rtl w:val="true"/>
          <w:lang w:bidi="fa-IR"/>
        </w:rPr>
        <w:t>و نیز سنت</w:t>
      </w:r>
      <w:r>
        <w:rPr>
          <w:rStyle w:val="FootnoteAnchor"/>
          <w:rtl w:val="true"/>
        </w:rPr>
        <w:footnoteReference w:id="92"/>
      </w:r>
      <w:r>
        <w:rPr>
          <w:rFonts w:ascii="IRNazanin" w:hAnsi="IRNazanin" w:eastAsia="IRNazanin"/>
          <w:color w:val="111111"/>
          <w:sz w:val="28"/>
          <w:sz w:val="28"/>
          <w:szCs w:val="28"/>
          <w:rtl w:val="true"/>
          <w:lang w:bidi="fa-IR"/>
        </w:rPr>
        <w:t xml:space="preserve">پیامبر اسلام صلی الله علیه و آله و علی علیه السلام </w:t>
      </w:r>
      <w:r>
        <w:rPr>
          <w:rStyle w:val="FootnoteAnchor"/>
          <w:rtl w:val="true"/>
        </w:rPr>
        <w:footnoteReference w:id="93"/>
      </w:r>
      <w:r>
        <w:rPr>
          <w:rFonts w:ascii="IRNazanin" w:hAnsi="IRNazanin" w:eastAsia="IRNazanin"/>
          <w:color w:val="111111"/>
          <w:sz w:val="28"/>
          <w:sz w:val="28"/>
          <w:szCs w:val="28"/>
          <w:rtl w:val="true"/>
          <w:lang w:bidi="fa-IR"/>
        </w:rPr>
        <w:t>بیانگر اهمیت ویژه پیمان‌ها و لزوم پایبندی به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این خصوص، به خود قراردادها و معاهده‌ها مراجعه می‌شود، نه به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قراردادهایی معتبر هستند که بر منابع اصیل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بوده و یا دست‌کم مخالفتی با آنها نداشته 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تعهدات و قبول قراردادهای بین‌المللی را می‌توان بهترین راه حفظ مصالح، حقوق و منابع ملت‌ها و ضرورتی که عقل و منطق در زندگی انسان ایجاب می‌کند به‌شمار آورد</w:t>
      </w:r>
      <w:r>
        <w:rPr>
          <w:rFonts w:eastAsia="IRNazanin" w:cs="IRNazanin"/>
          <w:color w:val="111111"/>
          <w:sz w:val="28"/>
          <w:szCs w:val="28"/>
          <w:rtl w:val="true"/>
          <w:lang w:bidi="fa-IR"/>
        </w:rPr>
        <w:t>.</w:t>
      </w:r>
      <w:bookmarkStart w:id="128" w:name="pg5888_35929"/>
    </w:p>
    <w:p>
      <w:pPr>
        <w:pStyle w:val="Heading3"/>
        <w:numPr>
          <w:ilvl w:val="2"/>
          <w:numId w:val="1"/>
        </w:numPr>
        <w:rPr/>
      </w:pPr>
      <w:bookmarkStart w:id="129" w:name="__RefHeading___Toc5261246_581953129"/>
      <w:bookmarkStart w:id="130" w:name="_Toc51"/>
      <w:bookmarkEnd w:id="128"/>
      <w:bookmarkEnd w:id="129"/>
      <w:r>
        <w:rPr/>
        <w:t>2</w:t>
      </w:r>
      <w:r>
        <w:rPr>
          <w:rtl w:val="true"/>
        </w:rPr>
        <w:t xml:space="preserve">- </w:t>
      </w:r>
      <w:r>
        <w:rPr>
          <w:rtl w:val="true"/>
        </w:rPr>
        <w:t>تابعیت</w:t>
      </w:r>
      <w:bookmarkEnd w:id="130"/>
    </w:p>
    <w:p>
      <w:pPr>
        <w:pStyle w:val="Heading4"/>
        <w:numPr>
          <w:ilvl w:val="3"/>
          <w:numId w:val="1"/>
        </w:numPr>
        <w:rPr/>
      </w:pPr>
      <w:bookmarkStart w:id="131" w:name="__RefHeading___Toc5261248_581953129"/>
      <w:bookmarkStart w:id="132" w:name="_Toc52"/>
      <w:bookmarkEnd w:id="131"/>
      <w:r>
        <w:rPr>
          <w:rtl w:val="true"/>
        </w:rPr>
        <w:t>اشاره</w:t>
      </w:r>
      <w:bookmarkEnd w:id="132"/>
    </w:p>
    <w:p>
      <w:pPr>
        <w:pStyle w:val="BookText"/>
        <w:rPr/>
      </w:pP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و مقررات مربوط به آن، از موضوع‌های بسیار مهم حقوق بین‌الملل خصوصی است؛ زیرا همان‌طور که در تعریف این‌رشته بیان شد، مجموعه قواعد و مقرراتی است که برای تنظیم روابط بین اتباع دولت‌های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تابعیت‌های مختلف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است و حتی تعارض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عمده دیگر این رشته از حقوق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اختلاف تابعیت اشخاصِ موضوع حقوق بین‌الملل خصوصی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حقوق بین‌الملل خصوصی، اشخاصِ دارنده حق بر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 بیگانگان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کسانی هستند که می‌توانند از همه انواع حقوق یک کشور بهره‌مند شوند و بنای حقوق بر برابری آنها نهاده شده است؛ مگر آنکه وضعیت شخصی آنها، مانند صغر، محکومیت و یا اکتسابی‌بودن تابعیت، سبب محدودیت حقوق آنها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بیگانگان قرار دارند که حقوق آنها به لحاظ بیگانه بودن آنها نسبت به حقوق اتباع،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حقوق آنها ناپایدار است و امکان اخراج آنها از کشور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بیگانگان در ایران از چه حقوقی بهره‌مند و از چه حقوقی محروم هستند،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خواهد شد؛ امّا در اینجا فقط دربارهْ تابعیت، آن هم تابعیت اشخاص حقیقی که جامعه و دولت از اجتماع آنها تشکیل شده است، گفت‌وگو می‌شود</w:t>
      </w:r>
      <w:r>
        <w:rPr>
          <w:rFonts w:eastAsia="IRNazanin" w:cs="IRNazanin"/>
          <w:color w:val="111111"/>
          <w:sz w:val="28"/>
          <w:szCs w:val="28"/>
          <w:rtl w:val="true"/>
          <w:lang w:bidi="fa-IR"/>
        </w:rPr>
        <w:t>).</w:t>
      </w:r>
    </w:p>
    <w:p>
      <w:pPr>
        <w:pStyle w:val="Heading4"/>
        <w:numPr>
          <w:ilvl w:val="3"/>
          <w:numId w:val="1"/>
        </w:numPr>
        <w:rPr/>
      </w:pPr>
      <w:bookmarkStart w:id="133" w:name="__RefHeading___Toc5261250_581953129"/>
      <w:bookmarkStart w:id="134" w:name="_Toc53"/>
      <w:bookmarkEnd w:id="133"/>
      <w:r>
        <w:rPr>
          <w:rtl w:val="true"/>
        </w:rPr>
        <w:t>الف</w:t>
      </w:r>
      <w:r>
        <w:rPr>
          <w:rtl w:val="true"/>
        </w:rPr>
        <w:t xml:space="preserve">) </w:t>
      </w:r>
      <w:r>
        <w:rPr>
          <w:rtl w:val="true"/>
        </w:rPr>
        <w:t>تعریف تابعیت</w:t>
      </w:r>
      <w:bookmarkEnd w:id="13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تابعیت عبارت است از رابطه سیاسی و معنوی که شخصی را به دولت معینی</w:t>
      </w:r>
      <w:bookmarkStart w:id="135" w:name="pg5888_35931"/>
    </w:p>
    <w:p>
      <w:pPr>
        <w:pStyle w:val="BookText"/>
        <w:rPr/>
      </w:pPr>
      <w:bookmarkEnd w:id="135"/>
      <w:r>
        <w:rPr>
          <w:rFonts w:ascii="IRNazanin" w:hAnsi="IRNazanin" w:eastAsia="IRNazanin"/>
          <w:color w:val="111111"/>
          <w:sz w:val="28"/>
          <w:sz w:val="28"/>
          <w:szCs w:val="28"/>
          <w:rtl w:val="true"/>
          <w:lang w:bidi="fa-IR"/>
        </w:rPr>
        <w:t>مرتبط می‌سازد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در تعریف دیگری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تعلّق حقوقی شخص به جمعیت تشکیل دهنده دولت می‌باشد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در تعریف سوم،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تابعیت عبارت است از یک رابطه سیاسی، حقوقی و معنوی که فرد را به دولتی معین مرتبط می‌سازد و آن فرد، جزو عناصر اساسی و دائمی دولت مزبور می‌گردد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بالاخره در تعریف تابعیت چنین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تابعیت عبارت است از رابطه و تعلق حقوقی، سیاسی و معنوی یک شخص حقیقی و یا یک شخص حقوقی و یا یک شیئی به دولتی معین</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36" w:name="__RefHeading___Toc5261252_581953129"/>
      <w:bookmarkStart w:id="137" w:name="_Toc54"/>
      <w:bookmarkEnd w:id="136"/>
      <w:r>
        <w:rPr>
          <w:rtl w:val="true"/>
        </w:rPr>
        <w:t>ب</w:t>
      </w:r>
      <w:r>
        <w:rPr>
          <w:rtl w:val="true"/>
        </w:rPr>
        <w:t xml:space="preserve">) </w:t>
      </w:r>
      <w:r>
        <w:rPr>
          <w:rtl w:val="true"/>
        </w:rPr>
        <w:t>توصیف تابعیت</w:t>
      </w:r>
      <w:bookmarkEnd w:id="137"/>
    </w:p>
    <w:p>
      <w:pPr>
        <w:pStyle w:val="BookText"/>
        <w:rPr/>
      </w:pPr>
      <w:r>
        <w:rPr>
          <w:rFonts w:ascii="IRNazanin" w:hAnsi="IRNazanin" w:eastAsia="IRNazanin"/>
          <w:color w:val="111111"/>
          <w:sz w:val="28"/>
          <w:sz w:val="28"/>
          <w:szCs w:val="28"/>
          <w:rtl w:val="true"/>
          <w:lang w:bidi="fa-IR"/>
        </w:rPr>
        <w:t xml:space="preserve">تابعیت، معیار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مسئله‌ای که برای هر دولتی مطرح می‌شود این است که افرادی را که متعلق به خود می‌داند، از افراد سایر کشورها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رسیدن به این هدف، از راه تابعیت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عامل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مفهوم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آن و به‌عنوان عنصر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اشتراک در تابعیت است، نه اشتراک در قومیت، نژاد، زبان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ممکن است این عوامل در مرتبه مقدّم، برای پیدایش اشتراک در تابعیت مؤثّر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بین‌المللی بودن رابطه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مفهومی است بین‌المللی و ظهور آن هنگامی است که دولت‌های مختلف، مستقل از یکدیگر وجود داشته باشند تا</w:t>
      </w:r>
    </w:p>
    <w:p>
      <w:pPr>
        <w:pStyle w:val="BookText"/>
        <w:rPr/>
      </w:pPr>
      <w:r>
        <w:rPr>
          <w:rFonts w:ascii="IRNazanin" w:hAnsi="IRNazanin" w:eastAsia="IRNazanin"/>
          <w:color w:val="111111"/>
          <w:sz w:val="28"/>
          <w:sz w:val="28"/>
          <w:szCs w:val="28"/>
          <w:rtl w:val="true"/>
          <w:lang w:bidi="fa-IR"/>
        </w:rPr>
        <w:t>وابستگی اشخاص به هر یک از آنها در برابر دولت‌های دیگر، ضروری شده، مصداق یابد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رابطه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مفهومی است که به حقوق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زیرا این دولت است که تعیین می‌کند چه کسانی از اتباع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مطلب یک اصل مسلَّم به‌شمار می‌آید که تعیین اتباع هر دولتی به قانون‌گذاری همان دولت وابسته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سیاسی بودن رابطه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تابعیت ناشی از قدرت حاکمیت دولت است، یک رابطه سیاسی است؛ زیرا دولت ناگزیر نیست شخصی را به تابعیت خود بپذیرد؛ بلکه با توجه به زمینه‌های جغرافیایی، اقتصادی و سیاسی کشور خود، تشخیص می‌دهد چه شخصی می‌تواند تبعه او باشد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حقوقی بودن رابطه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یک رابطه حقوقی است؛ زیرا دارای آثار حقوقی در حقوق داخلی و بین‌الملل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در نظام داخلی، دارای حقوق سیاسی، مانند حق انتخاب شدن و انتخاب کردن بوده، از کلیه حقوقی که در قوانین مدنی و تجاری وضع شده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نظام بین‌الملل، تبعه یک کشور از حمایت سیاسی دولت خود در خارج و همچنین از حمایت همه قواعد و قوانینی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معاهده‌ها و عهدنامه‌ها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دولت خود و دولت‌های دیگر پذیرفته شده است، برخوردار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معنوی بودن رابطه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یک رابطه معنوی است؛ زیرا اتباع کشور را از نظر هدف‌ها، عادت‌ها و رسومی که دارند، به یک دولت پیوند می‌دهد و به</w:t>
      </w:r>
      <w:bookmarkStart w:id="138" w:name="pg5888_35935"/>
    </w:p>
    <w:p>
      <w:pPr>
        <w:pStyle w:val="BookText"/>
        <w:rPr/>
      </w:pPr>
      <w:bookmarkEnd w:id="138"/>
      <w:r>
        <w:rPr>
          <w:rFonts w:ascii="IRNazanin" w:hAnsi="IRNazanin" w:eastAsia="IRNazanin"/>
          <w:color w:val="111111"/>
          <w:sz w:val="28"/>
          <w:sz w:val="28"/>
          <w:szCs w:val="28"/>
          <w:rtl w:val="true"/>
          <w:lang w:bidi="fa-IR"/>
        </w:rPr>
        <w:t>مکان و زمان مشخصی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تبعه دولتی به‌شمار آید، به هر کشور دیگری که رود، باز تبعه همان دولت است و تغییر مکان یا اقامتگاه، تغییری در رابطه معنوی او با دولت متبوع خود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تابعیت، عامل توسعه و یا تحدید اعمال حاکمیت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ششم قانون مدنی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مربوطه به احوال شخصیه، از قبیل نکاح و طلاق و اهلیت اشخاص وارث در مورد کلّیه اتباع ایران، ولو اینکه مقیم در خارجه باشند مجری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ویژگی معنوی بودن تابعیت، موجب می‌شود قوانین شخصی آن دولت، حتی نسبت به اتباع مقیم خارج نیز اعمال شود و قلمرو اعمال حاکمیت دولت گسترش می‌یابد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سوی دیگر، قانون مدنی ایران در ماده هفت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خارجه مقیم در خاک ایران، از حیث مسائل مربوط به احوال شخصیه و اهلیت خود و همچنین از حیث حقوق ارثیه در حدود معاهده‌ها، مطیع قوانین و مقررات دولت متبوع خود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قوانین شخصی دولت نسبت به بیگانگان مقیم در قلمرو این دولت به اجرا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قلمرو اعمال حاکمیت دولت حتی در سرزمین خود، محدودیت می‌یابد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39" w:name="__RefHeading___Toc5261254_581953129"/>
      <w:bookmarkStart w:id="140" w:name="_Toc55"/>
      <w:bookmarkEnd w:id="139"/>
      <w:r>
        <w:rPr>
          <w:rtl w:val="true"/>
        </w:rPr>
        <w:t>ج</w:t>
      </w:r>
      <w:r>
        <w:rPr>
          <w:rtl w:val="true"/>
        </w:rPr>
        <w:t xml:space="preserve">) </w:t>
      </w:r>
      <w:r>
        <w:rPr>
          <w:rtl w:val="true"/>
        </w:rPr>
        <w:t>رابطه تابعیت و ملیت</w:t>
      </w:r>
      <w:bookmarkEnd w:id="14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شباهت تابعیت و ملیت این است که هر دو تعیین‌کننده کسانی هستند که از گرد آمدن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 و تفاوت آن دو ازاین نظر است که اصطلاح</w:t>
      </w:r>
      <w:bookmarkStart w:id="141" w:name="pg5888_35937"/>
    </w:p>
    <w:p>
      <w:pPr>
        <w:pStyle w:val="BookText"/>
        <w:rPr/>
      </w:pPr>
      <w:bookmarkEnd w:id="141"/>
      <w:r>
        <w:rPr>
          <w:rFonts w:ascii="IRNazanin" w:hAnsi="IRNazanin" w:eastAsia="IRNazanin"/>
          <w:color w:val="111111"/>
          <w:sz w:val="28"/>
          <w:sz w:val="28"/>
          <w:szCs w:val="28"/>
          <w:rtl w:val="true"/>
          <w:lang w:bidi="fa-IR"/>
        </w:rPr>
        <w:t>تابعیت دارای ارزش حقوقی و سیاسی بوده، ولی اصطلاح ملیت ارزش جامعه‌شناختی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نتیجه چنین تفاوتی آن است که هرجا مسئله رابطه فرد با دولت و تعلق او به جامعه تشکیل‌دهنده دولت، یا به‌عبارت‌دیگر، رابطه فرد با ملّت در مفهوم سیاسی آن مطرح باشد، اصطلاح تابعیت به کار می‌رود و هر جا مسئله تعلّق فرد به ملّت در مفهوم جامعه‌شناختی آن در میان باشد، اصطلاح ملیت به کار برده می‌شود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142" w:name="__RefHeading___Toc5261256_581953129"/>
      <w:bookmarkStart w:id="143" w:name="_Toc56"/>
      <w:bookmarkEnd w:id="142"/>
      <w:r>
        <w:rPr>
          <w:rtl w:val="true"/>
        </w:rPr>
        <w:t>د</w:t>
      </w:r>
      <w:r>
        <w:rPr>
          <w:rtl w:val="true"/>
        </w:rPr>
        <w:t xml:space="preserve">) </w:t>
      </w:r>
      <w:r>
        <w:rPr>
          <w:rtl w:val="true"/>
        </w:rPr>
        <w:t>شرایط تحقّق تابعیت</w:t>
      </w:r>
      <w:bookmarkEnd w:id="143"/>
    </w:p>
    <w:p>
      <w:pPr>
        <w:pStyle w:val="BookText"/>
        <w:rPr/>
      </w:pPr>
      <w:r>
        <w:rPr>
          <w:rFonts w:ascii="IRNazanin" w:hAnsi="IRNazanin" w:eastAsia="IRNazanin"/>
          <w:color w:val="111111"/>
          <w:sz w:val="28"/>
          <w:sz w:val="28"/>
          <w:szCs w:val="28"/>
          <w:rtl w:val="true"/>
          <w:lang w:bidi="fa-IR"/>
        </w:rPr>
        <w:t>می‌توان تابعیت را ناشی از قراردادی فرضی دانست که بین دولت و شخصِ تابع منعقد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قرارداد فرضی که بین طرفین روابط حقوقی ایجاد می‌شود، هر یک از دو طرف در مقابل طرف دیگر، دارای حقوق و متعهد به تعهداتی خواهد بود؛ برای نمونه، دولت وظیفه خواهد داشت تا از اتباع خود به‌وسیله قوانین و مقررات خود در داخل و خارج از کشور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دولت از اتباع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آنان که در خارج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دارد که ضمن حفظ قوانین و احترام به مقررات کشور متبوع، به وظایف خود نظیر پرداخت مالیات برای مخارج عمومی کشور، انجام خدمت نظام وظیفه، برای دفاع از حدود و ثغور کشور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تابعیت، مانند هر رابطه حقوقی دیگر، دو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سوی آن تبعه است و طرف دیگر، دولتی است که آن شخص از اتباع او به‌شمار می‌آید</w:t>
      </w:r>
      <w:r>
        <w:rPr>
          <w:rFonts w:eastAsia="IRNazanin" w:cs="IRNazanin"/>
          <w:color w:val="111111"/>
          <w:sz w:val="28"/>
          <w:szCs w:val="28"/>
          <w:rtl w:val="true"/>
          <w:lang w:bidi="fa-IR"/>
        </w:rPr>
        <w:t>.</w:t>
      </w:r>
      <w:r>
        <w:rPr>
          <w:rStyle w:val="FootnoteAnchor"/>
          <w:rtl w:val="true"/>
        </w:rPr>
        <w:footnoteReference w:id="106"/>
      </w:r>
      <w:bookmarkStart w:id="144" w:name="pg5888_35939"/>
    </w:p>
    <w:p>
      <w:pPr>
        <w:pStyle w:val="BookText"/>
        <w:rPr/>
      </w:pPr>
      <w:bookmarkEnd w:id="144"/>
      <w:r>
        <w:rPr>
          <w:rFonts w:ascii="IRNazanin" w:hAnsi="IRNazanin" w:eastAsia="IRNazanin"/>
          <w:color w:val="111111"/>
          <w:sz w:val="28"/>
          <w:sz w:val="28"/>
          <w:szCs w:val="28"/>
          <w:rtl w:val="true"/>
          <w:lang w:bidi="fa-IR"/>
        </w:rPr>
        <w:t>حال با توجه به آنچه گذشت، به بیان شرایط تحقّق تابعیت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شرط تحقّق تابعیت، وجود دولتی است که بر اساس موازین و اصول بین‌المللی شکل گرفته و از سوی دولت‌های دیگر مورد شناسایی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تابعیت را دولت به فرد می‌دهد، نه ملّت، و فقط دولت است که می‌تواند تابعیت را به فردی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شخصیتی حقوقی است که در حقوق بین‌الملل عمومی، نماینده گروهی از اشخاص شمرده می‌شود؛ درحالی‌که ملّت عبارت است از گروهی که در سرزمینی مشخص سکونت داشته و دارای نژاد، مذهب، زبان و آرمان‌های مشترک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ازآنجاکه رابطه تبعه و دولت، سیاسی است، نه قراردادی، مهم‌ترین عامل اعطاکننده تابعیت،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است که تشخیص می‌دهد چه شخصی می‌تواند تبعه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در این مورد حقی وجود نداشته و هیچ دولتی هم وظیفه ندارد که شخصی را به تابعیت خود بپذیرد؛ بلکه دولت با در نظر گرفتن شرایط مختلف، افرادی را تابع خود می‌شناسد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وجود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شخصی وجود داشته باشد که تبعه دولت معینی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مزبور، یا شخص حقیقی است، یا شخص حقوقی و یا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تابعیت اشخاص حقوقی و تابعیت اشیا به‌صورتِ مجاز است</w:t>
      </w:r>
      <w:r>
        <w:rPr>
          <w:rFonts w:eastAsia="IRNazanin" w:cs="IRNazanin"/>
          <w:color w:val="111111"/>
          <w:sz w:val="28"/>
          <w:szCs w:val="28"/>
          <w:rtl w:val="true"/>
          <w:lang w:bidi="fa-IR"/>
        </w:rPr>
        <w:t>.</w:t>
      </w:r>
    </w:p>
    <w:p>
      <w:pPr>
        <w:pStyle w:val="Heading4"/>
        <w:numPr>
          <w:ilvl w:val="3"/>
          <w:numId w:val="1"/>
        </w:numPr>
        <w:rPr/>
      </w:pPr>
      <w:bookmarkStart w:id="145" w:name="__RefHeading___Toc5261258_581953129"/>
      <w:bookmarkStart w:id="146" w:name="_Toc57"/>
      <w:bookmarkEnd w:id="145"/>
      <w:r>
        <w:rPr>
          <w:rtl w:val="true"/>
        </w:rPr>
        <w:t>ه</w:t>
      </w:r>
      <w:r>
        <w:rPr>
          <w:rtl w:val="true"/>
        </w:rPr>
        <w:t xml:space="preserve">) </w:t>
      </w:r>
      <w:r>
        <w:rPr>
          <w:rtl w:val="true"/>
        </w:rPr>
        <w:t>اصول و مبانی تابعیت</w:t>
      </w:r>
      <w:bookmarkEnd w:id="14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نگاهی کلّی به اصول و مبانی تابعیت که از سوی بیشتر</w:t>
      </w:r>
    </w:p>
    <w:p>
      <w:pPr>
        <w:pStyle w:val="BookText"/>
        <w:rPr/>
      </w:pPr>
      <w:r>
        <w:rPr>
          <w:rFonts w:ascii="IRNazanin" w:hAnsi="IRNazanin" w:eastAsia="IRNazanin"/>
          <w:color w:val="111111"/>
          <w:sz w:val="28"/>
          <w:sz w:val="28"/>
          <w:szCs w:val="28"/>
          <w:rtl w:val="true"/>
          <w:lang w:bidi="fa-IR"/>
        </w:rPr>
        <w:t>دولت‌ها پذیرفته شده است،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بر سه اصل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لزوم داشتن تابعیت؛ یعنی هر فردی باید دارای تابعیتی باشد؛</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وحدت تابعیت؛ بدین‌معنا که هیچ‌کس نمی‌تواند بیش از یک تابعیت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تابعیت، واحد باشد، نه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تغییرپذیری تابعیت؛ یعنی تابعیت، ثابت و همیشگی نیست و ممکن است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لاهه</w:t>
      </w:r>
      <w:r>
        <w:rPr>
          <w:rFonts w:eastAsia="IRNazanin" w:cs="IRNazanin"/>
          <w:color w:val="111111"/>
          <w:sz w:val="28"/>
          <w:szCs w:val="28"/>
          <w:rtl w:val="true"/>
          <w:lang w:bidi="fa-IR"/>
        </w:rPr>
        <w:t>»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نفع عموم جامعه بین‌المللی است که هر فرد دارای یک تابعیت باشد و جز آن، تابعیت دیگری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کنوانسیون فقط به اصل اول و دوّم از اصول سه‌گانه فوق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دو ماده پانزده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دولتی نمی‌تواند با تصمیم یک طرفه خود، کسی را از داشتن تابعیت محروم و یا ملزم به تغییر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اعلامیه جهانی حقوق بشر، به اصل اول تابعیت اشاره شده است؛ چون از محروم کردن افراد از تابعیت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اصل آزادی تغییر تابعیت اشاره دارد؛ چه اینکه از اجبار به تغییر تابعیت منع کرده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سه‌گانه فوق در قانون ایران مورد پذیرش قرار گرفته‌اند؛ برای نمونه، اصل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داشتن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 اصل چهل‌ویکم قانون اساسی مورد اشاره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که از اصل چهل‌ودوّم قانون اساسی جمهوری اسلامی ایران، اصل لزوم وحدت تابعیت را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پذیری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988</w:t>
      </w:r>
      <w:bookmarkStart w:id="147" w:name="pg5888_35943"/>
    </w:p>
    <w:p>
      <w:pPr>
        <w:pStyle w:val="BookText"/>
        <w:rPr/>
      </w:pPr>
      <w:bookmarkEnd w:id="147"/>
      <w:r>
        <w:rPr>
          <w:rFonts w:ascii="IRNazanin" w:hAnsi="IRNazanin" w:eastAsia="IRNazanin"/>
          <w:color w:val="111111"/>
          <w:sz w:val="28"/>
          <w:sz w:val="28"/>
          <w:szCs w:val="28"/>
          <w:rtl w:val="true"/>
          <w:lang w:bidi="fa-IR"/>
        </w:rPr>
        <w:t>قانون مدنی و نیز در اصل چهل‌ویکم و اصل چهل‌ودوّم قانون اساسی مورد پذیرش قرار گرفته است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148" w:name="__RefHeading___Toc5261260_581953129"/>
      <w:bookmarkStart w:id="149" w:name="_Toc58"/>
      <w:bookmarkEnd w:id="148"/>
      <w:r>
        <w:rPr>
          <w:rtl w:val="true"/>
        </w:rPr>
        <w:t>و</w:t>
      </w:r>
      <w:r>
        <w:rPr>
          <w:rtl w:val="true"/>
        </w:rPr>
        <w:t xml:space="preserve">) </w:t>
      </w:r>
      <w:r>
        <w:rPr>
          <w:rtl w:val="true"/>
        </w:rPr>
        <w:t>موارد تخلّف از اصول تابعیت</w:t>
      </w:r>
      <w:bookmarkEnd w:id="149"/>
    </w:p>
    <w:p>
      <w:pPr>
        <w:pStyle w:val="BookText"/>
        <w:rPr/>
      </w:pPr>
      <w:r>
        <w:rPr>
          <w:rFonts w:ascii="IRNazanin" w:hAnsi="IRNazanin" w:eastAsia="IRNazanin"/>
          <w:color w:val="111111"/>
          <w:sz w:val="28"/>
          <w:sz w:val="28"/>
          <w:szCs w:val="28"/>
          <w:rtl w:val="true"/>
          <w:lang w:bidi="fa-IR"/>
        </w:rPr>
        <w:t>با وجود تأکید قوانین بین‌المللی و قوانین کشورها بر اصول سه‌گانه تابعیت، در مواردی از این اصول تخلف شده است که عبارت‌اند از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بی‌تابعیتی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گاه کسانی یافت می‌شوند که بی‌تابعیت هستند؛ یعنی شامل قواعدِ تابعیت هیچ‌یک از کشورها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دسته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آمدن حالت بی‌تابعیتی، به گفته پل لاگارد،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منحصراً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درباره تابعیت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 مشکلات زیادی روبه‌رو می‌شود؛ زیرا وضع حقوق و تکالیف او روشن نیست و در بسیاری از مسائل، نظیر عبور از مرز و اقامت در سرزمین دیگر، ازدواج، اشتغال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اشکال شده و در مقابل تجاوزات احتمالی که به حقوق او صورت می‌گیرد، نمی‌تواند با</w:t>
      </w:r>
    </w:p>
    <w:p>
      <w:pPr>
        <w:pStyle w:val="BookText"/>
        <w:rPr/>
      </w:pPr>
      <w:r>
        <w:rPr>
          <w:rFonts w:ascii="IRNazanin" w:hAnsi="IRNazanin" w:eastAsia="IRNazanin"/>
          <w:color w:val="111111"/>
          <w:sz w:val="28"/>
          <w:sz w:val="28"/>
          <w:szCs w:val="28"/>
          <w:rtl w:val="true"/>
          <w:lang w:bidi="fa-IR"/>
        </w:rPr>
        <w:t>کمک دولت متبوع خود، درخواست خسارت 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دشواری‌های بی‌تابعیتی، نه فقط به شخص بی‌تابعیت یا کشور محل اقامت او مربوط است، بلکه دامن‌گیر جامعه بین‌المللی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سطح بین‌المللی نیز برای کاستن از موارد آپاتریدی و یا حل مشکلات ناشی از آن، اقداماتی انجام شده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تابعیت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بین‌المللی افزون بر آنکه ضرورت تابعیت را اثبات کرده و بی‌تابعیتی را نفی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اثبات و 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مواردی وجود دارند که شخص، دارای تابعیت متعدّد و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استثنایی و برخلاف اصل، مشکلاتی را برای شخص و نیز دولت‌های مربوط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عرصه حقوق داخلی و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ظالمانه و اجحاف‌آمیز بودن برخورداری از حقوق و مزایای دو دولت، دشواری پرداخت مالیات به دو دولت و انجام دادن سایر تکالیف مربوط به آن دو، تقریباً ناممکن بودن انجام خدمت وظیفه نسبت به دو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اگر در حال جنگ با یکدیگر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شخص از حمایت سیاسی هریک از دولت‌های متبوع خود در برابر دولت دیگر و ایجاد تنش و برخورد بین دولت‌ها و حاکمیت‌های متبوع شخص، از جمله مشکلاتی هستند که از تابعیت مضاعف ناشی می‌شوند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اصلی پیدایش تابعیت مضاعف، نبودن قاعده‌های الزام‌آور بین‌المللی در تقسیم اشخاص میان دولت‌ها و عهده‌داری آن از سوی قانون‌گذاری‌های داخلی و</w:t>
      </w:r>
    </w:p>
    <w:p>
      <w:pPr>
        <w:pStyle w:val="BookText"/>
        <w:rPr/>
      </w:pPr>
      <w:r>
        <w:rPr>
          <w:rFonts w:ascii="IRNazanin" w:hAnsi="IRNazanin" w:eastAsia="IRNazanin"/>
          <w:color w:val="111111"/>
          <w:sz w:val="28"/>
          <w:sz w:val="28"/>
          <w:szCs w:val="28"/>
          <w:rtl w:val="true"/>
          <w:lang w:bidi="fa-IR"/>
        </w:rPr>
        <w:t xml:space="preserve">استقلال آن قانون‌گذاری‌ها در برابر یکدیگر است؛ زیرا اختلاف منافع دولت‌ها باعث می‌شود که هر دولتی با در نظر گرفتن موقعیت اجتماعی و اقتصادی خود، یکی از روش‌های خاک و خون یا مختلط را انتخاب کند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مضاعف تولّدی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موارد پیدایش این نوع تابعیت، اعمال مضاعف روش خون نسبت به کودکی است که پدر و مادر او دارای دو تابعیت مختلف هستند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دیگر ایجاد تابعیت مضاعف در مباحث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بین‌الملل خصوصی اسلامی دارای دو گونه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ریشه‌ای و معمولی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ریشه‌ای حقوق بین‌الملل خصوصی اسلامی عبارت‌اند از قرآن کریم، سنّت معصوم علیه السلام ، اجماع و 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معمولی حقوق بین‌الملل خصوصی اسلامی عبارت‌اند از عرف بین‌المللی، احکام حکومتی،شریعت‌ها و کتاب‌های آسمانی دیگر و معاهده‌های بین‌المللی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که از موضوع‌های بسیار مهم حقوق بین‌الملل خصوصی است، عبارت است از رابطه سیاسی، حقوقی و معنوی که فرد را به دولتی معین مرتبط می‌سازد و آن فرد، جزء عناصر اساسی و دائمی دولت مزبور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با وجود اینکه مفهومی است وابسته به حقوق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چه‌اینکه این دولت است که تعیین می‌کند چه کسانی از اتباع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بین‌المللی نیز شمرده می‌شود؛ چون ظهور آن هنگامی است که دولت‌های گوناگون و مستقل از یکدیگر وجود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یک مفهوم سیاسی است؛ زیرا ناشی از قدرت حاکمیت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حقوقی نیز دارد؛ چون در نظام داخلی و نظام بین‌المللی دارای آثار حقوقی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یک مفهوم معنوی نیز برخوردار است؛ زیرا اتباع یک کشور را به یک دولت خاص پیوند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هر دو تعیین‌کننده کسانی هستند که از گردآمدن آنها ملّت تشکیل یافته است و تفاوت آن دو در این است که اصطلاح تابعیت دارای ارزش حقوقی و سیاسی است؛ درحالی‌که اصطلاح</w:t>
      </w:r>
    </w:p>
    <w:p>
      <w:pPr>
        <w:pStyle w:val="BookText"/>
        <w:rPr/>
      </w:pPr>
      <w:r>
        <w:rPr>
          <w:rFonts w:ascii="IRNazanin" w:hAnsi="IRNazanin" w:eastAsia="IRNazanin"/>
          <w:color w:val="111111"/>
          <w:sz w:val="28"/>
          <w:sz w:val="28"/>
          <w:szCs w:val="28"/>
          <w:rtl w:val="true"/>
          <w:lang w:bidi="fa-IR"/>
        </w:rPr>
        <w:t>ملیت بعد جامعه‌شناختی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تحقّق تابعیت، دو شرط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دولت؛ چون تابعیت را دولت به فرد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تبعه یا شخص حقیقی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تابعیت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داشتن تابعیت، وحدت تابعیت و تغییرپذیری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در قوانین بین‌الملل و قانون داخلی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تخلّف از اصول تابعیت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بی‌تابعیتی و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دو، مشکلات و دشواری‌های فراوانی را برای فرد و نظام حقوق بین‌الملل به‌وجود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قرآن کریم و سنّت را به‌عنوان منبع حقوق بین‌الملل خصوصی اسلامی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اجماع و عقل را به‌عنوان منبع حقوق بین‌الملل خصوصی اسلامی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 بین‌المللی چگونه می‌تواند منبع حقوق بین‌الملل خصوصی اسلامی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منبع‌بودن احکام حکومتی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اسلام را درباره ارزش و اهمیت معاهده‌های بین‌المللی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را تعریف کرده، درباره اهمیت مقررات تابعیت در حقوق بین‌الملل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بین‌المللی و ملّی بودن رابطه تابعیت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سیاسی، حقوقی و معنوی بودن رابطه تابعیت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و 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تحقّق تابعیت، چه شرایطی لازم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تابعیت را بیان کرده، هر یک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دشواری‌ها و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نظام حقوق بین‌الملل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کارکرد دلیل عقل در حقوق و فقه تحقیق و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از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عباسعلی عمید زنجانی، فقه سیاسی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ascii="IRNazanin" w:hAnsi="IRNazanin" w:eastAsia="IRNazanin"/>
          <w:color w:val="111111"/>
          <w:sz w:val="28"/>
          <w:sz w:val="28"/>
          <w:szCs w:val="28"/>
          <w:rtl w:val="true"/>
          <w:lang w:bidi="fa-IR"/>
        </w:rPr>
        <w:t xml:space="preserve">عبدالحکیم سلیمی، نقش اسلام در توسعه حقوق بین‌الملل ، 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محمد مکرمی، حقوق بین‌الملل خصوصی ، ج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ارزش معاهده‌ها و لزوم پایبندی به آن از دیدگاه قرآن کریم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از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عباس علی عمید زنجانی، حقوق اقلیت‌ها ؛</w:t>
      </w:r>
    </w:p>
    <w:p>
      <w:pPr>
        <w:pStyle w:val="BookText"/>
        <w:rPr/>
      </w:pPr>
      <w:r>
        <w:rPr>
          <w:rFonts w:ascii="IRNazanin" w:hAnsi="IRNazanin" w:eastAsia="IRNazanin"/>
          <w:color w:val="111111"/>
          <w:sz w:val="28"/>
          <w:sz w:val="28"/>
          <w:szCs w:val="28"/>
          <w:rtl w:val="true"/>
          <w:lang w:bidi="fa-IR"/>
        </w:rPr>
        <w:t>آیت‌اللّه ناصر مکارم شیرازی، تفسیر نمونه و تفاسیر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معاهده‌ها و قراردادها در سنّت و سیره پیامبر اکرم صلی الله علیه و آله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از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محمدمهدی کریمی‌نیا، همزیستی مسالمت‌آمیز در اسلام و حقوق بین‌الملل ؛</w:t>
      </w:r>
    </w:p>
    <w:p>
      <w:pPr>
        <w:pStyle w:val="BookText"/>
        <w:rPr/>
      </w:pPr>
      <w:r>
        <w:rPr>
          <w:rFonts w:ascii="IRNazanin" w:hAnsi="IRNazanin" w:eastAsia="IRNazanin"/>
          <w:color w:val="111111"/>
          <w:sz w:val="28"/>
          <w:sz w:val="28"/>
          <w:szCs w:val="28"/>
          <w:rtl w:val="true"/>
          <w:lang w:bidi="fa-IR"/>
        </w:rPr>
        <w:t>آیت‌اللّه عباس علی عمید زنجانی، فقه سیاسی ؛</w:t>
      </w:r>
    </w:p>
    <w:p>
      <w:pPr>
        <w:pStyle w:val="BookText"/>
        <w:rPr/>
      </w:pPr>
      <w:r>
        <w:rPr>
          <w:rFonts w:ascii="IRNazanin" w:hAnsi="IRNazanin" w:eastAsia="IRNazanin"/>
          <w:color w:val="111111"/>
          <w:sz w:val="28"/>
          <w:sz w:val="28"/>
          <w:szCs w:val="28"/>
          <w:rtl w:val="true"/>
          <w:lang w:bidi="fa-IR"/>
        </w:rPr>
        <w:t>آیت‌اللّه علی احمدی میانجی، مکاتیب الرسول صلی الله علیه و آله ؛</w:t>
      </w:r>
    </w:p>
    <w:p>
      <w:pPr>
        <w:pStyle w:val="BookText"/>
        <w:rPr/>
      </w:pPr>
      <w:r>
        <w:rPr>
          <w:rFonts w:ascii="IRNazanin" w:hAnsi="IRNazanin" w:eastAsia="IRNazanin"/>
          <w:color w:val="111111"/>
          <w:sz w:val="28"/>
          <w:sz w:val="28"/>
          <w:szCs w:val="28"/>
          <w:rtl w:val="true"/>
          <w:lang w:bidi="fa-IR"/>
        </w:rPr>
        <w:t xml:space="preserve">محمد حمید اللّه حیدرآبادی، الوثائق السیاسیة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ارزش معاهده‌ها و لزوم پایبندی به آن از دیدگاه عهدنامه مالک اشتر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از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 عهدنامه مالک اشتر؛</w:t>
      </w:r>
    </w:p>
    <w:p>
      <w:pPr>
        <w:pStyle w:val="BookText"/>
        <w:rPr/>
      </w:pP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حقوقی تغییر تابعیت ، به‌ویژه دو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w:t>
      </w:r>
    </w:p>
    <w:p>
      <w:pPr>
        <w:pStyle w:val="BookText"/>
        <w:rPr/>
      </w:pPr>
      <w:r>
        <w:rPr>
          <w:rFonts w:ascii="IRNazanin" w:hAnsi="IRNazanin" w:eastAsia="IRNazanin"/>
          <w:color w:val="111111"/>
          <w:sz w:val="28"/>
          <w:sz w:val="28"/>
          <w:szCs w:val="28"/>
          <w:rtl w:val="true"/>
          <w:lang w:bidi="fa-IR"/>
        </w:rPr>
        <w:t>به ماهیت تابعیت مورد بررسی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پژوهش در این زمینه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مصطفی دانش‌پژوه، اسلام و حقوق بین‌الملل خصوصی ،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نصیری، حقوق بین‌الملل خصوصی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کتاب‌های مربوط به حقوق بین‌الملل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حقوق بین‌الملل خصوصی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افراد و دولت‌ها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دولت‌ها با هم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افراد در زندگی بین‌المللی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و تأخّر مسائل سه‌گانه حقوق بین‌الملل خصوصی به کدام ترتیب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تعارض قوانین، وضع حقوقی خارجیان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قوانین، تابعیت، وضع حقوقی خارجیان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وضع حقوق خارجیان، تعارض قوانین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حقوقی خارجیان، تابعیت، تعارض قوانین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عبارت است از رابطه‌ای حقوقی که شخصی را به دولت معینی مرتبط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عبارت است از رابطه‌ای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که شخصی را به دولت معینی مرتبط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عبارت است از رابطه سیاسی دارای بعضی ویژگی‌های حقوقی که بین اشخاص و دولت معینی برقرار می‌شود و از این طریق، دولت، آن اشخاص را از اتباع خود می‌شمارد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عبارت است از رابطه سیاسی و معنوی که شخصی را به دولت</w:t>
      </w:r>
    </w:p>
    <w:p>
      <w:pPr>
        <w:pStyle w:val="BookText"/>
        <w:rPr/>
      </w:pPr>
      <w:r>
        <w:rPr>
          <w:rFonts w:ascii="IRNazanin" w:hAnsi="IRNazanin" w:eastAsia="IRNazanin"/>
          <w:color w:val="111111"/>
          <w:sz w:val="28"/>
          <w:sz w:val="28"/>
          <w:szCs w:val="28"/>
          <w:rtl w:val="true"/>
          <w:lang w:bidi="fa-IR"/>
        </w:rPr>
        <w:t>معینی مرتبط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بدون تابعیت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آپاترید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عامل، مشخص کننده و اعطا کننده تابعیت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شخص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دولت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اقامتگاه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تابعیت عبارت‌اند از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باید تابعیتی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نباید بیش از یک تابعیت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یک امر همیشگی و زوال‌ناپذیر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تحقّق رابطه تابعیت، وجود چه عناصری ضروری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تبعه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قانون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و غیر تبعه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و قانون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تابعیت میان فرد و دولت، چگونه رابطه‌ای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قهری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قراردادی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اداری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قانونی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رابطه‌ای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دولت 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سیاسی و معنوی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معنوی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سیاسی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اصلی تابعیت در هر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داخلی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داخلی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قضایی بین‌المللی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موارد زیر، از اصول تابعیت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باید تابعیتی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نباید بیش از یک تابعیت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یک امر همیشگی و زوال‌ناپذیر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یک امر همیشگی و زوال‌ناپذیر است</w:t>
      </w:r>
      <w:r>
        <w:rPr>
          <w:rFonts w:eastAsia="IRNazanin" w:cs="IRNazanin"/>
          <w:color w:val="111111"/>
          <w:sz w:val="28"/>
          <w:szCs w:val="28"/>
          <w:rtl w:val="true"/>
          <w:lang w:bidi="fa-IR"/>
        </w:rPr>
        <w:t>.</w:t>
      </w:r>
      <w:bookmarkStart w:id="150" w:name="pg5888_35968"/>
    </w:p>
    <w:p>
      <w:pPr>
        <w:pStyle w:val="Heading2"/>
        <w:numPr>
          <w:ilvl w:val="1"/>
          <w:numId w:val="1"/>
        </w:numPr>
        <w:rPr/>
      </w:pPr>
      <w:bookmarkStart w:id="151" w:name="__RefHeading___Toc5261262_581953129"/>
      <w:bookmarkStart w:id="152" w:name="_Toc59"/>
      <w:bookmarkEnd w:id="150"/>
      <w:bookmarkEnd w:id="151"/>
      <w:r>
        <w:rPr/>
        <w:t>4</w:t>
      </w:r>
      <w:r>
        <w:rPr>
          <w:rtl w:val="true"/>
        </w:rPr>
        <w:t xml:space="preserve">- </w:t>
      </w:r>
      <w:r>
        <w:rPr>
          <w:rtl w:val="true"/>
        </w:rPr>
        <w:t>دلایل بی تابعیتی، تابعیت مضاعف و روش خون و خاک</w:t>
      </w:r>
      <w:bookmarkEnd w:id="152"/>
    </w:p>
    <w:p>
      <w:pPr>
        <w:pStyle w:val="Heading3"/>
        <w:numPr>
          <w:ilvl w:val="2"/>
          <w:numId w:val="1"/>
        </w:numPr>
        <w:rPr/>
      </w:pPr>
      <w:bookmarkStart w:id="153" w:name="__RefHeading___Toc5261264_581953129"/>
      <w:bookmarkStart w:id="154" w:name="_Toc60"/>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دلایل بی‌تابعیتی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قوانین، پناهندگی و مهاجرت، مجازات، قانون خاص، تخییر، اراده شخص و ترک تابعیت قبلی بدون تحصیل تابعیت جدید؛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راه‌های رفع مشکل بی‌تابعیتی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امتیازات ویژه، اعطای تابعیت از دست رفته، رفتار با بی‌تابعیتی‌ها مانند آوارگان، عدم مجازات و اعطای تابعیت محل تولد؛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علل پیدایش تابعیت مضاعف و راه‌های رفع یا جلوگیری از تابعیت مضاعف؛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اقسام تابعیت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اصلی و تابعیت اکتسابی؛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دو روش مهم تعیین تابعیت؛ یعنی خون و خاک، و دلیل طرفداران هر یک از این دو سیستم؛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میان دو روش خون و خاک و بررسی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تابعیت</w:t>
      </w:r>
      <w:r>
        <w:rPr>
          <w:rFonts w:eastAsia="IRNazanin" w:cs="IRNazanin"/>
          <w:color w:val="111111"/>
          <w:sz w:val="28"/>
          <w:szCs w:val="28"/>
          <w:rtl w:val="true"/>
          <w:lang w:bidi="fa-IR"/>
        </w:rPr>
        <w:t>».</w:t>
      </w:r>
    </w:p>
    <w:p>
      <w:pPr>
        <w:pStyle w:val="Heading3"/>
        <w:numPr>
          <w:ilvl w:val="2"/>
          <w:numId w:val="1"/>
        </w:numPr>
        <w:rPr/>
      </w:pPr>
      <w:bookmarkStart w:id="155" w:name="__RefHeading___Toc5261266_581953129"/>
      <w:bookmarkStart w:id="156" w:name="_Toc61"/>
      <w:bookmarkEnd w:id="155"/>
      <w:r>
        <w:rPr/>
        <w:t>1</w:t>
      </w:r>
      <w:r>
        <w:rPr>
          <w:rtl w:val="true"/>
        </w:rPr>
        <w:t xml:space="preserve">- </w:t>
      </w:r>
      <w:r>
        <w:rPr>
          <w:rtl w:val="true"/>
        </w:rPr>
        <w:t>دلایل بی تابعیتی</w:t>
      </w:r>
      <w:bookmarkEnd w:id="156"/>
    </w:p>
    <w:p>
      <w:pPr>
        <w:pStyle w:val="Heading4"/>
        <w:numPr>
          <w:ilvl w:val="3"/>
          <w:numId w:val="1"/>
        </w:numPr>
        <w:rPr/>
      </w:pPr>
      <w:bookmarkStart w:id="157" w:name="__RefHeading___Toc5261268_581953129"/>
      <w:bookmarkStart w:id="158" w:name="_Toc62"/>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در اصل نخست از اصول تابعیت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 باید تابعیتی داشته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این اصل از نظر عقل و منطق،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انسان موجودی اجتماعی است، چگونه می‌توان تصوّر کرد که شخصی در جامعه‌ای زندگی کند، امّا به هیچ‌یک از اجتماعات وابستگی نداشته باشد؟ در عمل، اشخاصی وجود دارند که به دلیل‌های گوناگون، دارای تابعیت نیستند؛ در اینجا به برخی از آنها اشاره می‌شود</w:t>
      </w:r>
      <w:r>
        <w:rPr>
          <w:rFonts w:eastAsia="IRNazanin" w:cs="IRNazanin"/>
          <w:color w:val="111111"/>
          <w:sz w:val="28"/>
          <w:szCs w:val="28"/>
          <w:rtl w:val="true"/>
          <w:lang w:bidi="fa-IR"/>
        </w:rPr>
        <w:t>:</w:t>
      </w:r>
      <w:bookmarkStart w:id="159" w:name="pg5888_35971"/>
    </w:p>
    <w:p>
      <w:pPr>
        <w:pStyle w:val="Heading4"/>
        <w:numPr>
          <w:ilvl w:val="3"/>
          <w:numId w:val="1"/>
        </w:numPr>
        <w:rPr/>
      </w:pPr>
      <w:bookmarkStart w:id="160" w:name="__RefHeading___Toc5261270_581953129"/>
      <w:bookmarkStart w:id="161" w:name="_Toc63"/>
      <w:bookmarkEnd w:id="159"/>
      <w:bookmarkEnd w:id="160"/>
      <w:r>
        <w:rPr>
          <w:rtl w:val="true"/>
        </w:rPr>
        <w:t>الف</w:t>
      </w:r>
      <w:r>
        <w:rPr>
          <w:rtl w:val="true"/>
        </w:rPr>
        <w:t xml:space="preserve">) </w:t>
      </w:r>
      <w:r>
        <w:rPr>
          <w:rtl w:val="true"/>
        </w:rPr>
        <w:t>تفاوت قوانین</w:t>
      </w:r>
      <w:bookmarkEnd w:id="161"/>
    </w:p>
    <w:p>
      <w:pPr>
        <w:pStyle w:val="BookText"/>
        <w:rPr/>
      </w:pPr>
      <w:r>
        <w:rPr>
          <w:rFonts w:ascii="IRNazanin" w:hAnsi="IRNazanin" w:eastAsia="IRNazanin"/>
          <w:color w:val="111111"/>
          <w:sz w:val="28"/>
          <w:sz w:val="28"/>
          <w:szCs w:val="28"/>
          <w:rtl w:val="true"/>
          <w:lang w:bidi="fa-IR"/>
        </w:rPr>
        <w:t>گاهی تفاوت قوانین داخلی کشورها یا تعارض سیستم‌های تولّدی کشورها موجب بروز بی‌تابعیتی می‌شود؛ برای نمونه، هرگاه کودکی در ایران از پدر و مادری خارجی متولّد شود و قانونِ دولتِ متبوعِ پدر و مادر، اصل خاک را پذیرفته باشد، کودکِ آنان از هنگام تولّد بدون تابعیت خواهد بود؛ مانند تولّد فرزند از پدر و مادری کانادایی یا انگلیسی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هرگاه کودکی نامشروع در آلمان از مادری انگلیسی متولّد شود، بدون تابعیت خواهد بود؛ زیرا قانون تابعیتِ هیچ‌یک از دو کشور آلمان و انگلیس چنین فرزندی را تبعه خود نمی‌دانند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162" w:name="__RefHeading___Toc5261272_581953129"/>
      <w:bookmarkStart w:id="163" w:name="_Toc64"/>
      <w:bookmarkEnd w:id="162"/>
      <w:r>
        <w:rPr>
          <w:rtl w:val="true"/>
        </w:rPr>
        <w:t>ب</w:t>
      </w:r>
      <w:r>
        <w:rPr>
          <w:rtl w:val="true"/>
        </w:rPr>
        <w:t xml:space="preserve">) </w:t>
      </w:r>
      <w:r>
        <w:rPr>
          <w:rtl w:val="true"/>
        </w:rPr>
        <w:t>پناهندگی و مهاجرت</w:t>
      </w:r>
      <w:bookmarkEnd w:id="163"/>
    </w:p>
    <w:p>
      <w:pPr>
        <w:pStyle w:val="BookText"/>
        <w:rPr/>
      </w:pPr>
      <w:r>
        <w:rPr>
          <w:rFonts w:ascii="IRNazanin" w:hAnsi="IRNazanin" w:eastAsia="IRNazanin"/>
          <w:color w:val="111111"/>
          <w:sz w:val="28"/>
          <w:sz w:val="28"/>
          <w:szCs w:val="28"/>
          <w:rtl w:val="true"/>
          <w:lang w:bidi="fa-IR"/>
        </w:rPr>
        <w:t xml:space="preserve">ممکن است شخصی که تابعیت مبدأ خود را در اثر پناهندگی و مهاجرت از دست داده است، به تابعیت دولت جدیدی نیز در نیامده و بدون تابعیت باشد؛ مانند اتباع روسیه پس از انقلاب اکتبر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 که به کشورهای خارجی گریختند و دولت جدید روسیه، آنها را تبعه خود نشناخت و سایر دولت‌ها نیز آنها را به تابعیت خود نپذیرفتند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اتباع فلسطینی عملاً چنین وضعی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سرزمین فلسطین را با قهر و غلبه اشغال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غاصب اسرائیل در آن سرزمین اعلام موجودیت کرده و میلیون‌ها مسلمان مهاجر تابع فلسطین، نمی‌توانند و نباید خود را تابع اسرائیل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 عظیم مهاجر در سرزمین‌های دیگر عربی و غیرعربی، در واقع بدون تابعیت هستند؛ هرچند که</w:t>
      </w:r>
      <w:bookmarkStart w:id="164" w:name="pg5888_35973"/>
    </w:p>
    <w:p>
      <w:pPr>
        <w:pStyle w:val="BookText"/>
        <w:rPr/>
      </w:pPr>
      <w:bookmarkEnd w:id="164"/>
      <w:r>
        <w:rPr>
          <w:rFonts w:ascii="IRNazanin" w:hAnsi="IRNazanin" w:eastAsia="IRNazanin"/>
          <w:color w:val="111111"/>
          <w:sz w:val="28"/>
          <w:sz w:val="28"/>
          <w:szCs w:val="28"/>
          <w:rtl w:val="true"/>
          <w:lang w:bidi="fa-IR"/>
        </w:rPr>
        <w:t>دولت‌های مسلمان همچنان آنها را فلسطینی و تابع فلسطین می‌شناسند و باید آن را به وضع عملی موجود یک کشور فلسطین مستقل اسلامی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دولت خودگردان در بخشی از سرزمین فلسطین در وضعی نیست که میلیون‌ها آواره فلسطینی را دارای تابعیت گرداند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65" w:name="__RefHeading___Toc5261274_581953129"/>
      <w:bookmarkStart w:id="166" w:name="_Toc65"/>
      <w:bookmarkEnd w:id="165"/>
      <w:r>
        <w:rPr>
          <w:rtl w:val="true"/>
        </w:rPr>
        <w:t>ج</w:t>
      </w:r>
      <w:r>
        <w:rPr>
          <w:rtl w:val="true"/>
        </w:rPr>
        <w:t xml:space="preserve">) </w:t>
      </w:r>
      <w:r>
        <w:rPr>
          <w:rtl w:val="true"/>
        </w:rPr>
        <w:t>در اثر مجازات</w:t>
      </w:r>
      <w:bookmarkEnd w:id="166"/>
    </w:p>
    <w:p>
      <w:pPr>
        <w:pStyle w:val="BookText"/>
        <w:rPr/>
      </w:pPr>
      <w:r>
        <w:rPr>
          <w:rFonts w:ascii="IRNazanin" w:hAnsi="IRNazanin" w:eastAsia="IRNazanin"/>
          <w:color w:val="111111"/>
          <w:sz w:val="28"/>
          <w:sz w:val="28"/>
          <w:szCs w:val="28"/>
          <w:rtl w:val="true"/>
          <w:lang w:bidi="fa-IR"/>
        </w:rPr>
        <w:t>گاه کشوری اخراج از تابعیت را به‌عنوان مجازات اصلی یا تبعی در قوانین خود قرار می‌دهد و به این وسیله از افرادی سلب تابعیت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شخص محکوم، تابعیت کشور دیگری را به دست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تابعیت اصلی باشد، سلب تابعیت به‌عنوان مجازات، مورد انتقاد است؛ ولی در صورتی که اعطایی باشد، با اصل حاکمیت و اقتدار دولت‌ها قابل تفسیر و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سطح بین‌المللی، سلب تابعیت را هنگامی که تابعیت اصلی است و از ابتدای تولّد برای شخص حاصل شده است، به‌عنوان مجازات نمی‌پذیرند و آن را ناپسند می‌دانند؛ زیرا در بیشتر مواقع برای به‌دست‌آوردن تابعیت دولتی دیگر، باید اسناد و مدارک مربوط به تابعیت گذشته ارائه شود و کمتر کشوری حاضر است شخصی را که تابعیت اصلی او به‌عنوان مجازات از وی سلب شده است به تابعیت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احتمال زیاد با اجرای چنین مجازاتی شخص نمی‌تواند تابعیت کشور دیگری را به دست آورده، بدون تابعیت می‌شود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کشورها برای خدمات دادن به یک دولت خارجی بدون اجازه</w:t>
      </w:r>
      <w:bookmarkStart w:id="167" w:name="pg5888_35975"/>
    </w:p>
    <w:p>
      <w:pPr>
        <w:pStyle w:val="BookText"/>
        <w:rPr/>
      </w:pPr>
      <w:bookmarkEnd w:id="167"/>
      <w:r>
        <w:rPr>
          <w:rFonts w:ascii="IRNazanin" w:hAnsi="IRNazanin" w:eastAsia="IRNazanin"/>
          <w:color w:val="111111"/>
          <w:sz w:val="28"/>
          <w:sz w:val="28"/>
          <w:szCs w:val="28"/>
          <w:rtl w:val="true"/>
          <w:lang w:bidi="fa-IR"/>
        </w:rPr>
        <w:t>کشور متبوع، مجازات سلب تابعیت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ایتالیا از این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قانون این کشور، هرگاه کسی بدون اجازه دولت به خدمت دولت خارجی درآید، تابعیت ایتالیایی از وی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قانون مهاجرت و تابعیت آمریکا نیز که در سال </w:t>
      </w: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تصویب رسید، شرکت اتباع آمریکایی در انتخابات سیاسی کشورهای خارجی، فرار از ارتش در زمان جنگ و به‌طور کلّی خیانت نسبت به دولت آمریکا، موجب سلب تابعیت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هرگاه شخصی پس از دریافت تابعیت آمریکا بیش از سه سال در کشور اول سکونت داشته باشد، تابعیت آمریکا از وی سلب می‌شود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یکی از موارد سلب تابعیت به‌عنوان مجازات، مربوط به اسامه بن لادن است که تابعیت او از سوی دولت سعودی سلب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برای جلوگیری از بی‌تابعیتی چنین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تابعیت کشور ایران حق مسلّم هر فرد ایرانی است و دولت نمی‌تواند از هیچ ایرانی سلب تابعیت کند، مگر به درخواست خود او یا در صورتی که به تابعیت کشور دیگری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ماده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به موجب قانون مصوّب </w:t>
      </w:r>
      <w:r>
        <w:rPr>
          <w:rFonts w:eastAsia="IRNazanin" w:cs="IRNazanin"/>
          <w:color w:val="111111"/>
          <w:sz w:val="28"/>
          <w:szCs w:val="28"/>
          <w:lang w:bidi="fa-IR"/>
        </w:rPr>
        <w:t>1370/8/14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w:t>
      </w:r>
      <w:r>
        <w:rPr>
          <w:rFonts w:eastAsia="IRNazanin" w:cs="IRNazanin"/>
          <w:color w:val="111111"/>
          <w:sz w:val="28"/>
          <w:szCs w:val="28"/>
          <w:rtl w:val="true"/>
          <w:lang w:bidi="fa-IR"/>
        </w:rPr>
        <w:t>.</w:t>
      </w:r>
    </w:p>
    <w:p>
      <w:pPr>
        <w:pStyle w:val="Heading4"/>
        <w:numPr>
          <w:ilvl w:val="3"/>
          <w:numId w:val="1"/>
        </w:numPr>
        <w:rPr/>
      </w:pPr>
      <w:bookmarkStart w:id="168" w:name="__RefHeading___Toc5261276_581953129"/>
      <w:bookmarkStart w:id="169" w:name="_Toc66"/>
      <w:bookmarkEnd w:id="168"/>
      <w:r>
        <w:rPr>
          <w:rtl w:val="true"/>
        </w:rPr>
        <w:t>د</w:t>
      </w:r>
      <w:r>
        <w:rPr>
          <w:rtl w:val="true"/>
        </w:rPr>
        <w:t xml:space="preserve">) </w:t>
      </w:r>
      <w:r>
        <w:rPr>
          <w:rtl w:val="true"/>
        </w:rPr>
        <w:t>قانون خاص</w:t>
      </w:r>
      <w:bookmarkEnd w:id="1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کشوری شرایط خاصی را پیش‌بینی کند که اگر آن شرایط برای تبعه‌اش پیش آمد، تابعیت آن کشور را از دست بدهد؛ برای نمونه، ممکن است در قانون تصریح شود چنانچه تبعه‌ای بیش از پنج سال در کشور دیگر اقامت</w:t>
      </w:r>
      <w:bookmarkStart w:id="170" w:name="pg5888_35977"/>
    </w:p>
    <w:p>
      <w:pPr>
        <w:pStyle w:val="BookText"/>
        <w:rPr/>
      </w:pPr>
      <w:bookmarkEnd w:id="170"/>
      <w:r>
        <w:rPr>
          <w:rFonts w:ascii="IRNazanin" w:hAnsi="IRNazanin" w:eastAsia="IRNazanin"/>
          <w:color w:val="111111"/>
          <w:sz w:val="28"/>
          <w:sz w:val="28"/>
          <w:szCs w:val="28"/>
          <w:rtl w:val="true"/>
          <w:lang w:bidi="fa-IR"/>
        </w:rPr>
        <w:t>کند، تابعیت او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اگر تابعیت محل اقامت را کسب نکرده باشد، بدون تابعیت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هفده قانون مدنی سابق فرانسه که مدّتی بعد با قوانین سال‌های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 نسخ شد، هر فرد فرانسوی که با انگیزه ترک وطن، به خارج از کشور عزیمت کند، تابعیت فرانسوی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آلمان نیز به اتباعی که با اظهار صریح خود ترک وطن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گواهی‌نامه سلب تابعیت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می‌شد و از آن پس، آنها می‌توانستند به‌عنوان مهاجر از کشور آلمان خارج شوند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171" w:name="__RefHeading___Toc5261278_581953129"/>
      <w:bookmarkStart w:id="172" w:name="_Toc67"/>
      <w:bookmarkEnd w:id="171"/>
      <w:r>
        <w:rPr>
          <w:rtl w:val="true"/>
        </w:rPr>
        <w:t>ه</w:t>
      </w:r>
      <w:r>
        <w:rPr>
          <w:rtl w:val="true"/>
        </w:rPr>
        <w:t xml:space="preserve">) </w:t>
      </w:r>
      <w:r>
        <w:rPr>
          <w:rtl w:val="true"/>
        </w:rPr>
        <w:t>تخییر</w:t>
      </w:r>
      <w:bookmarkEnd w:id="172"/>
    </w:p>
    <w:p>
      <w:pPr>
        <w:pStyle w:val="BookText"/>
        <w:rPr/>
      </w:pPr>
      <w:r>
        <w:rPr>
          <w:rFonts w:ascii="IRNazanin" w:hAnsi="IRNazanin" w:eastAsia="IRNazanin"/>
          <w:color w:val="111111"/>
          <w:sz w:val="28"/>
          <w:sz w:val="28"/>
          <w:szCs w:val="28"/>
          <w:rtl w:val="true"/>
          <w:lang w:bidi="fa-IR"/>
        </w:rPr>
        <w:t>مواردی پیش می‌آید که قانون یا یک معاهده بین‌المللی، اختیار انتخاب تابعیت را به افرادی می‌دهد و آنان در اثر خودداری از پذیرش یکی از چند تابعیت، بدون تابعیت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وقتی رخ می‌دهد که قطعه‌ای از یک کشور به کشور دیگر واگذار گردد و ساکنین آن، اختیار پذیرش تابعیت یکی از دو کشور را داشته باشند و با وجود این، برخی اشخاص ساکن آن محل نسبت به هیچ‌یک اعلام نظر مثبت نکنند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73" w:name="__RefHeading___Toc5261280_581953129"/>
      <w:bookmarkStart w:id="174" w:name="_Toc68"/>
      <w:bookmarkEnd w:id="173"/>
      <w:r>
        <w:rPr>
          <w:rtl w:val="true"/>
        </w:rPr>
        <w:t>و</w:t>
      </w:r>
      <w:r>
        <w:rPr>
          <w:rtl w:val="true"/>
        </w:rPr>
        <w:t xml:space="preserve">) </w:t>
      </w:r>
      <w:r>
        <w:rPr>
          <w:rtl w:val="true"/>
        </w:rPr>
        <w:t>اراده شخص</w:t>
      </w:r>
      <w:bookmarkEnd w:id="1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شخص در هنگام تولّد، قابل انتساب به دو دولت است؛ هم بر اساس روش خاک و هم با استناد به روش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بر اساس قوانین هر دو کشور، بقای تابعیت با انتخاب تبعه در سن معینی باشد و او هیچ‌یک از آن دو تابعیت را انتخاب نکند</w:t>
      </w:r>
      <w:r>
        <w:rPr>
          <w:rFonts w:eastAsia="IRNazanin" w:cs="IRNazanin"/>
          <w:color w:val="111111"/>
          <w:sz w:val="28"/>
          <w:szCs w:val="28"/>
          <w:rtl w:val="true"/>
          <w:lang w:bidi="fa-IR"/>
        </w:rPr>
        <w:t>.</w:t>
      </w:r>
      <w:r>
        <w:rPr>
          <w:rStyle w:val="FootnoteAnchor"/>
          <w:rtl w:val="true"/>
        </w:rPr>
        <w:footnoteReference w:id="121"/>
      </w:r>
      <w:bookmarkStart w:id="175" w:name="pg5888_35979"/>
    </w:p>
    <w:p>
      <w:pPr>
        <w:pStyle w:val="Heading4"/>
        <w:numPr>
          <w:ilvl w:val="3"/>
          <w:numId w:val="1"/>
        </w:numPr>
        <w:rPr/>
      </w:pPr>
      <w:bookmarkStart w:id="176" w:name="__RefHeading___Toc5261282_581953129"/>
      <w:bookmarkStart w:id="177" w:name="_Toc69"/>
      <w:bookmarkEnd w:id="175"/>
      <w:bookmarkEnd w:id="176"/>
      <w:r>
        <w:rPr>
          <w:rtl w:val="true"/>
        </w:rPr>
        <w:t>ز</w:t>
      </w:r>
      <w:r>
        <w:rPr>
          <w:rtl w:val="true"/>
        </w:rPr>
        <w:t xml:space="preserve">) </w:t>
      </w:r>
      <w:r>
        <w:rPr>
          <w:rtl w:val="true"/>
        </w:rPr>
        <w:t>رد یا ترک تابعیت قبلی و دریافت نکردن تابعیت جدید</w:t>
      </w:r>
      <w:bookmarkEnd w:id="177"/>
    </w:p>
    <w:p>
      <w:pPr>
        <w:pStyle w:val="BookText"/>
        <w:rPr/>
      </w:pPr>
      <w:r>
        <w:rPr>
          <w:rFonts w:ascii="IRNazanin" w:hAnsi="IRNazanin" w:eastAsia="IRNazanin"/>
          <w:color w:val="111111"/>
          <w:sz w:val="28"/>
          <w:sz w:val="28"/>
          <w:szCs w:val="28"/>
          <w:rtl w:val="true"/>
          <w:lang w:bidi="fa-IR"/>
        </w:rPr>
        <w:t>ممکن است شخصی پس از ترک تابعیت قبلی خود، به دریافت تابعیت کشور جدیدی اقدام نکند و بدین‌ترتیب بی‌تابعیت بماند؛ برای نمونه، ممکن است شخصی به سبب ازدواج، تابعیت کشور جدیدی را تقاضا کند؛ امّا پیش از آنکه به‌طور رسمی به تابعیت دولت جدید درآید، تابعیت قبلی خود را از دست بدهد؛</w:t>
      </w:r>
      <w:r>
        <w:rPr>
          <w:rStyle w:val="FootnoteAnchor"/>
          <w:rtl w:val="true"/>
        </w:rPr>
        <w:footnoteReference w:id="122"/>
      </w:r>
      <w:r>
        <w:rPr>
          <w:rFonts w:ascii="IRNazanin" w:hAnsi="IRNazanin" w:eastAsia="IRNazanin"/>
          <w:color w:val="111111"/>
          <w:sz w:val="28"/>
          <w:sz w:val="28"/>
          <w:szCs w:val="28"/>
          <w:rtl w:val="true"/>
          <w:lang w:bidi="fa-IR"/>
        </w:rPr>
        <w:t xml:space="preserve">از جمله،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شرایط ترک تابعیت را بیان داشته است، ولی اشاره نمی‌کند که باید تابعیت جدیدی را کسب کرده باشد</w:t>
      </w:r>
      <w:r>
        <w:rPr>
          <w:rFonts w:eastAsia="IRNazanin" w:cs="IRNazanin"/>
          <w:color w:val="111111"/>
          <w:sz w:val="28"/>
          <w:szCs w:val="28"/>
          <w:rtl w:val="true"/>
          <w:lang w:bidi="fa-IR"/>
        </w:rPr>
        <w:t>.</w:t>
      </w:r>
    </w:p>
    <w:p>
      <w:pPr>
        <w:pStyle w:val="Heading3"/>
        <w:numPr>
          <w:ilvl w:val="2"/>
          <w:numId w:val="1"/>
        </w:numPr>
        <w:rPr/>
      </w:pPr>
      <w:bookmarkStart w:id="178" w:name="__RefHeading___Toc5261284_581953129"/>
      <w:bookmarkStart w:id="179" w:name="_Toc70"/>
      <w:bookmarkEnd w:id="178"/>
      <w:r>
        <w:rPr/>
        <w:t>2</w:t>
      </w:r>
      <w:r>
        <w:rPr>
          <w:rtl w:val="true"/>
        </w:rPr>
        <w:t xml:space="preserve">- </w:t>
      </w:r>
      <w:r>
        <w:rPr>
          <w:rtl w:val="true"/>
        </w:rPr>
        <w:t>راه های رفع مشکل بی تابعیتی</w:t>
      </w:r>
      <w:bookmarkEnd w:id="179"/>
    </w:p>
    <w:p>
      <w:pPr>
        <w:pStyle w:val="Heading4"/>
        <w:numPr>
          <w:ilvl w:val="3"/>
          <w:numId w:val="1"/>
        </w:numPr>
        <w:rPr/>
      </w:pPr>
      <w:bookmarkStart w:id="180" w:name="__RefHeading___Toc5261286_581953129"/>
      <w:bookmarkStart w:id="181" w:name="_Toc71"/>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در حال حاضر، در صحنه بین‌المللی و همچنین قوانین و مقررات داخلی کشورها، برای حل مشکل اشخاص بدون تابعیت، اقداماتی صورت گرفته و تصمیم‌هایی پیش‌بینی شده است که از جمله می‌توان به موارد زیر اشاره کرد</w:t>
      </w:r>
      <w:r>
        <w:rPr>
          <w:rFonts w:eastAsia="IRNazanin" w:cs="IRNazanin"/>
          <w:color w:val="111111"/>
          <w:sz w:val="28"/>
          <w:szCs w:val="28"/>
          <w:rtl w:val="true"/>
          <w:lang w:bidi="fa-IR"/>
        </w:rPr>
        <w:t>:</w:t>
      </w:r>
    </w:p>
    <w:p>
      <w:pPr>
        <w:pStyle w:val="Heading4"/>
        <w:numPr>
          <w:ilvl w:val="3"/>
          <w:numId w:val="1"/>
        </w:numPr>
        <w:rPr/>
      </w:pPr>
      <w:bookmarkStart w:id="182" w:name="__RefHeading___Toc5261288_581953129"/>
      <w:bookmarkStart w:id="183" w:name="_Toc72"/>
      <w:bookmarkEnd w:id="182"/>
      <w:r>
        <w:rPr>
          <w:rtl w:val="true"/>
        </w:rPr>
        <w:t>الف</w:t>
      </w:r>
      <w:r>
        <w:rPr>
          <w:rtl w:val="true"/>
        </w:rPr>
        <w:t xml:space="preserve">) </w:t>
      </w:r>
      <w:r>
        <w:rPr>
          <w:rtl w:val="true"/>
        </w:rPr>
        <w:t>اعطای امتیازات ویژه</w:t>
      </w:r>
      <w:bookmarkEnd w:id="183"/>
    </w:p>
    <w:p>
      <w:pPr>
        <w:pStyle w:val="BookText"/>
        <w:rPr/>
      </w:pPr>
      <w:r>
        <w:rPr>
          <w:rFonts w:ascii="IRNazanin" w:hAnsi="IRNazanin" w:eastAsia="IRNazanin"/>
          <w:color w:val="111111"/>
          <w:sz w:val="28"/>
          <w:sz w:val="28"/>
          <w:szCs w:val="28"/>
          <w:rtl w:val="true"/>
          <w:lang w:bidi="fa-IR"/>
        </w:rPr>
        <w:t xml:space="preserve">بعضی از قراردادهای بین‌المللی، امتیازهایی را برای اشخاص پناهنده و بدون تابعیت، در نظر گرفته‌اند؛ برای نمونه، پس از جنگ جهانی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قراردادهایی تنظیم شد که بر اساس آن، به آوارگان و پناهندگان روسی و نیز آوارگان ارمنی که از ترکیه خارج شده بودند، برگه هویت مخصوصی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گذرنامه نانس</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داده می‌شد</w:t>
      </w:r>
      <w:r>
        <w:rPr>
          <w:rFonts w:eastAsia="IRNazanin" w:cs="IRNazanin"/>
          <w:color w:val="111111"/>
          <w:sz w:val="28"/>
          <w:szCs w:val="28"/>
          <w:rtl w:val="true"/>
          <w:lang w:bidi="fa-IR"/>
        </w:rPr>
        <w:t>.</w:t>
      </w:r>
    </w:p>
    <w:p>
      <w:pPr>
        <w:pStyle w:val="Heading4"/>
        <w:numPr>
          <w:ilvl w:val="3"/>
          <w:numId w:val="1"/>
        </w:numPr>
        <w:rPr/>
      </w:pPr>
      <w:bookmarkStart w:id="184" w:name="__RefHeading___Toc5261290_581953129"/>
      <w:bookmarkStart w:id="185" w:name="_Toc73"/>
      <w:bookmarkEnd w:id="184"/>
      <w:r>
        <w:rPr>
          <w:rtl w:val="true"/>
        </w:rPr>
        <w:t>ب</w:t>
      </w:r>
      <w:r>
        <w:rPr>
          <w:rtl w:val="true"/>
        </w:rPr>
        <w:t xml:space="preserve">) </w:t>
      </w:r>
      <w:r>
        <w:rPr>
          <w:rtl w:val="true"/>
        </w:rPr>
        <w:t>اعطای تابعیت از دست رفته</w:t>
      </w:r>
      <w:bookmarkEnd w:id="18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کنگره تدوین قوانین لاهه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پروتکلی را پیرامون بی‌تابعیتی به تصویب</w:t>
      </w:r>
      <w:bookmarkStart w:id="186" w:name="pg5888_35981"/>
    </w:p>
    <w:p>
      <w:pPr>
        <w:pStyle w:val="BookText"/>
        <w:rPr/>
      </w:pPr>
      <w:bookmarkEnd w:id="186"/>
      <w:r>
        <w:rPr>
          <w:rFonts w:ascii="IRNazanin" w:hAnsi="IRNazanin" w:eastAsia="IRNazanin"/>
          <w:color w:val="111111"/>
          <w:sz w:val="28"/>
          <w:sz w:val="28"/>
          <w:szCs w:val="28"/>
          <w:rtl w:val="true"/>
          <w:lang w:bidi="fa-IR"/>
        </w:rPr>
        <w:t>رساند که به موجب آن، هرگاه شخصی پس از اقامت گزیدن در یک کشور خارجی، تابعیت خود را بدون دریافت تابعیت جدید از دست بدهد و دولت محل اقامت وی از دولت قبلی تقاضای پذیرش شخص را کند، این دولت موظف به پذیرش شخص خواهد بود</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187" w:name="__RefHeading___Toc5261292_581953129"/>
      <w:bookmarkStart w:id="188" w:name="_Toc74"/>
      <w:bookmarkEnd w:id="187"/>
      <w:r>
        <w:rPr>
          <w:rtl w:val="true"/>
        </w:rPr>
        <w:t>ج</w:t>
      </w:r>
      <w:r>
        <w:rPr>
          <w:rtl w:val="true"/>
        </w:rPr>
        <w:t xml:space="preserve">) </w:t>
      </w:r>
      <w:r>
        <w:rPr>
          <w:rtl w:val="true"/>
        </w:rPr>
        <w:t>رفتار با فاقدان تابعیت، همانند آوارگان</w:t>
      </w:r>
      <w:bookmarkEnd w:id="188"/>
    </w:p>
    <w:p>
      <w:pPr>
        <w:pStyle w:val="BookText"/>
        <w:rPr/>
      </w:pPr>
      <w:r>
        <w:rPr>
          <w:rFonts w:ascii="IRNazanin" w:hAnsi="IRNazanin" w:eastAsia="IRNazanin"/>
          <w:color w:val="111111"/>
          <w:sz w:val="28"/>
          <w:sz w:val="28"/>
          <w:szCs w:val="28"/>
          <w:rtl w:val="true"/>
          <w:lang w:bidi="fa-IR"/>
        </w:rPr>
        <w:t>در مواردی گفته شده است که همان‌طور که آوارگان از حقوق و مزایایی برخوردار می‌شوند، افراد بی‌تابعیت نیز از همین مزایا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 قرارداد مهمی درباره وضع پناهندگان در ژنو امضا شد که در مورد اشخاصی که دارای تابعیت نبوده و خارج از محل اقامت قبلی خود هستند و نمی‌خواهند یا نمی‌توانند به آن محل بازگردند،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قرارداد، اشخاص بدون تابعیت، اشخاصی هستند که هیچ‌یک از دولت‌ها طبق قوانین خود، آنها را تبعه خود نمی‌دانند و با این افراد مانند آوارگان رفتار می‌شود</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189" w:name="__RefHeading___Toc5261294_581953129"/>
      <w:bookmarkStart w:id="190" w:name="_Toc75"/>
      <w:bookmarkEnd w:id="189"/>
      <w:r>
        <w:rPr>
          <w:rtl w:val="true"/>
        </w:rPr>
        <w:t>د</w:t>
      </w:r>
      <w:r>
        <w:rPr>
          <w:rtl w:val="true"/>
        </w:rPr>
        <w:t xml:space="preserve">) </w:t>
      </w:r>
      <w:r>
        <w:rPr>
          <w:rtl w:val="true"/>
        </w:rPr>
        <w:t>عدم مجازات</w:t>
      </w:r>
      <w:bookmarkEnd w:id="19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مواد هفت‌وهشت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حقوق بین‌الملل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 پیرامون از بین بردن مواد فقدان تابعیت و تقلیل بی‌تابعیتی، در صورتی که سلب تابعیت باعث بی‌تابعیتی اشخاص شود، دولت‌های امضاکننده حق ندارند کسی را به منظور مجازات، سلب تابعیت کنند</w:t>
      </w:r>
      <w:r>
        <w:rPr>
          <w:rFonts w:eastAsia="IRNazanin" w:cs="IRNazanin"/>
          <w:color w:val="111111"/>
          <w:sz w:val="28"/>
          <w:szCs w:val="28"/>
          <w:rtl w:val="true"/>
          <w:lang w:bidi="fa-IR"/>
        </w:rPr>
        <w:t>.</w:t>
      </w:r>
      <w:r>
        <w:rPr>
          <w:rStyle w:val="FootnoteAnchor"/>
          <w:rtl w:val="true"/>
        </w:rPr>
        <w:footnoteReference w:id="126"/>
      </w:r>
      <w:bookmarkStart w:id="191" w:name="pg5888_35984"/>
    </w:p>
    <w:p>
      <w:pPr>
        <w:pStyle w:val="Heading4"/>
        <w:numPr>
          <w:ilvl w:val="3"/>
          <w:numId w:val="1"/>
        </w:numPr>
        <w:rPr/>
      </w:pPr>
      <w:bookmarkStart w:id="192" w:name="__RefHeading___Toc5261296_581953129"/>
      <w:bookmarkStart w:id="193" w:name="_Toc76"/>
      <w:bookmarkEnd w:id="191"/>
      <w:bookmarkEnd w:id="192"/>
      <w:r>
        <w:rPr>
          <w:rtl w:val="true"/>
        </w:rPr>
        <w:t>ه</w:t>
      </w:r>
      <w:r>
        <w:rPr>
          <w:rtl w:val="true"/>
        </w:rPr>
        <w:t xml:space="preserve">) </w:t>
      </w:r>
      <w:r>
        <w:rPr>
          <w:rtl w:val="true"/>
        </w:rPr>
        <w:t>تابعیت محل تولد</w:t>
      </w:r>
      <w:bookmarkEnd w:id="193"/>
    </w:p>
    <w:p>
      <w:pPr>
        <w:pStyle w:val="BookText"/>
        <w:rPr/>
      </w:pPr>
      <w:r>
        <w:rPr>
          <w:rFonts w:ascii="IRNazanin" w:hAnsi="IRNazanin" w:eastAsia="IRNazanin"/>
          <w:color w:val="111111"/>
          <w:sz w:val="28"/>
          <w:sz w:val="28"/>
          <w:szCs w:val="28"/>
          <w:rtl w:val="true"/>
          <w:lang w:bidi="fa-IR"/>
        </w:rPr>
        <w:t>بنابر قرارداد بالا، هرگاه کودکی در یک کشور متولّد شود و به موجب قوانین کشورهای دیگر، تبعه هیچ کشوری نباشد، تبعه محل تولّد شمرده می‌شود</w:t>
      </w:r>
      <w:r>
        <w:rPr>
          <w:rFonts w:eastAsia="IRNazanin" w:cs="IRNazanin"/>
          <w:color w:val="111111"/>
          <w:sz w:val="28"/>
          <w:szCs w:val="28"/>
          <w:rtl w:val="true"/>
          <w:lang w:bidi="fa-IR"/>
        </w:rPr>
        <w:t>.</w:t>
      </w:r>
    </w:p>
    <w:p>
      <w:pPr>
        <w:pStyle w:val="Heading3"/>
        <w:numPr>
          <w:ilvl w:val="2"/>
          <w:numId w:val="1"/>
        </w:numPr>
        <w:rPr/>
      </w:pPr>
      <w:bookmarkStart w:id="194" w:name="__RefHeading___Toc5261298_581953129"/>
      <w:bookmarkStart w:id="195" w:name="_Toc77"/>
      <w:bookmarkEnd w:id="194"/>
      <w:r>
        <w:rPr/>
        <w:t>3</w:t>
      </w:r>
      <w:r>
        <w:rPr>
          <w:rtl w:val="true"/>
        </w:rPr>
        <w:t xml:space="preserve">- </w:t>
      </w:r>
      <w:r>
        <w:rPr>
          <w:rtl w:val="true"/>
        </w:rPr>
        <w:t>علل پیدایش تابعیت مضاعف</w:t>
      </w:r>
      <w:bookmarkEnd w:id="195"/>
    </w:p>
    <w:p>
      <w:pPr>
        <w:pStyle w:val="Heading4"/>
        <w:numPr>
          <w:ilvl w:val="3"/>
          <w:numId w:val="1"/>
        </w:numPr>
        <w:rPr/>
      </w:pPr>
      <w:bookmarkStart w:id="196" w:name="__RefHeading___Toc5261300_581953129"/>
      <w:bookmarkStart w:id="197" w:name="_Toc78"/>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هرگاه شخص حقیقی یا حقوقی، با حفظ تابعیت قدیم، تابعیت جدیدی کسب کند و یا دو یا چند دولت، تابعیت خود را به شخص مزبور اعطا کنند که بر اساس آن، شخص وظیفه انجام تکالیفی را در قبال تکلیف دولت در حمایت سیاسی از وی بر عهده داشته باشد،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مضاعف</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رخ می‌دهد؛ برای نمونه، دولت ژاپن روش خون را برای اتباع خود پذیرفته و دولت آمریکا روش خاک را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ژاپنی‌هایی که پیش از جنگ جهانی اول در آمریکا صاحب فرزند شده بودند، فرزندانشان دارای تابعیت ژاپنی و آمریکایی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جنگ جهانی اول رخ داد و این دو کشور رو در روی یکدیگر قرار گرفتند، این گروه وظیفه داشتند در ارتش هر دو کشور خدمت کنند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جمله عواملی که موجب پیدایش تابعیت مضاعف می‌شود عبارت‌اند از</w:t>
      </w:r>
      <w:r>
        <w:rPr>
          <w:rFonts w:eastAsia="IRNazanin" w:cs="IRNazanin"/>
          <w:color w:val="111111"/>
          <w:sz w:val="28"/>
          <w:szCs w:val="28"/>
          <w:rtl w:val="true"/>
          <w:lang w:bidi="fa-IR"/>
        </w:rPr>
        <w:t>:</w:t>
      </w:r>
    </w:p>
    <w:p>
      <w:pPr>
        <w:pStyle w:val="Heading4"/>
        <w:numPr>
          <w:ilvl w:val="3"/>
          <w:numId w:val="1"/>
        </w:numPr>
        <w:rPr/>
      </w:pPr>
      <w:bookmarkStart w:id="198" w:name="__RefHeading___Toc5261302_581953129"/>
      <w:bookmarkStart w:id="199" w:name="_Toc79"/>
      <w:bookmarkEnd w:id="198"/>
      <w:r>
        <w:rPr>
          <w:rtl w:val="true"/>
        </w:rPr>
        <w:t>الف</w:t>
      </w:r>
      <w:r>
        <w:rPr>
          <w:rtl w:val="true"/>
        </w:rPr>
        <w:t xml:space="preserve">) </w:t>
      </w:r>
      <w:r>
        <w:rPr>
          <w:rtl w:val="true"/>
        </w:rPr>
        <w:t>اختلاف سیستم های پذیرفته شده</w:t>
      </w:r>
      <w:bookmarkEnd w:id="1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علل تابعیت مضاعف، اعمال سیستم‌های متفاوت خون و خاک است که دولت‌ها با در نظر گرفتن منافع و مصالح خود، یکی از دو روش و یا هر دو را برای اعطای تابعیت پذیرفته‌اند همین امر به تابعیت مضاعف غیر ارادی برای شخص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مورد تابعیت مضاعف، به سبب همین عامل است</w:t>
      </w:r>
      <w:r>
        <w:rPr>
          <w:rFonts w:eastAsia="IRNazanin" w:cs="IRNazanin"/>
          <w:color w:val="111111"/>
          <w:sz w:val="28"/>
          <w:szCs w:val="28"/>
          <w:rtl w:val="true"/>
          <w:lang w:bidi="fa-IR"/>
        </w:rPr>
        <w:t>.</w:t>
      </w:r>
      <w:bookmarkStart w:id="200" w:name="pg5888_35985"/>
    </w:p>
    <w:p>
      <w:pPr>
        <w:pStyle w:val="BookText"/>
        <w:rPr/>
      </w:pPr>
      <w:bookmarkEnd w:id="200"/>
      <w:r>
        <w:rPr>
          <w:rFonts w:ascii="IRNazanin" w:hAnsi="IRNazanin" w:eastAsia="IRNazanin"/>
          <w:color w:val="111111"/>
          <w:sz w:val="28"/>
          <w:sz w:val="28"/>
          <w:szCs w:val="28"/>
          <w:rtl w:val="true"/>
          <w:lang w:bidi="fa-IR"/>
        </w:rPr>
        <w:t xml:space="preserve">اگر همه دولت‌ها یکی از دو روش یادشده را در مورد تابعیت اجرا می‌کردند، تابعیت مضاعف فرض زیادی نداشت؛ برای نمونه، هرگاه کودکی از پدر و مادری که روش تابعیت خون را پذیرفته‌اند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کشوری که روش تابعیت خاک را قبول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افزون بر آنکه تابعیت ایران را داراست، از تابعیت آمریکا نیز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فرزندان در آمریکان متولد شده بسیاری از خانواده‌های ایرانی که به آمریکا رفته و در آنجا اقامت کرده‌اند، دارای تابعیت مضاعف‌اند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فرانسویان مقیم ایران نیز باید گفت چنانچه زن و شوهر فرانسوی که یک نفر از آنها در ایران متولّد شده، دارای فرزندی باشند که در ایران به دنیا آمده است، بنابر روش خاک، ایرانی است؛ زیرا بند چهار ماده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ایران از پدر و مادر خارجی که یکی از آنها در ایران متولّد شده باشد به‌وجود آید، تبعه ایران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 چنین کودکی مطابق قانون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روش خون را اعمال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تابعیت مضاعف خواهد بود</w:t>
      </w:r>
      <w:r>
        <w:rPr>
          <w:rFonts w:eastAsia="IRNazanin" w:cs="IRNazanin"/>
          <w:color w:val="111111"/>
          <w:sz w:val="28"/>
          <w:szCs w:val="28"/>
          <w:rtl w:val="true"/>
          <w:lang w:bidi="fa-IR"/>
        </w:rPr>
        <w:t>.</w:t>
      </w:r>
    </w:p>
    <w:p>
      <w:pPr>
        <w:pStyle w:val="Heading4"/>
        <w:numPr>
          <w:ilvl w:val="3"/>
          <w:numId w:val="1"/>
        </w:numPr>
        <w:rPr/>
      </w:pPr>
      <w:bookmarkStart w:id="201" w:name="__RefHeading___Toc5261304_581953129"/>
      <w:bookmarkStart w:id="202" w:name="_Toc80"/>
      <w:bookmarkEnd w:id="201"/>
      <w:r>
        <w:rPr>
          <w:rtl w:val="true"/>
        </w:rPr>
        <w:t>ب</w:t>
      </w:r>
      <w:r>
        <w:rPr>
          <w:rtl w:val="true"/>
        </w:rPr>
        <w:t xml:space="preserve">) </w:t>
      </w:r>
      <w:r>
        <w:rPr>
          <w:rtl w:val="true"/>
        </w:rPr>
        <w:t>کسب تابعیت جدید</w:t>
      </w:r>
      <w:bookmarkEnd w:id="20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فردی با حفظ تابعیت پیشین، تابعیت کشور جدیدی را به دست آورد، تابعیت مضاعف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بسیاری از کشورها برای دادن تابعیت خود، ترک تابعیت قبلی را لازم نمی‌دانند؛ برای نمونه، آمریکا و انگلستان تابعیت جدید را به‌طور انحصاری با در نظر گرفتن شرایطی که به نوعی منافع آنها را تأمین کند، اعطا کرده، ترک تابعیت سابق را برای متقاضی کسب تابعیت جدید لازم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قانون مدنی ایران در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تابعیت ایران، پنج شرط را ذکر می‌کند؛ امّا از نظر این قانون، ترک تابعیت سابق</w:t>
      </w:r>
      <w:bookmarkStart w:id="203" w:name="pg5888_35987"/>
    </w:p>
    <w:p>
      <w:pPr>
        <w:pStyle w:val="BookText"/>
        <w:rPr/>
      </w:pPr>
      <w:bookmarkEnd w:id="203"/>
      <w:r>
        <w:rPr>
          <w:rFonts w:ascii="IRNazanin" w:hAnsi="IRNazanin" w:eastAsia="IRNazanin"/>
          <w:color w:val="111111"/>
          <w:sz w:val="28"/>
          <w:sz w:val="28"/>
          <w:szCs w:val="28"/>
          <w:rtl w:val="true"/>
          <w:lang w:bidi="fa-IR"/>
        </w:rPr>
        <w:t>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 پاکستانی با توجه به شرایط پنج‌گانه، تابعیت ایرانی را به دست آورد، دارای تابعیت مضاعف پاکستانی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خواهد شد</w:t>
      </w:r>
      <w:r>
        <w:rPr>
          <w:rFonts w:eastAsia="IRNazanin" w:cs="IRNazanin"/>
          <w:color w:val="111111"/>
          <w:sz w:val="28"/>
          <w:szCs w:val="28"/>
          <w:rtl w:val="true"/>
          <w:lang w:bidi="fa-IR"/>
        </w:rPr>
        <w:t>.</w:t>
      </w:r>
    </w:p>
    <w:p>
      <w:pPr>
        <w:pStyle w:val="Heading4"/>
        <w:numPr>
          <w:ilvl w:val="3"/>
          <w:numId w:val="1"/>
        </w:numPr>
        <w:rPr/>
      </w:pPr>
      <w:bookmarkStart w:id="204" w:name="__RefHeading___Toc5261306_581953129"/>
      <w:bookmarkStart w:id="205" w:name="_Toc81"/>
      <w:bookmarkEnd w:id="204"/>
      <w:r>
        <w:rPr>
          <w:rtl w:val="true"/>
        </w:rPr>
        <w:t>ج</w:t>
      </w:r>
      <w:r>
        <w:rPr>
          <w:rtl w:val="true"/>
        </w:rPr>
        <w:t xml:space="preserve">) </w:t>
      </w:r>
      <w:r>
        <w:rPr>
          <w:rtl w:val="true"/>
        </w:rPr>
        <w:t>تابعیت مضاعف در اثر ازدواج</w:t>
      </w:r>
      <w:bookmarkEnd w:id="205"/>
    </w:p>
    <w:p>
      <w:pPr>
        <w:pStyle w:val="BookText"/>
        <w:rPr/>
      </w:pPr>
      <w:r>
        <w:rPr>
          <w:rFonts w:ascii="IRNazanin" w:hAnsi="IRNazanin" w:eastAsia="IRNazanin"/>
          <w:color w:val="111111"/>
          <w:sz w:val="28"/>
          <w:sz w:val="28"/>
          <w:szCs w:val="28"/>
          <w:rtl w:val="true"/>
          <w:lang w:bidi="fa-IR"/>
        </w:rPr>
        <w:t xml:space="preserve">گاه اتفاق می‌افتد که با پیوند ازدواجِ زن و مردی که دارای دو تابعیت مختلف هستند، به سبب تحمیل تابعیت مرد یا زن، تابعیت مضاعف شکل می‌گیرد؛ برای نمونه، اگر در قانون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شده باشد که زن خارجی در صورت ازدواج با مرد ایرانی، تابعیت او را کسب می‌کند، و در قانون کشور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که در صورت ازدواج زن فرانسوی با مرد خارجی، زن بر تابعیت فرانسوی خود باقی خواهد ماند، دراین‌صورت، زن تابعیت مضاعف خواهد داشت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206" w:name="__RefHeading___Toc5261308_581953129"/>
      <w:bookmarkStart w:id="207" w:name="_Toc82"/>
      <w:bookmarkEnd w:id="206"/>
      <w:r>
        <w:rPr>
          <w:rtl w:val="true"/>
        </w:rPr>
        <w:t>د</w:t>
      </w:r>
      <w:r>
        <w:rPr>
          <w:rtl w:val="true"/>
        </w:rPr>
        <w:t xml:space="preserve">) </w:t>
      </w:r>
      <w:r>
        <w:rPr>
          <w:rtl w:val="true"/>
        </w:rPr>
        <w:t>انتقال تابعیت از پدر و مادر با تابعیت گوناگون</w:t>
      </w:r>
      <w:bookmarkEnd w:id="207"/>
    </w:p>
    <w:p>
      <w:pPr>
        <w:pStyle w:val="BookText"/>
        <w:rPr/>
      </w:pPr>
      <w:r>
        <w:rPr>
          <w:rFonts w:ascii="IRNazanin" w:hAnsi="IRNazanin" w:eastAsia="IRNazanin"/>
          <w:color w:val="111111"/>
          <w:sz w:val="28"/>
          <w:sz w:val="28"/>
          <w:szCs w:val="28"/>
          <w:rtl w:val="true"/>
          <w:lang w:bidi="fa-IR"/>
        </w:rPr>
        <w:t xml:space="preserve">قانون ایران در ماده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بند دو، تابعیت اصلی را بر حسب روش خون، فقط از راه نَسَب پدری پذیرفته است و نَسَب مادری را به‌هیچ‌وجه ملاک نمی‌داند؛ حال آنکه در طرز تفکّر جدید، ضابطه‌ای که برای تشخیص تابعیت در روش خون شناخته شده، عبارت است از تابعیت والدین فرزندان، هنگام تولّد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به‌عبارت‌دیگر، در تابعیت نَسَبی، تابعیتی به فرزند تحمیل می‌شود که پدر و مادر در هنگام تولّد او از آن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هنگام تولد، بین پدر و مادر اختلاف تابعیتی باشد، فرزند آنان طبق روش خون، دارای دو تابعیت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خون در کشور فرانسه، امروزه طبق همین مفهوم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w:t>
      </w:r>
      <w:bookmarkStart w:id="208" w:name="pg5888_35988"/>
    </w:p>
    <w:p>
      <w:pPr>
        <w:pStyle w:val="BookText"/>
        <w:rPr/>
      </w:pPr>
      <w:bookmarkEnd w:id="208"/>
      <w:r>
        <w:rPr>
          <w:rFonts w:ascii="IRNazanin" w:hAnsi="IRNazanin" w:eastAsia="IRNazanin"/>
          <w:color w:val="111111"/>
          <w:sz w:val="28"/>
          <w:sz w:val="28"/>
          <w:szCs w:val="28"/>
          <w:rtl w:val="true"/>
          <w:lang w:bidi="fa-IR"/>
        </w:rPr>
        <w:t>قانون جدید تابعیت فرانسه، کودکی که مادرش فرانسوی است، فرانسوی محسوب است؛ خواه در فرانسه یا مکان دیگری متولّد شده باشد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09" w:name="__RefHeading___Toc5261310_581953129"/>
      <w:bookmarkStart w:id="210" w:name="_Toc83"/>
      <w:bookmarkEnd w:id="209"/>
      <w:r>
        <w:rPr>
          <w:rtl w:val="true"/>
        </w:rPr>
        <w:t>ه</w:t>
      </w:r>
      <w:r>
        <w:rPr>
          <w:rtl w:val="true"/>
        </w:rPr>
        <w:t xml:space="preserve">) </w:t>
      </w:r>
      <w:r>
        <w:rPr>
          <w:rtl w:val="true"/>
        </w:rPr>
        <w:t>تابعیت مضاعف، نتیجه تفسیر مختلف از معاهدات</w:t>
      </w:r>
      <w:bookmarkEnd w:id="210"/>
    </w:p>
    <w:p>
      <w:pPr>
        <w:pStyle w:val="BookText"/>
        <w:rPr/>
      </w:pPr>
      <w:r>
        <w:rPr>
          <w:rFonts w:ascii="IRNazanin" w:hAnsi="IRNazanin" w:eastAsia="IRNazanin"/>
          <w:color w:val="111111"/>
          <w:sz w:val="28"/>
          <w:sz w:val="28"/>
          <w:szCs w:val="28"/>
          <w:rtl w:val="true"/>
          <w:lang w:bidi="fa-IR"/>
        </w:rPr>
        <w:t>گاهی تابعیت افراد به‌طور کلّی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پی معاهداتی که پس از جنگ‌ها بین کشورهای پیروز و شکست خورده بسته می‌شود، با تغییر مرز، تابعیت گروه‌هایی از مردم هم عوض می‌شود؛ چنان‌که منطقه‌ای از یک کشور به کشور دیگر ملحق شده، ساکنان آن از تابعیت جدید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تغییر تابعیت از تفسیر عهدنامه اثر می‌پذیرد و هر یک از دو دولت با تفسیری که از آن ارائه می‌دهند، افرادی را تابع خود می‌شناسند، که دراین صورت، تابعیت مضاعف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را در جنگ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 بین فرانسه و آلمان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فرانسه شکست خورد و با معاهده فرانکفورت،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الزاس ولرن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به آلمان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الحاق تا سال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 سال شروع جنگ جهانی اول،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بسته شدن این قرارداد، درباره ماده دوّم آن، اختلاف نظر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آلمان صِرف اقامت اشخاص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الزاس ولرن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انعقاد قرارداد، برای تحقّق تابعیت آلمانی آنها کافی می‌دانست؛ درحالی‌که دادگاه‌های فرانسه این تفسیر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اشخاص ساکن در این ناحیه دارای تابعیت مضاعف شدند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211" w:name="__RefHeading___Toc5261312_581953129"/>
      <w:bookmarkStart w:id="212" w:name="_Toc84"/>
      <w:bookmarkEnd w:id="211"/>
      <w:r>
        <w:rPr/>
        <w:t>4</w:t>
      </w:r>
      <w:r>
        <w:rPr>
          <w:rtl w:val="true"/>
        </w:rPr>
        <w:t xml:space="preserve">- </w:t>
      </w:r>
      <w:r>
        <w:rPr>
          <w:rtl w:val="true"/>
        </w:rPr>
        <w:t>راه های رفع یا جلوگیری از تابعیت مضاعف</w:t>
      </w:r>
      <w:bookmarkEnd w:id="21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راه‌های زیادی برای پیشگیری یا رفع مشکل تابعیت مضاعف پیش‌بینی</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این است که کشورها قوانین تابعیت را به شکلی سامان دهند که یکی از دو تابعیت بر دیگری ترجیح داده شود و یا هر شخص، زمانی بتواند تابعیت جدیدی کسب کند که تابعیت گذشته خود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می‌تواند از راه موافقت کشورِ نخست با ترک تابعیت وی به دست آید و یا اینکه کشور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قرار است تابعیت شخص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تابعیت پیشین را شرط پذیرش تابعیت جدید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تاکنون تعدادی موافقت‌نامه بین‌المللی برای جلوگیری از بی‌تابعیتی و نیز تابعیت مضاعف وضع شده است، امّا متأسفانه از سوی بعضی کشورها در قراردادهایی که برای رفع این چنین مشکلاتی بسته شده است، بی‌میلی مصرانه‌ای مشاهده می‌شود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عواملی که موجب تابعیت مضاعف می‌شوند،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ارادی، مانند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ارادی، مانند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برای مقابله با تابعیت مضاعف، دو راه‌حل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راه‌حل درباره دریافت تابعیت غیر ارادی این است که یکی از دو تابعیت بر دیگری ترجیح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بدین‌منظور، پس از آنکه کودک به سن قانونی رشد رسید، یکی از دو تابعیت را به میل خود پذیرفته، دیگری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راه‌حل از سوی برخی مجامع بین‌المللی و کنوانسیون لاهه پیشنهاد شده و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نیز آن را پذیرفته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می‌شود، این قوانین هستند که این وضع نامساعد را به‌وجود می‌آورند؛ برای نمونه، فرزندان ایرانیانی که در آمریکا اقامت دارند، از دو تابعیت</w:t>
      </w:r>
    </w:p>
    <w:p>
      <w:pPr>
        <w:pStyle w:val="BookText"/>
        <w:rPr/>
      </w:pP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برخوردار می‌شوند، بدون آنکه خودشان دراین‌باره صاحب‌نظر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همچنان بر اشخاص دارای تابعیت مضاعف افزوده می‌شود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ایرادی که بر این دیدگاه وارد شده این است که تابعیت، یک امر سیاسی و مربوط به حاکمیت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ندارد که اختیار آن به عهده شخص گذاشته شود؛ چه اینکه شخص بیش از هر چیز، منافع شخصی خود را در نظر خواهد گرفت و برای کسب منافع بیشتر، هر دو تابعیت را برای خود حفظ خواهد کرد؛ مثلاً آسان بودن انجام خدمت نظام وظیفه را در یکی از دو کشور مد نظر قرار خواهد داد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دانشمندان علم حقوق معتقدند برای رفع اشکال تابعیت مضاعف در این مورد بهتر است در نسل اول، از روش خون و در نسل دوّم به بعد، از روش خاک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قراردادهای فرانسه و انگلیس، درباره اهالی جزیره مالت که ساکن تونس بودند همین روش اجرا شد با این تفاوت که روش خاک در نسل سوّم به کار گرفته شد و در دو نسل اول و دوم، روش خون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ایتالیایی‌ها در قرارداد خود با فرانسه، درباره اتباع ایتالیایی که ساکن تونس بودند، این قاعده را نپذیرفتند</w:t>
      </w:r>
      <w:r>
        <w:rPr>
          <w:rFonts w:eastAsia="IRNazanin" w:cs="IRNazanin"/>
          <w:color w:val="111111"/>
          <w:sz w:val="28"/>
          <w:szCs w:val="28"/>
          <w:rtl w:val="true"/>
          <w:lang w:bidi="fa-IR"/>
        </w:rPr>
        <w:t>.</w:t>
      </w:r>
      <w:r>
        <w:rPr>
          <w:rStyle w:val="FootnoteAnchor"/>
          <w:rtl w:val="true"/>
        </w:rPr>
        <w:footnoteReference w:id="13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نبودن دریافت تابعیت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کسب تابعیت دوم، بدون ترک تابعیت اول یا ازدواج به‌وجود می‌آید، راه حل این است که کسی نتواند تابعیت جدید را به دست آورد؛ مگر اینکه تابعیت قبلی خود را از دست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به سادگی میسر نیست؛ زیرا</w:t>
      </w:r>
      <w:r>
        <w:rPr>
          <w:rFonts w:eastAsia="IRNazanin" w:cs="IRNazanin"/>
          <w:color w:val="111111"/>
          <w:sz w:val="28"/>
          <w:szCs w:val="28"/>
          <w:rtl w:val="true"/>
          <w:lang w:bidi="fa-IR"/>
        </w:rPr>
        <w:t>:</w:t>
      </w:r>
      <w:bookmarkStart w:id="213" w:name="pg5888_35991"/>
    </w:p>
    <w:p>
      <w:pPr>
        <w:pStyle w:val="BookText"/>
        <w:rPr/>
      </w:pPr>
      <w:bookmarkEnd w:id="213"/>
      <w:r>
        <w:rPr>
          <w:rFonts w:ascii="IRNazanin" w:hAnsi="IRNazanin" w:eastAsia="IRNazanin"/>
          <w:color w:val="111111"/>
          <w:sz w:val="28"/>
          <w:sz w:val="28"/>
          <w:szCs w:val="28"/>
          <w:rtl w:val="true"/>
          <w:lang w:bidi="fa-IR"/>
        </w:rPr>
        <w:t>نخست اینکه هیچ کشوری حاضر نیست بدون قید و شرط، تابعیت خود را از کسی سلب کند؛ چراکه تبعه در قبال کشور متبوع خود دارای تعهداتی است؛ برای نمونه، شخص موظف به انجام خدمت نظام وظیفه است و تا زمانی که وظایف خود را انجام ندهد، دولت او را از تابعیت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طبق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هیچ مرد ایرانی نمی‌تواند ترک تابعیت ایران کند، مگر آنکه خدمت تحت‌السلاح خود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پذیرش تابعیت مسئله‌ای است که به حاکمیت سیاسی یک کشور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کشوری حاضر نیست حاکمیت سیاسی خود را در گروی حاکمیت سیاسی کشور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تابعیتِ شخص از سوی کشور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زیرا در حقوق بین‌الملل، همه حاکمیت‌ها در یک سطح بوده و هیچ دولتی نمی‌پذیرد که در اعمال حاکمیت سیاسی خود، میل و اراده سایر دولت‌ها را دخالت دهد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به هر صورت، در حال حاضر راه حل مشخصی برای رفع مشکل تابعیت مضاعف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کنفرانس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که به منظور تدوین حقوق بین‌الملل خصوصی تشکیل شد و به تصویب قراردادی راجع به تعارض قوانین تابعیت منجر گردید، راه حل مشخصی برای رفع این مشکل ارائه نشد</w:t>
      </w:r>
      <w:r>
        <w:rPr>
          <w:rFonts w:eastAsia="IRNazanin" w:cs="IRNazanin"/>
          <w:color w:val="111111"/>
          <w:sz w:val="28"/>
          <w:szCs w:val="28"/>
          <w:rtl w:val="true"/>
          <w:lang w:bidi="fa-IR"/>
        </w:rPr>
        <w:t>.</w:t>
      </w:r>
    </w:p>
    <w:p>
      <w:pPr>
        <w:pStyle w:val="Heading3"/>
        <w:numPr>
          <w:ilvl w:val="2"/>
          <w:numId w:val="1"/>
        </w:numPr>
        <w:rPr/>
      </w:pPr>
      <w:bookmarkStart w:id="214" w:name="__RefHeading___Toc5261314_581953129"/>
      <w:bookmarkStart w:id="215" w:name="_Toc85"/>
      <w:bookmarkEnd w:id="214"/>
      <w:r>
        <w:rPr/>
        <w:t>5</w:t>
      </w:r>
      <w:r>
        <w:rPr>
          <w:rtl w:val="true"/>
        </w:rPr>
        <w:t xml:space="preserve">- </w:t>
      </w:r>
      <w:r>
        <w:rPr>
          <w:rtl w:val="true"/>
        </w:rPr>
        <w:t>اقسام تابعیت</w:t>
      </w:r>
      <w:bookmarkEnd w:id="21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اصول سه‌گانه تابعیت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اصل نخست، هر فردی باید تابعیتی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دو قاعده را می‌توان دریافت</w:t>
      </w:r>
      <w:r>
        <w:rPr>
          <w:rFonts w:eastAsia="IRNazanin" w:cs="IRNazanin"/>
          <w:color w:val="111111"/>
          <w:sz w:val="28"/>
          <w:szCs w:val="28"/>
          <w:rtl w:val="true"/>
          <w:lang w:bidi="fa-IR"/>
        </w:rPr>
        <w:t>:</w:t>
      </w:r>
      <w:bookmarkStart w:id="216" w:name="pg5888_35992"/>
    </w:p>
    <w:p>
      <w:pPr>
        <w:pStyle w:val="BookText"/>
        <w:rPr/>
      </w:pPr>
      <w:bookmarkEnd w:id="216"/>
      <w:r>
        <w:rPr>
          <w:rFonts w:ascii="IRNazanin" w:hAnsi="IRNazanin" w:eastAsia="IRNazanin"/>
          <w:color w:val="111111"/>
          <w:sz w:val="28"/>
          <w:sz w:val="28"/>
          <w:szCs w:val="28"/>
          <w:rtl w:val="true"/>
          <w:lang w:bidi="fa-IR"/>
        </w:rPr>
        <w:t xml:space="preserve">نخست اینکه هر فرد در هنگام تولّد باید تبعه دولت معینی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همزادی شخص و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هیچ فردی نمی‌تواند بدون آنکه تابعیت دولت دیگری را بپذیرد، ترک تابعیت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اصل نخست، تابعیت از دو راه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مبدأ یا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به محض تولّد کودک، تابعیت دولتی بر وی تحمیل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ممکن است شخص در حال زندگی به علل گوناگون تابعیت خویش را تغییر داده، تابعیت کشور دیگری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بخش، نخست اقسام تابعیت مبدأ یا اصلی را بررسی کرده،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را مورد توجه قرار می‌دهیم</w:t>
      </w:r>
      <w:r>
        <w:rPr>
          <w:rFonts w:eastAsia="IRNazanin" w:cs="IRNazanin"/>
          <w:color w:val="111111"/>
          <w:sz w:val="28"/>
          <w:szCs w:val="28"/>
          <w:rtl w:val="true"/>
          <w:lang w:bidi="fa-IR"/>
        </w:rPr>
        <w:t>.</w:t>
      </w:r>
    </w:p>
    <w:p>
      <w:pPr>
        <w:pStyle w:val="Heading3"/>
        <w:numPr>
          <w:ilvl w:val="2"/>
          <w:numId w:val="1"/>
        </w:numPr>
        <w:rPr/>
      </w:pPr>
      <w:bookmarkStart w:id="217" w:name="__RefHeading___Toc5261316_581953129"/>
      <w:bookmarkStart w:id="218" w:name="_Toc86"/>
      <w:bookmarkEnd w:id="217"/>
      <w:r>
        <w:rPr/>
        <w:t>6</w:t>
      </w:r>
      <w:r>
        <w:rPr>
          <w:rtl w:val="true"/>
        </w:rPr>
        <w:t xml:space="preserve">- </w:t>
      </w:r>
      <w:r>
        <w:rPr>
          <w:rtl w:val="true"/>
        </w:rPr>
        <w:t xml:space="preserve">اقسام تابعیت مبدأ </w:t>
      </w:r>
      <w:r>
        <w:rPr>
          <w:rtl w:val="true"/>
        </w:rPr>
        <w:t>(</w:t>
      </w:r>
      <w:r>
        <w:rPr>
          <w:rtl w:val="true"/>
        </w:rPr>
        <w:t>اصلی، تولّدی</w:t>
      </w:r>
      <w:r>
        <w:rPr>
          <w:rtl w:val="true"/>
        </w:rPr>
        <w:t>)</w:t>
      </w:r>
      <w:bookmarkEnd w:id="218"/>
    </w:p>
    <w:p>
      <w:pPr>
        <w:pStyle w:val="Heading4"/>
        <w:numPr>
          <w:ilvl w:val="3"/>
          <w:numId w:val="1"/>
        </w:numPr>
        <w:rPr/>
      </w:pPr>
      <w:bookmarkStart w:id="219" w:name="__RefHeading___Toc5261318_581953129"/>
      <w:bookmarkStart w:id="220" w:name="_Toc87"/>
      <w:bookmarkEnd w:id="219"/>
      <w:r>
        <w:rPr>
          <w:rtl w:val="true"/>
        </w:rPr>
        <w:t>اشاره</w:t>
      </w:r>
      <w:bookmarkEnd w:id="220"/>
    </w:p>
    <w:p>
      <w:pPr>
        <w:pStyle w:val="BookText"/>
        <w:rPr/>
      </w:pP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کودکی به دنیا می‌آید، ناگزیر تابعیت یک دولت به وی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اجتماعی است و امروزه همه دولت‌ها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تابعیت تولدی به دو 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راه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1" w:name="__RefHeading___Toc5261320_581953129"/>
      <w:bookmarkStart w:id="222" w:name="_Toc88"/>
      <w:bookmarkEnd w:id="221"/>
      <w:r>
        <w:rPr>
          <w:rtl w:val="true"/>
        </w:rPr>
        <w:t>الف</w:t>
      </w:r>
      <w:r>
        <w:rPr>
          <w:rtl w:val="true"/>
        </w:rPr>
        <w:t xml:space="preserve">) </w:t>
      </w:r>
      <w:r>
        <w:rPr>
          <w:rtl w:val="true"/>
        </w:rPr>
        <w:t xml:space="preserve">روش خون </w:t>
      </w:r>
      <w:r>
        <w:rPr>
          <w:rtl w:val="true"/>
        </w:rPr>
        <w:t>(</w:t>
      </w:r>
      <w:r>
        <w:rPr>
          <w:rtl w:val="true"/>
        </w:rPr>
        <w:t>نَسَب</w:t>
      </w:r>
      <w:r>
        <w:rPr>
          <w:rtl w:val="true"/>
        </w:rPr>
        <w:t xml:space="preserve">) </w:t>
      </w:r>
      <w:r>
        <w:rPr>
          <w:rtl w:val="true"/>
        </w:rPr>
        <w:t>و دلایل طرفداران آن</w:t>
      </w:r>
      <w:bookmarkEnd w:id="22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خون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عبارت است از روشی که در</w:t>
      </w:r>
    </w:p>
    <w:p>
      <w:pPr>
        <w:pStyle w:val="BookText"/>
        <w:rPr/>
      </w:pPr>
      <w:r>
        <w:rPr>
          <w:rFonts w:ascii="IRNazanin" w:hAnsi="IRNazanin" w:eastAsia="IRNazanin"/>
          <w:color w:val="111111"/>
          <w:sz w:val="28"/>
          <w:sz w:val="28"/>
          <w:szCs w:val="28"/>
          <w:rtl w:val="true"/>
          <w:lang w:bidi="fa-IR"/>
        </w:rPr>
        <w:t>آن، تابعیت از راه نَسَب و وابستگی خانوادگی به فرزند منتقل می‌شود؛ یعنی کودک در همان هنگام تولد، از تابعیت پدر و مادر خود برخوردار می‌شود و محل تولّد و یا اقامتگاه والدین، هیچ تأثیری بر تابعیت فرزند ندارد؛ برای نمونه، کودک تولّدیافته از یک پدر و مادر ایرانی، تابعیت ایرانی دارد؛ حتی اگر در یک سرزمین خارجی به دنیا آمده یا در آنجا اقامت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پدر و مادر کودک، پیش‌تر دارای چه تابعیتی بوده‌اند یا اینکه نژاد آنها چیست، هیچ تأثیری در این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پدر و مادر وی در زمان تولّد طفل، دارای تابعیت کشوری باشند، برای برخورداری فرزند از تابعیت همان کشور کافی است؛ برای نمونه، اگر یک پدر و مادر ژاپنی به تابعیت ایران درآمده، سپس دارای فرزندی شوند، فرزند آنها با وجود آنکه دارای نژاد ژاپنی است، ایرانی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تابعیت فرزند، مربوط به نژاد او نیست و اصل نژاد از اصل خون متفاوت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دلایل طرفداران روش خون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کشورهایی با جمعیت زیاد و وسعت کم، برای ادامه زندگی و به‌دست‌آوردن درآمد، به کشورهای دیگر مهاجرت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یک سو با برگرداندن سرمایه به کشور متبوع خود، موجب رشد اقتصادی کشور شده می‌شوند از سوی دیگر، با بازگشت به کشور خود در زمان جنگ و خدمت در ارتش، موجب تقویت نظامی آن می‌گردند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کشورهای یادشده با مهاجرت به سرزمین‌های دیگر موجب افزایش نفوذ سیاسی و اعتبار دولت خود در خارج از کشور می‌شوند</w:t>
      </w:r>
      <w:r>
        <w:rPr>
          <w:rFonts w:eastAsia="IRNazanin" w:cs="IRNazanin"/>
          <w:color w:val="111111"/>
          <w:sz w:val="28"/>
          <w:szCs w:val="28"/>
          <w:rtl w:val="true"/>
          <w:lang w:bidi="fa-IR"/>
        </w:rPr>
        <w:t>.</w:t>
      </w:r>
      <w:bookmarkStart w:id="223" w:name="pg5888_35994"/>
    </w:p>
    <w:p>
      <w:pPr>
        <w:pStyle w:val="BookText"/>
        <w:rPr/>
      </w:pPr>
      <w:bookmarkEnd w:id="223"/>
      <w:r>
        <w:rPr>
          <w:rFonts w:ascii="IRNazanin" w:hAnsi="IRNazanin" w:eastAsia="IRNazanin"/>
          <w:color w:val="111111"/>
          <w:sz w:val="28"/>
          <w:sz w:val="28"/>
          <w:szCs w:val="28"/>
          <w:rtl w:val="true"/>
          <w:lang w:bidi="fa-IR"/>
        </w:rPr>
        <w:t>اصل این است که تابعیت، عاملی ارتباطی برای ادامه رابطه سیاسی و پیوندهای معنوی مهاجران با کشور متبوع خویش است تا در هنگام نیاز و ضرورت، از کمک به سرزمین مادری خویش دریغ نورزند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به‌عبارت‌دیگر، کشورهای یادشده معتقدند با پذیرش روش خون و افزایش اتباع کشور در خارج، نام کشور بیشتر بر سر زبان‌ها می‌افتد و باعث نفوذ سیاسی و معنوی کشور می‌شود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حفظ نژاد و تمامیت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روش باعث حفظ نژاد و تمامیت فرهنگی و ملّی اتباع کشوری می‌شود که به دلایل گوناگون به کشورهای دیگر مهاجرت می‌کنند؛ حتی این علاقه به نژاد، فرهنگ، تاریخ و تمامیت ملّی کشور، از راه این روش به فرزندان آنها نیز منتقل می‌شود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این دلیل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مونتسکیو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 گرفتن روش خون بهترین وسیله برای رعایت تأثیرات نژادی و در نتیجه، ضامن علاقه‌مندی به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آمیزه و دستاوردِ محیطی است که در آن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ساخته آب و هوا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علاقه‌مندی به کشور، با خون او آمیخته و از آن راه به فرزندان وی سرایت می‌کند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224" w:name="__RefHeading___Toc5261322_581953129"/>
      <w:bookmarkStart w:id="225" w:name="_Toc89"/>
      <w:bookmarkEnd w:id="224"/>
      <w:r>
        <w:rPr>
          <w:rtl w:val="true"/>
        </w:rPr>
        <w:t>ب</w:t>
      </w:r>
      <w:r>
        <w:rPr>
          <w:rtl w:val="true"/>
        </w:rPr>
        <w:t xml:space="preserve">) </w:t>
      </w:r>
      <w:r>
        <w:rPr>
          <w:rtl w:val="true"/>
        </w:rPr>
        <w:t xml:space="preserve">روش خاک </w:t>
      </w:r>
      <w:r>
        <w:rPr>
          <w:rtl w:val="true"/>
        </w:rPr>
        <w:t>(</w:t>
      </w:r>
      <w:r>
        <w:rPr>
          <w:rtl w:val="true"/>
        </w:rPr>
        <w:t>زادگاه</w:t>
      </w:r>
      <w:r>
        <w:rPr>
          <w:rtl w:val="true"/>
        </w:rPr>
        <w:t xml:space="preserve">) </w:t>
      </w:r>
      <w:r>
        <w:rPr>
          <w:rtl w:val="true"/>
        </w:rPr>
        <w:t>و دلیل طرفداران آن</w:t>
      </w:r>
      <w:bookmarkEnd w:id="22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سیستم خاک است عبارت از شیوه‌ای که بنابر آن، تابعیت را براساس محل تولّد شخص مشخص می‌کنند؛ یعنی هر شخص از تابعیت کشور و محل تولد خود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هرکس ناچار در محلی به دنیا می‌آید و آن محل نیز جزء قلمرو دولتی به‌شمار می‌آید، چنانچه همه کشورها به اتفاق این روش را</w:t>
      </w:r>
    </w:p>
    <w:p>
      <w:pPr>
        <w:pStyle w:val="BookText"/>
        <w:rPr/>
      </w:pPr>
      <w:r>
        <w:rPr>
          <w:rFonts w:ascii="IRNazanin" w:hAnsi="IRNazanin" w:eastAsia="IRNazanin"/>
          <w:color w:val="111111"/>
          <w:sz w:val="28"/>
          <w:sz w:val="28"/>
          <w:szCs w:val="28"/>
          <w:rtl w:val="true"/>
          <w:lang w:bidi="fa-IR"/>
        </w:rPr>
        <w:t>بپذیرند، دیگر آپاتریدی</w:t>
      </w:r>
      <w:r>
        <w:rPr>
          <w:rStyle w:val="FootnoteAnchor"/>
          <w:rtl w:val="true"/>
        </w:rPr>
        <w:footnoteReference w:id="144"/>
      </w:r>
      <w:r>
        <w:rPr>
          <w:rFonts w:ascii="IRNazanin" w:hAnsi="IRNazanin" w:eastAsia="IRNazanin"/>
          <w:color w:val="111111"/>
          <w:sz w:val="28"/>
          <w:sz w:val="28"/>
          <w:szCs w:val="28"/>
          <w:rtl w:val="true"/>
          <w:lang w:bidi="fa-IR"/>
        </w:rPr>
        <w:t>بروز نمی‌کند و هیچ فردی بدون تابعیت نمی‌ماند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با توجّه به آنچه بیان شد، این روش می‌گوید هر کس که در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ما به دنیا آمده باشد، تبعه قانونی ما شمرده می‌شود و این امر به سرزمین کشور خاصی ارتباط ندارد؛ بلکه شامل هواپیما با ملکیت آن کشور یا کشتی با پرچم آن کشور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کامن‌لایی</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از این روش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بیشتر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ژرمنی</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از روش خون تبعیت می‌کنند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ویژگی‌های مثبت این سیستم، تأمین نیازهای شغلی، نیروی انسانی کارآمد و متخصص و نیز حفظ موازنه رشد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مزایای</w:t>
      </w:r>
    </w:p>
    <w:p>
      <w:pPr>
        <w:pStyle w:val="BookText"/>
        <w:rPr/>
      </w:pPr>
      <w:r>
        <w:rPr>
          <w:rFonts w:ascii="IRNazanin" w:hAnsi="IRNazanin" w:eastAsia="IRNazanin"/>
          <w:color w:val="111111"/>
          <w:sz w:val="28"/>
          <w:sz w:val="28"/>
          <w:szCs w:val="28"/>
          <w:rtl w:val="true"/>
          <w:lang w:bidi="fa-IR"/>
        </w:rPr>
        <w:t>آن این است که معمولاً دولت‌ها کسانی را که در قلمرو سرزمین آنها سکونت دارند، بهتر می‌توانند زیر نفوذ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دلایل طرفداران این روش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اقتصادی، علمی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کم‌جمعیت ولی بسیار بزرگ، بیشتر به دنبال جذب سرمایه‌گذاران، متخصصان و نیروهای انسانی لایق و کارآمد از کشورهای دیگر هستند، تا از این راه به پیشرفت‌های اقتصادی علمی و اجتماعی دست یابند و با توسعه همه جانبه خود به کشوری بزرگ و قدرتمند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نمونه بارز این کشورهاست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سازگاری و انطباق با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کشوری به دنیا آمده و در آنجا زندگی و رشد کرده است، به ویژگی‌های اخلاقی، فرهنگی و آداب و رسوم اجتماعی آن محل آشناتر است تا کشوری که چه بسا هرگز آن را ندیده و در آنجا زندگی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تأثیرات اجتماعی در شخص، بیشتر از تأثیرات ارثی و خونی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کسی که در سرزمینی تولّد یافته و در آنجا رشد داشته است، تابعیت محل تولدش داده شود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به‌عبارت‌دیگر، تابعیت کسی که در سرزمینی به دنیا آمده و در آنجا رشد یافته است، به اقتضای یک اختلاط معنوی، باید تابعیت محل تولدش باشد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حاکمیت سرزمینی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دولت‌ها نسبت به افرادی که در قلمرو سرزمینی آنها به دنیا آمده و در آن سکونت دارند، بسیار بیشتر از کسانی است که به دلایلی در خارج از قلمرو آن کشور به دنیا آمده و سکونت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وجود عدم حاکمیت بالفعل دولت‌های مزبور نسبت به افرادی که از</w:t>
      </w:r>
      <w:bookmarkStart w:id="226" w:name="pg5888_35997"/>
    </w:p>
    <w:p>
      <w:pPr>
        <w:pStyle w:val="BookText"/>
        <w:rPr/>
      </w:pPr>
      <w:bookmarkEnd w:id="226"/>
      <w:r>
        <w:rPr>
          <w:rFonts w:ascii="IRNazanin" w:hAnsi="IRNazanin" w:eastAsia="IRNazanin"/>
          <w:color w:val="111111"/>
          <w:sz w:val="28"/>
          <w:sz w:val="28"/>
          <w:szCs w:val="28"/>
          <w:rtl w:val="true"/>
          <w:lang w:bidi="fa-IR"/>
        </w:rPr>
        <w:t>قلمرو آنان خارج شده‌اند، این دولتها چگونه می‌توانند حاکمیت خود را به فرزندان و نسل‌های بعدی آنان که در سرزمین بیگانه به دنیا آمده و سکونت می‌کنند،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تبعیض در اعمال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و مقررات هر دولتی باید به‌طور یکسان میان افراد جامعه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کس که در محلی به دنیا می‌آید، باید از همان قوانین و مقررات پیروی کرده، از اتباع همان کشور 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جلوگیری از بی‌تابعیتی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ناچار در محلی به دنیا می‌آید که آن محل در قلمرو دولت معینی است و چون دولت، مقام صالح برای اعطای تابعیت است، فرد مزبور بدون تابعیت نمی‌ماند</w:t>
      </w:r>
      <w:r>
        <w:rPr>
          <w:rFonts w:eastAsia="IRNazanin" w:cs="IRNazanin"/>
          <w:color w:val="111111"/>
          <w:sz w:val="28"/>
          <w:szCs w:val="28"/>
          <w:rtl w:val="true"/>
          <w:lang w:bidi="fa-IR"/>
        </w:rPr>
        <w:t>.</w:t>
      </w:r>
    </w:p>
    <w:p>
      <w:pPr>
        <w:pStyle w:val="Heading4"/>
        <w:numPr>
          <w:ilvl w:val="3"/>
          <w:numId w:val="1"/>
        </w:numPr>
        <w:rPr/>
      </w:pPr>
      <w:bookmarkStart w:id="227" w:name="__RefHeading___Toc5261324_581953129"/>
      <w:bookmarkStart w:id="228" w:name="_Toc90"/>
      <w:bookmarkEnd w:id="227"/>
      <w:r>
        <w:rPr>
          <w:rtl w:val="true"/>
        </w:rPr>
        <w:t>ج</w:t>
      </w:r>
      <w:r>
        <w:rPr>
          <w:rtl w:val="true"/>
        </w:rPr>
        <w:t xml:space="preserve">) </w:t>
      </w:r>
      <w:r>
        <w:rPr>
          <w:rtl w:val="true"/>
        </w:rPr>
        <w:t>مقایسه میان دو روش خون و خاک</w:t>
      </w:r>
      <w:bookmarkEnd w:id="228"/>
    </w:p>
    <w:p>
      <w:pPr>
        <w:pStyle w:val="BookText"/>
        <w:rPr/>
      </w:pPr>
      <w:r>
        <w:rPr>
          <w:rFonts w:ascii="IRNazanin" w:hAnsi="IRNazanin" w:eastAsia="IRNazanin"/>
          <w:color w:val="111111"/>
          <w:sz w:val="28"/>
          <w:sz w:val="28"/>
          <w:szCs w:val="28"/>
          <w:rtl w:val="true"/>
          <w:lang w:bidi="fa-IR"/>
        </w:rPr>
        <w:t xml:space="preserve">ازآنجاکه مصالح و منافع هر کشوری متعلق به همان کشور است و این مصالح ممکن است با نظر به اوضاع و احوال جغرافیایی، اجتماعی و فرهنگی و وضع ساکنان آن کشور با دیگر کشورها متفاوت باشد، نمی‌توان به‌صورتِ مطلق قضاوت کرد که کدام‌یک از دو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برتری 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معیار خون از پیشینه تاریخی افزون‌تری نسبت به روش خاک برخوردار است؛ زیرا هنگامی که هنوز ارزش سرزمین به‌عنوان یکی از زمینه‌های تشکیل دولت شناخته شده نبود، این معیار که نشان‌دهنده پیوند شخص به اقوام و خانواده‌های تشکیل‌دهنده یک دولت بود، می‌توانست تابعیت او را نسبت به آن دولت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خاک هنگامی توانست ارزش یابد که در مفهوم دولت دگرگونی‌هایی پدید آمد و ارزش سرزمین در تشکیل آن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هر یک از دو معیار در دوره‌ای معین در گذشته، برای تعیین اتباع یک دولت به کار می‌رفته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در روش خون، هرگاه فرزندی از پدر و مادر بدون تابعیت به دنیا آید و یا پدر و مادرش معلوم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تابعیتی برای کودک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مزیت روش خون این است دارد که حضور افراد در خارج از کشور، باعث نفوذ سیاسی و افزایش اعتبار دولت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با استفاده از روش خون، نژاد تا حدی پابرجا مانده، از درآمیختگی آن تا حد امکان جلوگیری و تمامیت ملّی حفظ می‌شود؛ برای نمونه، در کشوری مانند سوئیس که به اندازه کافی کار و مسکن برای اتباع خود ندارد، روش خون مناسب‌تر است؛ چون حدود سه برابر جمعیت داخل کشور، در بیرون از کشور مشغول کار و فعالیت هستند؛ امّا برای کشوری بزرگ، و به نسبت کم‌جمعیت و مهاجرپذیر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برای افراد سایر کشورهای جهان نیز شغل و مسکن ایجاد کند، روش خاک مناسب‌تر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مزیت روش خاک نیز این است که معمولاً نفوذ واقعی دولت، بر روی اشخاصی است که در قلمرو آن سرزمین سکونت دارد و هنگامی که فردی از خاک آن خارج شد، دولت دیگر نمی‌تواند سلطه واقعی روی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 که در محیطی به دنیا آمده و در آنجا پرورش یافته است، با اخلاق و روحیات مردم آن کشور بیشتر انس می‌گیرد، تا با خلق و خوی مردم کشوری که به آن قدم نگذاشته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با توجه به مطالب پیش‌گفته، در بحث مقایسه دو روش خاک و خون باید به نکته‌های زیر توجه داشت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دو روش خون و خاک معارض هم نیستند؛ بلکه هر یک مزایا</w:t>
      </w:r>
      <w:bookmarkStart w:id="229" w:name="pg5888_35999"/>
    </w:p>
    <w:p>
      <w:pPr>
        <w:pStyle w:val="BookText"/>
        <w:rPr/>
      </w:pPr>
      <w:bookmarkEnd w:id="229"/>
      <w:r>
        <w:rPr>
          <w:rFonts w:ascii="IRNazanin" w:hAnsi="IRNazanin" w:eastAsia="IRNazanin"/>
          <w:color w:val="111111"/>
          <w:sz w:val="28"/>
          <w:sz w:val="28"/>
          <w:szCs w:val="28"/>
          <w:rtl w:val="true"/>
          <w:lang w:bidi="fa-IR"/>
        </w:rPr>
        <w:t>و معایبی دارند، که کشورها با توجه به موقعیت های سیاسی، اجتماعی، فرهنگی، جغرافیایی و اقتصادی خود، آنها را اعمال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هیچ‌یک از دو روش به‌طور مطلق بر دیگری برتری ندارد؛ بلکه هر کدام از کشورها باید با توجه به اوضاع و احوال جغرافیایی، سیاسی و اقتصادی خود، یکی از دو راه یا هر دو را به‌طور مطلق اعمال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اکثر کشورها برای آنکه بتوانند از مزایای هر دو روش بهره‌مند شوند، ترجیح می‌دهند با توجه به ماهیت هر موضوعی، یکی از دو روش را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قانون ایران نیز آن را به کار گرفته است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30" w:name="__RefHeading___Toc5261326_581953129"/>
      <w:bookmarkStart w:id="231" w:name="_Toc91"/>
      <w:bookmarkEnd w:id="230"/>
      <w:r>
        <w:rPr/>
        <w:t>7</w:t>
      </w:r>
      <w:r>
        <w:rPr>
          <w:rtl w:val="true"/>
        </w:rPr>
        <w:t xml:space="preserve">- </w:t>
      </w:r>
      <w:r>
        <w:rPr>
          <w:rtl w:val="true"/>
        </w:rPr>
        <w:t xml:space="preserve">قاعده </w:t>
      </w:r>
      <w:r>
        <w:rPr>
          <w:rtl w:val="true"/>
        </w:rPr>
        <w:t>«</w:t>
      </w:r>
      <w:r>
        <w:rPr>
          <w:rtl w:val="true"/>
        </w:rPr>
        <w:t>پیوستگی تابعیت</w:t>
      </w:r>
      <w:r>
        <w:rPr>
          <w:rtl w:val="true"/>
        </w:rPr>
        <w:t>»</w:t>
      </w:r>
      <w:bookmarkEnd w:id="231"/>
    </w:p>
    <w:p>
      <w:pPr>
        <w:pStyle w:val="BookText"/>
        <w:rPr/>
      </w:pPr>
      <w:r>
        <w:rPr>
          <w:rFonts w:ascii="IRNazanin" w:hAnsi="IRNazanin" w:eastAsia="IRNazanin"/>
          <w:color w:val="111111"/>
          <w:sz w:val="28"/>
          <w:sz w:val="28"/>
          <w:szCs w:val="28"/>
          <w:rtl w:val="true"/>
          <w:lang w:bidi="fa-IR"/>
        </w:rPr>
        <w:t>هدف از این قاعده آن است که در هیچ لحظه‌ای، خللی در تابعیت شخص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شخص هنگامی تابعیت خود را از دست می‌دهد که تابعیت دولت دیگری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بتوانند هرگاه که خواستند تابعیت خود را رها کنند و یا دولت بتواند هرگاه که تصمیم گرفت، آنها را از تابعیت خویش خارج کند، دراین‌صورت افراد بدون تابعیت زیاد شده، این امر باعث آشفتگی در امور حقوقی و نظام اجتماعی می‌شود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منظور از پیوستگی تابعیت، جاودانه و تغییرناپذیر بودن تابعیت دولتی خاص نیست؛ بلکه مراد، استمرار جنس تابعیت در قالب اتصال و پیوستگی دو نوع از تابعیت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دولت‌های 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به‌صورتی که هم‌زمان با از بین رفتن تابعیت یک دولت، تابعیت دولت دیگری جایگزین آن شود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اصل نخست از اصول تابعیت، گروهی فاقد تابعیت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نظر به هیچ دولتی وابستگی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بی‌تابعیتی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چند عامل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قوانین کشورها یا تعارض دو روش خاک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 و مهاجرت، که ممکن است در اثر آن، شخص تابعیت گذشته خویش را از دست داده، تابعیت جدیدی هم به 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به‌عنوان مجازات، از فردی سلب تابعیت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قانون خاص کشوری، زمینه‌های سلب تابعیت فردی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شخص در اثر تخییر یا اراده شخصی، تابعیت هیچ کشوری را دریافت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ممکن است فردی تابعیت قبلی را از خویش سلب کند، ولی تابعیت دولت جدید را کسب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صحنه بین‌المللی و نیز قوانین و مقررات داخلی کشورها، برای حل مشکل بی‌تابعیتی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صورت گرفته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شخص بی‌تابعیت، برگه هویت ویژه‌ای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سعی می‌شود تابعیت از دست رفته را دوباره به فرد اعطا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قوانین بین‌المللی از دولت‌ها می‌خواهند تا به‌عنوان مجازات، از کسی سلب تابعیت نشود و در مواردی هم گفته شده است که به فرد بی‌تابعیت، تابعیت محل تولّد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اصل دوم از اصول تابعیت، گروهی دارای دو یا سه تابعیت هستند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گاهی به دلیل اختلاف دو روش خاک و خون، گاه به دلیل دریافت تابعیت جدید، بدون سلب تابعیت</w:t>
      </w:r>
    </w:p>
    <w:p>
      <w:pPr>
        <w:pStyle w:val="BookText"/>
        <w:rPr/>
      </w:pPr>
      <w:r>
        <w:rPr>
          <w:rFonts w:ascii="IRNazanin" w:hAnsi="IRNazanin" w:eastAsia="IRNazanin"/>
          <w:color w:val="111111"/>
          <w:sz w:val="28"/>
          <w:sz w:val="28"/>
          <w:szCs w:val="28"/>
          <w:rtl w:val="true"/>
          <w:lang w:bidi="fa-IR"/>
        </w:rPr>
        <w:t>سابق، و در مواردی نیز به سبب ازدواج و تحمیل تابعیت شوهر به زن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تابعیت مضاعف بهتر است که یکی از دو تابعیت بر دیگری ترجیح داده شود، یا اینکه هر شخص زمانی بتواند تابعیت جدیدی را کسب کند که تابعیت گذشته خود را از دست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تابعیت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تولّدی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تابعیت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تابعیت تولّدی از دو راه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خون و روش خاک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خون شیوه‌ای است که در آن، تابعیت از راه نَسَب و وابستگی خانوادگی به فرزندان منتقل می‌شود و روش خاک شیوه‌ای است که به موجب آن، تابعیت از روی محل تولّد شخص تعیین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طرفداران روش خون و روش خاک، دلایلی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میان این دو روش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روش، معارض یکدیگر نبوده، هر یک دارای مزایا و معایبی هستند و هیچ‌یک از این دو بر دیگری برتری مطلق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هیچ لحظه‌ای خللی در تابعیت شخص پیدا نشود؛ بلکه شخص به محض از دست دادن تابعیت پیشین، تابعیت جدیدی دریافت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بی‌تابعیتی چیست و در اثر نقض کدام اصل از اصول تابعیت به‌وجود می‌آید؟ مشکلاتی را که در اثر بی‌تابعیتی به‌وجود می‌آیند،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تفاوت قوانین به بروز بی‌تابعیتی و یا تابعیت مضاعف می‌انجامد؟ برای هر یک مثال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بی‌تابعیتی به دلیل مجازات، و دیدگاه قوانین بین‌المللی و قانون ایران را دراین‌باره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تابعیت در اثر تخییر و اراده شخص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 رفع مشکل بی‌تابعیتی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مضاعف چیست و در اثر نقض کدام اصل از اصول تابعیت به‌وجود می‌آید؟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پیدایش تابعیت مضاعف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تابعیت مضاعف را رفع و یا از به‌وجود آمدن آن جلوگیری کرد؟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اصلی چیست؟ در مقابل آن، چه نوع تابعیتی قرار دارد؟ اقسام تابعیت اصلی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خون 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چه کشورهایی از این روش استفاده می‌کنند؟ دلیل طرفداران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خاک 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چه کشورهایی از این روش استفاده می‌کنند؟ دلیل طرفداران آن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دعاوی مربوط به تابعیت مضاعف در دیوان داوری ایران و آمریکا تحقیق و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نصراللّه ابراهیمی، حقوق بین‌الملل خصوصی ،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بهشید ارفع‌نیا، حقوق بین‌الملل خصوصی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ascii="IRNazanin" w:hAnsi="IRNazanin" w:eastAsia="IRNazanin"/>
          <w:color w:val="111111"/>
          <w:sz w:val="28"/>
          <w:sz w:val="28"/>
          <w:szCs w:val="28"/>
          <w:rtl w:val="true"/>
          <w:lang w:bidi="fa-IR"/>
        </w:rPr>
        <w:t>دکتر سید جلال‌الدین مدنی، حقوق بین‌الملل خصوصی ،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تابعیت از دیدگاه اسلام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مصطفی دانش‌پژوه، اسلام و حقوق بین‌الملل خصوصی ؛</w:t>
      </w:r>
    </w:p>
    <w:p>
      <w:pPr>
        <w:pStyle w:val="BookText"/>
        <w:rPr/>
      </w:pPr>
      <w:r>
        <w:rPr>
          <w:rFonts w:ascii="IRNazanin" w:hAnsi="IRNazanin" w:eastAsia="IRNazanin"/>
          <w:color w:val="111111"/>
          <w:sz w:val="28"/>
          <w:sz w:val="28"/>
          <w:szCs w:val="28"/>
          <w:rtl w:val="true"/>
          <w:lang w:bidi="fa-IR"/>
        </w:rPr>
        <w:t>دکتر محمدرضا ضیائی بیگدلی، اسلام و حقوق بین‌الملل ؛</w:t>
      </w:r>
    </w:p>
    <w:p>
      <w:pPr>
        <w:pStyle w:val="BookText"/>
        <w:rPr/>
      </w:pPr>
      <w:r>
        <w:rPr>
          <w:rFonts w:ascii="IRNazanin" w:hAnsi="IRNazanin" w:eastAsia="IRNazanin"/>
          <w:color w:val="111111"/>
          <w:sz w:val="28"/>
          <w:sz w:val="28"/>
          <w:szCs w:val="28"/>
          <w:rtl w:val="true"/>
          <w:lang w:bidi="fa-IR"/>
        </w:rPr>
        <w:t xml:space="preserve">آیت‌اللّه عباسعلی عمید زنجانی، فقه سیاسی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تابعیت تولدی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مزایا و معایب دو روش خون و خاک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کتاب‌های مربوط به حقوق بین‌الملل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قاعده پیوستگی تابعیت و ارتباط آن با اصول تابعیت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کتاب‌های مربوط به حقوق بین‌الملل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مسئله بی‌تابعیتی ، راه‌های رفع این مشکل و بهترین و عملی‌ترین راه برطرف ساختن مشکل آپاترید تحقیق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کتاب‌های مربوط به حقوق بین‌الملل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مزایا و معایب تابعیت مضاعف برای شخص دارنده تابعیتِ مضاعف تحقیق کنید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کتاب‌های مربوط به حقوق بین‌الملل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کدام‌یک از موارد زیر ممکن است فردی آپاترید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مورد، از علل تابعیت مضاعف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به‌دست‌آوردن تابعیت جدید با حفظ تابعیت قدیم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طرز تفکّر دولت‌ها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جلوگیری از تابعیت اکتسابی مضاعف، کدام راه قابل اعمال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ترجیح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تابعیت قبلی برای به‌دست‌آوردن تابعیت جدید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مؤثّر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تابعیت ایرانی پناهندگان ایرانی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آنها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آنها از سوی دولت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تابعیت آنها به تصمیم دادگاه بستگی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آنها همچنان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یک خانواده ژاپنی به تابعیت دولت ایران در آید، فرزند آنها بر طبق روش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طبق روش نژادی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تئوری نژادی است و آلمانی‌ها تئوری خود را از او اقتباس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گوبینو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مونتسکیو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هیتلر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امانوئل کانت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همه دولت‌ها،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 آپاتریدها کاهش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نسبی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تابعیت ارضی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کودکی که از پدر و مادری تبعه استرالیا و در هتلی ایرانی در فرودگاه آنکارا متولّد می‌شود، بر اساس روش خاک، دارای تابعیت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ترکیه‌ای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استرالیایی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کودکی که از پدر و مادر فرانسوی در دریای آزاد و در کشتی سوئدی متولّد می‌شود، طبق روش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سوئدی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تابعیت مضاعف سوئدی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تابعیت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آپاترید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خون، مصلحت کشورهای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خاک، مصلحت کشورهای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کم‌جمعیت و مهاجر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پرجمعیت و مهاجرپذیر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پرجمعیت و مهاجرفرست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کم‌جمعیت و مهاجرپذیر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کم‌جمعیت و مهاجرپذیر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کم‌جمعیت و مهاجرپذیر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سوم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کشورهایی مانند انگلیس و آمریکا که احوال شخصیه را تابع قانون اقامتگاه می‌دانند، در تابعیت هم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خاک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از یک سو موارد آپاتریدی زیاد نشود و از سوی دیگر، تمامیت ملّی، در مقابل اختلاط نژاد حفظ شود، بیشتر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خاک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نژادی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خون و خاک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هنگام تولّد باید تبعه دولت معینی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کدام اصل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باید تابعیتی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نباید بیش از یک تابعیت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یک امر همیشگی و زوال‌ناپذیر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یک امر همیشگی و زوال‌ناپذیر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خون، همان روش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خون، همان روش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خون، همان روش نژادی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خون، همان روش نسبی و نژادی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سیستم‌های اعطای تابعیت، هم برخلاف واقع و هم برخلاف جهت صلح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خاک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نژادی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نسبی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ایران کدام‌یک از سیستم‌های اعطای تابعیت را پذیرفته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خاک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نژادی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خاک و خون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کشور فرانسه، تابعیت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پذیرفته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راه تابعیت پدر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راه تابعیت مادر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خون را نپذیرفته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تابعیت پدر و مادر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کشور انگلستان کدام روش به‌عنوان اصل پذیرفته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خاک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نژادی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اراده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فرانسوی با مردی ایرانی در فرانسه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هیچ‌یک از آنها تغییری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 شوهر در کشور انگلستان صاحب فرزند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آنان تبعه کدام کشور به‌شمار می‌آید؟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فرانسه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و انگلیس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 و ایران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فرانسه و انگلیس</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خاک شیوه‌ای است که به موجب آن، تابعیت شخص از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پدر و مادر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پدر و مادر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پدر و مادر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روش می‌تواند مانع از به‌وجود آمدن تابعیت مضاعف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نسبی تابعیت زوجین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تابعیت زوجین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دوگانه تولّدی ممکن است معلول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روش خون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وحدت و روش خون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وحدت و استقلال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مربوط به ترک تابعیت و تحصیل تابعیت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وضع قاعده تابعیت، یک کشور پرجمیعت دارای منابع اقتصادی ضعیف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خاک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خون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معیار خاک و خون را برگزیند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هیچ‌یک از معیارهای خاک و خون را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روش خون، تابعیت چگونه تعیین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محل تولّد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نسب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نژاد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تابعیت و نژاد پدر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کشورهای مهاجرفرست ترجیح می‌دهند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احوال شخصیه، قانون اقامتگاه شخص و در مورد تابعیت، روش خون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احوال شخصیه، اقامتگاه شخص و در مورد تابعیت، روش خاک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احوال شخصیه، قانون متبوع شخص و در مورد تابعیت، روش خون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احوال شخصیه، قانون متبوع شخص و در مورد تابعیت، روش خاک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تولدی یا اصلی، تابعیت ناشی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یا طلاق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شخص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یا تحصیل تابعیت</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و یا محل تولد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تابعیت طفلی که از پدر ایرانی و در ایران متولّد می‌شود، ناشی از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تابعیت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خاک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معیارهای تابعیت ایران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اجداد مادری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اجداد پدری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خون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مؤثّرترین وسیله برای جلوگیری از بی‌تابعیتی، اعمال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تابعیت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تابعیت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اصلی، تابعیتی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ازدواج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معینی از اقامت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اجرای روش خون یا خاک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پس از رسیدن به سن هجده سال تمام به دست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بودن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کدام اصل از اصول تابعیت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باید تابعیتی داشته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نباید بیش از یک تابعیت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یک امر همیشگی و زوال‌ناپذیر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بودن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تابعیت خود را از دست بدهد، مگر اینکه تابعیت دولت دیگری را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به محض تولّد باید دارای تابعیت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نباید بیش از یک تابعیت داشته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یک امر همیشگی و زوال‌ناپذیر نیست</w:t>
      </w:r>
      <w:r>
        <w:rPr>
          <w:rFonts w:eastAsia="IRNazanin" w:cs="IRNazanin"/>
          <w:color w:val="111111"/>
          <w:sz w:val="28"/>
          <w:szCs w:val="28"/>
          <w:rtl w:val="true"/>
          <w:lang w:bidi="fa-IR"/>
        </w:rPr>
        <w:t>.</w:t>
      </w:r>
      <w:bookmarkStart w:id="232" w:name="pg5888_36014"/>
    </w:p>
    <w:p>
      <w:pPr>
        <w:pStyle w:val="Heading2"/>
        <w:numPr>
          <w:ilvl w:val="1"/>
          <w:numId w:val="1"/>
        </w:numPr>
        <w:rPr/>
      </w:pPr>
      <w:bookmarkStart w:id="233" w:name="__RefHeading___Toc5261328_581953129"/>
      <w:bookmarkStart w:id="234" w:name="_Toc92"/>
      <w:bookmarkEnd w:id="232"/>
      <w:bookmarkEnd w:id="233"/>
      <w:r>
        <w:rPr/>
        <w:t>5</w:t>
      </w:r>
      <w:r>
        <w:rPr>
          <w:rtl w:val="true"/>
        </w:rPr>
        <w:t xml:space="preserve">- </w:t>
      </w:r>
      <w:r>
        <w:rPr>
          <w:rtl w:val="true"/>
        </w:rPr>
        <w:t xml:space="preserve">اصل </w:t>
      </w:r>
      <w:r>
        <w:rPr>
          <w:rtl w:val="true"/>
        </w:rPr>
        <w:t>«</w:t>
      </w:r>
      <w:r>
        <w:rPr>
          <w:rtl w:val="true"/>
        </w:rPr>
        <w:t>تغییر تابعیت</w:t>
      </w:r>
      <w:r>
        <w:rPr>
          <w:rtl w:val="true"/>
        </w:rPr>
        <w:t>»</w:t>
      </w:r>
      <w:r>
        <w:rPr>
          <w:rtl w:val="true"/>
        </w:rPr>
        <w:t xml:space="preserve">، </w:t>
      </w:r>
      <w:r>
        <w:rPr>
          <w:rtl w:val="true"/>
        </w:rPr>
        <w:t>«</w:t>
      </w:r>
      <w:r>
        <w:rPr>
          <w:rtl w:val="true"/>
        </w:rPr>
        <w:t>تابعیت مؤثّر</w:t>
      </w:r>
      <w:r>
        <w:rPr>
          <w:rtl w:val="true"/>
        </w:rPr>
        <w:t xml:space="preserve">» </w:t>
      </w:r>
      <w:r>
        <w:rPr>
          <w:rtl w:val="true"/>
        </w:rPr>
        <w:t xml:space="preserve">و </w:t>
      </w:r>
      <w:r>
        <w:rPr>
          <w:rtl w:val="true"/>
        </w:rPr>
        <w:t>«</w:t>
      </w:r>
      <w:r>
        <w:rPr>
          <w:rtl w:val="true"/>
        </w:rPr>
        <w:t>تابعیت مبدأ</w:t>
      </w:r>
      <w:r>
        <w:rPr>
          <w:rtl w:val="true"/>
        </w:rPr>
        <w:t xml:space="preserve">» </w:t>
      </w:r>
      <w:r>
        <w:rPr>
          <w:rtl w:val="true"/>
        </w:rPr>
        <w:t>در ایران</w:t>
      </w:r>
      <w:bookmarkEnd w:id="234"/>
    </w:p>
    <w:p>
      <w:pPr>
        <w:pStyle w:val="Heading3"/>
        <w:numPr>
          <w:ilvl w:val="2"/>
          <w:numId w:val="1"/>
        </w:numPr>
        <w:rPr/>
      </w:pPr>
      <w:bookmarkStart w:id="235" w:name="__RefHeading___Toc5261330_581953129"/>
      <w:bookmarkStart w:id="236" w:name="_Toc93"/>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اصل سوّم از اصول تابعیت؛ یعنی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تغییرپذیری تابعیت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اقسام تغییر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ارادی تابعیت،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غیر ارادی تابعیت،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تابعیت بر اثر ازدواج،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تابعیت به‌صورتِ تقلبی و غیرقانونی؛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دیدگاه‌های مختلف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حقوقی تغییر تابعیت زن در اثر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ملاک و مبنای تشخیص تابعیت؛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تاریخچه تابعیت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اشاره به اعمال دو روش خون و خاک در قانون ایران</w:t>
      </w:r>
      <w:r>
        <w:rPr>
          <w:rFonts w:eastAsia="IRNazanin" w:cs="IRNazanin"/>
          <w:color w:val="111111"/>
          <w:sz w:val="28"/>
          <w:szCs w:val="28"/>
          <w:rtl w:val="true"/>
          <w:lang w:bidi="fa-IR"/>
        </w:rPr>
        <w:t>.</w:t>
      </w:r>
    </w:p>
    <w:p>
      <w:pPr>
        <w:pStyle w:val="Heading3"/>
        <w:numPr>
          <w:ilvl w:val="2"/>
          <w:numId w:val="1"/>
        </w:numPr>
        <w:rPr/>
      </w:pPr>
      <w:bookmarkStart w:id="237" w:name="__RefHeading___Toc5261332_581953129"/>
      <w:bookmarkStart w:id="238" w:name="_Toc94"/>
      <w:bookmarkEnd w:id="237"/>
      <w:r>
        <w:rPr/>
        <w:t>1</w:t>
      </w:r>
      <w:r>
        <w:rPr>
          <w:rtl w:val="true"/>
        </w:rPr>
        <w:t xml:space="preserve">- </w:t>
      </w:r>
      <w:r>
        <w:rPr>
          <w:rtl w:val="true"/>
        </w:rPr>
        <w:t xml:space="preserve">اصل </w:t>
      </w:r>
      <w:r>
        <w:rPr>
          <w:rtl w:val="true"/>
        </w:rPr>
        <w:t>«</w:t>
      </w:r>
      <w:r>
        <w:rPr>
          <w:rtl w:val="true"/>
        </w:rPr>
        <w:t>تغییرپذیری تابعیت</w:t>
      </w:r>
      <w:r>
        <w:rPr>
          <w:rtl w:val="true"/>
        </w:rPr>
        <w:t>»</w:t>
      </w:r>
      <w:bookmarkEnd w:id="238"/>
    </w:p>
    <w:p>
      <w:pPr>
        <w:pStyle w:val="Heading4"/>
        <w:numPr>
          <w:ilvl w:val="3"/>
          <w:numId w:val="1"/>
        </w:numPr>
        <w:rPr/>
      </w:pPr>
      <w:bookmarkStart w:id="239" w:name="__RefHeading___Toc5261334_581953129"/>
      <w:bookmarkStart w:id="240" w:name="_Toc95"/>
      <w:bookmarkEnd w:id="239"/>
      <w:r>
        <w:rPr>
          <w:rtl w:val="true"/>
        </w:rPr>
        <w:t>اشاره</w:t>
      </w:r>
      <w:bookmarkEnd w:id="24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تغییرپذیری تابعیت این است که شخص از تابعیتی که دارد خارج شده باشد و هم‌زمان، به‌طور تقریبی، به تابعیت دولت دیگری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تابعیت، دو رکن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تابعیت پیشین و به‌دست‌آوردن تابعیت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نه‌فقط خروج از تابعیت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کسب تابعیت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تغییر تابعیت خواهد بود، بلکه این فرض،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بی‌تابعیتی است و نیز نه صرفاً کسب تابعیت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از دست دادن تابعیت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از موارد این اصل شمرده خواهد شد؛ چراکه در این فرض با پدیده تابعیت مضاعف روبه‌رو خواهیم بود، نه اصل تغییر تابعیت؛ همچنان‌که اگر</w:t>
      </w:r>
      <w:bookmarkStart w:id="241" w:name="pg5888_36015"/>
    </w:p>
    <w:p>
      <w:pPr>
        <w:pStyle w:val="BookText"/>
        <w:rPr/>
      </w:pPr>
      <w:bookmarkEnd w:id="241"/>
      <w:r>
        <w:rPr>
          <w:rFonts w:ascii="IRNazanin" w:hAnsi="IRNazanin" w:eastAsia="IRNazanin"/>
          <w:color w:val="111111"/>
          <w:sz w:val="28"/>
          <w:sz w:val="28"/>
          <w:szCs w:val="28"/>
          <w:rtl w:val="true"/>
          <w:lang w:bidi="fa-IR"/>
        </w:rPr>
        <w:t>شخص بی‌تابعیتی، تابعیت دولت خاصی را دارا شود، مصداق کسب تابعیت خواهد بود، نه تغییر تابعیت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گذشته، بیشتر دولت‌ها به تبعه خود اجازه نمی‌دادند که به آسانی ترک تابعیت کند؛ حتی در بعضی از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قوانین عثمانی و روسیه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تابعیت فرد نسبت به دولت، یک رشته انقیاد همیشگی بود که بر گردن شخص افکنده شده بود و هرگز رهایی از آن ممکن نبود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242" w:name="__RefHeading___Toc5261336_581953129"/>
      <w:bookmarkStart w:id="243" w:name="_Toc96"/>
      <w:bookmarkEnd w:id="242"/>
      <w:r>
        <w:rPr>
          <w:rtl w:val="true"/>
        </w:rPr>
        <w:t>الف</w:t>
      </w:r>
      <w:r>
        <w:rPr>
          <w:rtl w:val="true"/>
        </w:rPr>
        <w:t xml:space="preserve">) </w:t>
      </w:r>
      <w:r>
        <w:rPr>
          <w:rtl w:val="true"/>
        </w:rPr>
        <w:t>پذیرش اصل تغییرپذیری تابعیت در حقوق بین الملل</w:t>
      </w:r>
      <w:bookmarkEnd w:id="243"/>
    </w:p>
    <w:p>
      <w:pPr>
        <w:pStyle w:val="BookText"/>
        <w:rPr/>
      </w:pPr>
      <w:r>
        <w:rPr>
          <w:rFonts w:ascii="IRNazanin" w:hAnsi="IRNazanin" w:eastAsia="IRNazanin"/>
          <w:color w:val="111111"/>
          <w:sz w:val="28"/>
          <w:sz w:val="28"/>
          <w:szCs w:val="28"/>
          <w:rtl w:val="true"/>
          <w:lang w:bidi="fa-IR"/>
        </w:rPr>
        <w:t>عوامل زیر باعث پذیرش اصل تغییرپذیری تابعیت در حقوق بین‌الملل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 و ارتقای حقوق فرد در برابر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کسی می‌تواند در دوران کنونی، تابعیت دولتی را به اراده خود ترک کند و تابعیت دولت دیگری را بپذیرد، نتیجه تحول‌هایی است که از قرن نوزدهم میلادی پیرامون حقوق فرد در مقابل دولت پدید آمده است؛ به‌طوری‌که امروزه تابعیت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انقیاد مطلق و همیشگی فرد نسبت به دولت نیست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بازتاب این تحول‌ها در جامعه بین‌المللی، در اصل پانزدهم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حق دارد تابعیتی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نمی‌توان خودسرانه از تابعیتش یا حق تغییر تابعیت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در حقوق داخلی کشورها نیز برای تبعه، یک حق شمرده می‌شود؛ مانند اصل چهل‌ویکم قانون اساسی جمهوری اسلامی ایران که می‌گوید</w:t>
      </w:r>
      <w:r>
        <w:rPr>
          <w:rFonts w:eastAsia="IRNazanin" w:cs="IRNazanin"/>
          <w:color w:val="111111"/>
          <w:sz w:val="28"/>
          <w:szCs w:val="28"/>
          <w:rtl w:val="true"/>
          <w:lang w:bidi="fa-IR"/>
        </w:rPr>
        <w:t>:</w:t>
      </w:r>
      <w:bookmarkStart w:id="244" w:name="pg5888_36016"/>
    </w:p>
    <w:p>
      <w:pPr>
        <w:pStyle w:val="BookText"/>
        <w:rPr/>
      </w:pPr>
      <w:bookmarkEnd w:id="244"/>
      <w:r>
        <w:rPr>
          <w:rFonts w:ascii="IRNazanin" w:hAnsi="IRNazanin" w:eastAsia="IRNazanin"/>
          <w:color w:val="111111"/>
          <w:sz w:val="28"/>
          <w:sz w:val="28"/>
          <w:szCs w:val="28"/>
          <w:rtl w:val="true"/>
          <w:lang w:bidi="fa-IR"/>
        </w:rPr>
        <w:t>تابعیت کشور ایران حق مسلَّم هر فرد ایرانی است و دولت نمی‌تواند از هیچ ایرانی سلب تابعیت کند، مگر به درخواست او یا در صورتی که به تابعیت کشور دیگری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دلیل موجّه در تغییر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تبعه، دلایل موجّهی پیش آید که ترک تابعیت او را ایجاب کند، بدون آنکه این تصمیم اقدامی علیه دولت متبوع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وجود مصلحت در تغییر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نیز چندان نفعی ندارند که افرادی را به اکراه و اجبار، تبعه خود بدانند و آنها را به‌هیچ‌وجه از قید تابعیت رها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این دولتها در این است که در مقابل پذیرش به تابعیت، دریچه اطمینانی باز کنند تا تعدیلی در مقررات تابعیت صورت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امروزه تغییرپذیر بودن تابعیت و به‌عبارت‌دیگر، همیشگی نبودن تابعیت دولتی خاص، به‌عنوان یک اصل پذیرفته شده است</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45" w:name="__RefHeading___Toc5261338_581953129"/>
      <w:bookmarkStart w:id="246" w:name="_Toc97"/>
      <w:bookmarkEnd w:id="245"/>
      <w:r>
        <w:rPr>
          <w:rtl w:val="true"/>
        </w:rPr>
        <w:t>ب</w:t>
      </w:r>
      <w:r>
        <w:rPr>
          <w:rtl w:val="true"/>
        </w:rPr>
        <w:t xml:space="preserve">) </w:t>
      </w:r>
      <w:r>
        <w:rPr>
          <w:rtl w:val="true"/>
        </w:rPr>
        <w:t>اقسام تغییر تابعیت</w:t>
      </w:r>
      <w:bookmarkEnd w:id="246"/>
    </w:p>
    <w:p>
      <w:pPr>
        <w:pStyle w:val="BookText"/>
        <w:rPr/>
      </w:pPr>
      <w:r>
        <w:rPr>
          <w:rFonts w:ascii="IRNazanin" w:hAnsi="IRNazanin" w:eastAsia="IRNazanin"/>
          <w:color w:val="111111"/>
          <w:sz w:val="28"/>
          <w:sz w:val="28"/>
          <w:szCs w:val="28"/>
          <w:rtl w:val="true"/>
          <w:lang w:bidi="fa-IR"/>
        </w:rPr>
        <w:t xml:space="preserve">اصل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تغییرپذیری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حالت‌های گوناگونی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ارادی تابعیت، تغییر غیر ارادی تابعیت، تغییر تابعیت در اثر ازدواج، و تغییر تابعیت به‌صورتِ تقلّبی و غیرقانونی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ارادی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آیا اراده در تغییر تابعیت مؤثّر است یا نه؟ گروهی به استناد حاکمیت مطلق اراده، معتقدند هرکس در هر لحظه می‌تواند رابطه تابعیتش را با دولت خود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دانشمندان حقوق، تابعیت را رابطه‌ای قراردادی و عقد تابعیت را از جمله عقدهای جایز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بر این عقیده‌اند که به مقتضای طبیعت عقد جایز، هر یک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بخواهند می‌توانند آن را فسخ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به‌طور مطلق درست نیست؛ زیرا تغییر تابعیت، مشروط بر این است که نخست، شخص قادر باشد تابعیت فعلی خود را از دست بدهد، و دوم اینکه بتواند تابعیت جدیدی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اراده‌ای اعمال نمی‌شود، مگر در قلمرو این دو شرط؛ ازاین‌رو، اراده تنها در، درخواست تغییر تابعیت دخالت دارد و بس</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درباره شرط نخست باید گفت که اجازه ترک تابعیت، مسئله‌ای مربوط به مصلحت اجتماعی است و به‌هیچ‌وجه یک تکلیف حقوقی شمرده نمی‌شود؛ زیرا امروزه بی‌تردید تابعیت، یک قرارداد نیست که تبعه بتواند آن را فسخ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دارای تابعیت تولدی است، آن را در اثر قرارداد به دست نیاورده است؛ بلکه فقط یک تصمیم فراگیر قانونی است که تابعیت را بر او تحمیل می‌کند و همان قانون‌گذار نیز می‌تواند شرایطی را برای اجازه ترک تابعیت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 تابعیت به‌طور عام، سه شرط مورد توجه قانون‌گذار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مواردی به کار می‌رود که یک دولت روز به روز با تقاضای ترک تابعیت بیشتری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چون دولت نسبت به ترک تابعیت اتباع خود نگران است، جلوگیری از آن را وظیفه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رعایت این شرط،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اجازه هیئت وزیران را برای خروج از تابعیت ایران لازم دانسته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می‌تواند ترک تابعیت را به زمان معینی موکول کند؛ برای</w:t>
      </w:r>
    </w:p>
    <w:p>
      <w:pPr>
        <w:pStyle w:val="BookText"/>
        <w:rPr/>
      </w:pPr>
      <w:r>
        <w:rPr>
          <w:rFonts w:ascii="IRNazanin" w:hAnsi="IRNazanin" w:eastAsia="IRNazanin"/>
          <w:color w:val="111111"/>
          <w:sz w:val="28"/>
          <w:sz w:val="28"/>
          <w:szCs w:val="28"/>
          <w:rtl w:val="true"/>
          <w:lang w:bidi="fa-IR"/>
        </w:rPr>
        <w:t>نمونه، بسیار عاقلانه و قابل پذیرش است که دولتی به تبعه صغیر و نابالغ خود اجازه ترک تابعیت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صلاحیت حقوقی برخوردار نیست چگونه می‌تواند برای ترک تابعیت صلاحیت داشته باشد؟ در قانون فرانسه،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سن رشد قانونی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ترک تابعیت را تقاضا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ایران، این احتیاط شدیدتر و این شرط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ایران، برای امکان ترک تابعیت،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کامل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تعهدات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 می‌توانند اجازه ترک تابعیت را به انجام خدمت نظام وظیفه موکول کنند؛ مانند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در پیوند با شرط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تابعیت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شخص فقط می‌تواند از دولت جدید، پذیرش تابعیت را تقاضا کند و تحصیل تابعیت، حقّی برای او به‌شمار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تابعیت، اقدامی مربوط به حاکمیت است و دولت‌ها آزادانه و با شرایطی که مقتضی می‌دانند، تابعیت را به هرکسی که بخواهند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هیچ‌کس نمی‌تواند آزادانه تابعیتی را ترک کند، همچنین نمی‌تواند آزادانه تابعیت جدیدی به دست بیاورد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غیر ارادی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بدانیم آیا مواردی هست که بدون تقاضای تبعه و حتی برخلاف درخواست، اراده و تمایل او از تابعیت کشوری، خارج شود و یا به تابعیت کشور دیگری درآید؟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تغییر تابعیت در مواردی اتفاق می‌افتد که بخشی از سرزمین یک کشور از خاک اصلی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رویه بین‌المللی آن</w:t>
      </w:r>
    </w:p>
    <w:p>
      <w:pPr>
        <w:pStyle w:val="BookText"/>
        <w:rPr/>
      </w:pPr>
      <w:r>
        <w:rPr>
          <w:rFonts w:ascii="IRNazanin" w:hAnsi="IRNazanin" w:eastAsia="IRNazanin"/>
          <w:color w:val="111111"/>
          <w:sz w:val="28"/>
          <w:sz w:val="28"/>
          <w:szCs w:val="28"/>
          <w:rtl w:val="true"/>
          <w:lang w:bidi="fa-IR"/>
        </w:rPr>
        <w:t>است که پس از پایان جنگ، معاهده‌های صلح بین دولت‌های درگیر مقرر می‌کند که بومی‌ها یا ساکنین سرزمین‌های جدا شده، به تابعیت دولتی درآیند که از این پس بر آنها حکومت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تابعیت اصلی افراد، سلب و به آنها تابعیت جدید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موارد ممکن است در معاهده صلح، برای ساکنان قسمت‌های جدا شده از خاک یک کشور، حق انتخاب وجود داشته باشد که بر اساس آن، ساکنان آن منطقه یکی از دو تابعیت دولت جدید یا قدیم را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به صراحت در معاهده صلح درج شود که ساکنان قسمت‌های جدا شده از خاک یک کشور، به تابعیت جدید دولتی درآیند که از این پس بر آنها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صورت، هیچ حق انتخابی به ساکنان داده نخواهد شد؛ چنان‌که در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فرانسوی‌های الزاس و لرن که در نتیجه پیوستن این دو منطقه به آلمان، به تابعیت دولت آلمان درآمده بودند، حق انتخاب داده نشد و آنها به جامعه فرانسوی بازگشتند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تابعیت در اثر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در تابعیت شخص تأثیر دارد یا خیر؟ مسئله در موردی مطرح است که زن و شوهر دارای تابعیت‌های گوناگونی باشند؛ وگرنه اگر هر دو تبعه یک کشور باشند، بدیهی است که ازدواج تأثیری برآن ندارد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موارد، زن پس از ازدواج، تابعیت گذشته خود را از دست می‌دهد و تابعیت همسر خود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دولت اول، تابعیت اصلی وی را سلب نکرده و زن نیز ترک تابعیت اولیه خود را تقاضا نکرده باشد، از</w:t>
      </w:r>
    </w:p>
    <w:p>
      <w:pPr>
        <w:pStyle w:val="BookText"/>
        <w:rPr/>
      </w:pPr>
      <w:r>
        <w:rPr>
          <w:rFonts w:ascii="IRNazanin" w:hAnsi="IRNazanin" w:eastAsia="IRNazanin"/>
          <w:color w:val="111111"/>
          <w:sz w:val="28"/>
          <w:sz w:val="28"/>
          <w:szCs w:val="28"/>
          <w:rtl w:val="true"/>
          <w:lang w:bidi="fa-IR"/>
        </w:rPr>
        <w:t>تابعیت مضاعف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کشورها که به اصل وحدت تابعیت معتقدند، هرگاه شوهر تابعیت آن کشور را به دست آورد، همسر وی نیز تبعه آن کشور خواهد شد؛ برای نمونه، قانون ایران، تابعیت ایرانی شوهر را که بر اثر تقاضا به دست آمده است، به همسر او تحمیل می‌کند؛ ولی به زن نیز فرصت می‌دهد تا یک‌سال از تاریخ صدور سند تابعیت شوهر، به تابعیت سابق همسر خود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اینجا مطرح می‌شود این است که قانون، تکلیف زنی را که بخواهد به تابعیت اصلی خود برگردد روشن نکرده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یکی از پرسش‌های اساسی، منشأ حقوقی تغییر تابعیت زن در اثر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چرا باید در اثر ازدواج، زن تابعیت شوهر را بپذیرد؟ چرا نباید برای حفظ وحدت تابعیت، تابعیت زن به شوهر داده شود؟ دراین‌باره دیدگاه‌های مختلفی مطرح است که به مهم‌ترین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زن باعث تغییر تابعیت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نظریه ارادی بودن تابعیت چنین استدلال می‌کنند که زن با پذیرش ازدواج، تابعیت شوهر را می‌پذیرد؛ زیرا هنگام ازدواج، نسبت به تابعیت خارجی همسرش آگاهی داشته و با علم و اراده با وی ازدواج کرده است؛ در نتیجه، به‌طور ضمنی تابعیت شوهر خود را نیز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تابعیت بعدی شوهر به زن تحمیل نمی‌شود؛ چون زن به هنگام ازدواج، از تابعیت بعدی شوهرش بی‌خبر 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قانع‌کننده نیست؛ زیرا اگر زن بنابر اراده خود، تابعیت شوهر را می‌پذیرد باید اختیار ردّ آن را نیز داشته باشد و حال آنکه چنین نیست و او به‌هیچ‌وجه نمی‌تواند تابعیتی را که شوهر در هنگام عقد ازدواج دارد،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طرفداران دیدگاه تغییر ارادی تابعیت زن می‌گویند هنگامی که زن ازدواج می‌کند، تابعیت همسر خود را نیز می‌پذیرد و در این حالت، یک اراده فرضی یا یک صورت خیالی از اراده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دکترین جدید، مفهوم اراده فرضی را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حقوق معتقدند وقتی اراده می‌تواند وجود داشته باشد که به صراحت یا به‌طور عملی بتوان آن را ابراز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زنی که به ازدواج مردی خارجی درمی‌آید، به‌صورتِ قهری به تابعیت وی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خویش را صریح و عملی ابراز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تابعیت زن، بدون اراده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نظریه غیر ارادی بودن تابعیت معتقدند تابعیت دولت متبوع مرد خارجی، خارج از اراده و اختیار زن است و بر وی تحمیل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بین اراده زن برای ازدواج و تغییر تابعیت وی هیچ رابطه‌ای وجود ندارد، تا تحقّق یکی مستلزم تحقّق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پذیرش این نظریه، تمام تغییر تابعیت‌های بعدی شوهر در دوران ازدواج به زن تحمیل خواهد شد؛ درحالی‌که در قوانین بسیاری از کشورها تابعیت‌های بعدی شوهر به زن تحمیل نمی‌شود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تابعیت زن به سبب سلطه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در پیوند زناشویی، سلطه شوهر نقش مهم‌تری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خانواده ریاست با شوهر است، در مسئله تابعیت هم به دلیل رجحان، تابعیت شوهر به زن تحمیل می‌شود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 مسئله وجود یا عدم سلطه شوهر، از مباحث حقوق</w:t>
      </w:r>
    </w:p>
    <w:p>
      <w:pPr>
        <w:pStyle w:val="BookText"/>
        <w:rPr/>
      </w:pPr>
      <w:r>
        <w:rPr>
          <w:rFonts w:ascii="IRNazanin" w:hAnsi="IRNazanin" w:eastAsia="IRNazanin"/>
          <w:color w:val="111111"/>
          <w:sz w:val="28"/>
          <w:sz w:val="28"/>
          <w:szCs w:val="28"/>
          <w:rtl w:val="true"/>
          <w:lang w:bidi="fa-IR"/>
        </w:rPr>
        <w:t>خصوصی است؛ حال آنکه تابعیت، از مفاهیم حقوق عمومی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تابعیت زن در اثر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عقد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برخی، تغییر تابعیت در اثر ازدواج، نه ارادی است، نه غیر ارادی و نه نتیجه سلطه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تابعیت، اثر وصف تأسیس عقد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فقط خواستار ازدواج بوده است؛ امّا تغییر تابعیت را قانون به او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شوهر اختیار می‌کند، سازمان قانونی</w:t>
      </w:r>
      <w:r>
        <w:rPr>
          <w:rStyle w:val="FootnoteAnchor"/>
          <w:rtl w:val="true"/>
        </w:rPr>
        <w:footnoteReference w:id="167"/>
      </w:r>
      <w:r>
        <w:rPr>
          <w:rFonts w:ascii="IRNazanin" w:hAnsi="IRNazanin" w:eastAsia="IRNazanin"/>
          <w:color w:val="111111"/>
          <w:sz w:val="28"/>
          <w:sz w:val="28"/>
          <w:szCs w:val="28"/>
          <w:rtl w:val="true"/>
          <w:lang w:bidi="fa-IR"/>
        </w:rPr>
        <w:t xml:space="preserve">ازدواج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کشور متبوع شوهر یا محل انعقاد عقد تأسیس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ازدواج، رضایت زن لازم است؛ ولی همین که زن این امر را پذیرفت، خود به خود آثار قهری آن را نیز می‌پذیرد و در حقیقت، به تمام آثار سازمان قانونی 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چنان‌که حجر زن، سلطه شوهری و قابل تغییر نبودن قراردادهای ازدواج، از آثار ناگزیر ازدواج است، تغییر تابعیت زن نیز اثر قهری زناشویی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تحلیل، علت تأثیرناپذیری تابعیت‌های بعدی شوهر از سوی زن را به خوبی می‌توان دریافت؛ زیرا بی‌گمان باید برای تعیین تاریخ ظهور آثار قهری بر سازمان قانونی یا عقد تأسیس، فقط زمان وقوع آن عقد را در نظر گرفت</w:t>
      </w:r>
      <w:r>
        <w:rPr>
          <w:rFonts w:eastAsia="IRNazanin" w:cs="IRNazanin"/>
          <w:color w:val="111111"/>
          <w:sz w:val="28"/>
          <w:szCs w:val="28"/>
          <w:rtl w:val="true"/>
          <w:lang w:bidi="fa-IR"/>
        </w:rPr>
        <w:t>.</w:t>
      </w:r>
      <w:r>
        <w:rPr>
          <w:rStyle w:val="FootnoteAnchor"/>
          <w:rtl w:val="true"/>
        </w:rPr>
        <w:footnoteReference w:id="168"/>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بااین‌همه، به نظر می‌رسد هیچ رابطه‌ای بین اراده ازدواج و تغییر تابعیت وجود ندارد، تا تحقّق یکی مستلزم تحقّق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بدین‌دلیل، در قوانین برخی از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تابعیت زن و شوهر را در فرضی که زن فرانسوی و شوهر تبعه کشور دیگری باشد، پذیرفته‌اند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دیدگاه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تابعیت زن به دلیل اراده و خواست قانون‌گذار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تابعیت، یک رابطه سیاسی ذاتی است و نباید آن را با موضوع آثار مدنی ازدواج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خصوصی و در مسئله ازدواج، هرچه مطرح شود، نمی‌تواند به تابعیت ارتباط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تابعیت در کانون خانوادگی از یک اندیشه قانونی سرچشمه می‌گیرد، نه اراده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 که وحدت تابعیت را در درون خانواده تسهیل یا تحمیل می‌کند، وظیفه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تحکیم اساس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و به‌هیچ‌وجه قصد تحقیر هیچ‌یک از همسران را ندارد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حقیقت، آنچه بیشتر مورد توجه قوانین کشورها در سال‌های اخیر بوده، همان جنبه‌های سیاسی و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تابعیت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امروزه دولت‌ها بنابر اینکه زنِ دارای تابعیت کشور بیگانه، با یکی از اتباع داخل کشور ازدواج کند و یا اینکه زن دارای تابعیت ایرانی، شوهر خارجی انتخاب کند، روش‌های مختلف را پذیرفته‌اند؛ برای نمونه، قانون مدنی ایران درباره زنی که دارای تابعیت خارجی است و شوهر ایرانی اختیار کرده است،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 است و طبق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تبعه ایران شمرده می‌شود؛ امّا درباره زن ایرانی که با شوهر خارجی ازدواج کرده است،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نسبی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ایرانی که با تبعه خارجه مزاوجت می‌کند، به تابعیت ایرانی خود باقی خواهد ماند؛ مگر اینکه مطابق قانون مملکت زوج، تابعیت شوهر به واسطه وقوع عقد ازدواج به زوجه تحمیل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تابعیت به‌صورتِ تقلّبی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یا تقلّب نسبت به قانون، عبارت است از اینکه شخص از حقّی قانونی برای هدف غیرقانونی و نامشروع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اختیاری را که قانون‌گذار به او عطا کرده است، از هدف اصلی خود</w:t>
      </w:r>
      <w:bookmarkStart w:id="247" w:name="pg5888_36024"/>
    </w:p>
    <w:p>
      <w:pPr>
        <w:pStyle w:val="BookText"/>
        <w:rPr/>
      </w:pPr>
      <w:bookmarkEnd w:id="247"/>
      <w:r>
        <w:rPr>
          <w:rFonts w:ascii="IRNazanin" w:hAnsi="IRNazanin" w:eastAsia="IRNazanin"/>
          <w:color w:val="111111"/>
          <w:sz w:val="28"/>
          <w:sz w:val="28"/>
          <w:szCs w:val="28"/>
          <w:rtl w:val="true"/>
          <w:lang w:bidi="fa-IR"/>
        </w:rPr>
        <w:t xml:space="preserve">منحرف سازد؛ برای نمونه، پیش از سال </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م در فرانسه، طلاق به لحاظ قانونی جایز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فرانسوی‌ها که در مقام رهایی از قید زناشویی و طلاق بودند به تابعیت دولتی درمی‌آمدند که طلاق را در قوانین خود جایز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خانم دوبو فرمون به تابعیت دولت آلمان درآمد و در طول یک‌سال طلاق گرفته و با یک رومانی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 فرانسه نسبت به این رویداد چنین اظهار نظر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دوبو فرمون دیگر فرانسوی نیست؛ ولی هنوز در قید زوجیت شوهر خود باقی است و این مجازات به دلیل تقلب او نسبت به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ضروری است که محاکم فرانسه در مورد تابعیت این خانم نمی‌توانستند اظهار نظر کنند؛ چون تابعیت، مربوط به حاکمیت یک دولت است و هر دولت در دادن تابعیت به افراد و تعیین قواعد آن، اختیار مطلق دارد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48" w:name="__RefHeading___Toc5261340_581953129"/>
      <w:bookmarkStart w:id="249" w:name="_Toc98"/>
      <w:bookmarkEnd w:id="248"/>
      <w:r>
        <w:rPr/>
        <w:t>2</w:t>
      </w:r>
      <w:r>
        <w:rPr>
          <w:rtl w:val="true"/>
        </w:rPr>
        <w:t xml:space="preserve">- </w:t>
      </w:r>
      <w:r>
        <w:rPr>
          <w:rtl w:val="true"/>
        </w:rPr>
        <w:t>تابعیت مؤثّر</w:t>
      </w:r>
      <w:bookmarkEnd w:id="249"/>
    </w:p>
    <w:p>
      <w:pPr>
        <w:pStyle w:val="BookText"/>
        <w:rPr/>
      </w:pPr>
      <w:r>
        <w:rPr>
          <w:rFonts w:ascii="IRNazanin" w:hAnsi="IRNazanin" w:eastAsia="IRNazanin"/>
          <w:color w:val="111111"/>
          <w:sz w:val="28"/>
          <w:sz w:val="28"/>
          <w:szCs w:val="28"/>
          <w:rtl w:val="true"/>
          <w:lang w:bidi="fa-IR"/>
        </w:rPr>
        <w:t>تابعیت مؤثّر، تابعیتی است که قاضی از بین چند تابعیت شخص، آن را ترجیح و ملاک انتخاب قانون حاکم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همه تابعیت‌های قابل انتساب به شخص ازاین لحاظ که هریک چه اندازه به سرنوشت شخص ارتباط دارد و در زندگی او تأثیر گذار است، مورد بررسی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یکی از جهات انتخاب تابعیت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شخصی را که دو تابعیت دارد و اقامتگاه او در یکی از دو کشور متبوع است، تابع همان کشور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سکونت و مرکز عمده فعّالیت شخص در مقابل عنوان اقامتگاه رسمی قرار می‌گیرد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تطبیق زبان تبعه با زبان رسمی و معمولی اهالی کشور متبوع وی، می‌تواند عامل دیگری در شناخت تابعیت مؤثّر باشد</w:t>
      </w:r>
      <w:r>
        <w:rPr>
          <w:rFonts w:eastAsia="IRNazanin" w:cs="IRNazanin"/>
          <w:color w:val="111111"/>
          <w:sz w:val="28"/>
          <w:szCs w:val="28"/>
          <w:rtl w:val="true"/>
          <w:lang w:bidi="fa-IR"/>
        </w:rPr>
        <w:t>.</w:t>
      </w:r>
      <w:bookmarkStart w:id="250" w:name="pg5888_36025"/>
    </w:p>
    <w:p>
      <w:pPr>
        <w:pStyle w:val="BookText"/>
        <w:rPr/>
      </w:pPr>
      <w:bookmarkEnd w:id="250"/>
      <w:r>
        <w:rPr>
          <w:rFonts w:ascii="IRNazanin" w:hAnsi="IRNazanin" w:eastAsia="IRNazanin"/>
          <w:color w:val="111111"/>
          <w:sz w:val="28"/>
          <w:sz w:val="28"/>
          <w:szCs w:val="28"/>
          <w:rtl w:val="true"/>
          <w:lang w:bidi="fa-IR"/>
        </w:rPr>
        <w:t xml:space="preserve">در معاهده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لاهه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شخصی که دارای تابعیت مضاعف است، هر کشور ثالث می‌تواند در قلمرو خود از میان تابعیت‌های مختلف وی، تابعیت کشوری را که او در آنجا دارای اقامتگاه معمولی یا اصلی است، یا تابعیت کشوری را که با توجه به شرایط موجود، به نظر می‌رسد که وی در عمل به آن کشور بستگی دارد، قابل اعمال بشناسد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51" w:name="__RefHeading___Toc5261342_581953129"/>
      <w:bookmarkStart w:id="252" w:name="_Toc99"/>
      <w:bookmarkEnd w:id="251"/>
      <w:r>
        <w:rPr/>
        <w:t>3</w:t>
      </w:r>
      <w:r>
        <w:rPr>
          <w:rtl w:val="true"/>
        </w:rPr>
        <w:t xml:space="preserve">- </w:t>
      </w:r>
      <w:r>
        <w:rPr>
          <w:rtl w:val="true"/>
        </w:rPr>
        <w:t xml:space="preserve">تابعیت مبدأ </w:t>
      </w:r>
      <w:r>
        <w:rPr>
          <w:rtl w:val="true"/>
        </w:rPr>
        <w:t>(</w:t>
      </w:r>
      <w:r>
        <w:rPr>
          <w:rtl w:val="true"/>
        </w:rPr>
        <w:t>اصلی، تولّدی</w:t>
      </w:r>
      <w:r>
        <w:rPr>
          <w:rtl w:val="true"/>
        </w:rPr>
        <w:t xml:space="preserve">) </w:t>
      </w:r>
      <w:r>
        <w:rPr>
          <w:rtl w:val="true"/>
        </w:rPr>
        <w:t>در ایران</w:t>
      </w:r>
      <w:bookmarkEnd w:id="252"/>
    </w:p>
    <w:p>
      <w:pPr>
        <w:pStyle w:val="Heading4"/>
        <w:numPr>
          <w:ilvl w:val="3"/>
          <w:numId w:val="1"/>
        </w:numPr>
        <w:rPr/>
      </w:pPr>
      <w:bookmarkStart w:id="253" w:name="__RefHeading___Toc5261344_581953129"/>
      <w:bookmarkStart w:id="254" w:name="_Toc10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پیش‌تر بیان شد، تابعیت مبدأ، تابعیتی است که از آغاز تولّد به نوعی بر کودک تحمیل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نگاهی گذرا به تاریخچه تابعیت مبدأ خواهیم داشت و در ادامه، اعمال روش خون و خاک را طبق قانون ایران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پیش از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هیچ قانونی درباره تابعیت در ایران وجود نداشته است؛ امّا در برخی از عهدنامه‌هایی که دولت ایران با دولت‌های خارجی منعقد کرده، می‌توان مواردی دراین‌باره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دو عهدنامه بین ایران و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ق بین نادرشاه و سلطان محمود خان اول، سلطان عثمان و در سال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تابعیت اشاره شده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عهدنامه نخست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اتباع ایران و عثمانی به خاک یکدیگر فرار کرده، بخواهند ترک تابعیت کنند، دولتین، این تابعیت جدید را نپذیرفته و آنها را تسلیم دولت دیگر خواهند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عهدنامه دوم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تبعه دولت ایران مقیم دولت عثمانی، خارجه محسوب است؛ ازاین‌رو، مانند تبعه خارجه از خدمات و تکالیفی که مختص و منحصر به اتباع عثمانی است، از قبیل خدمات و بدلات عسکری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معاهده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نفر ایرانی بخواهد ترک تابعیت کرده و به تابعیت دولت عثمانی داخل شود، باید مقررات را مثل اتباع سایر ممالک که بخواهند داخل تابعیت عثمانی شوند رعایت 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همچنین در دو قرارداد بین ایران و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ق و قرارداد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پیرامون تابعیت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وساطت دولت فرانسه، در سال </w:t>
      </w:r>
      <w:r>
        <w:rPr>
          <w:rFonts w:eastAsia="IRNazanin" w:cs="IRNazanin"/>
          <w:color w:val="111111"/>
          <w:sz w:val="28"/>
          <w:szCs w:val="28"/>
          <w:lang w:bidi="fa-IR"/>
        </w:rPr>
        <w:t>1587</w:t>
      </w:r>
      <w:r>
        <w:rPr>
          <w:rFonts w:ascii="IRNazanin" w:hAnsi="IRNazanin" w:eastAsia="IRNazanin"/>
          <w:color w:val="111111"/>
          <w:sz w:val="28"/>
          <w:sz w:val="28"/>
          <w:szCs w:val="28"/>
          <w:rtl w:val="true"/>
          <w:lang w:bidi="fa-IR"/>
        </w:rPr>
        <w:t>م بین ایران و عثمانی بسته شد، اشاره‌هایی به تابعیت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قراردادهای بالا، هریک از دولت‌های عثمانی، روسیه و انگلیس در مواردی که منافعشان ایجاب می‌کرد، هر شخصی را که مایل بودند، تبعه ایران یا کشور خود قلمداد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عهدنامه‌های یادشده، دست‌خطی از ناصرالدین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تابعیت وجود دارد که بر اساس آن، کلیه زن‌های ایرانی که شوهر خارجه اختیار کرده باشند، بعد از فوت شوهر، باید تبعه دولت ایران شناخته شوند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قانون تابعیت ایران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و در پانزده ماده تنظیم شد این قانون دربردارنده قواعدی مبنی بر ملاک تشخیص تابعیت ایران، شرایط ورود به تابعیت ایران و خروج از آن، بازگشت به تابعیت، تغییر تابعیت ایرانی در اثر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55" w:name="pg5888_36027"/>
    </w:p>
    <w:p>
      <w:pPr>
        <w:pStyle w:val="BookText"/>
        <w:rPr/>
      </w:pPr>
      <w:bookmarkEnd w:id="255"/>
      <w:r>
        <w:rPr>
          <w:rFonts w:ascii="IRNazanin" w:hAnsi="IRNazanin" w:eastAsia="IRNazanin"/>
          <w:color w:val="111111"/>
          <w:sz w:val="28"/>
          <w:sz w:val="28"/>
          <w:szCs w:val="28"/>
          <w:rtl w:val="true"/>
          <w:lang w:bidi="fa-IR"/>
        </w:rPr>
        <w:t xml:space="preserve">قانون دیگر پیرامون تابعیت، مربوط به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است که هیئت وزیران لایحه قانونی تابعیت را مشتمل بر ده ماده به مجلس شورای ملّی ارسال داشت، ولی به تصویب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قانون تابعیت، شامل شانزده ماده به تصویب مجلس شورای ملّی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هم اصل خون و هم اصل خاک را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ش با تصویب دو ماده دیگر، به نام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متمم قانون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دو قانون تا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اجرا می‌شده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حال حاضر، قواعد تابعیت ضمن شانزده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است که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به تصویب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ایران به‌طور عمده روش خون را پذیرفته است و در مواردی نیز از روش خاک پیروی کرده است</w:t>
      </w:r>
      <w:r>
        <w:rPr>
          <w:rFonts w:eastAsia="IRNazanin" w:cs="IRNazanin"/>
          <w:color w:val="111111"/>
          <w:sz w:val="28"/>
          <w:szCs w:val="28"/>
          <w:rtl w:val="true"/>
          <w:lang w:bidi="fa-IR"/>
        </w:rPr>
        <w:t>.</w:t>
      </w:r>
    </w:p>
    <w:p>
      <w:pPr>
        <w:pStyle w:val="Heading4"/>
        <w:numPr>
          <w:ilvl w:val="3"/>
          <w:numId w:val="1"/>
        </w:numPr>
        <w:rPr/>
      </w:pPr>
      <w:bookmarkStart w:id="256" w:name="__RefHeading___Toc5261346_581953129"/>
      <w:bookmarkStart w:id="257" w:name="_Toc101"/>
      <w:bookmarkEnd w:id="256"/>
      <w:r>
        <w:rPr>
          <w:rtl w:val="true"/>
        </w:rPr>
        <w:t>الف</w:t>
      </w:r>
      <w:r>
        <w:rPr>
          <w:rtl w:val="true"/>
        </w:rPr>
        <w:t xml:space="preserve">) </w:t>
      </w:r>
      <w:r>
        <w:rPr>
          <w:rtl w:val="true"/>
        </w:rPr>
        <w:t>اعمال روش خون، طبق قانون ایران</w:t>
      </w:r>
      <w:bookmarkEnd w:id="257"/>
    </w:p>
    <w:p>
      <w:pPr>
        <w:pStyle w:val="BookText"/>
        <w:rPr/>
      </w:pPr>
      <w:r>
        <w:rPr>
          <w:rFonts w:ascii="IRNazanin" w:hAnsi="IRNazanin" w:eastAsia="IRNazanin"/>
          <w:color w:val="111111"/>
          <w:sz w:val="28"/>
          <w:sz w:val="28"/>
          <w:szCs w:val="28"/>
          <w:rtl w:val="true"/>
          <w:lang w:bidi="fa-IR"/>
        </w:rPr>
        <w:t xml:space="preserve">بند دوّم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روش خون یا روش نَسَبی را پذیرفته است؛ زیرا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پدر آنها ایرانی است، اعم از اینکه در ایران یا در خارجه متولّد شده باشند، تبعه ایران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بند کافی است پدر، ایرانی باشد تا فرزند او نیز ایرانی به‌شمار آید؛ خواه مادر او ایرانی یا خارجی باشد و خواه در ایران، یا خارج از ایران به دنیا آمده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روش خون از راه نَسَب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اعمال نَسَب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را دارد که در فرضی که تابعیت پدر و مادر در زمان تولّد فرزند متفاوت</w:t>
      </w:r>
    </w:p>
    <w:p>
      <w:pPr>
        <w:pStyle w:val="BookText"/>
        <w:rPr/>
      </w:pPr>
      <w:r>
        <w:rPr>
          <w:rFonts w:ascii="IRNazanin" w:hAnsi="IRNazanin" w:eastAsia="IRNazanin"/>
          <w:color w:val="111111"/>
          <w:sz w:val="28"/>
          <w:sz w:val="28"/>
          <w:szCs w:val="28"/>
          <w:rtl w:val="true"/>
          <w:lang w:bidi="fa-IR"/>
        </w:rPr>
        <w:t>باشد، از به‌وجود آمدن تابعیت مضاعف جلوگیری می‌کند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به عبارت روشن‌تر، این روش یکی از راه‌های بسیار خوب است که قانون‌گذار برای جلوگیری از به‌وجود آمدن تابعیت مضاعف پیش گرفته است؛ زیرا اندیشه نوینی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شکل گرفته است که بنابر آن، تابعیت کودک بر اساس روش خون، از تابعیت پدر و مادر او در هنگام تولّد ناشی می‌شود، که دراین صورت، اگر در هنگام تولّد وی پدر و مادر دارای دو تابعیت مختلف باشند، وی دارای تابعیت مضاعف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جدید فرانسه نیز این تفکّر عملی شده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در اینجا به بیان نکاتی درباره بند دوم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انتقال تابعیت از مادر به فرزند</w:t>
      </w:r>
    </w:p>
    <w:p>
      <w:pPr>
        <w:pStyle w:val="BookText"/>
        <w:rPr/>
      </w:pPr>
      <w:r>
        <w:rPr>
          <w:rFonts w:ascii="IRNazanin" w:hAnsi="IRNazanin" w:eastAsia="IRNazanin"/>
          <w:color w:val="111111"/>
          <w:sz w:val="28"/>
          <w:sz w:val="28"/>
          <w:szCs w:val="28"/>
          <w:rtl w:val="true"/>
          <w:lang w:bidi="fa-IR"/>
        </w:rPr>
        <w:t xml:space="preserve">در بند دوّم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هیچ اشاره‌ای به تابعیت مادر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بااین‌حال، با توجه به بند ششم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خارجی در صورت ازدواج با مرد ایرانی، دارای تابعیت ایران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به این بند وارد نیست؛ زیرا اگر مادر پیش از ازدواج با پدر ایرانی، خارجی بوده است، به محض شکل گرفتن عقد ازدواج، بدون ابراز هیچ اراده‌ای به تابعیت ایران در می‌آید؛ حتی اگر تابعیت خود را نیز طبق قانون کشور خود حفظ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پدری ایرانی باشد، بی‌تردید مادر هم ایرانی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بند دوّم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تابعیت ایرانی پدر را مورد توجه قرار داده است و اعلام می‌کند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پدر آنها ایرانی است، اعم از اینکه در ایران یا در خارجه متولّد شده باشند، تبعه ایران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بند دوّم و بند ششم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مانع دو تابعیتی بودن فرزندان از ابتدای 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صورتی که با وجود تحمیل تابعیت ایرانی به زن خارجی، قانون دولت متبوعِ زن خارجی، باز هم وی را تابع خود بداند و از این راه با اعمال روش خون، کودک متولّد از او را نیز تبعه خود بداند، ممکن است فرزندی دارای تابعیت مضاعف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برای جلوگیری از چنین ایرادی، اغلب قوانینی که زن را پس از ازدواج با مرد بیگانه به تابعیت سابق خود باقی می‌دانند، کودک متولّد از او را دارای تابعیت مادر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بیشتر کشورها،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 بودن تابعیت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شده است و فقط در بعضی کشورها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تابعیت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اصل فوق شده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به تصریح برخی از حقوق‌دانان، عکس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ندارد؛ یعنی به صرف اینکه فرزندی از مادری ایرانی متولّد شود، تابعیت ایران را کسب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مشورتی وزارت دادگستری، فقط اطفال متولّد در ایران از مادران ایرانی‌الاصل را ایرانی می‌داند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تعیین تابعیت فرزندان</w:t>
      </w:r>
    </w:p>
    <w:p>
      <w:pPr>
        <w:pStyle w:val="BookText"/>
        <w:rPr/>
      </w:pPr>
      <w:r>
        <w:rPr>
          <w:rFonts w:ascii="IRNazanin" w:hAnsi="IRNazanin" w:eastAsia="IRNazanin"/>
          <w:color w:val="111111"/>
          <w:sz w:val="28"/>
          <w:sz w:val="28"/>
          <w:szCs w:val="28"/>
          <w:rtl w:val="true"/>
          <w:lang w:bidi="fa-IR"/>
        </w:rPr>
        <w:t>از چه زمانی باید تابعیت پدر برای تعیین تابعیت فرزند مورد توجه قرار گیرد؛ از زمان انعقاد نطفه یا از زمان تولّد؟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معتقدند تابعیت پدر در هنگام انعقاد نطفه مطرح است؛ زیرا پس از آن، کودک دیگر با پدر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می‌گویند زمانی را باید در نظر</w:t>
      </w:r>
    </w:p>
    <w:p>
      <w:pPr>
        <w:pStyle w:val="BookText"/>
        <w:rPr/>
      </w:pPr>
      <w:r>
        <w:rPr>
          <w:rFonts w:ascii="IRNazanin" w:hAnsi="IRNazanin" w:eastAsia="IRNazanin"/>
          <w:color w:val="111111"/>
          <w:sz w:val="28"/>
          <w:sz w:val="28"/>
          <w:szCs w:val="28"/>
          <w:rtl w:val="true"/>
          <w:lang w:bidi="fa-IR"/>
        </w:rPr>
        <w:t>گرفت که نفع شخص در آن باشد، و گروه سوّم معتقدند چون تابعیت، مربوط به حاکمیت دولت است، پس باید تعیین این امر در اختیار دولت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زمان انعقاد نطفه، تاریخ دقیق و مشخصی ندارد و افزون بر آن، پیش از به دنیا آمدن فرزند، احتیاج چندانی به تعیین تابعیت نیست، به نظر می‌رسد بهتر است تابعیت پدر در زمان تولّد کودک در نظر گرفته شود، نه تاریخ انعقاد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از زمان انعقاد نطفه تا زمان تولّد فرزند، پدر تغییر تابعیتی داده باشد، به‌طور طبیعی تابعیتی را که پدر در هنگام تولّد دارد، باید برای فرزند نیز قائل باشیم؛ امّا پس از تولّد کودک، تأثیر تغییر تابعیت پدر بر روی او، به قانون آن کشور بستگی خواهد داشت؛ برای نمونه، از نظر قانون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قانون بیشتر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پدری تابعیت ایران را بدست آورد، کودک صغیر وی نیز به پیروی از پدر، دارای تابعیت ایران خواهد بود؛ این در حالی است که همین قانون، کودک صغیر پدری را که تابعیت ایران را ترک کرده است، به تابعیت ایران باقی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تابعیت کودکان نامشروع</w:t>
      </w:r>
    </w:p>
    <w:p>
      <w:pPr>
        <w:pStyle w:val="BookText"/>
        <w:rPr/>
      </w:pPr>
      <w:r>
        <w:rPr>
          <w:rFonts w:ascii="IRNazanin" w:hAnsi="IRNazanin" w:eastAsia="IRNazanin"/>
          <w:color w:val="111111"/>
          <w:sz w:val="28"/>
          <w:sz w:val="28"/>
          <w:szCs w:val="28"/>
          <w:rtl w:val="true"/>
          <w:lang w:bidi="fa-IR"/>
        </w:rPr>
        <w:t xml:space="preserve">آیا بند دوّم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شامل کودکان نامشروع نیز می‌شود؟ آیا آنان ایرانی به‌شمار می‌آیند؟ آیا روش خون درباره این دسته از فرزندان نیز قابل جریان است؟ دراین‌باره دو دیدگاه مطرح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کودک به دنیا آمده از زنا، به شخص زناکار ملحق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قوانین اسلامی برای فرزندان نامشروع هیچ حقی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بند دوّم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شامل کودکان نامشروع نمی‌شود؛</w:t>
      </w:r>
      <w:r>
        <w:rPr>
          <w:rStyle w:val="FootnoteAnchor"/>
          <w:rtl w:val="true"/>
        </w:rPr>
        <w:footnoteReference w:id="180"/>
      </w:r>
      <w:r>
        <w:rPr>
          <w:rFonts w:ascii="IRNazanin" w:hAnsi="IRNazanin" w:eastAsia="IRNazanin"/>
          <w:color w:val="111111"/>
          <w:sz w:val="28"/>
          <w:sz w:val="28"/>
          <w:szCs w:val="28"/>
          <w:rtl w:val="true"/>
          <w:lang w:bidi="fa-IR"/>
        </w:rPr>
        <w:t>امّا با استفاده از بند یکم این ماده می‌توان</w:t>
      </w:r>
    </w:p>
    <w:p>
      <w:pPr>
        <w:pStyle w:val="BookText"/>
        <w:rPr/>
      </w:pPr>
      <w:r>
        <w:rPr>
          <w:rFonts w:ascii="IRNazanin" w:hAnsi="IRNazanin" w:eastAsia="IRNazanin"/>
          <w:color w:val="111111"/>
          <w:sz w:val="28"/>
          <w:sz w:val="28"/>
          <w:szCs w:val="28"/>
          <w:rtl w:val="true"/>
          <w:lang w:bidi="fa-IR"/>
        </w:rPr>
        <w:t>ایرانی بودن این دسته از کودکان را اثبات کرد؛ چون قانون‌گذار، کلیه ساکنین ایران را تبعه ایران به‌شمار آورده است؛ مگر آنان‌که تابعیت خارجی آنها تردیدناپذیر باشد و به‌طور معمول، تابعیت خارجی کودک نامشروع، قطعی و تردیدناپذیر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اشکال، به نظر می‌رسد بند یکم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کودکانی که هویت آنان معلوم نیست، نمی‌شود؛ چون این بند در مورد ساکنان در کشور بوده و درباره چنین کودکانی که تازه به دنیا آمده‌اند،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کودک نامشروع به دنیا آمده در کشور خارجی و از پدر و مادر ایرانی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استدلال بالا در مورد تابعیت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حقوق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چراکه نمی‌توان تابعیت را از حقوق مالی یا حقوق خصوصی دانست، تا موضوع انتقال یا توارث در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عمل حاکمیت است و اوست که با رعایت ضابطه‌های معینی، بنا بر مقتضیات اجتماعی یا سیاسی، آن را به هرکسی که بخواهد اعطا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نظر ما این است که هرگاه اثبات نَسَب ممکن باشد و با نظم عمومی مخالف نباشد، روش خون به خوبی قابل اعمال خواهد بود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برای بررسی بیشتر تابعیت کودکان نامشروع، مسئله را در چهار حالت بررسی می‌کنیم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کودک نامشروع، هر دو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بدون تردید، کودک دارای تابعیت ایرانی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دوم، تابعیت بر اساس روش خون به کودک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w:t>
      </w:r>
      <w:bookmarkStart w:id="258" w:name="pg5888_36032"/>
    </w:p>
    <w:p>
      <w:pPr>
        <w:pStyle w:val="BookText"/>
        <w:rPr/>
      </w:pPr>
      <w:bookmarkEnd w:id="258"/>
      <w:r>
        <w:rPr>
          <w:rFonts w:ascii="IRNazanin" w:hAnsi="IRNazanin" w:eastAsia="IRNazanin"/>
          <w:color w:val="111111"/>
          <w:sz w:val="28"/>
          <w:sz w:val="28"/>
          <w:szCs w:val="28"/>
          <w:rtl w:val="true"/>
          <w:lang w:bidi="fa-IR"/>
        </w:rPr>
        <w:t>دیدگاه نخست نیز این کودک ایرانی خواهد بود؛ چون تابعیت خارجی او قطعی و تردیدناپذیر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پدر معلوم باشد، ولی تابعیت مادر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مانند فرض پیشین است و فرزند ایرانی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پدر و مادر کودک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بر اساس بند سوّم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ایرانی است؛ مشروط به اینکه در ایران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مادر معلوم باشد، ولی تابعیت پدر معلوم نباشد؛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نامشروعی که در بیمارستانی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چون مادر معلوم است، نمی‌تواند مشمول بند سوّم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زیرا در آنجا به نامعلوم بودن پدر و مادر اشاره شده است، نه نامعلوم بودن پدر یا مادر و یا هر دو</w:t>
      </w:r>
      <w:r>
        <w:rPr>
          <w:rFonts w:eastAsia="IRNazanin" w:cs="IRNazanin"/>
          <w:color w:val="111111"/>
          <w:sz w:val="28"/>
          <w:szCs w:val="28"/>
          <w:rtl w:val="true"/>
          <w:lang w:bidi="fa-IR"/>
        </w:rPr>
        <w:t>.</w:t>
      </w:r>
    </w:p>
    <w:p>
      <w:pPr>
        <w:pStyle w:val="Heading4"/>
        <w:numPr>
          <w:ilvl w:val="3"/>
          <w:numId w:val="1"/>
        </w:numPr>
        <w:rPr/>
      </w:pPr>
      <w:bookmarkStart w:id="259" w:name="__RefHeading___Toc5261348_581953129"/>
      <w:bookmarkStart w:id="260" w:name="_Toc102"/>
      <w:bookmarkEnd w:id="259"/>
      <w:r>
        <w:rPr>
          <w:rtl w:val="true"/>
        </w:rPr>
        <w:t>ب</w:t>
      </w:r>
      <w:r>
        <w:rPr>
          <w:rtl w:val="true"/>
        </w:rPr>
        <w:t xml:space="preserve">) </w:t>
      </w:r>
      <w:r>
        <w:rPr>
          <w:rtl w:val="true"/>
        </w:rPr>
        <w:t>اعمال روش خاک، طبق قانون ایران</w:t>
      </w:r>
      <w:bookmarkEnd w:id="260"/>
    </w:p>
    <w:p>
      <w:pPr>
        <w:pStyle w:val="BookText"/>
        <w:rPr/>
      </w:pPr>
      <w:r>
        <w:rPr>
          <w:rFonts w:ascii="IRNazanin" w:hAnsi="IRNazanin" w:eastAsia="IRNazanin"/>
          <w:color w:val="111111"/>
          <w:sz w:val="28"/>
          <w:sz w:val="28"/>
          <w:szCs w:val="28"/>
          <w:rtl w:val="true"/>
          <w:lang w:bidi="fa-IR"/>
        </w:rPr>
        <w:t xml:space="preserve">قانون مدنی ایران روش خون را به‌صورتِ کامل و مطلق پذیرفته است و روش خاک را فقط به‌صورتِ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بر طبق اصل خاک، آنها را ایرانی می‌داند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یکم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ساکنین ایران، به استثنای اشخاصی که تبعیت خارجی آنها مسلَّم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خارجی کسانی مسلَّم است که مدارک تابعیت آنها مورد اعتراض دولت ایران نباشد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در این بند به اصل خاک تمایل داشته و اصل را بر این گذاشته است که همه افراد ساکن کشور، تبعه او به‌شمار می‌آیند، مگر اینکه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خارجی‌ها نیز باید با مدارکی که مورد اعتراض دولت ایران نباشد ثابت شود؛ یعنی لازم نیست درست بودن مدارک، مورد تأیید دولت ایران باشد؛</w:t>
      </w:r>
    </w:p>
    <w:p>
      <w:pPr>
        <w:pStyle w:val="BookText"/>
        <w:rPr/>
      </w:pPr>
      <w:r>
        <w:rPr>
          <w:rFonts w:ascii="IRNazanin" w:hAnsi="IRNazanin" w:eastAsia="IRNazanin"/>
          <w:color w:val="111111"/>
          <w:sz w:val="28"/>
          <w:sz w:val="28"/>
          <w:szCs w:val="28"/>
          <w:rtl w:val="true"/>
          <w:lang w:bidi="fa-IR"/>
        </w:rPr>
        <w:t>بلکه همین که مورد اعتراض دولت ایران نباشد کافی است؛ زیرا باید برای تأیید این دسته از مدارک، آنها را با قانون کشور خارجی تطبیق داد و این امر از مقام رسیدگی‌کننده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فردی در ایران یافت شود که تابعیت او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به سن رشد رسیده یا نرسیده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ایران شناخته می‌شود، مگر آنکه تبعیت خارجی او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معتقدند بند یکم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حاکی از اصل خاک نیست؛ بلکه اماره سکونت است؛ درحالی که اصل خاک مربوط به محل تولّد است، نه محل سکونت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مراد از ساکنین ایران، کسانی هستند که در ایران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نتیجه می‌گیریم که حکم مندرج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یک اماره و فرض قانونی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قانون این است که هرکس در ایران اقامت دارد ایرانی است، مگر آنکه به‌وسیله سند تابعیتی که مورد اعتراض دولت ایران نباشد، تابعیت خارجی خود را ثابت 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سوّم ماده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کسانی که در ایران متولّد شده و پدر و مادر آنها نا معلوم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دو شرط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خود این اشخاص در ایران به دنیا آمده باشند و دیگر آنکه پدر و مادر آنها به‌طور حقیقی یا به لحاظ قانونی نامعلوم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بند، روش خاک را به‌صورتِ مشروط پذیرفته است؛ یعنی هیچ‌کس به صرف تولّد در ایران، تابعیت ایران را به دست نمی‌آورد، مگر به شرط نامعلوم بودن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چهارم ماده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کسانی که از پدر و مادر خارجی که یکی از آنها در ایران متولّد شده است به‌وجود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بند، نکات زیر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خاک به‌طور نسبی در مورد فرزندی که در ایران از پدر و مادر خارجی به دنیا آمده، پذیرفته شده است؛ مشروط بر اینکه یکی از آنان نیز در ایران متولّد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کودک در ایران متولّد شود و هیچ‌یک از والدین خارجی او در ایران متولّد نشده باشند، فرزند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تولّد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به‌شمار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ایران از یک پدر و مادر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بیاید، ایرانی شمرده می‌شود؛ امّا اگر از یک پدر خارجی و مادر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بیاید، ایرانی به‌شمار نمی‌آید؛ با وجود اینکه این کودک، ایرانی‌تر از کسی است که از پدر و مادر خارجی متولّد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تبصره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کودکان نمایندگان سیاسی و کنسولی خارجی، مشمول این بند و بند پنجم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فرزندان مأمورین نظامی خارجی نیز در حکم فرزندان نمایندگان سیاسی و کنسولی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هرگاه اشخاص مذکور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پس از رسیدن به هجده سال تمام بخواهند تابعیت پدر خود را قبول کنند، باید ظرف یک‌سال درخواست کتبی، به ضمیمه تصدیق دولت متبوع پدرشان را دایر به اینکه آنها را تبعه خود خواهند شناخت، به وزارت امور خارجه تسلیم کنند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بند پنجم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کسانی که در ایران از پدری که تبعه خارجه است به‌وجود آمده‌اند و بلافاصله پس از رسیدن به هجده سال تمام،</w:t>
      </w:r>
    </w:p>
    <w:p>
      <w:pPr>
        <w:pStyle w:val="BookText"/>
        <w:rPr/>
      </w:pPr>
      <w:r>
        <w:rPr>
          <w:rFonts w:ascii="IRNazanin" w:hAnsi="IRNazanin" w:eastAsia="IRNazanin"/>
          <w:color w:val="111111"/>
          <w:sz w:val="28"/>
          <w:sz w:val="28"/>
          <w:szCs w:val="28"/>
          <w:rtl w:val="true"/>
          <w:lang w:bidi="fa-IR"/>
        </w:rPr>
        <w:t>دست کم اقل یک‌سال دیگر در ایران اقامت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مادر به‌عنوان تبعه یک کشور بیگانه اشاره نشده و فقط به تابعیت پدر اکتفا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ماده فرض بر این است که پدر کودک، ایرانی نیست و برای اینکه تابعیت ایرانی به وی تحمیل شود، باید پس از هجده سالگی، یک‌سال در ایران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لزومی ندارد برای اینکه فرزند ایرانی شمرده شود، پس از تولّد تا پیش از هجده سالگی در ایران زندگی کند؛ بلکه ممکن است بلافاصله پس از تولد، در کشور دیگری اقامت کند و آن‌گاه پیش از اتمام هجده سالگی به ایران مراجعت کرده، مدّت یک‌سال تمام در ایران بماند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هرگاه اشخاص یادشده در بند پنجم ماده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پس از رسیدن به هجده سالگی تمام بخواهند به تابعیت پدر خود باقی بمانند، باید ظرف یک سال، درخواست کتبی به ضمیمه تصدیق دولت متبوع پدر خود را دایر بر اینکه آنها را تبعه خود خواهند شناخت، به وزارت امور خارجه تسلیم کنند؛ زیرا اگر این تصدیق خواسته نشود، ممکن است دولت متبوع پدر، او را به تابعیت خود نپذیرد و دراین‌صورت، چون تابعیت ایرانی خود را از دست داده است، بدون تابعیت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همچنان‌که پیش‌تر نیز گفته شد، بر اساس تبصره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کودکان نمایندگان سیاسی و کنسولی خارجی، مشمول این بند نخواهند شد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اصل سوّم از اصول تابعیت، اصل تغییرپذیری تابعیت است که بیشتر کشورها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زیر موجب پذیرش تغییرپذیری تابعیت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تابعیت مانند روزگاران گذشته، به معنای وابستگی مطلق و همیشگی فرد نسبت به دولت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تغییر تابعیت، دلیل قابل قبولی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دولت‌ها در وجود این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تابعیت دارای اقسامی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ارادی تابعیت، تغییر غیر ارادی تابعیت، تغییر تابعیت در اثر ازدواج و تغییر تابعیت به‌صورتِ تقلّبی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تغییر ارادی تابعیت به این معنا نیست که هر یک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خواستند رابطه تابعیت را بر هم زنند؛ بلکه دولت‌ها دراین‌باره دارای اختیار تام بوده، در ترک تابعیت سه شرط را مد نظر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زمان و انجام تعهدات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غیر ارادی تابعیت هنگامی است که بخشی از سرزمین یک کشور جدا شود و افراد ساکن در آن، بدون اختیار به تابعیت دولتی درآیند که از این پس بر آنها حکومت خواهد داشت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تابعیت بر اثر ازدواج به این معناست که در بیشتر موارد، زن پس از ازدواج، تابعیت گذشته خود را از دست داده، تابعیت شوهر خود را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منشأ حقوقی تغییر تابعیت زن پس از ازدواج، چندین دیدگاه از سوی صاحب‌نظران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تابعیت به‌صورتِ تقلّبی به این معناست که شخص از حقّ امکان تغییر تابعیت که قانون به او داده است، برای هدف غیرقانونی و نامشروع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شخص دارای دو یا چند تابعیت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تابعیت مؤثّر او اهمیت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مؤثّر، تابعیتی است که قاضی از بین چند تابعیت شخص، آن را ترجیح و ملاک انتخاب قانون حاکم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عهدنامه‌هایی که دولت ایران با دولت‌های خارجی بسته است، می‌توان موادی را پیرامون تابعیت یافت؛ ولی نخستین قانون تابعیت ایران،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پانزده ماده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قواعد مربوط به تابعیت ضمن شانزده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ماده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بند دوّم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روش خون یا روش نَسَبی به‌طور مطلق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بند یکم، دوم، سوم، چهارم و پنجم، روش خاک به‌صورتِ مشروط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دوّم ماده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xml:space="preserve">، به انتقال تابعیت از مادر به فرزند اشاره‌ای نشده است؛ چون با توجه به بند ششم ماده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هر زن خارجی که با مرد ایرانی ازدواج کند، دارای تابعیت ایران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زمان تعیین تابعیت کودک باید گفت ازآنجاکه زمان انعقاد نطفه، تاریخ مشخصی ندارد، بهتر است تابعیت پدر در زمان تولّد فرزند در نظر گرفته شود، نه تاریخ انعقاد نطفه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وضعیت تابعیت کودکان نامشروع باید گفت درهرحال، این دسته از افراد، دارای تابعیت ایرانی هستند؛ اگرچه از نظر قوانین اسلامی و ماده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کودک به دنیا آمده از زنا به شخص زنا کار ملحق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تغییرپذیری تابعیت چیست؟ دو رکن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عواملی در پذیرش جهانی اصل تغییرپذیری تابعیت مؤثّر واقع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تغییر ارادی تابعیت، میزان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تابعیت چه مقدار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غیر ارادی تابعیت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مختلف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حقوقی تغییر تابعیت زن در اثر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تابعیت به‌صورتِ تقلّبی را توضیح داده، برای آن مثال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مؤثّر چیست و چه هنگامی به آن استناد می‌شود؟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خون را در ایران با استناد به قانون مدنی توضیح داده، بیان کنید که چرا تابعیت از مادر به فرزند منتقل نمی‌شود؟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تعیین تابعیت کودک، زمان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تاریخ انعقاد 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اساس روش خون می‌توان تابعیت ایرانی کودکان نامشروع را ثابت کرد؟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بر اساس روش خاک، تابعیت ایرانی کودکان نامشروع را ثابت کرد؟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خاک بر اساس قانون ایران چگونه اجرا می‌شود؟ چهار حالت اعمال روش خاک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تاریخچه تابعیت ایران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به‌صورتِ تطبیقی مواد مربوط به تابعیت را در عهدنامه‌ها و مقررات گوناگون، با مواد کنونی تابعیت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قرار دهید و سیر تکاملی قانون تابعیت را بررسی و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مربوط به حقوق بین‌الملل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انتقادی قانون تابعیت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را مورد بررسی و تحلیل قرار داده، کاستی‌ها و موارد ابهام و تناقض آن را بیان کنید و قانون پیشنهادی خود را برای رفع کاستی‌ها و کمبودها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مربوط به حقوق بین‌الملل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منشأ حقوقی تغییر تابعیت زن در اثر ازدواج تحقیق کنید و مهم‌ترین دیدگاه‌های مربوط را بررسی و در نهایت، دیدگاه برگزیده را تبیین نمایید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مربوط به حقوق بین الملل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غیر ارادی تابعیت در مواردی رخ می‌دهد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کشورهای خارجی پناه ببرند و دولت جدید، آنها را تبعه خود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اثر اجرای مجازات، تابعیت خود را از دست دهد و به تابعیت دیگری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اراضی یک کشور از خاک اصلی جدا شده، به کشور دیگری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گزینه، تابعیت بر روش خون مبتنی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خارجی که شوهر ایرانی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ساکنین ایران، به استثنای اشخاصی که تابعیت خارجی آنها مسلَّم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پدر آنها ایرانی است؛ چه در ایران یا در خارج به دنیا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ایران از پدر و مادر نامعلوم به دنیا آمده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ایران تابعیت اصلی را بر حسب روش خون، فقط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پدر و مادر در هنگام ولادت کودک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پدر و مادر در هنگام انعقاد نطفه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پدری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مادری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بودن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تابعیت خود را از دست بدهد؛ مگر اینکه تابعیت دولت دیگری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به محض تولّد باید دارای تابعیت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شخصی نباید بیش از یک تابعیت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امری همیشگی و زوال‌ناپذیر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مؤثّر در حقوق بین‌الملل خصوصی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تابعیتی که با اعمال روش خون به‌وجود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تابعیتی که با اعمال روش خاک به‌وجود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تابعیتی که شخص از میان چند تابعیت، آن را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واقعی که قاضی از بین چند تابعیت شخص، آن را ترجیح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اعطای تابعیت بر مبنای نژاد افراد، 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دفاعی و تقنینی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دفاعی و تعرضی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تعرضی و تقنینی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تقنینی و توسعه‌طلبی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ایران به فردی که تابعیت ایرانی و خارجی دارد، در صورت تعارض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حق ترجیح یا حق اعراض از تابعیت ایران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خاک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خاک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نَسَبی ایران با تابعیت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 خارجی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ارضی ایران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 خارجی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خارجی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 تابعیت ایران، چند نوع تابعیت اصلی بر مبنای معیار خاک پیش‌بینی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 تابعیت ایران، چند نوع تابعیت بر مبنای معیار خون پیش‌بینی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حقوق موضوعه ایران، روش ترجیحی تابعیت تولّدی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تابعیت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تابعیت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حقوق موضوعه ایران، روش فرعی تابعیت تولدی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تابعیت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تابعیت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ایران، تابعیت مبتنی بر روش خاک به کدام صورت اعمال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و مطلق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بی‌قید و شرط</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کودکی که از پدر ایرانی و در ایران متولّد می‌شود، ناشی از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تابعیت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خاک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ایرانی کودکی که از پدر ایرانی و در ایران متولّد شده است، تابعیت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سرزمینی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مؤثّرترین وسیله برای جلوگیری از بی‌تابعیتی، اعمال 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تابعیت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تابعیت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اصلی، تابعیتی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ازدواج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معینی اقامت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اجرای روش خون یا خاک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شخص به سن هجده سال تمام به دست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مورد،تغییر غیر ارادی تابعیت برای افراد رخ می‌دهد؟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به‌عنوان مجازات از کشور اخراج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به کشور دیگری پناهنده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سرزمین‌های یک کشور از خاک اصلی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فرزندانی که پدرشان تغییر تابعیت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ارادی تابعیت در کدام مورد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تابعیت، دریافت تابعیت، ترک تابعیت، رجوع به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تابعیت در اثر ازدواج، رجوع به تابعیت، ترک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سرزمینی، ردّ تابعیت، ترک تابعیت، رجوع به تابعیت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تابعیت، الحاق سرزمینی، ردّ تابعیت، دریافت تابعیت در اثر ازدواج</w:t>
      </w:r>
      <w:r>
        <w:rPr>
          <w:rFonts w:eastAsia="IRNazanin" w:cs="IRNazanin"/>
          <w:color w:val="111111"/>
          <w:sz w:val="28"/>
          <w:szCs w:val="28"/>
          <w:rtl w:val="true"/>
          <w:lang w:bidi="fa-IR"/>
        </w:rPr>
        <w:t>.</w:t>
      </w:r>
      <w:bookmarkStart w:id="261" w:name="pg5888_36046"/>
    </w:p>
    <w:p>
      <w:pPr>
        <w:pStyle w:val="Heading2"/>
        <w:numPr>
          <w:ilvl w:val="1"/>
          <w:numId w:val="1"/>
        </w:numPr>
        <w:rPr/>
      </w:pPr>
      <w:bookmarkStart w:id="262" w:name="__RefHeading___Toc5261350_581953129"/>
      <w:bookmarkStart w:id="263" w:name="_Toc103"/>
      <w:bookmarkEnd w:id="261"/>
      <w:bookmarkEnd w:id="262"/>
      <w:r>
        <w:rPr/>
        <w:t>6</w:t>
      </w:r>
      <w:r>
        <w:rPr>
          <w:rtl w:val="true"/>
        </w:rPr>
        <w:t xml:space="preserve">- </w:t>
      </w:r>
      <w:r>
        <w:rPr>
          <w:rtl w:val="true"/>
        </w:rPr>
        <w:t>تابعیت اکتسابی</w:t>
      </w:r>
      <w:bookmarkEnd w:id="263"/>
    </w:p>
    <w:p>
      <w:pPr>
        <w:pStyle w:val="Heading3"/>
        <w:numPr>
          <w:ilvl w:val="2"/>
          <w:numId w:val="1"/>
        </w:numPr>
        <w:rPr/>
      </w:pPr>
      <w:bookmarkStart w:id="264" w:name="__RefHeading___Toc5261352_581953129"/>
      <w:bookmarkStart w:id="265" w:name="_Toc104"/>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تابعیت اکتسابی و اینکه ممکن است این نوع تابعیت، ارادی یا غیر ارادی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اقسام پنج‌گانه تابعیت اکتسابی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فرزندان خردسال، تابعیت اکتسابی زن، تابعیت اکتسابی بر اثر جدا شدن بخشی از سرزمین‌های کشور، تابعیت اکتسابی بر اثر ازدواج و تابعیت اکتسابی بر اثر تقاضای دریافت تابعیت</w:t>
      </w:r>
      <w:r>
        <w:rPr>
          <w:rFonts w:eastAsia="IRNazanin" w:cs="IRNazanin"/>
          <w:color w:val="111111"/>
          <w:sz w:val="28"/>
          <w:szCs w:val="28"/>
          <w:rtl w:val="true"/>
          <w:lang w:bidi="fa-IR"/>
        </w:rPr>
        <w:t>.</w:t>
      </w:r>
    </w:p>
    <w:p>
      <w:pPr>
        <w:pStyle w:val="Heading3"/>
        <w:numPr>
          <w:ilvl w:val="2"/>
          <w:numId w:val="1"/>
        </w:numPr>
        <w:rPr/>
      </w:pPr>
      <w:bookmarkStart w:id="266" w:name="__RefHeading___Toc5261354_581953129"/>
      <w:bookmarkStart w:id="267" w:name="_Toc105"/>
      <w:bookmarkEnd w:id="266"/>
      <w:r>
        <w:rPr>
          <w:rtl w:val="true"/>
        </w:rPr>
        <w:t>اقسام تابعیت اکتسابی</w:t>
      </w:r>
      <w:bookmarkEnd w:id="267"/>
    </w:p>
    <w:p>
      <w:pPr>
        <w:pStyle w:val="Heading4"/>
        <w:numPr>
          <w:ilvl w:val="3"/>
          <w:numId w:val="1"/>
        </w:numPr>
        <w:rPr/>
      </w:pPr>
      <w:bookmarkStart w:id="268" w:name="__RefHeading___Toc5261356_581953129"/>
      <w:bookmarkStart w:id="269" w:name="_Toc106"/>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چنان‌که پیش‌تر بیان شد، تابعیت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تابعیتی است که کودک با تولّد خود، به نوعی آن را بدست آورده یا به وی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تابعیت اکتسابی قرار دارد و آن تابعیتی است که شخصی پس از تولّد، آن را اکتساب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تابعیت اکتسابی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اراده شخص، در کسب تابعیت جدید وی تأثیری نداشته باشد و در مواردی شخص با اراده و میل خویش، تابعیت جدیدی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تابعیت غیر ارادی، شامل این موارد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فرزندان خردسالِ کسی که تغییر تابعیت داده است؛</w:t>
      </w:r>
      <w:bookmarkStart w:id="270" w:name="pg5888_36047"/>
    </w:p>
    <w:p>
      <w:pPr>
        <w:pStyle w:val="BookText"/>
        <w:rPr/>
      </w:pPr>
      <w:bookmarkEnd w:id="27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بر اثر جدا شدن بخشی از سرزمین‌های یک کشور؛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بر اثر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روشن می‌شود که مقصود از تابعیت اکتسابی، فقط تابعیتی نیست که شخص با اراده خود به تحصیل آن اقدام می‌کند؛ بلکه هر تابعیتی است که پس از به دنیا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فاصله‌ای از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تابعیت، بر اساس نقش اراده فرد و دولت در پیدایش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استمرار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انواع گوناگونی تقسیم می‌شود که هریک راهی برای برخورداری از تابعیت به‌شمار می‌آید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با این توصیف، تابعیت اکتسابی از پنج راه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فرزندان خردسال کسی که تغییر تابعیت داده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همسر مردی که تغییر تابعیت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بر اثر جدا شدن بخشی از سرزمین‌های کشور؛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بر اثر ازدواج؛</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بر اثر تقاضای دریافت تابعیت شخصی</w:t>
      </w:r>
      <w:r>
        <w:rPr>
          <w:rFonts w:eastAsia="IRNazanin" w:cs="IRNazanin"/>
          <w:color w:val="111111"/>
          <w:sz w:val="28"/>
          <w:szCs w:val="28"/>
          <w:rtl w:val="true"/>
          <w:lang w:bidi="fa-IR"/>
        </w:rPr>
        <w:t>.</w:t>
      </w:r>
    </w:p>
    <w:p>
      <w:pPr>
        <w:pStyle w:val="Heading4"/>
        <w:numPr>
          <w:ilvl w:val="3"/>
          <w:numId w:val="1"/>
        </w:numPr>
        <w:rPr/>
      </w:pPr>
      <w:bookmarkStart w:id="271" w:name="__RefHeading___Toc5261358_581953129"/>
      <w:bookmarkStart w:id="272" w:name="_Toc107"/>
      <w:bookmarkEnd w:id="271"/>
      <w:r>
        <w:rPr>
          <w:rtl w:val="true"/>
        </w:rPr>
        <w:t>الف</w:t>
      </w:r>
      <w:r>
        <w:rPr>
          <w:rtl w:val="true"/>
        </w:rPr>
        <w:t xml:space="preserve">) </w:t>
      </w:r>
      <w:r>
        <w:rPr>
          <w:rtl w:val="true"/>
        </w:rPr>
        <w:t>تابعیت اکتسابی فرزندان خردسال</w:t>
      </w:r>
      <w:bookmarkEnd w:id="272"/>
    </w:p>
    <w:p>
      <w:pPr>
        <w:pStyle w:val="BookText"/>
        <w:rPr/>
      </w:pPr>
      <w:r>
        <w:rPr>
          <w:rFonts w:ascii="IRNazanin" w:hAnsi="IRNazanin" w:eastAsia="IRNazanin"/>
          <w:color w:val="111111"/>
          <w:sz w:val="28"/>
          <w:sz w:val="28"/>
          <w:szCs w:val="28"/>
          <w:rtl w:val="true"/>
          <w:lang w:bidi="fa-IR"/>
        </w:rPr>
        <w:t>هرگاه پدر خارجی به تابعیت ایران درآید، به فرزندان خردسال او نیز به پیروی از پدر، تابعیت ایران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صغیر کسی که طبق این قانون، تحصیل تابعیت ایران می‌کند، تبعه دولت ایران شناخته می‌شود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تبعیت فرزند از تابعیت پدر آن است که فرزند خردسال هنوز به رشد کامل</w:t>
      </w:r>
    </w:p>
    <w:p>
      <w:pPr>
        <w:pStyle w:val="BookText"/>
        <w:rPr/>
      </w:pPr>
      <w:r>
        <w:rPr>
          <w:rFonts w:ascii="IRNazanin" w:hAnsi="IRNazanin" w:eastAsia="IRNazanin"/>
          <w:color w:val="111111"/>
          <w:sz w:val="28"/>
          <w:sz w:val="28"/>
          <w:szCs w:val="28"/>
          <w:rtl w:val="true"/>
          <w:lang w:bidi="fa-IR"/>
        </w:rPr>
        <w:t>عقلی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از مراقبت و تربیت پدر و مادر خود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با سایر افراد خانواده دارای یک تابعیت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فرزندانی که به سن هجده سال تمام رسیده‌اند، از تغییر تابعیت پدر تأثیر نمی‌پذیرند؛ زیرا به رشد عقلی رسیده‌اند و لزومی ندارد تابعیت آنان مانند بقیه اعضای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سن هجده سال تمام می‌تواند ظرف یک سال، درخواستی کتبی خود را به وزارت امور خارجه دهد و تابعیت کشور سابق پدر خود را بپذیرد؛ امّا به پیوست این درخواست، باید تصدیق دولت سابق متبوع پدر را دایر بر اینکه او را تبعه خود خواهد شناخت، دارا باشد تا در اثر این تغییر تابعیت، بدون تابعیت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تابعیت ایرانی پدر به‌هیچ‌وجه درباره اولاد او که در تاریخ تقاضانامه به سن هجده سال تمام رسیده‌اند، مؤثّر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کودکی که از تغییر تابعیت پدر تأثیر پذیرفته است، چنانچه به سن هجده سال تمام برسد، می‌تواند به تابعیت سابق پدر خود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ادامه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صغیر در ظرف یک‌سال از تاریخ رسیدن به سن هجده سال تمام می‌توانند اظهاریه کتبی به وزارت امور خارجه داده و تابعیت سابق پدر را قبول کنند؛ لیکن به اظهاریه اولاد، اعم از ذکور و اناث باید تصدیق مذکور در ماده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بیشتر کشورهایی که تغییر تابعیت کودک را در اثر دریافت تابعیت پدر پذیرفته‌اند، عکس این مورد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تغییر تابعیت فرزند در اثر ترک تابعیت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نپذیرفته‌اند؛ برای نمونه، قانون ایران کودکی را که پدرش تابعیت</w:t>
      </w:r>
    </w:p>
    <w:p>
      <w:pPr>
        <w:pStyle w:val="BookText"/>
        <w:rPr/>
      </w:pPr>
      <w:r>
        <w:rPr>
          <w:rFonts w:ascii="IRNazanin" w:hAnsi="IRNazanin" w:eastAsia="IRNazanin"/>
          <w:color w:val="111111"/>
          <w:sz w:val="28"/>
          <w:sz w:val="28"/>
          <w:szCs w:val="28"/>
          <w:rtl w:val="true"/>
          <w:lang w:bidi="fa-IR"/>
        </w:rPr>
        <w:t>ایران را ترک کند، از تابعیت ایران خارج نمی‌شمارد؛ مگر اینکه تقاضای ترک تابعیت شامل تابعیت فرزند نیز باشد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توضیح اینکه دریافت تابعیت فرزندان، یا به پیروی از پدر است و یا به پیروی از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این دو مورد نیز فرزند، یا خردسال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هجده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بزرگسال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دریافت تابعیت فرزندان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ایرانی، تحصیل تابعیت فرزند خردسال به پیروی از مادر را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دو مورد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دریافت تابعیت فرزند بزرگسال، مورد پذیرش قانون‌گذار نیست؛ چه اینکه وی به رشد عقلی رسیده است و می‌تواند تابعیتی مستقل از پدر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آنچه از موارد چهارگانه بالا باقی می‌ماند، تحصیل تابعیت فرزند خردسال به پیروی از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توضیح که فرزند خردسال پس از</w:t>
      </w:r>
      <w:bookmarkStart w:id="273" w:name="pg5888_36050"/>
    </w:p>
    <w:p>
      <w:pPr>
        <w:pStyle w:val="BookText"/>
        <w:rPr/>
      </w:pPr>
      <w:bookmarkEnd w:id="273"/>
      <w:r>
        <w:rPr>
          <w:rFonts w:ascii="IRNazanin" w:hAnsi="IRNazanin" w:eastAsia="IRNazanin"/>
          <w:color w:val="111111"/>
          <w:sz w:val="28"/>
          <w:sz w:val="28"/>
          <w:szCs w:val="28"/>
          <w:rtl w:val="true"/>
          <w:lang w:bidi="fa-IR"/>
        </w:rPr>
        <w:t>رسیدن به سن هجده سال تمام، به مدّت یک‌سال فرصت دارد تا به تابعیت سابق پدرش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روشن می‌شود که از نظر قانون ایران، دریافت تابعیت فرزندان خردسال به پیروی از پدر و مادر نیز وجود ندارد</w:t>
      </w:r>
      <w:r>
        <w:rPr>
          <w:rFonts w:eastAsia="IRNazanin" w:cs="IRNazanin"/>
          <w:color w:val="111111"/>
          <w:sz w:val="28"/>
          <w:szCs w:val="28"/>
          <w:rtl w:val="true"/>
          <w:lang w:bidi="fa-IR"/>
        </w:rPr>
        <w:t>.</w:t>
      </w:r>
    </w:p>
    <w:p>
      <w:pPr>
        <w:pStyle w:val="Heading4"/>
        <w:numPr>
          <w:ilvl w:val="3"/>
          <w:numId w:val="1"/>
        </w:numPr>
        <w:rPr/>
      </w:pPr>
      <w:bookmarkStart w:id="274" w:name="__RefHeading___Toc5261360_581953129"/>
      <w:bookmarkStart w:id="275" w:name="_Toc108"/>
      <w:bookmarkEnd w:id="274"/>
      <w:r>
        <w:rPr>
          <w:rtl w:val="true"/>
        </w:rPr>
        <w:t>ب</w:t>
      </w:r>
      <w:r>
        <w:rPr>
          <w:rtl w:val="true"/>
        </w:rPr>
        <w:t xml:space="preserve">) </w:t>
      </w:r>
      <w:r>
        <w:rPr>
          <w:rtl w:val="true"/>
        </w:rPr>
        <w:t>تابعیت اکتسابی همسر مردی که تابعیت ایران را دریافت کرده است</w:t>
      </w:r>
      <w:bookmarkEnd w:id="275"/>
    </w:p>
    <w:p>
      <w:pPr>
        <w:pStyle w:val="BookText"/>
        <w:rPr/>
      </w:pPr>
      <w:r>
        <w:rPr>
          <w:rFonts w:ascii="IRNazanin" w:hAnsi="IRNazanin" w:eastAsia="IRNazanin"/>
          <w:color w:val="111111"/>
          <w:sz w:val="28"/>
          <w:sz w:val="28"/>
          <w:szCs w:val="28"/>
          <w:rtl w:val="true"/>
          <w:lang w:bidi="fa-IR"/>
        </w:rPr>
        <w:t xml:space="preserve">در بیشتر کشورهایی که به اصل وحدت تابعیت معتقد هستند، هرگاه مرد، تابعیت آن کشور را به دست آورد، زن وی نیز دارای تابعیت آن کشور خواهدشد؛ برای نمونه،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تابعیت ایرانی شوهر را که در اثر تقاضای خود و احراز شرایط به دست آورده است، بر زن تحمیل می‌کند؛ امّا با وجود این، به زن حق می‌دهد که تا ظرف یک‌سال از تاریخ صدور سند تابعیت شوهر، درخواستی کتبی خود را به وزارت امور خارجه داده، تابعیت پیشین شوهر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بنابر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زن فقط می‌تواند به تابعیت پیشین شوهر بازگردد و اگر بخواهد به تابعیت اصلی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تابعیت سابق شوهرش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قانون در این مورد تکلیفی معین نکرده است؛ هر چند در عمل، وزارت امور خارجه ایران این امر را پذیرفته است؛ چنان‌که در یک مورد، زنی فرانسوی و دارای شوهری یونانی، پس از آنکه شوهرش تابعیت ایران را دریافت کرد، از مهلت قانونی یک‌سال استفاده کرد و به تابعیت فرانسوی خود بازگشت؛ درحالی‌که طبق این ماده، فقط حق داشت به تابعیت یونان درآید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نظر اداره تابعیت وزارت امور خارجه، نکته مهم در مورد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شناسایی حق انتخاب تابعیت است؛ اینکه زن تابعیت چه دولتی را انتخاب کند، یک امر ثانوی است که از نظر دولت ایران اهمیت خاصی ندارد؛ چنان‌که در مورد فردی بدون تابعیت، که به او تابعیت ایرانی داده شده بود و</w:t>
      </w:r>
    </w:p>
    <w:p>
      <w:pPr>
        <w:pStyle w:val="BookText"/>
        <w:rPr/>
      </w:pPr>
      <w:r>
        <w:rPr>
          <w:rFonts w:ascii="IRNazanin" w:hAnsi="IRNazanin" w:eastAsia="IRNazanin"/>
          <w:color w:val="111111"/>
          <w:sz w:val="28"/>
          <w:sz w:val="28"/>
          <w:szCs w:val="28"/>
          <w:rtl w:val="true"/>
          <w:lang w:bidi="fa-IR"/>
        </w:rPr>
        <w:t>همسر وی تابعیت یونانی داشت، مقامات انتظامی بر این عقیده بودند که چون شوهر، بدون تابعیت بوده است، زن نمی‌تواند از این ماده استفاده کند؛ حال‌آنکه به نظر اداره تابعیت، اصل، شناسایی حق انتخاب تابعیت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زن حق دادند به تابعیت پیشین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حقوق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فرانسه، به زن کسی که تابعیت فرانسه را دریافت می‌کند، تحمیل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موافق با ماده ده قرارداد لاهه مربوط به تعارض قوانین تابعیت است که تحصیل تابعیت شوهر را پس از ازدواج، در تغییر تابعیت زن مؤثّر نمی‌داند؛ مگر در صورتی که خودِ زن به این تغییر تابعیت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تابعیتی که در اثر اعمال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ایران ممکن است بین زن و شوهر به‌وجود آید، می‌تواند باعث پیدایش کودکانی با تابعیت مضاعف شود؛ زیرا هرگاه مردی به تابعیت ایران پذیرفته شود و زن او نیز از فرصت قانونی یک ساله خود استفاده کند و به تابعیت سابق خود یا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فرض آمریکایی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فرزند آنها از نظر قانون ایران، ایرانی و از نظر قانون آمریکا، آمریکایی خواهد 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تابعیت 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تابعیت از راه تابعیت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تبعی، یک تابعیت جدید، در ردیف تابعیت‌های گذشته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تابعیتی را که به فرزندان خردسال و همسر شخص پذیرفته شده به تابعیت اعطا می‌شود، می‌توان تابعیت تبعی نامید؛ چراکه تابعیت آنان، نه همچون تابعیت تولدی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ناشی از یک الزام قانونی بوده و نه همچون تابعیت تحصیلی</w:t>
      </w:r>
      <w:bookmarkStart w:id="276" w:name="pg5888_36052"/>
    </w:p>
    <w:p>
      <w:pPr>
        <w:pStyle w:val="BookText"/>
        <w:rPr/>
      </w:pPr>
      <w:bookmarkEnd w:id="276"/>
      <w:r>
        <w:rPr>
          <w:rFonts w:ascii="IRNazanin" w:hAnsi="IRNazanin" w:eastAsia="IRNazanin"/>
          <w:color w:val="111111"/>
          <w:sz w:val="28"/>
          <w:sz w:val="28"/>
          <w:szCs w:val="28"/>
          <w:rtl w:val="true"/>
          <w:lang w:bidi="fa-IR"/>
        </w:rPr>
        <w:t xml:space="preserve">نتیجه درخواست فرد و توافق اراده فرد و دولت است؛ بلکه تابعیتی است خارج از اراده آنان، که به پیروی از اراده و درخواست پذیرفته شده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یا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خویش، برای آنان نیز پدید می‌آید یعنی همین که مرد به تابعیت دولت جدید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یا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 خردسال او نیز به تابعیت آن دولت درخواهند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ازآنجاکه این نوع تابعیت، بر اساس هیچ‌یک از دو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 ارادی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جمعیت تشکیل‌دهنده دولت استوار نیست و در نتیجه، رابطه فرد و دولت به‌صورتی نسبتاً ضعیف پدید می‌آید، معمولاً دولت‌ها، هم خروج از تابعیت را برای این افراد به سادگی می‌پذیرند و هم برای ادامه تابعیت آنان، اراده صریح یا ضمنی آنها را شرط می‌دانند، تا پیوند آنان با دولت به‌صورتِ مستحکم‌تری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پذیرش این شکل از تابعیت و پذیرش این راه برای کسب تابعیت و یا اعطای تابعیت از سوی دولت‌ها، گذشته از جنبه مصالح سیاسی و اجتماعی، بر مبنای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تابعیت کانون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277" w:name="__RefHeading___Toc5261362_581953129"/>
      <w:bookmarkStart w:id="278" w:name="_Toc109"/>
      <w:bookmarkEnd w:id="277"/>
      <w:r>
        <w:rPr>
          <w:rtl w:val="true"/>
        </w:rPr>
        <w:t>ج</w:t>
      </w:r>
      <w:r>
        <w:rPr>
          <w:rtl w:val="true"/>
        </w:rPr>
        <w:t xml:space="preserve">) </w:t>
      </w:r>
      <w:r>
        <w:rPr>
          <w:rtl w:val="true"/>
        </w:rPr>
        <w:t>کسب تابعیت، بر اثر جدا شدن بخشی از سرزمین</w:t>
      </w:r>
      <w:bookmarkEnd w:id="278"/>
    </w:p>
    <w:p>
      <w:pPr>
        <w:pStyle w:val="BookText"/>
        <w:rPr/>
      </w:pPr>
      <w:r>
        <w:rPr>
          <w:rFonts w:ascii="IRNazanin" w:hAnsi="IRNazanin" w:eastAsia="IRNazanin"/>
          <w:color w:val="111111"/>
          <w:sz w:val="28"/>
          <w:sz w:val="28"/>
          <w:szCs w:val="28"/>
          <w:rtl w:val="true"/>
          <w:lang w:bidi="fa-IR"/>
        </w:rPr>
        <w:t>پس از پایان هر جنگ، معاهده صلحی بین دولت‌های درگیر بسته می‌شود که در بخشی از آن، در مورد تابعیت ساکنان قسمت‌هایی از خاک کشور که از آن جدا شده‌اند،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به‌طور معمول به یکی از دو راه زیر عمل می‌کنند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تحمیل تابعیت حکومت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معاهده تأکید می‌شود که ساکنان بخش‌های جدا شده از سرزمین یک کشور، به تابعیت دولتی درآیند که از این</w:t>
      </w:r>
    </w:p>
    <w:p>
      <w:pPr>
        <w:pStyle w:val="BookText"/>
        <w:rPr/>
      </w:pPr>
      <w:r>
        <w:rPr>
          <w:rFonts w:ascii="IRNazanin" w:hAnsi="IRNazanin" w:eastAsia="IRNazanin"/>
          <w:color w:val="111111"/>
          <w:sz w:val="28"/>
          <w:sz w:val="28"/>
          <w:szCs w:val="28"/>
          <w:rtl w:val="true"/>
          <w:lang w:bidi="fa-IR"/>
        </w:rPr>
        <w:t>پس بر آنها حکومت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ساکنین آن مناطق بدون آنکه اراده‌شان در تحصیل و کسب تابعیت جدید تأثیری داشته باشد، دارای تابعیتی می‌شوند که پیش‌تر فاقد آن بوده‌اند؛ برای نمونه، اتباع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لوئیزیانا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تابعیت فرانسوی داشته‌اند، پس از الحاق این ایالت به ایالات متحده آمریکا درقرن نوزدهم، به تابعیت آمریکا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مطابق معاهده ورسای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 xml:space="preserve">م فرانسوی‌های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آلزاس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الحاق قبلی این قسمت به کشور آلمان، به تابعیت دولت آلمان درآمده بودند، بدون داشتن هیچ اراده‌ای، دوباره مجبور به بازگشت به تابعیت فرانسه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واگذاری حق انتخاب به ساکنین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عهدنامه صلح در این موارد، برای ساکنین این اراضی، حق انتخاب قائل شود؛ یعنی به آنها حق دهد که در مدّت مشخصی، تابعیت یکی از دو کشور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اگر ساکنین بخواهند تابعیت قبلی خود را حفظ کنند، باید اموال غیرمنقولی را که در این اراضی دارند، بفروشند و از آن خارج شوند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معتقدند دراین‌صورت نیز تابعیت دولت جدید بر آنها تحمیل شده است؛ برای نمونه، مطابق معاهده صلح</w:t>
      </w:r>
      <w:r>
        <w:rPr>
          <w:rStyle w:val="FootnoteAnchor"/>
          <w:rtl w:val="true"/>
        </w:rPr>
        <w:footnoteReference w:id="190"/>
      </w:r>
      <w:r>
        <w:rPr>
          <w:rFonts w:ascii="IRNazanin" w:hAnsi="IRNazanin" w:eastAsia="IRNazanin"/>
          <w:color w:val="111111"/>
          <w:sz w:val="28"/>
          <w:sz w:val="28"/>
          <w:szCs w:val="28"/>
          <w:rtl w:val="true"/>
          <w:lang w:bidi="fa-IR"/>
        </w:rPr>
        <w:t xml:space="preserve">ایتالیا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ایتالیایی‌هایی که هفت سال قبل از امضای این معاهده، در مناطق منتقل شده از طرف ایتالیا به سایر دولت‌ها مقیم بوده‌اند و فرزندان متولّد شده آنان در این مدّت، تبعه دولت جدید شمرده شدند، مگر افرادی که سن آنها از هیجده سال گذشته بود و یا متأهل بودند و زبان آنها ایتالیایی بود و ظرف یک‌سال از تاریخ اجرای این معاهده، تابعیت قبلی خود، یعنی ایتالیایی را انتخاب می‌کردند، و در این مورد فرزندان غیرمتأهل زیر هیجده سال باید از پدر و در فقدان وی از مادر</w:t>
      </w:r>
      <w:bookmarkStart w:id="279" w:name="pg5888_36054"/>
    </w:p>
    <w:p>
      <w:pPr>
        <w:pStyle w:val="BookText"/>
        <w:rPr/>
      </w:pPr>
      <w:bookmarkEnd w:id="279"/>
      <w:r>
        <w:rPr>
          <w:rFonts w:ascii="IRNazanin" w:hAnsi="IRNazanin" w:eastAsia="IRNazanin"/>
          <w:color w:val="111111"/>
          <w:sz w:val="28"/>
          <w:sz w:val="28"/>
          <w:szCs w:val="28"/>
          <w:rtl w:val="true"/>
          <w:lang w:bidi="fa-IR"/>
        </w:rPr>
        <w:t>تبعیت می‌کردند، امّا همسر مجبور به تبعیت از شوهر خود در انتخاب تابعیت ایتالیایی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موجب این معاهده، دولت جدید حق داشت شخصی را که تابعیت ایتالیایی را ترجیح داده است، برای عزیمت به ایتالیا مجبور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ازآنجاکه این نوع تابعیت از آغازِ تولّد برای شخص، اصل نیست، از انواع تابعیت اکتسابی است و ازآنجاکه نتیجه اراده مستقیم یا غیرمستقیم شخص و یا اراده شخص دیگری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ناشی از اراده و اجبار دولت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تابعیت اجباری که فقط بر مبنای تحمیل دولت پدید می‌آید، محدود به یک مورد بوده و آن عبارت است از تغییر جغرافیای سیاسی</w:t>
      </w:r>
      <w:r>
        <w:rPr>
          <w:rFonts w:eastAsia="IRNazanin" w:cs="IRNazanin"/>
          <w:color w:val="111111"/>
          <w:sz w:val="28"/>
          <w:szCs w:val="28"/>
          <w:rtl w:val="true"/>
          <w:lang w:bidi="fa-IR"/>
        </w:rPr>
        <w:t>.</w:t>
      </w:r>
    </w:p>
    <w:p>
      <w:pPr>
        <w:pStyle w:val="Heading4"/>
        <w:numPr>
          <w:ilvl w:val="3"/>
          <w:numId w:val="1"/>
        </w:numPr>
        <w:rPr/>
      </w:pPr>
      <w:bookmarkStart w:id="280" w:name="__RefHeading___Toc5261364_581953129"/>
      <w:bookmarkStart w:id="281" w:name="_Toc110"/>
      <w:bookmarkEnd w:id="280"/>
      <w:r>
        <w:rPr>
          <w:rtl w:val="true"/>
        </w:rPr>
        <w:t>د</w:t>
      </w:r>
      <w:r>
        <w:rPr>
          <w:rtl w:val="true"/>
        </w:rPr>
        <w:t xml:space="preserve">) </w:t>
      </w:r>
      <w:r>
        <w:rPr>
          <w:rtl w:val="true"/>
        </w:rPr>
        <w:t>تابعیت اکتسابی زن در اثر ازدواج</w:t>
      </w:r>
      <w:bookmarkEnd w:id="281"/>
    </w:p>
    <w:p>
      <w:pPr>
        <w:pStyle w:val="BookText"/>
        <w:rPr/>
      </w:pP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کشورها پذیرفته‌اند که برای حفظ وحدت خانواده، زن و شوهر، باید دارای تابعیت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چنانچه زن و مردی که می‌خواهند با هم ازدواج کنند، دارای دو تابعیت مختلف باشند، معمولاً زن نیز به تابعیت کشور متبوع شوهرش در می‌آید؛ زیرا در غیر این صورت، زن از حقوق و مزایایی که شوهر و فرزندانش در کشوری بهره‌مند هستند، به علت اختلاف تابعیت، محروم خواهد بود و دچار مشکلاتی خواهد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پیرامون منشأ حقوقی تغییر تابعیت زن در اثر ازدواج، در درس پنجم مطالبی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این‌باره به‌طور کلّی می‌توان گفت دولت‌هایی که تغییر تابعیت در اثر ازدواج را برای زن الزامی دانسته‌اند، آن را یکی از آثار عقد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زن خارجی به عقد ازدواج یکی از اتباع آنها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w:t>
      </w:r>
    </w:p>
    <w:p>
      <w:pPr>
        <w:pStyle w:val="BookText"/>
        <w:rPr/>
      </w:pPr>
      <w:r>
        <w:rPr>
          <w:rFonts w:ascii="IRNazanin" w:hAnsi="IRNazanin" w:eastAsia="IRNazanin"/>
          <w:color w:val="111111"/>
          <w:sz w:val="28"/>
          <w:sz w:val="28"/>
          <w:szCs w:val="28"/>
          <w:rtl w:val="true"/>
          <w:lang w:bidi="fa-IR"/>
        </w:rPr>
        <w:t>معمولاً پس از طلاق یا فوت شوهر، زن می‌تواند به سادگی به تابعیت اصلی خود بازگردد؛ زیرا آن سازمان قانونی</w:t>
      </w:r>
      <w:r>
        <w:rPr>
          <w:rStyle w:val="FootnoteAnchor"/>
          <w:rtl w:val="true"/>
        </w:rPr>
        <w:footnoteReference w:id="192"/>
      </w:r>
      <w:r>
        <w:rPr>
          <w:rFonts w:ascii="IRNazanin" w:hAnsi="IRNazanin" w:eastAsia="IRNazanin"/>
          <w:color w:val="111111"/>
          <w:sz w:val="28"/>
          <w:sz w:val="28"/>
          <w:szCs w:val="28"/>
          <w:rtl w:val="true"/>
          <w:lang w:bidi="fa-IR"/>
        </w:rPr>
        <w:t>یا نهاد خانواده، با طلاق یا فوت شوهر از بین می‌رود و در پی آن، اثر قهری ازدواج، یعنی تابعیت سابق نیز پایان می‌یابد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آنچه بیشتر در عمل اتفاق می‌افتد، تحمیل تابعیت شوهر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مواردی بسیار نادر نیز تابعیت زن به شوهر تحمیل می‌شود؛ برای نمونه، قانون ایرلند، که در سال </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 به تصویب رسید، به مرد ایرلندی که در کشور دیگری ازدواج کرده است و در آنجا اقامت دارد، اجازه می‌دهد که تابعیت زنش را بپذیرد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همچنین در زمان سلطه دولت عثمانی بر سرزمین‌های عربی، این دولت در نامه‌ای رسمی به دولت ایران اعلام کرد که هر مرد ایرانی که با زن عرب ازدواج کند، تبعه دولت عثمانی شمرده می‌شود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نکته دیگر آنکه دریافت تابعیت از راه ازدواج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تحقّقی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تابعیت نتیجه غیرمستقیم اراده شخص دارنده تابعیت است؛ زیرا آنچه موضوع و متعلق اراده زن است، عقد نکاح است و دارا شدن تابعیت دولت متبوع شوهر، ممکن است به‌هیچ‌وجه نه‌فقط مطلوب او، که حتی مورد توجه او نیز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متبوع شوهر است که این زن را تبعه خود می‌شمارد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مستقیم اراده فرد است و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اراده فرد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یا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درهرحال، باید توجه داشت کشورهایی که روش وحدت را پذیرفته‌اند و تابعیت شوهر را بر زن تحمیل می‌کنند، یا به خاطر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تابعیت تحقّقی را نسبت به زنان بیگانه‌ای که به عقد مردی خودی درمی‌آیند، بیشتر می‌پذیرند، نه بر عکس؛ یعنی تابعیت مرد بیگانه را به زن خودی تحمیل نمی‌کنند؛ برای نمونه، در بند ششم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 تبعه خارجی که شوهر ایرانی اختیار کند، تبعه ایران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یادشده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ایرانی که با تبعه خارجه مزاوجت می‌کند، به تابعیت ایرانی خود باقی خواهد ماند؛ مگر اینکه مطابق مملکت زوج، تابعیت شوهر به واسطه وقوع عقد ازدواج به زوجه تحمیل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دلیل عدم استحکام این نوع تابعیت، خروج از آن را برای زن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دراین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غیر ایرانی که در نتیجه ازدواج ایرانی می‌شود، می‌تواند بعد از طلاق یا فوت شوهر ایرانی، به تابعیت اول خود رجوع کند؛ مشروط بر آنکه وزارت امور خارجه را کتباً مطلع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صرف اطلاع کتبی به وزارت خارجه برای خروج از تابعیت ایرانی کافی است و به مقررات یادشده در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اجازه هیئت وزیران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دولت‌های متبوع پیشین نیز بازگشت این فرد به تابعیت اصلی خود را به‌راحتی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درباره بازگشت به تابعیت ایرانی زنی که با مردی خارجی ازدواج کرده، آمده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بعد از وفات شوهر و یا تفریق، به صرف تقدیم درخواست به وزارت امور خارجه به انضمام ورقه تصدیق فوت شوهر یا سند تفریق، تابعیت اصلیه زن با جمیع حقوق و امتیازات راجعه به آن، مجدداً به او تعلق</w:t>
      </w:r>
    </w:p>
    <w:p>
      <w:pPr>
        <w:pStyle w:val="BookText"/>
        <w:rPr/>
      </w:pPr>
      <w:r>
        <w:rPr>
          <w:rFonts w:ascii="IRNazanin" w:hAnsi="IRNazanin" w:eastAsia="IRNazanin"/>
          <w:color w:val="111111"/>
          <w:sz w:val="28"/>
          <w:sz w:val="28"/>
          <w:szCs w:val="28"/>
          <w:rtl w:val="true"/>
          <w:lang w:bidi="fa-IR"/>
        </w:rPr>
        <w:t xml:space="preserve">خواهد گرفت و مقررات مذکور در مواد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اثر ازدواج بر تابعیت را از نظر قانون مدنی ایران در دو حالت زیر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زن خارجی بر اثر ازدواج با شوهر ایرانی؛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زن ایرانی بر اثر ازدواج با شوهر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زن خارجی به سبب ازدواج با شوهر ایرانی</w:t>
      </w:r>
    </w:p>
    <w:p>
      <w:pPr>
        <w:pStyle w:val="BookText"/>
        <w:rPr/>
      </w:pPr>
      <w:r>
        <w:rPr>
          <w:rFonts w:ascii="IRNazanin" w:hAnsi="IRNazanin" w:eastAsia="IRNazanin"/>
          <w:color w:val="111111"/>
          <w:sz w:val="28"/>
          <w:sz w:val="28"/>
          <w:szCs w:val="28"/>
          <w:rtl w:val="true"/>
          <w:lang w:bidi="fa-IR"/>
        </w:rPr>
        <w:t xml:space="preserve">بند ششم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 تبعه خارجی که شوهر ایرانی اختیار کند، تبعه ایران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اراده زن در این مورد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دولت متبوع زن، پس از ازدواج باز هم او را تبعه خود بداند، در این‌صورت، زن دارای دو تابعیت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زیر ناشی از به‌دست‌آوردن این تابعیت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تابعیت مضاعف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متبوع زن پس از ازدواج، همچنان او را تبعه خود بداند، دراین‌صورت، زن دارای تابعیت مضاعف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تابعیت ایرانی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با ازدواج با یک مرد ایرانی، تابعیت ایران را دریافت می‌کند، تا زمانی‌که رابطه زوجیت آنها برقرار است، ایرانی به‌شمار می‌آید؛ به این معنا که حتی اگر شوهر در مدّت زناشویی، از تابعیت ایران خارج شود، زن به تابعیت ایران باقی خواهد ماند؛ مگر اینکه مطابق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ترک تابعیت شوهر شامل او هم بشود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تملک دارایی‌های غیرمنقول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یادشده مانند هر ایرانی دیگر می‌تواند دارایی‌های غیرمنقول داشته باشد و برای او محدودیتی دراین‌باره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بازگشت زن به تابعیت نخستین، پس از فوت شوهر یا پایان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یادشده حتی در صورت طلاق یا فوت شوهر، باز هم ایرانی شمرده می‌شود؛ امّا درپی از بین رفتن ازدواج، دلیل و ایجابی برای تحمیل تابعیت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آثار قهری ازدواج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 وجود ندارد، قانون‌گذار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اکثر کشورهای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وی را به تابعیت اولیه خود بلامانع می‌داند؛ مشروط بر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اطلاع کتبی وزارت امور خارجه باشد؛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فوت شده باشد و از شوهر ایرانی خود، فرزندان خردسال زیر هجده سال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طبق ماده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فرزندان خردسال او به سن هجده سال تمام نرسیده‌اند، زن نمی‌تواند به تابعیت سابق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پیش‌بینی قانون‌گذار برای پشتیبانی از فرزندان خردسال ایرانی بوده، که مطابق ماده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حضانت آنان با مادر است؛ زیرا در غیر این صورت، این امکان وجود دارد که زن، یا فرزند خردسال ایرانی را از ایران برده و یا او را بدون سرپرست باقی بگذارد، که در هر دو صورت، منافع کودک ایرانی جامعه ایرانی در خطر خواهد بود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غیر ایرانی که به سبب ازدواج، ایرانی می‌شود، می‌تواند بعد از طلاق یا فوت شوهر ایرانی، به تابعیت اول خود رجوع کند؛ مشروط بر اینکه وزارت امور خارجه را کتباً مطلع کند؛ ولی هر زن شوهر مرده که از شوهر سابق خود اولاد دارد، نمی‌تواند مادام که اولاد او به سن هجده سال تمام نرسیده، از این حق استفاه کند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محرومیت از داشتن اموال غیرمنقول، در صورت ترک تابعیت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از بین رفتن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یا فوت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زن بخواهد به تابعیت اصلی خود</w:t>
      </w:r>
    </w:p>
    <w:p>
      <w:pPr>
        <w:pStyle w:val="BookText"/>
        <w:rPr/>
      </w:pPr>
      <w:r>
        <w:rPr>
          <w:rFonts w:ascii="IRNazanin" w:hAnsi="IRNazanin" w:eastAsia="IRNazanin"/>
          <w:color w:val="111111"/>
          <w:sz w:val="28"/>
          <w:sz w:val="28"/>
          <w:szCs w:val="28"/>
          <w:rtl w:val="true"/>
          <w:lang w:bidi="fa-IR"/>
        </w:rPr>
        <w:t xml:space="preserve">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سایر خارجیان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داشتن اموال غیرمنقول را نخواهد داشت؛ مگر در حدودی که این حق به اتباع خارجه داده شده است و هرگاه بیش از آنچه برای اتباع خارجی داشتن آن جایز است، دارای اموال غیرمنقول باشد یا سپس به سبب ارث، دارایی‌های غیرمنقولی بیش از آن حد به او برسد، باید ظرف یک‌سال از تاریخ خروج از تابعیت ایران یا دارا شدن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مقدار مازاد را به‌صورتی به اتباع ایرانی منتقل کند؛ وگرنه اموال یادشده با نظارت مدعی‌العمومِ محل به فروش می‌رسد و پس از کسر مخارج فروش، قیمت به او پرداخت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اخیر ماده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زن ایرانی بر اثر ازدواج با شوهر خارجی</w:t>
      </w:r>
    </w:p>
    <w:p>
      <w:pPr>
        <w:pStyle w:val="BookText"/>
        <w:rPr/>
      </w:pPr>
      <w:r>
        <w:rPr>
          <w:rFonts w:ascii="IRNazanin" w:hAnsi="IRNazanin" w:eastAsia="IRNazanin"/>
          <w:color w:val="111111"/>
          <w:sz w:val="28"/>
          <w:sz w:val="28"/>
          <w:szCs w:val="28"/>
          <w:rtl w:val="true"/>
          <w:lang w:bidi="fa-IR"/>
        </w:rPr>
        <w:t>بیشتر قوانین، زن خارجی را وقتی با یکی از اتباع کشور ازدواج کند، بدون هیچ قید و شرط، تبعه خود می‌دانند؛ امّا در مورد زن تبعه خود که با مردی خارجی ازدواج می‌کند، حکمی دیگر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ضروری است که موضوع جایز نبودن ازدواج زن مسلمان با غیرمسلمان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 به مسلمان بودن شخص بستگی ندارد؛ زیرا از یک سو همه ایرانیان مسلمان نیستند و از سوی دیگر، مسلمانان همگی تابعیت ایران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نگاه قانون مدنی ایران مانعی ندارد که یک زن غیرمسلمانِ ایرانی با مردی غیرمسلمان از اتباع خارجه ازدواج کند، و یا یک زن مسلمان ایرانی، یک مسلمان تابع کشور دیگری را به همسری انتخاب کند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وضع زنان ایرانی که با مرد خارجی ازدواج می‌کنند، باید دو حالت متمایز زیر را مورد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هرگاه زن ایرانی با کسی که تابع کشور دیگری است ازدواج کند و قانون آن کشور، روش استقلال تابعیت را پذیرفته باشد و تابعیت شوهر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تحمیل نکند، زن به تابعیت خود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هرگاه زن ایرانی با یک تابع خارجی ازدواج کند، درحالی که قانون آن کشور، روش وحدت تابعیت را پذیرفته باشد و تابعیت شوهر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تحمیل کند زن ایرانی، تابعیت خارجی شوهر خود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ایران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ایرانی که با تبعه خارجی مزاوجت می‌کند، به تابعیت ایرانی خود باقی خواهد ماند؛ مگر اینکه مطابق قانون مملکت زوج، تابعیت شوهر به واسطه وقوع عقد ازدواج، به زوجه تحمیل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آثار ازدواج زن ایرانی با مرد خارجی ازاین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جلوگیری از ایجاد تابعیت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موجب قانون کشور شوهر، به سبب ازدواج، تابعیت شوهر بر زن ایرانی تحمیل شود، برای جلوگیری از تابعیت مضاعف، تابعیت ایرانی زن سلب می‌شود و او فقط از تابعیت شوهر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تابعیت ایرانی برای زن، در صورت عدم تحمیل تابعیت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موجب قانون کشور شوهر، به سبب ازدواج، تابعیت شوهر بر زن ایرانی تحمیل نشود، تابعیت ایرانی زن ایرانی به حال خود باقی می‌مانند و از تمام حقوق ایرانی بودن خود بهره‌مند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کسب تابعیت شوهر، حتی در صورت عدم تحمیل تابعیت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موجب قانون کشور شوهر، تابعیت شوهر بر زن ایرانی تحمیل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خود زن بخواهد از تابعیت کشور همسرش برخوردار باشد، ترک تابعیت وی طبق تبصره یکم ماده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با تقدیم تقاضانامه کتبی و ارائه دلیل‌های موجّه به وزارت امور خارجه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تبصره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قانون تابعیت مملکت زوج، زن را بین حفظ تابعیت اصلی و تابعیت زوج مخیر بگذارد، در این موارد، زن ایرانی که بخواهد تابعیت مملکت زوج را دارا شود و علل موجهی هم برای تقاضای خود در دست داشته باشد، به شرط تقدیم تقاضانامه کتبی به وزارت امور خارجه، ممکن است با تقاضای او موافقت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نبودن رعایت مقررات ماده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xml:space="preserve">، در صورت ترک تابعیت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زن ایرانی با مرد خارجی ازدواج کند، چه تابعیت دولت متبوع شوهر به وی تحمیل شود و یا خود او از حق اختیارش استفاده کند و بخواهد به تابعیت شوهر درآید، برای ترک تابعیت، مشمول مقررات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حق برخورداری از اموال غیرمنقول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ایرانی که به دلیل ازدواج با شوهر خارجی، تابعیت کشور همسر خود را کسب کرده‌اند، 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تابعیت شوهر به زن، دریافت تابعیت شوهر توسط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تبصره دوّم ماده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حق داشتن اموال غیرمنقول را در صورتی که موجب سلطه اقتصادی خارجی شود،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دوّم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زن‌های ایرانی که بر اثر ازدواج، تابعیت خارجی را تحصیل می‌کنند، حق داشتن اموال غیرمنقول را در صورتی که موجب سلطه اقتصادی خارجی گردد،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 امر با کمیسیونی متشّکل از نمایندگان وزاتخانه‌های امور خارجه، کشور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تبصره آن، در قسمت خروج ایرانیانی که تابعیت خود را ترک کرده‌اند، شامل زنان مزبور نخواهد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امکان بازگشت زن به تابعیت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طلاق یا فوت شوهر، اگر زن بخواهد به تابعیت ایرانی خود برگردد، کافی است درخواستی پیوست برگه</w:t>
      </w:r>
    </w:p>
    <w:p>
      <w:pPr>
        <w:pStyle w:val="BookText"/>
        <w:rPr/>
      </w:pPr>
      <w:r>
        <w:rPr>
          <w:rFonts w:ascii="IRNazanin" w:hAnsi="IRNazanin" w:eastAsia="IRNazanin"/>
          <w:color w:val="111111"/>
          <w:sz w:val="28"/>
          <w:sz w:val="28"/>
          <w:szCs w:val="28"/>
          <w:rtl w:val="true"/>
          <w:lang w:bidi="fa-IR"/>
        </w:rPr>
        <w:t>تأیید فوت شوهر یا سند تفریق</w:t>
      </w:r>
      <w:r>
        <w:rPr>
          <w:rStyle w:val="FootnoteAnchor"/>
          <w:rtl w:val="true"/>
        </w:rPr>
        <w:footnoteReference w:id="199"/>
      </w:r>
      <w:r>
        <w:rPr>
          <w:rFonts w:ascii="IRNazanin" w:hAnsi="IRNazanin" w:eastAsia="IRNazanin"/>
          <w:color w:val="111111"/>
          <w:sz w:val="28"/>
          <w:sz w:val="28"/>
          <w:szCs w:val="28"/>
          <w:rtl w:val="true"/>
          <w:lang w:bidi="fa-IR"/>
        </w:rPr>
        <w:t>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دوباره تابعیت ایرانی، با کلّیه حقوق و امتیازهای آن به وی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بعد از وفات شوهر و یا تفریق، به صرف تقدیم درخواست به وزارت امور خارجه به انضمام ورقه تصدیق فوت شوهر و یا سند تفریق، تابعیت اصلیه زن با جمیع حقوق و امتیازات راجعه به آن، مجدداً به او تعلّق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مالک شدن دارایی‌های غیرمنقول، طبق تبصره دوّم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چنین زنی فقط از حق داشتن اموال غیرمنقولی که در هنگام ازدواج داشته، برخوردار است و این حق به وارثان خارجی او منتقل نمی‌شود؛ ولی با تبصره دوّم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الحاقی </w:t>
      </w:r>
      <w:r>
        <w:rPr>
          <w:rFonts w:eastAsia="IRNazanin" w:cs="IRNazanin"/>
          <w:color w:val="111111"/>
          <w:sz w:val="28"/>
          <w:szCs w:val="28"/>
          <w:lang w:bidi="fa-IR"/>
        </w:rPr>
        <w:t>61/10/8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زنی حق داشتن اموال غیرمنقول را در صورتی که موجب سلطه اقتصادی خارجی گردد،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یادشده، با ماده بیست قانون اصلاحی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1370/8/14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این امر با کمیسیونی متشکل از نمایندگان وزارتخانه‌های امور خارجه، کشور و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تکمله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شرطهای شرعی و قانونی ازدواج زن ایرانی با تبعه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زن ایرانی با تبعه خارجه در مواردی هم که مانع قانونی ندارد، موکول به اجازه مخصوص از طرف دولت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قانونی که در این ماده به آن اشاره شده است، موانع ازدواج مندرج در</w:t>
      </w:r>
    </w:p>
    <w:p>
      <w:pPr>
        <w:pStyle w:val="BookText"/>
        <w:rPr/>
      </w:pPr>
      <w:r>
        <w:rPr>
          <w:rFonts w:ascii="IRNazanin" w:hAnsi="IRNazanin" w:eastAsia="IRNazanin"/>
          <w:color w:val="111111"/>
          <w:sz w:val="28"/>
          <w:sz w:val="28"/>
          <w:szCs w:val="28"/>
          <w:rtl w:val="true"/>
          <w:lang w:bidi="fa-IR"/>
        </w:rPr>
        <w:t xml:space="preserve">ماده‌های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است، که از جمله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مسلمه با غیرمسلم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ازدواج مرد مسلمان با زن کافری که اهل کتاب نباشد، چه دائم و چه موقّت، باطل است؛ ولی ازدواج موقّت مرد مسلمان با زن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زرتشتی و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زن مسلمان با مرد کافر خواه از اهل کتاب باشد یا غیر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ماده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مسلمه با غیرمسلم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آیین‌نامه مصوّب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مرداد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صدور پروانه زناشویی و رعایت ماده‌های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دارای چهار ماده است که در بند سوّم ماده دو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مرد، غیرمسلمان و زن، مسلمان باشد، گواهی یا استشهاد تشرّف مرد به دین مبین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اجازه مخصوص که در ماده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است، افزون بر رعایت مصلحت دولت، به منظور حمایت از زن و دقّت بیشتر وی در ازدواج با بیگانگان تدوین شده است؛ زیرا با این ازدواج، زن از بسیاری از حقوق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 تبعه ایرانی که تا قبل از ازدواج، بدون محدودیت از آن برخوردار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داشتن اموال غیرمنقول و نیز اداره حقوقی مال خویش بی‌بهره خواهد 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ضمانت اجرای تخلّف از این ماده و دریافت نکردن اجازه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ماده هفدهم قانون ازدواج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موجب آن، دفاتر</w:t>
      </w:r>
    </w:p>
    <w:p>
      <w:pPr>
        <w:pStyle w:val="BookText"/>
        <w:rPr/>
      </w:pPr>
      <w:r>
        <w:rPr>
          <w:rFonts w:ascii="IRNazanin" w:hAnsi="IRNazanin" w:eastAsia="IRNazanin"/>
          <w:color w:val="111111"/>
          <w:sz w:val="28"/>
          <w:sz w:val="28"/>
          <w:szCs w:val="28"/>
          <w:rtl w:val="true"/>
          <w:lang w:bidi="fa-IR"/>
        </w:rPr>
        <w:t xml:space="preserve">ازدواج و طلاق مکلّف هستند از ثبت ازدواج‌هایی که برخلاف ماده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است،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مجازات روبه‌رو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دریافت نشدن اجازه از دولت در ازدواج زن ایرانی با مرد خارجی، به معنای باطل بودن ازدواج نیست؛ زیرا ممکن است گفته شود ازدواج از نظر شرعی بدون اجازه مخصوص، نافذ است و دولت نمی‌تواند آن را باطل کند؛ چون قانون ایران نبودن اجازه را باطل‌کننده ازدواج به‌شمار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چنانچه، پیوند ازدواج بین زن مسلمان ایرانی و مرد مسلمان خارجی بر اساس قصد و رضایت دو طرف و نیز جاری شدن صیغه عقد باشد، چنین ازدواجی صحیح بوده، آثار ازدواج را برای دو طرف به همراه خواهد داشت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کسب اجازه یادشده، از وزارت کشور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 برای اجازه دادن، دو نکته را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مرد خارجی دارای توانایی 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ازدواج بر اساس قوانین ایران، با قوانین کشوری که شوهر تابعیت آن را دارد، مغایرتی نداشته 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تکمله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 مسلمان با زن مسلمان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دراین‌باره می‌گوید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می‌تواند ازدواج بعضی از مستخدمین و مأمورین رسمی و محصلین دولتی را با زنی که تبعه خارجه باشد، موکول به اجازه مخصوص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ماده نیز همانند ماده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جنبه فقهی ندارد و فقط کشوری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ازدواجِ بعضی از مردان ایرانی با زنان خارجی، در مواردی، به اعتبار شغل و سِمَتِ آنان، با حیثیت یا سیاست عمومی کشور برخورد پیدا می‌کند و در نتیجه، باید از سوی سیاست‌گذاران کشوری و دولتی بر این دسته از ازدواج‌ها نظارت و کنترل صورت گیرد، این ماده اختیار لازم را دراین‌باره به دولت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این گونه مقررات که جنبه انتظامی دارد، به‌هیچ‌وجه باطل شدن عقد ازدواج را در پی ندارد؛ بلکه عقد صحیح و آثار شرعی بر آن مترتب می‌شود؛ هرچند اقدام‌کنندگان با پیگرد قانونی روبه‌رو خواهند بود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قانون منع ازدواج کارمندان وزارت امور خارجه با اتباع بیگانه که در دی ماه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 به تصویب رسید، دارای یک ماده واحده بوده و مجازات آن، بیشتر عزل و محرومیت از خدمت است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تکمله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تابعیت زن، در اثر ازدواج در کشورهای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اتریش، مجارستان و ایتالیا نیز در مورد تغییر تابعیت زن در اثر ازدواج، مانند ایران عمل می‌شود؛ درحالی‌که در کشورهای انگلیس، بلژیک و آلمان، اصل وحدت تابعیت از هر دو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خارجی با مرد تبعه آن کشورها یا مرد خارجی با زن تبعه آن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و در کشورهای روسیه، آمریکا، فرانسه و ترکیه، اصل استقلال تابعیت پذیرفته شده است و زن در اثر ازدواج به تابعیت مرد درنمی‌آید؛ مگر در صورت تمایل خودش</w:t>
      </w:r>
      <w:r>
        <w:rPr>
          <w:rFonts w:eastAsia="IRNazanin" w:cs="IRNazanin"/>
          <w:color w:val="111111"/>
          <w:sz w:val="28"/>
          <w:szCs w:val="28"/>
          <w:rtl w:val="true"/>
          <w:lang w:bidi="fa-IR"/>
        </w:rPr>
        <w:t>.</w:t>
      </w:r>
      <w:r>
        <w:rPr>
          <w:rStyle w:val="FootnoteAnchor"/>
          <w:rtl w:val="true"/>
        </w:rPr>
        <w:footnoteReference w:id="205"/>
      </w:r>
      <w:bookmarkStart w:id="282" w:name="pg5888_36066"/>
    </w:p>
    <w:p>
      <w:pPr>
        <w:pStyle w:val="Heading4"/>
        <w:numPr>
          <w:ilvl w:val="3"/>
          <w:numId w:val="1"/>
        </w:numPr>
        <w:rPr/>
      </w:pPr>
      <w:bookmarkStart w:id="283" w:name="__RefHeading___Toc5261366_581953129"/>
      <w:bookmarkStart w:id="284" w:name="_Toc111"/>
      <w:bookmarkEnd w:id="282"/>
      <w:bookmarkEnd w:id="283"/>
      <w:r>
        <w:rPr>
          <w:rtl w:val="true"/>
        </w:rPr>
        <w:t>ه</w:t>
      </w:r>
      <w:r>
        <w:rPr>
          <w:rtl w:val="true"/>
        </w:rPr>
        <w:t xml:space="preserve">( </w:t>
      </w:r>
      <w:r>
        <w:rPr>
          <w:rtl w:val="true"/>
        </w:rPr>
        <w:t xml:space="preserve">تابعیت اکتسابی در اثر تقاضای شخص </w:t>
      </w:r>
      <w:r>
        <w:rPr>
          <w:rtl w:val="true"/>
        </w:rPr>
        <w:t>(</w:t>
      </w:r>
      <w:r>
        <w:rPr>
          <w:rtl w:val="true"/>
        </w:rPr>
        <w:t>تابعیت تحصیلی</w:t>
      </w:r>
      <w:r>
        <w:rPr>
          <w:rtl w:val="true"/>
        </w:rPr>
        <w:t>)</w:t>
      </w:r>
      <w:bookmarkEnd w:id="284"/>
    </w:p>
    <w:p>
      <w:pPr>
        <w:pStyle w:val="BookText"/>
        <w:rPr/>
      </w:pP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این نوع از تابعیت با اقدام شخص بیگانه و درخواست وی آغاز، و با موافقت دولت و صدور سند تابعیت به نام او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که خود دارای تابعیت است، تابعیت کشور دیگر را تقاضا کند، تا در صورتی که تقاضای تابعیت وی پذیرفته شد، تابعیت پیشین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شخصی که بدون تابعیت است، تابعیت کشوری را تقاضا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پیدایش این نوع از تابعیت، اراده فرد، بارزترین و بیشترین نقش را در میان انواع مختلف تابعیت دارد؛ امّا باید توجه داشت که اراده شخص فقط در تقاضای تغییر تابعیت و دستیابی به شرایط مؤثّر است و پذیرش تقاضا یا ردّ آن به نظر دولت بستگی دارد؛ زیرا تابعیت یک امر سیاسی است و نمی‌توان آن را به اراده اشخاص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موضوع و متعلق حق فرد است، حق تقاضا و درخواست تابعیت است، نه حق داشتن تابعیت</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به عبارت دیگر، احراز شرایط به تنهایی برای پذیرش به یک تابعیت جدید کافی نیست؛ بلکه هر دولتی حق دارد حتی درصورتی که تمام شرایط قانونی در کسی جمع باشد، از پذیرش او به تابعیت کشور خود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به‌طور معمول تصویب دولت را دراین‌باره لازم می‌دانند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دولت در این مورد معمولاً قابل اعتراض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تجدیدنظر در تصمیم دولت نیز خود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قدرت دیگری در کار دولت نظارت ندارد و دولت در پذیرش یا ردّ تقاضا بدون احتیاج به دلیل خاصی اختیار کامل دارد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برای پذیرش تقاضای فرد، معمولاً دولت استناد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دولت‌ها در تعیین قواعد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متناسب با وضعیت انسانی، جغرافیایی، اقتصادی و فرهنگی خود، شرایطی نظیر لیاقت، مکنت، اقامت، و اهلیت استیفا را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هم‌زمان بااینکه شخص، تابعیت جدید دولتی را دریافت کرد، همچون سایر اتباع دولت از حقوق و مزایا بهره‌مند شده، موظّف به انجام تکالیف مربوط به اتباع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کشورهای مختلف، درجه بهره‌مندی او با اتباع اصلی، کم و بیش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دریافت‌کننده تابعیت، مرد و دارای همسر و فرزند باشد، به‌طور معمول، فرزندان خردسال او نیز از نظر دولت جدید، دارای تابعیت آن دولت شمرده می‌شوند؛ امّا درباره همسر، مسئله اندکی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قوانین برخی از کشورها نظیر ایران، زن هم به تبعیت از همسر خود به تابعیت جدید درمی‌آید و در قوانین برخی از کشورها مانند فرانسه، تغییر تابعیت شوهر در تابعیت زن تأثیری نمی‌گذارد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درهرحال، دستیابی به تابعیت جدید، نسبت به فرزندان بزرگ‌سال هیچ تأثیری ندارد؛ چنان‌که دریافت تابعیت از سوی زن، در تابعیت شوهر، و تحصیل تابعیت از سوی فرزندان بزرگسال، در تابعیت والدین آنها هیچ تأثیری نخواهد داشت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 تولّدی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عبارت است از تابعیتی که شخص پس از تولّد بر اثر اعمال خود، آن را کسب می‌کند، که ممکن است ارادی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غیر ارادی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مردی تابعیت دریافت کند، تابعیت جدید، شامل فرزندان خردسال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هجده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ولی نیز فرزندان بزرگسال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هجده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فرزندان خردسال پس از رسیدن به هجده سالگی، به مدّت یک‌سال فرصت دارند که به تابعیت سابق پدر بازگردند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اصل وحدت تابعیت، هرگاه شوهری تابعیت دریافت کند، همسر وی نیز دارای تابعیت آن کشور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به مدت یک‌سال فرصت دارد به تابعیت سابق شوهرش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به ساکنان بخش‌هایی که از خاک یک کشور جدا شده‌اند، تابعیت دولت جدید داده می‌شود؛ البته این تابعیت گاهی به‌صورتِ تحمیلی است و گاهی در ظاهر همراه با حق انتخاب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زن و مردی که می‌خواهند با هم ازدواج کنند دو تابعیت گوناگون داشته باشند، در اکثر کشورها به منظور وحدت خانواده، به‌طور معمول، زن به تابعیت شوهر خود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طلاق یا فوت شوهر، زن می‌تواند به تابعیت سابق خویش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تابعیت اکتسابی ناشی از ازدواج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زن خارجی بر اثر ازدواج با شوهر ایرانی؛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زن ایرانی بر اثر ازدواج با شوهر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تابعیت اکتسابی در اثر تقاضای شخص، اراده فرد، بیشترین نقش را دارد؛ امّا با وجود این، اراده شخص فقط در مورد تقاضای تغییر تابعیت و برخورداری از شرایط مؤثّر است و پذیرش تقاضا یا ردّ آن، به دولت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اکتسابی 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تابعیت در مقابل چه نوع تابعیتی قرار می‌گیرد؟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اکتسابی غیر ارادی و تابعیت اکتسابی ارادی را توضیح داده، برای هر یک مثالی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تابعیت اکتسابی را نام برده، هر یک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شرایط تابعیت اکتسابی فرزندان خردسال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چگونه می‌توانند به تابعیت گذشته بازگردند؟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اکتسابی زنی که شوهرش تابعیت ایران را بدست آورده است، با تابعیت اکتسابی زن بر اثر ازدواج چه فرقی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اکتسابی زنی که شوهرش تابعیت جدیدی را به دست آورده است را از نظر قانون ایران و فرانسه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بخشی از سرزمین‌های یک کشور جدا شود، ساکنان آن از چند راه می‌توانند تابعیت دولت حاکم بر آن سرزمین را به دست آورند؟ برای هر یک مثالی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ناشی از تابعیت اکتسابی زن خارجی را بر اثر ازدواج با شوهر ایرانی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ناشی از تابعیت اکتسابی زن ایرانی را بر اثر ازدواج با شوهر خارجی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شرعی و قانونی ازدواج زن ایرانی با تبعه خارجی را از نظر قانون ایران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تابعیت اکتسابی ارادی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تقاضای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بین اراده و تغییر تابعیت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ایتالیایی تابعیت ایران را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همسر و دو فرزند شانزده و بیست و یک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تأثیر تابعیت پدر بر روی همسر و فرزندان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انواع تابعیت اکتسابی و نیز نقش اراده فرد و دولت و عوامل دیگر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اصطلاحات گوناگون تابعیت، مانند تابعیت اصلی، تابعیت اکتسابی، تابعیت تحصیلی، تابعیت تبعی، تابعیت تحقّقی، تابعیت رجوعی، تابعیت اجباری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حقوق بین‌الملل خصوصی؛ به‌ویژه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مصطفی دانش‌پژوه، اسلام و حقوق بین‌الملل خصوصی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تابعیت در حقوق اسلامی را مورد بررسی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دانش‌پژوه، اسلام و حقوق بین‌الملل خصوصی ،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اکتسابی در اثر ازدواج را در دو حالت زیر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زن خارجی در اثر ازدواج با شوهر ایرانی؛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 زن ایرانی بر اثر ازدواج با شوهر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به‌صورتِ تطبیقی توضیح دهید که در کدام‌یک از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مزایا و امتیاز قانونی بیشتری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حقوق بین‌الملل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بازگشت زن به تابعیت نخستین در دو حالت زیر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زن ایرانی با شوهر تابع کشور دیگر ازدواج کرده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زن خارجی با شوهر تابع ایران ازدواج کرده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حقوق بین‌الملل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حقوق ایران، کدام قانون بر احوال شخصیه اشخاص بدون تابعیت حاکم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اقامتگاه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مناسب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منتخب ذی‌نفع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بین اراده و تغییر تابعیت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حاکمیت مطلق اراده، هرکس در هر لحظه می‌تواند رابطه تابعیت را با دولت خود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تغییر تابعیت هیچ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فقط در درخواست تغییر تابعیت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قرارداد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یک رابطه قراردادی در قالب عقود جائز است؛ به این معنا که هرکدام از دو طرف می‌تواند هرگاه که بخواهد آن را فسخ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یک رابطه قراردادی است که از یک سو لازم و از سوی دیگر جایز است و دولت می‌تواند بدون رضایت تبعه، آن را فسخ کند؛ در صورتی که تبعه بدون رضایت دولتی که تابعیت آن را دارد، نمی‌تواند تغییر تابعیت 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ایقاع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به‌دست‌آوردن تابعیت ایران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روش خون و روش خاک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پذیرش به تابعیت ایران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روش خون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اشخاص زیر، تبعه ایران به‌شمار می‌آیند؟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ایران از پدری که دارای تابعیت خارجی است، به‌وجود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ایران از پدر و مادر خارجی که یکی از آنها در ایران به دنیا آمده است، متولّد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 ایرانی که شوهر خارجی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مادر آنها ایرانی است؛ چه در ایران یا در خارج به دنیا آمده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اشخاص زیر، تبعه ایران شمرده نمی‌شوند؟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ساکنان ایران، به استثنای اشخاصی که مدارک تابعیت آنها مورد اعتراض دولت ایران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ایران متولّد شده و پدر و مادر آنها نامعلوم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ایران از پدر و مادر خارجی که یکی از آنها در ایران به دنیا آمده است، متولّد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ایران از پدری که دارای تابعیت خارجی است، به دنیا آمده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قانون‌گذار ایران در بند یکم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ساکنین ایران به استثنای اشخاصی که تبعیت خارجی آنها مسلم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تابعیتی که در این بند آمده، بر</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سفیر ایتالیا در ایران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او پس از رسیدن به سن هجده سال تمام، یک‌سال دیگر در ایران اقامت 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تابعیت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آپاترید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اشخاص زیر ایرانی‌الاصل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ایران از پدر و مادر نامعلوم به دنیا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ساکنان ایران، به استثنای کسانی که تابعیت خارجی آنها تردیدناپذیر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پدر او ایرانی است؛ خواه در ایران یا در خارج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فوق، ایرانی‌الاصل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به تابعیت ایران،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دولتی نباید تابعیت خود را به کلیه بیگانگانی که در خاک آن دولت به سر می‌برند،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تابعیت یک دولت جدید، حقّی برای شخص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تابعیت، عمل حاکمیت است و دولت‌ها با آزادی کامل، تابعیت را به هر کسی که بخواهند اعطا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دسته‌جمعی تابعیت، مخالف اصول حقوق بین‌المللی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تابعیت، عمل حاکمیت است که به هیچ‌عنوان قابل شکایت نیست و هیئت دولت در این تصمیم‌گیری ناگزیر از ارائه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تابعیت، به تصمیم هیئت وزیران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قابل شکایت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تابعیت، عمل حاکمیت است و مرجع صالح برای شکایت پیرامون آن، دیوان عالی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صالح برای شکایت درباره اعطای تابعیت، مجلس شورای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فرانسوی که همسر و دو فرزند پانزده و بیست و دو ساله دارد، تابعیت ایران را دریافت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زن و دو فرزند وی به تابعیت ایران در می‌آیند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زن و فرزند بیست و دو ساله وی دارای تابعیت ایرانی می‌شوند و فرزند پانزده ساله، پس از رسیدن به سن هجده سالگی از تابعیت ایرانی برخوردار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پانزده ساله وی تابع دولت ایران شناخته می‌شوند؛ ولی فرزند بیست و دو ساله به پیروی از پدر، به تابعیت ایران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زن می‌تواند به پیروی از شوهرش دارای تابعیت ایران باشد؛ ولی فرزندان باید دریافت تابعیت ایران را درخواست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تابعیتی که در اثر ازدواج یا پذیرش تابعیت ایران حاصل می‌شود، چه نوع تابعیتی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اصلی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فرعی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اکتسابی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نسبی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خون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را فقط از راه نَسَب پدری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خون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را فقط از راه نَسَب پدری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خون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را از راه نَسَب پدری ومادری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خون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را از راه نَسَب پدری و مادری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اعمال روش خون در ایران، تابعیت پدر در چه زمان، ملاک اعتبار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انعقاد نطفه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 دنیا آمدن کودک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 تشخیص دهد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که به تابعیت ایران پذیرفته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حقوق خصوصی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حقوق خصوصی مردم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حقوق سیاسی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خروج از تابعیت ایران و اجازه دریافت تابعیت ایران، به ترتیب برعهده کدام مرجع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 هیئت وزیران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هیئت وزیران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وزرات امور خارجه، وزارت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تابعیت کسی که در خارج، از پدر خارجی و مادر ایرانی متولّد شده است، ایرانی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 تابعیت مادر، او هم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اجازه دولت، او هم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ایرانی بودن او اقامت در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تابعیت کسی که از پدر و مادر بی‌تابعیت در ایران متولّد شده است، چیست؟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بی‌تابعیت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او به تصویب هیئت دولت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تبعه ایران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او به دریافت تابعیت پدر و مادر او از ایران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 مؤثّر در تابعیت ایرانی کودک متولّد از مادر ایرانی و پدر بیگانه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از مادر ایرانی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در سرزمین ایران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حکم در قانون کشور متبوع پدر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دولت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روش حقوقی ایران، شخصی که در ایران از پدر و مادر خارجی متولّد شود، در صورتی تبعه ایران به‌شمار می‌آید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به‌طور حتمی در ایران متولّد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پدر و مادر در ایران متولّد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به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دریافت تابعیت ایران را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دارای تابعیت یکی از کشورهای همسایه ایران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پدرش ایرانی است، ایرانی شمرده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ازدواج صحیح به‌وجود آمده و یا طبق مقررات قانون مدنی، به لحاظ شرعی ملحق به پدر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ایران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مخالفت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هم ایرانی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متولّد در ایران از پدر و مادر خارجی، در صورتی ایرانی به‌شمار</w:t>
      </w:r>
    </w:p>
    <w:p>
      <w:pPr>
        <w:pStyle w:val="BookText"/>
        <w:rPr/>
      </w:pPr>
      <w:r>
        <w:rPr>
          <w:rFonts w:ascii="IRNazanin" w:hAnsi="IRNazanin" w:eastAsia="IRNazanin"/>
          <w:color w:val="111111"/>
          <w:sz w:val="28"/>
          <w:sz w:val="28"/>
          <w:szCs w:val="28"/>
          <w:rtl w:val="true"/>
          <w:lang w:bidi="fa-IR"/>
        </w:rPr>
        <w:t xml:space="preserve">می‌آید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 دو در ایران متولّد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چنین درخواستی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پدر و مادر در ایران متولّد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پیشینه پنج سال اقامت در ایران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موجب مقررات تابعیت ایران، ایرانی شمرده می‌شود فردی که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ایرانی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ایرانی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از مادر ایرانی متولّد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حقوق بین‌الملل خصوصی ایران، بر اساس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شخصی که به تابعیت ایران پذیرفته می‌شود، زن او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دولت ایران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تبعه دولت ایران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رضایت خود تبعه ایران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تنظیم تقاضانامه و موافقت دولت، تبعه دولت ایران شناخته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خردسال شخص بیگانه‌ای که به تابعیت ایران پذیرفته شده است، ایرانی به‌شمار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لازم نیست در هجده سالگی تابعیت ایران را تحصیل 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نمی‌آیند؛ ولی در سن هجده سال تمام، حق درخواست پذیرش تابعیت ایران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ولی تا یک‌سال پیش از رسیدن به سن هجده سال تمام، حق پذیرش تابعیت سابق پدر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ولی تا یک‌سال پیش از رسیدن به سن هجده سال تمام، حق پذیرش تابعیت سابق پدر خود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ایرانی که در اثر ازدواج، تابعیت خارجی شوهر خود را پذیرفته است، در صورت وفات شوهر خود یا طلاق از او، فقط با تقدیم درخواست به وزارت امور خارجه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بازگشت به تابعیت اصلی ایرانی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هیئت دولت ایران، حق بازگشت به تابعیت اصلی ایران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اموال و دارایی‌های خود به ایران، حق بازگشت به تابعیت اصلی ایران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بازگشت به تابعیت اصلی ایرانی را ندارند و باید تابعیت ایرانی را دریافت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خانم ایرانی متولّد ایران، با یک مرد افغانی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آنها که در ایران به دنیا آمده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دارد؛ چون مادر او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دارد؛ چون در ایران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دارد؛ چون مادر او در ایران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صورت نمی‌تواند تابعیت ایرانی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حاصل از ازدواج یک مرد ایرانی با زن خارجی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رسیدن به سن هجده سال تمام، یک‌سال در ایران اقامت کند، ایرانی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طبق قانون ایران انجام شده باشد، ایرانی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ایران متولّد شده باشد، ایرانی به‌شمار می‌آید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ایران اقامت کند، ایرانی به‌شمار می‌آید</w:t>
      </w:r>
      <w:r>
        <w:rPr>
          <w:rFonts w:eastAsia="IRNazanin" w:cs="IRNazanin"/>
          <w:color w:val="111111"/>
          <w:sz w:val="28"/>
          <w:szCs w:val="28"/>
          <w:rtl w:val="true"/>
          <w:lang w:bidi="fa-IR"/>
        </w:rPr>
        <w:t>.</w:t>
      </w:r>
      <w:bookmarkStart w:id="285" w:name="pg5888_36084"/>
    </w:p>
    <w:p>
      <w:pPr>
        <w:pStyle w:val="Heading2"/>
        <w:numPr>
          <w:ilvl w:val="1"/>
          <w:numId w:val="1"/>
        </w:numPr>
        <w:rPr/>
      </w:pPr>
      <w:bookmarkStart w:id="286" w:name="__RefHeading___Toc5261368_581953129"/>
      <w:bookmarkStart w:id="287" w:name="_Toc112"/>
      <w:bookmarkEnd w:id="285"/>
      <w:bookmarkEnd w:id="286"/>
      <w:r>
        <w:rPr/>
        <w:t>7</w:t>
      </w:r>
      <w:r>
        <w:rPr>
          <w:rtl w:val="true"/>
        </w:rPr>
        <w:t xml:space="preserve">- </w:t>
      </w:r>
      <w:r>
        <w:rPr>
          <w:rtl w:val="true"/>
        </w:rPr>
        <w:t>دریافت تابعیت ایران</w:t>
      </w:r>
      <w:bookmarkEnd w:id="287"/>
    </w:p>
    <w:p>
      <w:pPr>
        <w:pStyle w:val="Heading3"/>
        <w:numPr>
          <w:ilvl w:val="2"/>
          <w:numId w:val="1"/>
        </w:numPr>
        <w:rPr/>
      </w:pPr>
      <w:bookmarkStart w:id="288" w:name="__RefHeading___Toc5261370_581953129"/>
      <w:bookmarkStart w:id="289" w:name="_Toc113"/>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شرایط پنج‌گانه دریافت تابعیت از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تشریفات دریافت تابعیت از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آثار دریافت تابعیت از ایران، نسبت به فرزندان خردسال، بزرگسال، زن و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اصل چهل‌ودوم قانون اساسی جمهوری اسلامی ایران تصریح می‌کند که اتباع خارجه می‌توانند در حدود قوانین به تابعیت ایران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تابعیت از جمله اقدامات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با آزادی کامل و شرایطی که بایسته است، تابعیت را به هر کسی که بخواهند اعطا می‌کنند و فقط آزادی دولت‌ها به لحاظ بین‌المللی به این اصل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دولتی نباید تابعیت خود را به کلیه بیگانگانی که در خاک آن دولت به سر می‌برند،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تحمیل دسته‌جمعی تابعیت، مخالف اصول حقوق بین‌المللی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شد، بنیان اندیشه قانون‌گذار ایران در تدوین قواعد پذیرش تابعیت از ایران این است که نخست داوطلبان دریافت تابعیت از ایران، باید آن را</w:t>
      </w:r>
      <w:bookmarkStart w:id="290" w:name="pg5888_36085"/>
    </w:p>
    <w:p>
      <w:pPr>
        <w:pStyle w:val="BookText"/>
        <w:rPr/>
      </w:pPr>
      <w:bookmarkEnd w:id="290"/>
      <w:r>
        <w:rPr>
          <w:rFonts w:ascii="IRNazanin" w:hAnsi="IRNazanin" w:eastAsia="IRNazanin"/>
          <w:color w:val="111111"/>
          <w:sz w:val="28"/>
          <w:sz w:val="28"/>
          <w:szCs w:val="28"/>
          <w:rtl w:val="true"/>
          <w:lang w:bidi="fa-IR"/>
        </w:rPr>
        <w:t>تقاضا کنند و سپس اعطای تابعیت ایران یک مزیت است که دولت ایران به هرکسی که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حاکمیت است و شکایت پذیر نیست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شخص متقاضی تابعیت از ایران باید شرایط مربوط به دریافت تابعیت را به دست آورد و در صورت احراز شرایط، باید تشریفات خاصی را نیز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دولت جمهوری اسلامی ایران موافقت خود را با تقاضای تابعیت متقاضی اعلام کند، از آن پس، دریافت تابعیت برای او آثاری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مطالعه و بحث پیرامون قواعد پذیرش تابعیت ایران سه نکته را مورد دقت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دریافت تابعیت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تشریفات دریافت تابعیت ایران؛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دریافت تابعیت ایران</w:t>
      </w:r>
      <w:r>
        <w:rPr>
          <w:rFonts w:eastAsia="IRNazanin" w:cs="IRNazanin"/>
          <w:color w:val="111111"/>
          <w:sz w:val="28"/>
          <w:szCs w:val="28"/>
          <w:rtl w:val="true"/>
          <w:lang w:bidi="fa-IR"/>
        </w:rPr>
        <w:t>.</w:t>
      </w:r>
    </w:p>
    <w:p>
      <w:pPr>
        <w:pStyle w:val="Heading3"/>
        <w:numPr>
          <w:ilvl w:val="2"/>
          <w:numId w:val="1"/>
        </w:numPr>
        <w:rPr/>
      </w:pPr>
      <w:bookmarkStart w:id="291" w:name="__RefHeading___Toc5261372_581953129"/>
      <w:bookmarkStart w:id="292" w:name="_Toc114"/>
      <w:bookmarkEnd w:id="291"/>
      <w:r>
        <w:rPr/>
        <w:t>1</w:t>
      </w:r>
      <w:r>
        <w:rPr>
          <w:rtl w:val="true"/>
        </w:rPr>
        <w:t xml:space="preserve">- </w:t>
      </w:r>
      <w:r>
        <w:rPr>
          <w:rtl w:val="true"/>
        </w:rPr>
        <w:t>شرایط دریافت تابعیت ایران</w:t>
      </w:r>
      <w:bookmarkEnd w:id="292"/>
    </w:p>
    <w:p>
      <w:pPr>
        <w:pStyle w:val="Heading4"/>
        <w:numPr>
          <w:ilvl w:val="3"/>
          <w:numId w:val="1"/>
        </w:numPr>
        <w:rPr/>
      </w:pPr>
      <w:bookmarkStart w:id="293" w:name="__RefHeading___Toc5261374_581953129"/>
      <w:bookmarkStart w:id="294" w:name="_Toc115"/>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شرایط دریافت تابعیت ایران را می‌توان در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دارای شرایط زیر باشند، می‌توانند تابعیت ایران را تحصیل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سن هجده سال تمام رسیده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فراری از خدمت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سال، اعم از متوالی یا متناوب در ایران ساکن بوده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هیچ مملکتی به جنحه مهم یا جنایت غیرسیاسی محکوم نشده باشند</w:t>
      </w:r>
      <w:r>
        <w:rPr>
          <w:rFonts w:eastAsia="IRNazanin" w:cs="IRNazanin"/>
          <w:color w:val="111111"/>
          <w:sz w:val="28"/>
          <w:szCs w:val="28"/>
          <w:rtl w:val="true"/>
          <w:lang w:bidi="fa-IR"/>
        </w:rPr>
        <w:t>.</w:t>
      </w:r>
      <w:bookmarkStart w:id="295" w:name="pg5888_36086"/>
    </w:p>
    <w:p>
      <w:pPr>
        <w:pStyle w:val="BookText"/>
        <w:rPr/>
      </w:pPr>
      <w:bookmarkEnd w:id="295"/>
      <w:r>
        <w:rPr>
          <w:rFonts w:ascii="IRNazanin" w:hAnsi="IRNazanin" w:eastAsia="IRNazanin"/>
          <w:color w:val="111111"/>
          <w:sz w:val="28"/>
          <w:sz w:val="28"/>
          <w:szCs w:val="28"/>
          <w:rtl w:val="true"/>
          <w:lang w:bidi="fa-IR"/>
        </w:rPr>
        <w:t>در مورد فقره سوم این ماده، مدّت اقامت در خارجه برای خدمت دولت ایران، در حکم اقامت در خاک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شرایط بالا، در ماده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توانمندی و برخورداری از امکان مالی درخواست کننده هم شرط شده است و نیز اینکه هیئت دولت آن را تصویب کند؛ زیرا همان‌طور که پیش‌تر بیان شد، ممکن است با وجود همه شرایط قانونی، دولتی به علت‌های گوناگونِ سیاسی، پذیرش شخص یا اشخاصی را به تابعیت خود صلاح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تصویب‌نامه مورخ </w:t>
      </w:r>
      <w:r>
        <w:rPr>
          <w:rFonts w:eastAsia="IRNazanin" w:cs="IRNazanin"/>
          <w:color w:val="111111"/>
          <w:sz w:val="28"/>
          <w:szCs w:val="28"/>
          <w:lang w:bidi="fa-IR"/>
        </w:rPr>
        <w:t>1346/10/13</w:t>
      </w:r>
      <w:r>
        <w:rPr>
          <w:rFonts w:ascii="IRNazanin" w:hAnsi="IRNazanin" w:eastAsia="IRNazanin"/>
          <w:color w:val="111111"/>
          <w:sz w:val="28"/>
          <w:sz w:val="28"/>
          <w:szCs w:val="28"/>
          <w:rtl w:val="true"/>
          <w:lang w:bidi="fa-IR"/>
        </w:rPr>
        <w:t>ش به وزارت امور خارجه اختیار داده شده است با بررسی شرایط و مدارک، موافقت یا مخالفت خود را نسبت به تقاضای دریافت تابعیت شخص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دریافت تابعیت ایران از این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اهلیت، شرط اقامت، شرط اخلاقی، شرط مُکنت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هریک از این شروط را بیان می‌کنیم</w:t>
      </w:r>
      <w:r>
        <w:rPr>
          <w:rFonts w:eastAsia="IRNazanin" w:cs="IRNazanin"/>
          <w:color w:val="111111"/>
          <w:sz w:val="28"/>
          <w:szCs w:val="28"/>
          <w:rtl w:val="true"/>
          <w:lang w:bidi="fa-IR"/>
        </w:rPr>
        <w:t>:</w:t>
      </w:r>
    </w:p>
    <w:p>
      <w:pPr>
        <w:pStyle w:val="Heading4"/>
        <w:numPr>
          <w:ilvl w:val="3"/>
          <w:numId w:val="1"/>
        </w:numPr>
        <w:rPr/>
      </w:pPr>
      <w:bookmarkStart w:id="296" w:name="__RefHeading___Toc5261376_581953129"/>
      <w:bookmarkStart w:id="297" w:name="_Toc116"/>
      <w:bookmarkEnd w:id="296"/>
      <w:r>
        <w:rPr>
          <w:rtl w:val="true"/>
        </w:rPr>
        <w:t>الف</w:t>
      </w:r>
      <w:r>
        <w:rPr>
          <w:rtl w:val="true"/>
        </w:rPr>
        <w:t xml:space="preserve">) </w:t>
      </w:r>
      <w:r>
        <w:rPr>
          <w:rtl w:val="true"/>
        </w:rPr>
        <w:t>شرط اهلیت</w:t>
      </w:r>
      <w:bookmarkEnd w:id="297"/>
    </w:p>
    <w:p>
      <w:pPr>
        <w:pStyle w:val="BookText"/>
        <w:rPr/>
      </w:pPr>
      <w:r>
        <w:rPr>
          <w:rFonts w:ascii="IRNazanin" w:hAnsi="IRNazanin" w:eastAsia="IRNazanin"/>
          <w:color w:val="111111"/>
          <w:sz w:val="28"/>
          <w:sz w:val="28"/>
          <w:szCs w:val="28"/>
          <w:rtl w:val="true"/>
          <w:lang w:bidi="fa-IR"/>
        </w:rPr>
        <w:t xml:space="preserve">برای درخواست پذیرش تابعیت از ایران، قانون‌گذار در ماده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بند یکم، شرط اهلیت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شرط، درخواست کننده تابعیت باید به سن هجده سال تمام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شرط اهلیتِ برای دریافت تابعیت، پایان هجده سالگی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ایران احوال شخصیه، تابع قانون دولت متبوع شخص است و اهلیت نیز جزء احوال شخصیه است، امّا قانون ایران استثنائاً در این موقعیت به سن بزرگسالی در کشور خارجی توجهی نداشته، حتی به سن بزرگسالی در</w:t>
      </w:r>
      <w:bookmarkStart w:id="298" w:name="pg5888_36087"/>
    </w:p>
    <w:p>
      <w:pPr>
        <w:pStyle w:val="BookText"/>
        <w:rPr/>
      </w:pPr>
      <w:bookmarkEnd w:id="298"/>
      <w:r>
        <w:rPr>
          <w:rFonts w:ascii="IRNazanin" w:hAnsi="IRNazanin" w:eastAsia="IRNazanin"/>
          <w:color w:val="111111"/>
          <w:sz w:val="28"/>
          <w:sz w:val="28"/>
          <w:szCs w:val="28"/>
          <w:rtl w:val="true"/>
          <w:lang w:bidi="fa-IR"/>
        </w:rPr>
        <w:t>ایران نیز اکتفا نمی‌کند و فقط در صورتی که هجده سال شخص تمام شده باشد، وی را از نظر سنی واجد شرایط تحصیل تابعیت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پیش از رسیدن به سن هجده سال، حکم رشد گرفته باشد، نمی‌تواند به تابعیت ایران درآید</w:t>
      </w:r>
      <w:r>
        <w:rPr>
          <w:rFonts w:eastAsia="IRNazanin" w:cs="IRNazanin"/>
          <w:color w:val="111111"/>
          <w:sz w:val="28"/>
          <w:szCs w:val="28"/>
          <w:rtl w:val="true"/>
          <w:lang w:bidi="fa-IR"/>
        </w:rPr>
        <w:t>.</w:t>
      </w:r>
      <w:r>
        <w:rPr>
          <w:rStyle w:val="FootnoteAnchor"/>
          <w:rtl w:val="true"/>
        </w:rPr>
        <w:footnoteReference w:id="211"/>
      </w:r>
    </w:p>
    <w:p>
      <w:pPr>
        <w:pStyle w:val="Heading4"/>
        <w:numPr>
          <w:ilvl w:val="3"/>
          <w:numId w:val="1"/>
        </w:numPr>
        <w:rPr/>
      </w:pPr>
      <w:bookmarkStart w:id="299" w:name="__RefHeading___Toc5261378_581953129"/>
      <w:bookmarkStart w:id="300" w:name="_Toc117"/>
      <w:bookmarkEnd w:id="299"/>
      <w:r>
        <w:rPr>
          <w:rtl w:val="true"/>
        </w:rPr>
        <w:t>ب</w:t>
      </w:r>
      <w:r>
        <w:rPr>
          <w:rtl w:val="true"/>
        </w:rPr>
        <w:t xml:space="preserve">) </w:t>
      </w:r>
      <w:r>
        <w:rPr>
          <w:rtl w:val="true"/>
        </w:rPr>
        <w:t>شرط اقامت</w:t>
      </w:r>
      <w:bookmarkEnd w:id="300"/>
    </w:p>
    <w:p>
      <w:pPr>
        <w:pStyle w:val="BookText"/>
        <w:rPr/>
      </w:pPr>
      <w:r>
        <w:rPr>
          <w:rFonts w:ascii="IRNazanin" w:hAnsi="IRNazanin" w:eastAsia="IRNazanin"/>
          <w:color w:val="111111"/>
          <w:sz w:val="28"/>
          <w:sz w:val="28"/>
          <w:szCs w:val="28"/>
          <w:rtl w:val="true"/>
          <w:lang w:bidi="fa-IR"/>
        </w:rPr>
        <w:t xml:space="preserve">بند دوم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برای کسانی که درخواست دریافت تابعیت از ایران دارند، شرط اقامت را منظورکرده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دوّم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پنج‌سال، اعم از متوالی یا متناوب در ایران ساکن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متوالی این است که در ایران زندگی کرده و از آن خارج نشده باشد؛ و منظور از متناوب، اینکه در ایران زندگی کند، اگر چه تمام آن مدّت به‌طور پیوسته در ایران نباشد؛ برای نمونه، یک یا دو سال را در خارج از کشور زندگی کرده باشد و آن‌گاه برای تحقّق پنج‌سال به ایران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 دلیل این شرط را نشانه‌ای از علاقه شخص به سرزمین و مردم ایران دانسته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از سوی دیگر، به‌وسیله این شرط، فرد درخواست‌کننده از کشوری که خواهان تابعیت آن است، شناخت کامل و کافی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در ایران اقامت نداشته باشد، به زندگی در این کشور و آب و خاک آن دلبستگی و پیوندی نخواهد داشت</w:t>
      </w:r>
      <w:r>
        <w:rPr>
          <w:rFonts w:eastAsia="IRNazanin" w:cs="IRNazanin"/>
          <w:color w:val="111111"/>
          <w:sz w:val="28"/>
          <w:szCs w:val="28"/>
          <w:rtl w:val="true"/>
          <w:lang w:bidi="fa-IR"/>
        </w:rPr>
        <w:t>.</w:t>
      </w:r>
      <w:r>
        <w:rPr>
          <w:rStyle w:val="FootnoteAnchor"/>
          <w:rtl w:val="true"/>
        </w:rPr>
        <w:footnoteReference w:id="21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برای این شرط، چهار استثنا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p>
    <w:p>
      <w:pPr>
        <w:pStyle w:val="BookText"/>
        <w:rPr/>
      </w:pPr>
      <w:r>
        <w:rPr>
          <w:rFonts w:ascii="IRNazanin" w:hAnsi="IRNazanin" w:eastAsia="IRNazanin"/>
          <w:color w:val="111111"/>
          <w:sz w:val="28"/>
          <w:sz w:val="28"/>
          <w:szCs w:val="28"/>
          <w:rtl w:val="true"/>
          <w:lang w:bidi="fa-IR"/>
        </w:rPr>
        <w:t>افراد زیر، بدون رعایت شرط سکونت با تصویب هیئت وزیران به تابعیت ایران پذیرفته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پنج‌سال خدمت برای ایران در خارج از ایران</w:t>
      </w:r>
    </w:p>
    <w:p>
      <w:pPr>
        <w:pStyle w:val="BookText"/>
        <w:rPr/>
      </w:pPr>
      <w:r>
        <w:rPr>
          <w:rFonts w:ascii="IRNazanin" w:hAnsi="IRNazanin" w:eastAsia="IRNazanin"/>
          <w:color w:val="111111"/>
          <w:sz w:val="28"/>
          <w:sz w:val="28"/>
          <w:szCs w:val="28"/>
          <w:rtl w:val="true"/>
          <w:lang w:bidi="fa-IR"/>
        </w:rPr>
        <w:t xml:space="preserve">در پایان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 اگر شخصی در خارج برای دولت ایران خدمت کند، می‌تواند مدّت آن را به جای مدّت اقامت در ایران محسوب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پایانی این ماده چنین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فقره دوّم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 اقامت در خارجه برای خدمت دولت ایران، در حکم اقامت در خاک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سه مورد دیگر از استثناء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منافع عمومی ایران خدمت و یا مساعدت شایانی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معمول، خدمت یا همکاری شایان توجّه در منافع عمومی ایران، با حضور در ایران همراه است؛ امّا بااین‌وجود، شرط حضور پنج‌ساله در چنین مواردی لحاظ نشده است؛ برای نمونه، در مورد یک مهندس خارجی که با علاقه، در راه‌اندازی شبکه‌های برق و آب‌رسانی خدمت کرده و یک‌سال هم بیشتر در ایران نبوده است، هیئت وزیران می‌تواند او را از شرط یادشده معاف کند؛ یا ممکن است این استثنا شامل شخصی شود که بدون اینکه حتی ایران را دیده باشد، سالیان طولانی از عمر خود را صرف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ریشه‌کن‌سازی بیماری مالاریا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دارای همسر ایرانی بوده، از او فرزند دارند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لازم نیست که همسر ایرانی پس از ازدواج، تابعیت ایران را حفظ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فراگیر بوده و مواردی را که زن با ازدواج با مرد</w:t>
      </w:r>
    </w:p>
    <w:p>
      <w:pPr>
        <w:pStyle w:val="BookText"/>
        <w:rPr/>
      </w:pPr>
      <w:r>
        <w:rPr>
          <w:rFonts w:ascii="IRNazanin" w:hAnsi="IRNazanin" w:eastAsia="IRNazanin"/>
          <w:color w:val="111111"/>
          <w:sz w:val="28"/>
          <w:sz w:val="28"/>
          <w:szCs w:val="28"/>
          <w:rtl w:val="true"/>
          <w:lang w:bidi="fa-IR"/>
        </w:rPr>
        <w:t>بیگانه، تابعیت شوهر را هم تحصیل کرده یا به تابعیت ایران باقی مانده باشد نیز شامل می‌شود؛ ولی ضروری است که از او دارای فرزند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مردی غیر ایرانی با زن ایرانی ازدواج کند، دو شکل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زن به تابعیت ایران باقی بماند؛ یعنی ازدواج با بیگانه مستلزم آن نباشد که از تابعیت ایران خارج شده و تابعیت کشور همسر خود را بپذیرد؛ آن‌گاه شوهر ورود به تابعیت ایران را تقاضا بکند و چون همسرش ایرانی است از شرط اقامت پنج‌سال معاف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زن ایرانی با ازدواج با مرد بیگانه، تابعیت شوهر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آیا اگر شوهر درصدد دریافت اقامت ایران باشد، می‌تواند به اتکای تابعیت اصلی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تابعیت اکتسابی همسر او در اثر ازدواج، تابعیت کشور متبوع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معافیت اقامت در ایران بهره‌مند شود، یا اینکه معافیت در این فرض وارد نیست؟</w:t>
      </w:r>
    </w:p>
    <w:p>
      <w:pPr>
        <w:pStyle w:val="BookText"/>
        <w:rPr/>
      </w:pPr>
      <w:r>
        <w:rPr>
          <w:rFonts w:ascii="IRNazanin" w:hAnsi="IRNazanin" w:eastAsia="IRNazanin"/>
          <w:color w:val="111111"/>
          <w:sz w:val="28"/>
          <w:sz w:val="28"/>
          <w:szCs w:val="28"/>
          <w:rtl w:val="true"/>
          <w:lang w:bidi="fa-IR"/>
        </w:rPr>
        <w:t>از مجموع مواد قانون مدنی دراین‌باره می‌توان دریافت در صورتی که همسر او نیز قصد بازگشت به تابعیت ایران را داشته باشد و در این مورد تقاضا کند، شوهر هم می‌تواند در دریافت تابعیت ایران از شرط اقامت پنج‌ساله معاف شود؛ ولی اگر همسر او که در اثر ازدواج، تابعیت ایران را از دست داده است، بازگشت به تابعیت ایران را نخواهد، شوهر خارجی او هم نمی‌تواند به اتکای تابعیت اصلی زن خود، به تابعیت ایران درآید</w:t>
      </w:r>
      <w:r>
        <w:rPr>
          <w:rFonts w:eastAsia="IRNazanin" w:cs="IRNazanin"/>
          <w:color w:val="111111"/>
          <w:sz w:val="28"/>
          <w:szCs w:val="28"/>
          <w:rtl w:val="true"/>
          <w:lang w:bidi="fa-IR"/>
        </w:rPr>
        <w:t>.</w:t>
      </w:r>
      <w:r>
        <w:rPr>
          <w:rStyle w:val="FootnoteAnchor"/>
          <w:rtl w:val="true"/>
        </w:rPr>
        <w:footnoteReference w:id="21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دارای مقامات عالی علمی و متخصص در امور عام‌المنفعه هستند</w:t>
      </w:r>
      <w:r>
        <w:rPr>
          <w:rFonts w:eastAsia="IRNazanin" w:cs="IRNazanin"/>
          <w:color w:val="111111"/>
          <w:sz w:val="28"/>
          <w:szCs w:val="28"/>
          <w:rtl w:val="true"/>
          <w:lang w:bidi="fa-IR"/>
        </w:rPr>
        <w:t>.</w:t>
      </w:r>
      <w:bookmarkStart w:id="301" w:name="pg5888_36090"/>
    </w:p>
    <w:p>
      <w:pPr>
        <w:pStyle w:val="BookText"/>
        <w:rPr/>
      </w:pPr>
      <w:bookmarkEnd w:id="301"/>
      <w:r>
        <w:rPr>
          <w:rFonts w:ascii="IRNazanin" w:hAnsi="IRNazanin" w:eastAsia="IRNazanin"/>
          <w:color w:val="111111"/>
          <w:sz w:val="28"/>
          <w:sz w:val="28"/>
          <w:szCs w:val="28"/>
          <w:rtl w:val="true"/>
          <w:lang w:bidi="fa-IR"/>
        </w:rPr>
        <w:t xml:space="preserve">کاشفین، مخترعین و پژوهشگران در رشته‌های گوناگون علمی، استادان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مقامات عالی علمی‌اند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مهندسین کشاورزی، مهندسین راه، پزشکان در تخصص‌های مختلف و اموری مانند آن، می‌توانند از جمله متخصصین در امور عام‌المنفعه شمرده شوند</w:t>
      </w:r>
      <w:r>
        <w:rPr>
          <w:rFonts w:eastAsia="IRNazanin" w:cs="IRNazanin"/>
          <w:color w:val="111111"/>
          <w:sz w:val="28"/>
          <w:szCs w:val="28"/>
          <w:rtl w:val="true"/>
          <w:lang w:bidi="fa-IR"/>
        </w:rPr>
        <w:t>.</w:t>
      </w:r>
    </w:p>
    <w:p>
      <w:pPr>
        <w:pStyle w:val="Heading4"/>
        <w:numPr>
          <w:ilvl w:val="3"/>
          <w:numId w:val="1"/>
        </w:numPr>
        <w:rPr/>
      </w:pPr>
      <w:bookmarkStart w:id="302" w:name="__RefHeading___Toc5261380_581953129"/>
      <w:bookmarkStart w:id="303" w:name="_Toc118"/>
      <w:bookmarkEnd w:id="302"/>
      <w:r>
        <w:rPr>
          <w:rtl w:val="true"/>
        </w:rPr>
        <w:t>ج</w:t>
      </w:r>
      <w:r>
        <w:rPr>
          <w:rtl w:val="true"/>
        </w:rPr>
        <w:t xml:space="preserve">) </w:t>
      </w:r>
      <w:r>
        <w:rPr>
          <w:rtl w:val="true"/>
        </w:rPr>
        <w:t>شرط اخلاقی</w:t>
      </w:r>
      <w:bookmarkEnd w:id="303"/>
    </w:p>
    <w:p>
      <w:pPr>
        <w:pStyle w:val="BookText"/>
        <w:rPr/>
      </w:pPr>
      <w:r>
        <w:rPr>
          <w:rFonts w:ascii="IRNazanin" w:hAnsi="IRNazanin" w:eastAsia="IRNazanin"/>
          <w:color w:val="111111"/>
          <w:sz w:val="28"/>
          <w:sz w:val="28"/>
          <w:szCs w:val="28"/>
          <w:rtl w:val="true"/>
          <w:lang w:bidi="fa-IR"/>
        </w:rPr>
        <w:t xml:space="preserve">قانون‌گذار ایرانی شروط اخلاقی درخواست‌کننده را که در بند سوم و چهارم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بند دوم ماده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مدّ نظر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از خدمت نظامی نباشد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درخواست‌کننده تابعیت ایران نباید فراری از خدمت سربازی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کشور متبوع خود وظایف قانونی را انجام نداده است، معلوم نیست بتواند شهروند مناسبی برای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نگریختن از خدمت وظیفه، همیشه مستلزم انجام خدمت نیست؛ چراکه ممکن است مشمول، به دلایل بسیاری، از جمله عهده‌داری تکفّل و هزینه‌های پدر و مادر و یا اشتغال به تحصیل،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نظام را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فراری از خدمت نظام وظیفه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قانون، انجام خدمت را شرط قرار نداده است، بلکه فراری نبودن را شرط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ممکن است از نظر قانون کشور متبوع خود، به سن سربازی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لازم نیست تا مدرکی مبنی بر عدم فرار از خدمت نظام وظیفه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اینکه به تابعیت ایران درآمد، خدمت نظام را در ایران انجام می‌دهد</w:t>
      </w:r>
      <w:r>
        <w:rPr>
          <w:rFonts w:eastAsia="IRNazanin" w:cs="IRNazanin"/>
          <w:color w:val="111111"/>
          <w:sz w:val="28"/>
          <w:szCs w:val="28"/>
          <w:rtl w:val="true"/>
          <w:lang w:bidi="fa-IR"/>
        </w:rPr>
        <w:t>.</w:t>
      </w:r>
      <w:bookmarkStart w:id="304" w:name="pg5888_36091"/>
    </w:p>
    <w:p>
      <w:pPr>
        <w:pStyle w:val="BookText"/>
        <w:rPr/>
      </w:pPr>
      <w:bookmarkEnd w:id="30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کشوری به جنحه</w:t>
      </w:r>
      <w:r>
        <w:rPr>
          <w:rStyle w:val="FootnoteAnchor"/>
          <w:rtl w:val="true"/>
        </w:rPr>
        <w:footnoteReference w:id="215"/>
      </w:r>
      <w:r>
        <w:rPr>
          <w:rFonts w:ascii="IRNazanin" w:hAnsi="IRNazanin" w:eastAsia="IRNazanin"/>
          <w:color w:val="111111"/>
          <w:sz w:val="28"/>
          <w:sz w:val="28"/>
          <w:szCs w:val="28"/>
          <w:rtl w:val="true"/>
          <w:lang w:bidi="fa-IR"/>
        </w:rPr>
        <w:t>مهم یا جنایت غیرسیاسی</w:t>
      </w:r>
      <w:r>
        <w:rPr>
          <w:rStyle w:val="FootnoteAnchor"/>
          <w:rtl w:val="true"/>
        </w:rPr>
        <w:footnoteReference w:id="216"/>
      </w:r>
      <w:r>
        <w:rPr>
          <w:rFonts w:ascii="IRNazanin" w:hAnsi="IRNazanin" w:eastAsia="IRNazanin"/>
          <w:color w:val="111111"/>
          <w:sz w:val="28"/>
          <w:sz w:val="28"/>
          <w:szCs w:val="28"/>
          <w:rtl w:val="true"/>
          <w:lang w:bidi="fa-IR"/>
        </w:rPr>
        <w:t>محکوم نشده باشد</w:t>
      </w:r>
    </w:p>
    <w:p>
      <w:pPr>
        <w:pStyle w:val="BookText"/>
        <w:rPr/>
      </w:pPr>
      <w:r>
        <w:rPr>
          <w:rFonts w:ascii="IRNazanin" w:hAnsi="IRNazanin" w:eastAsia="IRNazanin"/>
          <w:color w:val="111111"/>
          <w:sz w:val="28"/>
          <w:sz w:val="28"/>
          <w:szCs w:val="28"/>
          <w:rtl w:val="true"/>
          <w:lang w:bidi="fa-IR"/>
        </w:rPr>
        <w:t>کسی که به دلیل ارتکاب قتل، سرقت، قاچاق و مانند آن، جامعه خود را ترک کرده است و تقاضای پذیرش تابعیت از ایران را دارد، درخواستش قابل پذیرفتن نیست؛ هرچند سال‌ها در ایران سکونت کرده و یا خدمت نظام وظیفه را در کشورش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محکومیت به جرایم سیاسی و نیز انجام جرایم از درجه جُنحه کوچک‌تر و خلاف و اتهاماتی که به مرحله محکومیت نرسیده باشد، مانع از پذیرش تابعیت ایران نیست</w:t>
      </w:r>
      <w:r>
        <w:rPr>
          <w:rFonts w:eastAsia="IRNazanin" w:cs="IRNazanin"/>
          <w:color w:val="111111"/>
          <w:sz w:val="28"/>
          <w:szCs w:val="28"/>
          <w:rtl w:val="true"/>
          <w:lang w:bidi="fa-IR"/>
        </w:rPr>
        <w:t>.</w:t>
      </w:r>
    </w:p>
    <w:p>
      <w:pPr>
        <w:pStyle w:val="Heading4"/>
        <w:numPr>
          <w:ilvl w:val="3"/>
          <w:numId w:val="1"/>
        </w:numPr>
        <w:rPr/>
      </w:pPr>
      <w:bookmarkStart w:id="305" w:name="__RefHeading___Toc5261382_581953129"/>
      <w:bookmarkStart w:id="306" w:name="_Toc119"/>
      <w:bookmarkEnd w:id="305"/>
      <w:r>
        <w:rPr>
          <w:rtl w:val="true"/>
        </w:rPr>
        <w:t>د</w:t>
      </w:r>
      <w:r>
        <w:rPr>
          <w:rtl w:val="true"/>
        </w:rPr>
        <w:t xml:space="preserve">) </w:t>
      </w:r>
      <w:r>
        <w:rPr>
          <w:rtl w:val="true"/>
        </w:rPr>
        <w:t>شرط توانایی مالی</w:t>
      </w:r>
      <w:bookmarkEnd w:id="306"/>
    </w:p>
    <w:p>
      <w:pPr>
        <w:pStyle w:val="BookText"/>
        <w:rPr/>
      </w:pPr>
      <w:r>
        <w:rPr>
          <w:rFonts w:ascii="IRNazanin" w:hAnsi="IRNazanin" w:eastAsia="IRNazanin"/>
          <w:color w:val="111111"/>
          <w:sz w:val="28"/>
          <w:sz w:val="28"/>
          <w:szCs w:val="28"/>
          <w:rtl w:val="true"/>
          <w:lang w:bidi="fa-IR"/>
        </w:rPr>
        <w:t xml:space="preserve">بند دوم ماده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تصدیق‌نامه نظمیه دایر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مُکنت کافی یا شغل معین برای تأمین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وزارت امور خارجه تقدیم کند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بخواهند تابعیت جمهوری اسلامی ایران را به دست آورند، باید ثابت کنند که دارای توانایی مالی کافی یا شغل معین برای تأمین زندگی هستند، تا مبادا از نظر مادی بر جامعه تحمیل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زندگی، از راه‌های گوناگون</w:t>
      </w:r>
      <w:bookmarkStart w:id="307" w:name="pg5888_36092"/>
    </w:p>
    <w:p>
      <w:pPr>
        <w:pStyle w:val="BookText"/>
        <w:rPr/>
      </w:pPr>
      <w:bookmarkEnd w:id="307"/>
      <w:r>
        <w:rPr>
          <w:rFonts w:ascii="IRNazanin" w:hAnsi="IRNazanin" w:eastAsia="IRNazanin"/>
          <w:color w:val="111111"/>
          <w:sz w:val="28"/>
          <w:sz w:val="28"/>
          <w:szCs w:val="28"/>
          <w:rtl w:val="true"/>
          <w:lang w:bidi="fa-IR"/>
        </w:rPr>
        <w:t>امکان‌پذیر است؛ فرد می‌تواند با داشتن تخصّص و مهارت‌هایی عهده‌دار خدماتی باشد و درآمدی برای تأمین زندگی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ممکن است با به کار انداختن سرمایه، در زمینه‌های صنعتی و کشاورزی، کارهای تولیدی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نیازمند نیروی انسانی باشد، ممکن است حتی کارگر ساده را هم واجد شرط یادشده بداند</w:t>
      </w:r>
      <w:r>
        <w:rPr>
          <w:rFonts w:eastAsia="IRNazanin" w:cs="IRNazanin"/>
          <w:color w:val="111111"/>
          <w:sz w:val="28"/>
          <w:szCs w:val="28"/>
          <w:rtl w:val="true"/>
          <w:lang w:bidi="fa-IR"/>
        </w:rPr>
        <w:t>.</w:t>
      </w:r>
    </w:p>
    <w:p>
      <w:pPr>
        <w:pStyle w:val="Heading4"/>
        <w:numPr>
          <w:ilvl w:val="3"/>
          <w:numId w:val="1"/>
        </w:numPr>
        <w:rPr/>
      </w:pPr>
      <w:bookmarkStart w:id="308" w:name="__RefHeading___Toc5261384_581953129"/>
      <w:bookmarkStart w:id="309" w:name="_Toc120"/>
      <w:bookmarkEnd w:id="308"/>
      <w:r>
        <w:rPr>
          <w:rtl w:val="true"/>
        </w:rPr>
        <w:t>ه</w:t>
      </w:r>
      <w:r>
        <w:rPr>
          <w:rtl w:val="true"/>
        </w:rPr>
        <w:t xml:space="preserve">) </w:t>
      </w:r>
      <w:r>
        <w:rPr>
          <w:rtl w:val="true"/>
        </w:rPr>
        <w:t>شرط قانونی</w:t>
      </w:r>
      <w:bookmarkEnd w:id="309"/>
    </w:p>
    <w:p>
      <w:pPr>
        <w:pStyle w:val="BookText"/>
        <w:rPr/>
      </w:pPr>
      <w:r>
        <w:rPr>
          <w:rFonts w:ascii="IRNazanin" w:hAnsi="IRNazanin" w:eastAsia="IRNazanin"/>
          <w:color w:val="111111"/>
          <w:sz w:val="28"/>
          <w:sz w:val="28"/>
          <w:szCs w:val="28"/>
          <w:rtl w:val="true"/>
          <w:lang w:bidi="fa-IR"/>
        </w:rPr>
        <w:t xml:space="preserve">در بخش پایانی ماده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تصویب هیئت وزرا به تبعیت ایران قبول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از تمامی شرایط گذشته هم برخوردار باشد، ولی هیئت دولت با اعطای تابعیت آن شخص موافقت نکند، نمی‌تواند تابعیت ایران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شکایت‌پذیر نیست</w:t>
      </w:r>
      <w:r>
        <w:rPr>
          <w:rFonts w:eastAsia="IRNazanin" w:cs="IRNazanin"/>
          <w:color w:val="111111"/>
          <w:sz w:val="28"/>
          <w:szCs w:val="28"/>
          <w:rtl w:val="true"/>
          <w:lang w:bidi="fa-IR"/>
        </w:rPr>
        <w:t>.</w:t>
      </w:r>
    </w:p>
    <w:p>
      <w:pPr>
        <w:pStyle w:val="Heading3"/>
        <w:numPr>
          <w:ilvl w:val="2"/>
          <w:numId w:val="1"/>
        </w:numPr>
        <w:rPr/>
      </w:pPr>
      <w:bookmarkStart w:id="310" w:name="__RefHeading___Toc5261386_581953129"/>
      <w:bookmarkStart w:id="311" w:name="_Toc121"/>
      <w:bookmarkEnd w:id="310"/>
      <w:r>
        <w:rPr/>
        <w:t>2</w:t>
      </w:r>
      <w:r>
        <w:rPr>
          <w:rtl w:val="true"/>
        </w:rPr>
        <w:t xml:space="preserve">- </w:t>
      </w:r>
      <w:r>
        <w:rPr>
          <w:rtl w:val="true"/>
        </w:rPr>
        <w:t>تشریفات دریافت تابعیت جمهوری اسلامی ایران</w:t>
      </w:r>
      <w:bookmarkEnd w:id="311"/>
    </w:p>
    <w:p>
      <w:pPr>
        <w:pStyle w:val="BookText"/>
        <w:rPr/>
      </w:pPr>
      <w:r>
        <w:rPr>
          <w:rFonts w:ascii="IRNazanin" w:hAnsi="IRNazanin" w:eastAsia="IRNazanin"/>
          <w:color w:val="111111"/>
          <w:sz w:val="28"/>
          <w:sz w:val="28"/>
          <w:szCs w:val="28"/>
          <w:rtl w:val="true"/>
          <w:lang w:bidi="fa-IR"/>
        </w:rPr>
        <w:t xml:space="preserve">تشریفات دریافت تابعیت ایران، در ماده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یادشده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تابعیت باید مستقیماً و یا به توسط ولات یا حُکّام به وزارت امور خارجه تسلیم شده و دارای منضِّمات ذیل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سواد مصدَّق اسناد هویت تقاضاکننده و عیال و اولاد؛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تصدیق‌نامه نظمیه دائر به تعیین مدّت اقامت تقاضاکننده در ایران و نداشتن سوء سابقه و داشتن مُکنت کافی یا شغل معین برای تأمین معاش</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امور خارجه در صورت لزوم، اطلاعات راجعه به شخص تقاضاکننده را تکمیل و آن را به هیئت وزرا ارسال خواهد کرد تا هیئت مزبور در قبول یا ردّ آن، تصمیم مقتضی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ماده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بیان می‌کند، تشریفات دریافت تابعیت جمهوری اسلامی ایران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درخواست تابعیت از سوی درخواست‌کننده به وزارت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مستقیم، از طریق 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طریق 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باید شامل مدارک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اسناد هویت تقاضاکننده، همسر و فرزندان؛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تعیین مدّت اقامت تقاضاکننده در ایران، عدم سوء پیشینه و داشتن مُکنت کافی یا شغل معین برای تأمین هزینه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برگه‌های درخواست‌نامه ورود به تابعیت دولت ایران که طبق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تنظیم می‌شوند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نمونه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دارای معادل ششصد ریال تمبر بوده، با مدارک زیر به وزارت امور خارجه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قطعه عکس؛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نسخه رونوشت مبنی بر تأیید اسناد هویت درخواست‌کننده، همسر و فرزندان خردسال او که بیانگر هویت و ویژگی‌های شخصی وی، همسر و فرزندان خردسال او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گواهی وزارت کار مبنی بر اینکه درخواست‌کننده می‌تواند با توجه به تجربه‌ها و دانش خود، خدمات مفیدی را از لحاظ امور فنی و تخصصی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نیاز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مقامات انتظامی مبنی بر شایستگی تقاضاکننده و تأیید صلاحیت او برای دریافت تابعیت ایران؛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موافقت وزارت کشور به استناد گواهی اداره شهربانی کل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نمونه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مشتمل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مدّت اقامت درخواست‌کننده؛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محکومیت جُنحه و جنایت غیرسیاسی؛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میزان دارایی متناسب شغل درخواست‌کننده که باید به اندازه‌ای باشد که زندگی او و خانواده‌اش را در ایران تأمین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وزارت کشور مبنی بر اینکه درخواست‌کننده، مراسم سوگند را که حاکی از وفاداری او نسبت به قانون اساسی ایران است، اجرا کرده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وزارت کشور مبنی بر اینکه درخواست‌کننده به زبان فارسی، تاریخ و قانون اساسی ایران آشنایی دارد؛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درخواست‌کننده باید مواد یادشده در ماده هفت را در کمیسیونی مرکب از نمایندگان وزارت دادگستری، کشور و فرهنگ امتحان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موجب تصویب‌نامه </w:t>
      </w:r>
      <w:r>
        <w:rPr>
          <w:rFonts w:eastAsia="IRNazanin" w:cs="IRNazanin"/>
          <w:color w:val="111111"/>
          <w:sz w:val="28"/>
          <w:szCs w:val="28"/>
          <w:lang w:bidi="fa-IR"/>
        </w:rPr>
        <w:t>42/9/17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 تبصره‌ای به تصویب‌نامه یادشده پیوست گردید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اتباع بیگانه تا تاریخ تصویب این تصویب‌نامه، بنا به تشخیص وزارت کار، دارای سابقه اقامت طولانی و اشتغال به کار در ایران هستند و نیز کسانی که دارای عیال و اولاد ایرانی هستند و تقاضای تحصیل تابعیت دولت ایران را می‌کنند، در صورت احراز سایر شرایط در قانون و موافقت مراجع صلاحیت‌دار، از مقررات بند سه تصویب‌نامه مورخ </w:t>
      </w:r>
      <w:r>
        <w:rPr>
          <w:rFonts w:eastAsia="IRNazanin" w:cs="IRNazanin"/>
          <w:color w:val="111111"/>
          <w:sz w:val="28"/>
          <w:szCs w:val="28"/>
          <w:lang w:bidi="fa-IR"/>
        </w:rPr>
        <w:t>40/7/22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خواهند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ماده سوم نظام‌نامه، وزارت امور خارجه پس از مطالعه برگه‌های یادشده، در صورتی که درخواست‌کننده را واجد شرایط تشخیص دهد، پیشنهاد آن را به هیئت وزیران تقدیم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پیشنهاد مزبور مورد پذیرش قرار گرفت، سند تابعیت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نمونه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درخواست‌کننده صادر می‌شود</w:t>
      </w:r>
      <w:r>
        <w:rPr>
          <w:rFonts w:eastAsia="IRNazanin" w:cs="IRNazanin"/>
          <w:color w:val="111111"/>
          <w:sz w:val="28"/>
          <w:szCs w:val="28"/>
          <w:rtl w:val="true"/>
          <w:lang w:bidi="fa-IR"/>
        </w:rPr>
        <w:t>.</w:t>
      </w:r>
      <w:bookmarkStart w:id="312" w:name="pg5888_36095"/>
    </w:p>
    <w:p>
      <w:pPr>
        <w:pStyle w:val="BookText"/>
        <w:rPr/>
      </w:pPr>
      <w:bookmarkEnd w:id="312"/>
      <w:r>
        <w:rPr>
          <w:rFonts w:ascii="IRNazanin" w:hAnsi="IRNazanin" w:eastAsia="IRNazanin"/>
          <w:color w:val="111111"/>
          <w:sz w:val="28"/>
          <w:sz w:val="28"/>
          <w:szCs w:val="28"/>
          <w:rtl w:val="true"/>
          <w:lang w:bidi="fa-IR"/>
        </w:rPr>
        <w:t xml:space="preserve">کارمندان ثبت احوال با مشاهده سند تابعیت و رعایت مقررات، برای صاحب سند، همسر و فرزندان او که اسامی آنان در پشت سند تابعیت درج شده است، با رعایت مواد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برگه هویت صادر و تاریخ و شماره سند تابعیت را در برگه‌های سجلّی مربوط، ثبت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چهار نظام‌نامه</w:t>
      </w:r>
      <w:r>
        <w:rPr>
          <w:rFonts w:eastAsia="IRNazanin" w:cs="IRNazanin"/>
          <w:color w:val="111111"/>
          <w:sz w:val="28"/>
          <w:szCs w:val="28"/>
          <w:rtl w:val="true"/>
          <w:lang w:bidi="fa-IR"/>
        </w:rPr>
        <w:t>).</w:t>
      </w:r>
    </w:p>
    <w:p>
      <w:pPr>
        <w:pStyle w:val="Heading3"/>
        <w:numPr>
          <w:ilvl w:val="2"/>
          <w:numId w:val="1"/>
        </w:numPr>
        <w:rPr/>
      </w:pPr>
      <w:bookmarkStart w:id="313" w:name="__RefHeading___Toc5261388_581953129"/>
      <w:bookmarkStart w:id="314" w:name="_Toc122"/>
      <w:bookmarkEnd w:id="313"/>
      <w:r>
        <w:rPr/>
        <w:t>3</w:t>
      </w:r>
      <w:r>
        <w:rPr>
          <w:rtl w:val="true"/>
        </w:rPr>
        <w:t xml:space="preserve">- </w:t>
      </w:r>
      <w:r>
        <w:rPr>
          <w:rtl w:val="true"/>
        </w:rPr>
        <w:t>آثار دریافت تابعیت جمهوری اسلامی ایران</w:t>
      </w:r>
      <w:bookmarkEnd w:id="314"/>
    </w:p>
    <w:p>
      <w:pPr>
        <w:pStyle w:val="Heading4"/>
        <w:numPr>
          <w:ilvl w:val="3"/>
          <w:numId w:val="1"/>
        </w:numPr>
        <w:rPr/>
      </w:pPr>
      <w:bookmarkStart w:id="315" w:name="__RefHeading___Toc5261390_581953129"/>
      <w:bookmarkStart w:id="316" w:name="_Toc123"/>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طبیعی است پذیرش درخواست‌کننده به تابعیت جمهوری اسلامی ایران از سوی هیئت وزیران، دارای اثرها و پیامدهایی خواهد بود که از همان تاریخ تصویب و صدور سند تابعیت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ممکن است به فرزندان خردسال و بزرگسال یا زن وی و یا وظایف و حقوق شخص پذیرفته شده ارتباط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آثار دریافت تابعیت را در پنج بخش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دریافت تابعیت، نسبت به فرزندان خردسال کسی که به تابعیت ایران پذیرفته شده است؛</w:t>
      </w:r>
    </w:p>
    <w:p>
      <w:pPr>
        <w:pStyle w:val="BookText"/>
        <w:rPr/>
      </w:pPr>
      <w:r>
        <w:rPr>
          <w:rFonts w:ascii="IRNazanin" w:hAnsi="IRNazanin" w:eastAsia="IRNazanin"/>
          <w:color w:val="111111"/>
          <w:sz w:val="28"/>
          <w:sz w:val="28"/>
          <w:szCs w:val="28"/>
          <w:rtl w:val="true"/>
          <w:lang w:bidi="fa-IR"/>
        </w:rPr>
        <w:t>آثار دریافت تابعیت، نسبت به فرزندان بزرگسال کسی که به تابعیت ایران پذیرفته شده است؛</w:t>
      </w:r>
    </w:p>
    <w:p>
      <w:pPr>
        <w:pStyle w:val="BookText"/>
        <w:rPr/>
      </w:pPr>
      <w:r>
        <w:rPr>
          <w:rFonts w:ascii="IRNazanin" w:hAnsi="IRNazanin" w:eastAsia="IRNazanin"/>
          <w:color w:val="111111"/>
          <w:sz w:val="28"/>
          <w:sz w:val="28"/>
          <w:szCs w:val="28"/>
          <w:rtl w:val="true"/>
          <w:lang w:bidi="fa-IR"/>
        </w:rPr>
        <w:t>آثار دریافت تابعیت، نسبت به زن کسی که به تابعیت ایران پذیرفته شده است؛</w:t>
      </w:r>
    </w:p>
    <w:p>
      <w:pPr>
        <w:pStyle w:val="BookText"/>
        <w:rPr/>
      </w:pPr>
      <w:r>
        <w:rPr>
          <w:rFonts w:ascii="IRNazanin" w:hAnsi="IRNazanin" w:eastAsia="IRNazanin"/>
          <w:color w:val="111111"/>
          <w:sz w:val="28"/>
          <w:sz w:val="28"/>
          <w:szCs w:val="28"/>
          <w:rtl w:val="true"/>
          <w:lang w:bidi="fa-IR"/>
        </w:rPr>
        <w:t>حقوق شخص پذیرفته شده؛</w:t>
      </w:r>
    </w:p>
    <w:p>
      <w:pPr>
        <w:pStyle w:val="BookText"/>
        <w:rPr/>
      </w:pPr>
      <w:r>
        <w:rPr>
          <w:rFonts w:ascii="IRNazanin" w:hAnsi="IRNazanin" w:eastAsia="IRNazanin"/>
          <w:color w:val="111111"/>
          <w:sz w:val="28"/>
          <w:sz w:val="28"/>
          <w:szCs w:val="28"/>
          <w:rtl w:val="true"/>
          <w:lang w:bidi="fa-IR"/>
        </w:rPr>
        <w:t>وظایف شخص پذیرفته شده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بررسی این موارد آن است که ببینیم آیا آثار تابعیت جدیدِ شخص فقط نسبت به خود اوست، یا اشخاص دیگری را هم در برمی‌گیرد و وظیفه افراد خانواده در این تغییر تابعیت چیست؛ چون دریافت تابعیت ایران افزون براینکه نسبت به خود شخص آثاری را به همراه دارد، نسبت به خانواده او نیز دارای آثاری است</w:t>
      </w:r>
      <w:r>
        <w:rPr>
          <w:rFonts w:eastAsia="IRNazanin" w:cs="IRNazanin"/>
          <w:color w:val="111111"/>
          <w:sz w:val="28"/>
          <w:szCs w:val="28"/>
          <w:rtl w:val="true"/>
          <w:lang w:bidi="fa-IR"/>
        </w:rPr>
        <w:t>.</w:t>
      </w:r>
      <w:bookmarkStart w:id="317" w:name="pg5888_36096"/>
    </w:p>
    <w:p>
      <w:pPr>
        <w:pStyle w:val="Heading4"/>
        <w:numPr>
          <w:ilvl w:val="3"/>
          <w:numId w:val="1"/>
        </w:numPr>
        <w:rPr/>
      </w:pPr>
      <w:bookmarkStart w:id="318" w:name="__RefHeading___Toc5261392_581953129"/>
      <w:bookmarkStart w:id="319" w:name="_Toc124"/>
      <w:bookmarkEnd w:id="317"/>
      <w:bookmarkEnd w:id="318"/>
      <w:r>
        <w:rPr>
          <w:rtl w:val="true"/>
        </w:rPr>
        <w:t>الف</w:t>
      </w:r>
      <w:r>
        <w:rPr>
          <w:rtl w:val="true"/>
        </w:rPr>
        <w:t xml:space="preserve">) </w:t>
      </w:r>
      <w:r>
        <w:rPr>
          <w:rtl w:val="true"/>
        </w:rPr>
        <w:t>آثار دریافت تابعیت، نسبت به فرزندان خردسال</w:t>
      </w:r>
      <w:bookmarkEnd w:id="319"/>
    </w:p>
    <w:p>
      <w:pPr>
        <w:pStyle w:val="BookText"/>
        <w:rPr/>
      </w:pPr>
      <w:r>
        <w:rPr>
          <w:rFonts w:ascii="IRNazanin" w:hAnsi="IRNazanin" w:eastAsia="IRNazanin"/>
          <w:color w:val="111111"/>
          <w:sz w:val="28"/>
          <w:sz w:val="28"/>
          <w:szCs w:val="28"/>
          <w:rtl w:val="true"/>
          <w:lang w:bidi="fa-IR"/>
        </w:rPr>
        <w:t>آثاری که دریافت تابعیت جمهوری اسلامی ایران روی فرزندان شخص می‌گذارد با توجه به سن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فرزندان شخص پذیرفته‌شده خردسال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هجده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آنان نیز با همان پذیرش به تابعیت جمهوری اسلامی ایران پذیرفته شده، ایرانی به‌شمار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قانون‌گذار از این تصمیم، ایجاد یکپارچگی و استحکام خانوادگی است؛ امّا همین که به سن هجده سال تمام رسیدند، در صورتی که نخواهند به تابعیت ایران باقی بمانند، طبق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درخواستی کتبی خود را مبنی بر بازگشت به تابعیت سابق پدرشان، به وزارت امور خارجه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تأیید دولت مورد تابعیت پدر دائر بر اینکه آنها را به تابعیت خود خواهد شناخت نیز به این درخواست ضمیمه شود، تا از بی‌تابعیتی یا آپاترید جلوگیری گردد</w:t>
      </w:r>
      <w:r>
        <w:rPr>
          <w:rFonts w:eastAsia="IRNazanin" w:cs="IRNazanin"/>
          <w:color w:val="111111"/>
          <w:sz w:val="28"/>
          <w:szCs w:val="28"/>
          <w:rtl w:val="true"/>
          <w:lang w:bidi="fa-IR"/>
        </w:rPr>
        <w:t>.</w:t>
      </w:r>
    </w:p>
    <w:p>
      <w:pPr>
        <w:pStyle w:val="Heading4"/>
        <w:numPr>
          <w:ilvl w:val="3"/>
          <w:numId w:val="1"/>
        </w:numPr>
        <w:rPr/>
      </w:pPr>
      <w:bookmarkStart w:id="320" w:name="__RefHeading___Toc5261394_581953129"/>
      <w:bookmarkStart w:id="321" w:name="_Toc125"/>
      <w:bookmarkEnd w:id="320"/>
      <w:r>
        <w:rPr>
          <w:rtl w:val="true"/>
        </w:rPr>
        <w:t>ب</w:t>
      </w:r>
      <w:r>
        <w:rPr>
          <w:rtl w:val="true"/>
        </w:rPr>
        <w:t xml:space="preserve">) </w:t>
      </w:r>
      <w:r>
        <w:rPr>
          <w:rtl w:val="true"/>
        </w:rPr>
        <w:t>آثار دریافت تابعیت، نسبت به فرزندان بزرگسال</w:t>
      </w:r>
      <w:bookmarkEnd w:id="321"/>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تابعیت ایرانی پدر، به‌هیچ‌وجه درباره اولاد او که در تاریخ تقاضانامه به سن هجده‌سال تمام رسیده‌اند، مؤثّر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هیئت وزیران با تقاضانامه پدر شخصی که در هنگام ارائه تقاضانامه، هجده‌سال تمام داشته است، موافقت کند، این موافقت بر روی آن فرزند بزرگسال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صورت فراهم بودن شرایط، طبق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می‌توانند به‌طور مستقل تابعیت ایران را درخواست کرده، یا بر تابعیت خویش باقی بمانند</w:t>
      </w:r>
      <w:r>
        <w:rPr>
          <w:rFonts w:eastAsia="IRNazanin" w:cs="IRNazanin"/>
          <w:color w:val="111111"/>
          <w:sz w:val="28"/>
          <w:szCs w:val="28"/>
          <w:rtl w:val="true"/>
          <w:lang w:bidi="fa-IR"/>
        </w:rPr>
        <w:t>.</w:t>
      </w:r>
      <w:bookmarkStart w:id="322" w:name="pg5888_36097"/>
    </w:p>
    <w:p>
      <w:pPr>
        <w:pStyle w:val="Heading4"/>
        <w:numPr>
          <w:ilvl w:val="3"/>
          <w:numId w:val="1"/>
        </w:numPr>
        <w:rPr/>
      </w:pPr>
      <w:bookmarkStart w:id="323" w:name="__RefHeading___Toc5261396_581953129"/>
      <w:bookmarkStart w:id="324" w:name="_Toc126"/>
      <w:bookmarkEnd w:id="322"/>
      <w:bookmarkEnd w:id="323"/>
      <w:r>
        <w:rPr>
          <w:rtl w:val="true"/>
        </w:rPr>
        <w:t>ج</w:t>
      </w:r>
      <w:r>
        <w:rPr>
          <w:rtl w:val="true"/>
        </w:rPr>
        <w:t xml:space="preserve">) </w:t>
      </w:r>
      <w:r>
        <w:rPr>
          <w:rtl w:val="true"/>
        </w:rPr>
        <w:t>آثار دریافت تابعیت، نسبت به زن</w:t>
      </w:r>
      <w:bookmarkEnd w:id="324"/>
    </w:p>
    <w:p>
      <w:pPr>
        <w:pStyle w:val="BookText"/>
        <w:rPr/>
      </w:pPr>
      <w:r>
        <w:rPr>
          <w:rFonts w:ascii="IRNazanin" w:hAnsi="IRNazanin" w:eastAsia="IRNazanin"/>
          <w:color w:val="111111"/>
          <w:sz w:val="28"/>
          <w:sz w:val="28"/>
          <w:szCs w:val="28"/>
          <w:rtl w:val="true"/>
          <w:lang w:bidi="fa-IR"/>
        </w:rPr>
        <w:t xml:space="preserve">همسر شخصی که تابعیت ایران را دریافت کرده است، طبق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ایرانی شناخته می‌شود؛ ولی ازآنجاکه زن برخلاف فرزندان خردسال، دارای توان و تدبیر لازم برای زندگی است و شخصیتی مستقل از شوهر دارد، می‌تواند تا یک‌سال از تاریخ صدور سند تابعیت شوهر، درخواست کتبی خود را به وزارت امور خارجه ارائه داده، به تابعیت سابق خود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حکمی به این دلیل است که قانون ایران نخواسته زن خارجی را بدون حقّ انتخاب و فقط به سبب پیروی از شوهر،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وی اجازه داده است تا در طول زمانی معین به تابعیت پیشین خود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ماده، زن می‌تواند به تابعیت سابق زوج خود باز گردد؛ ولی اگر بخواهد به تابعیت اصلی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تابعیت سابق شوهرش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قانون در این مورد تکلیفی تعیین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نکته مهم در مورد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اصل شناسایی حق انتخاب تابعیت به‌وسیله زن باشد؛ اینکه او تابعیت چه دولتی را انتخاب می‌کند، یک امر ثانوی است و نباید از سوی دولت ایران اهمیت اساسی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 وزارت امور خارجه، تصمیم زن را پذیرفته است</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325" w:name="__RefHeading___Toc5261398_581953129"/>
      <w:bookmarkStart w:id="326" w:name="_Toc127"/>
      <w:bookmarkEnd w:id="325"/>
      <w:r>
        <w:rPr>
          <w:rtl w:val="true"/>
        </w:rPr>
        <w:t>د</w:t>
      </w:r>
      <w:r>
        <w:rPr>
          <w:rtl w:val="true"/>
        </w:rPr>
        <w:t xml:space="preserve">) </w:t>
      </w:r>
      <w:r>
        <w:rPr>
          <w:rtl w:val="true"/>
        </w:rPr>
        <w:t xml:space="preserve">آثار دریافت تابعیت ایران، نسبت به خود شخص </w:t>
      </w:r>
      <w:r>
        <w:rPr>
          <w:rtl w:val="true"/>
        </w:rPr>
        <w:t>(</w:t>
      </w:r>
      <w:r>
        <w:rPr>
          <w:rtl w:val="true"/>
        </w:rPr>
        <w:t>حقوق و تکالیف</w:t>
      </w:r>
      <w:r>
        <w:rPr>
          <w:rtl w:val="true"/>
        </w:rPr>
        <w:t>)</w:t>
      </w:r>
      <w:bookmarkEnd w:id="32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با تابعیت ایرانی شخص درخواست‌کننده موافقت شود، وی ایرانی است و همانند دیگر اتباع ایرانی، دارای حقوق و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در محدوده</w:t>
      </w:r>
    </w:p>
    <w:p>
      <w:pPr>
        <w:pStyle w:val="BookText"/>
        <w:rPr/>
      </w:pPr>
      <w:r>
        <w:rPr>
          <w:rFonts w:ascii="IRNazanin" w:hAnsi="IRNazanin" w:eastAsia="IRNazanin"/>
          <w:color w:val="111111"/>
          <w:sz w:val="28"/>
          <w:sz w:val="28"/>
          <w:szCs w:val="28"/>
          <w:rtl w:val="true"/>
          <w:lang w:bidi="fa-IR"/>
        </w:rPr>
        <w:t>قوانین و مقررات این کشور به کار و زندگی بپردازد و کسی نباید مزاحم 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را در دو موضوع حقوق و تکالیف شخص پذیرفته‌شده،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شخص پذیرفته‌شده به تابعیت ایران</w:t>
      </w:r>
    </w:p>
    <w:p>
      <w:pPr>
        <w:pStyle w:val="BookText"/>
        <w:rPr/>
      </w:pPr>
      <w:r>
        <w:rPr>
          <w:rFonts w:ascii="IRNazanin" w:hAnsi="IRNazanin" w:eastAsia="IRNazanin"/>
          <w:color w:val="111111"/>
          <w:sz w:val="28"/>
          <w:sz w:val="28"/>
          <w:szCs w:val="28"/>
          <w:rtl w:val="true"/>
          <w:lang w:bidi="fa-IR"/>
        </w:rPr>
        <w:t>وقتی شخصی به تابعیت جمهوری اسلامی ایران درمی‌آید، مانند هر ایرانی دیگر، در مقابل حقوقی که کسب کرده است، وظایف و تکالیفی دارد که انجام آن بیانگر علاقه‌مندی وی به این آب و خاک خواهد بود؛ مانند انجام خدمت سربازی؛ زیرا انجام خدمت سربازی، بهترین نشانه ابراز علاقه فرد نسبت به آب و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اطاعت از قوانین و رعایت مقررات کشوری و نیز احترام نسبت به حیثیت و شؤون ملّی ایران موظف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شخص پذیرفته‌شده به تابعیت ایران</w:t>
      </w:r>
    </w:p>
    <w:p>
      <w:pPr>
        <w:pStyle w:val="BookText"/>
        <w:rPr/>
      </w:pPr>
      <w:r>
        <w:rPr>
          <w:rFonts w:ascii="IRNazanin" w:hAnsi="IRNazanin" w:eastAsia="IRNazanin"/>
          <w:color w:val="111111"/>
          <w:sz w:val="28"/>
          <w:sz w:val="28"/>
          <w:szCs w:val="28"/>
          <w:rtl w:val="true"/>
          <w:lang w:bidi="fa-IR"/>
        </w:rPr>
        <w:t>هم‌زمان با دریافت تابعیت ایرانی، شخص پذیرفته‌شده، مانند دیگر ایرانیان از همه حقوقی که ایرانیان از آن برخوردارند،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آغاز ماده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اشخاصی که تابعیت ایرانی کرده‌اند یا بکنند، از کلیه حقوقی که برای ایرانیان مقرّر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برخورداری و بهره‌مندی به‌صورتِ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به‌عبارت‌دیگر، قانون، برخی از حقوق سیاسی را استثنا کرده است که بر اساس ماده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جمهوری و معاونین او؛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عضویت در شورای نگهبان و ریاست قوّه قضائیه؛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کفالت وزارت، استانداری و فرمانداری؛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مجلس شورای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عضویت در شوراهای استان، شهرستان و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در وزارت امور خارجه و نیز احراز هرگونه پست و مأموریت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عالی‌ترین رده فرماندهی در ارتش، سپاه و نیروی انتظامی؛</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پست‌های مهم اطلاعاتی و امنیتی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ایران مانند بسیاری از کشورها راه‌هایی را پیش‌بینی کرده است تا افراد غیر ایرانی بتوانند تابعیت ایران را دریافت کنند؛ ولی باید توجه داشت که کسی که می‌خواهد به تابعیت ایران درآید، باید آن را درخواست کند و نیز اعطای تابعیت، از جمله مزایایی است که دولت به هرکسی که بخواهد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 توجه به ماده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شرایط دریافت تابعیت ایران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اهلیت، شرط اقامت، شرط اخلاقی، شرط مُکنت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قانونی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شرط اهلیت این است که درخواست‌کننده تابعیت ایران، دست کم باید هجده‌سال سن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شرط اقامت این است که دست کم پنج‌سال متوالی یا متناوب در ایران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شرط اخلاقی این است که از خدمت نظام وظیفه فراری نبوده، در هیچ کشوری به جُنحه مهم و یا جنایت غیرسیاسی محکوم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شغل یا درآمد کافی برای تأمین زندگی برخوردار 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هیئت وزیران با درخواست تابعیت وی موافقت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شرایط، دریافت تابعیت ایران دارای تشریفات نیز هست و منظور از آن، تهیه اسناد و مدارک لازم برای دریافت تابعیت و ارائه به مقامات دارای صلاحیت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تابعیت ایران دارای آثار است و آن اینکه فرزندان خردسال و زن شخص به تابعیت ایران پذیرفته می‌شوند؛ ولی دریافت تابعیت پدر نسبت به فرزندان بزرگسال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تبعه جدید، دارای تکالیفی مانند انجام نظام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و احترام به قوانین و مقررات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به تابعیت ایران پذیرفته شده است، مانند هر ایرانی دیگر، از حقوق و مزایایی بهره‌مند است؛ ولی قانون، وی را از به عهده گرفتن شغل‌های مهم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روند دریافت تابعیت ایران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دریافت تابعیت ایران چه شرایطی لازم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اقامت و استثناهای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شرط اخلاقی چیست؟ چرا قانون‌گذار چنین شرطی را پیش‌بینی کرده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مُکنت و شرط قانونی مربوط به دریافت تابعیت ایران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دریافت تابعیت ایران را نسبت به فرزندان خردسال، بزرگسال و همسر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خردسال و همسر چگونه می‌توانند به تابعیت سابق خویش بازگردند؟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و تکالیف شخصی را که تابعیت جدید ایران را پذیرفته است،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تطبیقی دریافت تابعیت ایران و سایر کشورها</w:t>
      </w:r>
    </w:p>
    <w:p>
      <w:pPr>
        <w:pStyle w:val="BookText"/>
        <w:rPr/>
      </w:pPr>
      <w:r>
        <w:rPr>
          <w:rFonts w:ascii="IRNazanin" w:hAnsi="IRNazanin" w:eastAsia="IRNazanin"/>
          <w:color w:val="111111"/>
          <w:sz w:val="28"/>
          <w:sz w:val="28"/>
          <w:szCs w:val="28"/>
          <w:rtl w:val="true"/>
          <w:lang w:bidi="fa-IR"/>
        </w:rPr>
        <w:t>هدف از این پژوهش، آگاهی از قوانین ایران و چند کشور دیگر درباره شرایط و ضوابط دریافت تابعیت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موارد همانندی و ناهمسانی قانون ایران با سایر قوانین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حقوق بین‌الملل خصوصی؛ به‌ویژه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بهشید ارفع‌نیا، حقوق بین‌الملل خصوصی ،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تطبیقی آثار دریافت تابعیت جدید</w:t>
      </w:r>
    </w:p>
    <w:p>
      <w:pPr>
        <w:pStyle w:val="BookText"/>
        <w:rPr/>
      </w:pPr>
      <w:r>
        <w:rPr>
          <w:rFonts w:ascii="IRNazanin" w:hAnsi="IRNazanin" w:eastAsia="IRNazanin"/>
          <w:color w:val="111111"/>
          <w:sz w:val="28"/>
          <w:sz w:val="28"/>
          <w:szCs w:val="28"/>
          <w:rtl w:val="true"/>
          <w:lang w:bidi="fa-IR"/>
        </w:rPr>
        <w:t xml:space="preserve">هدف از این پژوهش این است که قانون ایران و سایر کشورها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دریافت تابعیت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تطبیقی مورد بررسی قرار گیرد و نیز آثار دریافت تابعیت نسبت به فرزندان خردسال، بزرگسال، همسر و خود شخص مورد توجه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مدنی ایران؛</w:t>
      </w:r>
    </w:p>
    <w:p>
      <w:pPr>
        <w:pStyle w:val="BookText"/>
        <w:rPr/>
      </w:pPr>
      <w:r>
        <w:rPr>
          <w:rFonts w:ascii="IRNazanin" w:hAnsi="IRNazanin" w:eastAsia="IRNazanin"/>
          <w:color w:val="111111"/>
          <w:sz w:val="28"/>
          <w:sz w:val="28"/>
          <w:szCs w:val="28"/>
          <w:rtl w:val="true"/>
          <w:lang w:bidi="fa-IR"/>
        </w:rPr>
        <w:t>قانون سایر کشورها؛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حقوق بین‌الملل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دریافت تابعیت ایران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هجده سال تمام؛ اقامت پنج‌سال به‌صورتِ متوالی در ایران؛ درخواست دریافت تابعیت ایران؛ فراری از خدمت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هجده سال تمام؛ اقامت پنج‌سال به‌صورتِ متناوب در ایران؛ در هیچ کشوری به جُنحه مهم یا جنایت سیاسی محکوم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اقامت پنج‌سال متناوب و یا متوالی در ایران؛ فراری از خدمت نظامی نباشد؛ محکوم نشدن به جُنحه مهم یا جنایت غیرسیاسی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هجده سال تمام؛ اقامت پنج‌سال متناوب یا متوالی در ایران؛ فراری از خدمت نظامی نباشد؛ عدم محکومیت به جُنحه مهم یا جنایت غیرسیاسی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اشخاص زیر از شرط اقامت برای دریافت تابعیت ایران معاف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دارای زن ایرانی‌اند و از او فرزند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خارج برای خدمت به دولت ایران اقامت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امور مربوط به منافع عمومی، خدمت یا کمک شایانی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مبدأ آثار پذیرش به تابعیت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تقاضانامه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قبول هیئت وزیران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صدور سند تابعیت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خروج از تابعیت قبلی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اشخاصی که خود یا پدرشان تبعه ایران بوده‌اند و می‌خواهند به تابعیت ایران</w:t>
      </w:r>
    </w:p>
    <w:p>
      <w:pPr>
        <w:pStyle w:val="BookText"/>
        <w:rPr/>
      </w:pPr>
      <w:r>
        <w:rPr>
          <w:rFonts w:ascii="IRNazanin" w:hAnsi="IRNazanin" w:eastAsia="IRNazanin"/>
          <w:color w:val="111111"/>
          <w:sz w:val="28"/>
          <w:sz w:val="28"/>
          <w:szCs w:val="28"/>
          <w:rtl w:val="true"/>
          <w:lang w:bidi="fa-IR"/>
        </w:rPr>
        <w:t xml:space="preserve">بازگشت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درخواست، به تابعیت ایران پذیرفته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درخواست، به تابعیت ایران پذیرفته خواهند شد؛ مگر آنکه دولت، تابعیت آنها را صلاح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از تاریخ صدور سند تابعیت پدر می‌توانند درخواست کتبی خود را به وزارت امور خارجه ارائه داده، به تابعیت ایران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رعایت شرط اقامت، ممکن است با تصویب هیئت وزیران به تابعیت ایران پذیرفته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 تابعیت ایران، چه تأثیری در تابعیت افراد خانواده شخص پذیرفته شده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خانواده شخص پذیرفته شده، به تابعیت ایران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همسر شخص پذیرفته شده، به تابعیت ایران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فرزندان شخص پذیرفته شده، به تابعیت ایران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بعضی از فرزندان شخص پذیرفته شده، به تابعیت ایران درمی‌آیند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تابعیت کسی که در ایران از پدر و مادر خارجی متولّد شده، ایرانی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اجازه دولت،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پدر و مادر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اهلیت خارجیان برای دریافت تابعیت ایران، تابع قانون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متبوع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درخواست کننده تابعیت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اشخاصی که تابعیت ایران را به دست آورند، می‌توانند 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شورای نگهبان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در وزارت فرهنگ و آموزش عالی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مجلس شورای اسلامی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خارجی که مطابق مقررات قانونی، تابعیت ایران را به دست می‌آورد، از کدام حقوق بهره‌مند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مخصوصه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غیرسیاسی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احوال شخصیه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حقوق عمومی سیاسی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دریافت تابعیت ایران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دریافت تابعیت ایران شامل چه کسانی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تابعیت ایران اثر تبعی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همسر شخص پذیرفته شده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 خردسال شخص پذیرفته شده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کدام‌یک از افراد زیر دارای تابعیت اصلی ایران هستند؟ کسی که از پدر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بیگانه، که یکی از آن دو در ایران متولّد شده باشد، به‌وجود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نامعلوم در ایران متولّد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گزینه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تابعیت ایران را دریافت می‌کنند،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حقوقی که برای ایرانیان وجود دارد،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حقوقی که برای خارجیان وجود دارد،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حقوق برای همیشه محروم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حقوقی، حتی آنچه برای خارجیان وجود دارد، بهره‌مند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خارجی و مادر ایرانی در ایران متولّد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مشروط بر اینکه دولت ایران آن را بپذیرد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مشروط بر اینکه یکی از پدر و مادر در ایران متولّد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شرط جزو شرایط لازم برای کسب تابعیت ایرانی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هجده سال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خدمت نظام وظیفه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اقامت متوالی یا متناوب ایران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نشدن به جُنحه مهم یا جرایم غیرسیاسی در خارج از کشور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غیر ایرانی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او تابعیت ایران را دریافت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شوهر خود به تابعیت دولت ایران شناخته می‌شود، می‌تواند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کتبی خود را به وزارت امور خارجه داده، تابعیت مملکت سابق شوهر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پس از تاریخ طلاق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پس از تاریخ فوت شوهر ایرانی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پس از تاریخ صدور سند تابعیت شوهر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پس از تاریخ صدور سند تابعیت شوهر</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ایرانی بی‌شوهری که موافق مقررات، تبدیل تابعیت کرده و پس از دریافت تابعیت خارجی با مرد بیگانه‌ای ازدواج کرده است، اگر بخواهد به تابعیت اصلیه خود رجوع کند،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طلاق یا فوت شوهر خارجی، به تابعیت ایران پذیرفته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درخواست، به تابعیت ایران پذیرفته خواهد شد؛ مگر آنکه دولت، تابعیت او را صلاح نداند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از تاریخ طلاق به تابعیت ایران پذیرفته خواهد شد؛ مگر آنکه</w:t>
      </w:r>
    </w:p>
    <w:p>
      <w:pPr>
        <w:pStyle w:val="BookText"/>
        <w:rPr/>
      </w:pPr>
      <w:r>
        <w:rPr>
          <w:rFonts w:ascii="IRNazanin" w:hAnsi="IRNazanin" w:eastAsia="IRNazanin"/>
          <w:color w:val="111111"/>
          <w:sz w:val="28"/>
          <w:sz w:val="28"/>
          <w:szCs w:val="28"/>
          <w:rtl w:val="true"/>
          <w:lang w:bidi="fa-IR"/>
        </w:rPr>
        <w:t>دولت خارجی رجوع او را اجازه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پس از تاریخ فوت شوهرِ خارجی، به تابعیت ایران پذیرفته خواهد شد؛ مگر آنکه دولت، تابعیت او را صلاح نداند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گزینه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خارج از ایران به دنیا آمده و فقط مادرشان ایرانی است، به‌یقین تبعه ایران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ایران از پدری که تبعه خارجه است به دنیا آمده و بدون فاصله پس از رسیدن به سن هجده سال تمام، یک‌سال دیگر در ایران اقامت کرده باشند، تبعه ایران به‌شمار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ایران به دنیا آمده‌اند، از آغاز تولّد، تبعه ایران به‌شمار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ایران به دنیا آمده و مادرشان ایرانی است، به‌یقین تبعه ایران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خارجی که به پیروی از پدر خود تابعیت ایران را دریافت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تابعیت کشور سابق پدر را قبول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تقاضای کتبی و موافقت هیئت وزیران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تقاضای کتبی و موافقت کشور سابق پدر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پس از تاریخ دریافت تابعیت پدر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پس از تاریخ رسیدن به هجده سال تمام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به تابعیت ایران، به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 مجلس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 وزارت کشور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هجده سال تمام، از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سراسری</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تابعیت ایران و ردّ تابعیت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تابعیت ایران و ردّ تابعیت ایران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تابعیت ایران و دریافت تابعیت ایران در اثر ازدواج</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تابعیت ایران برای زن خارجی که شوهر او به تابعیت ایران پذیرفته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تابعیت ایران را کسب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حقوقی که برای ایرانیان است، بهره‌مند می‌شود؛ مگر نایل آمدن به برخی از مقامات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حقوقی مدنی و عمومی، مانند بیگانگان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حقوقی که برای ایرانیان است، افزون بر رفت‌وآمد آزاد به کشور متبوع پیشین خود بهره‌مند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حقوقی که برای بیگانگان است، افزون بر نایل آمدن به برخی از مقامات خاص بهره‌مند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که تابعیت ایران را کسب کرده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انتخابات ریاست جمهوری شرکت کرده، رأی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انتخابات ریاست جمهوری شرکت کرده، رئیس جمهور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است و از لحاظ حقوق عمومی و انتخابات هیچ منعی ندارد و می‌تواند رئیس جمهور هم بشود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جرم مهمی بشود، تابعیت ایران از او سلب خواهد شد</w:t>
      </w:r>
      <w:r>
        <w:rPr>
          <w:rFonts w:eastAsia="IRNazanin" w:cs="IRNazanin"/>
          <w:color w:val="111111"/>
          <w:sz w:val="28"/>
          <w:szCs w:val="28"/>
          <w:rtl w:val="true"/>
          <w:lang w:bidi="fa-IR"/>
        </w:rPr>
        <w:t>.</w:t>
      </w:r>
      <w:bookmarkStart w:id="327" w:name="pg5888_36112"/>
    </w:p>
    <w:p>
      <w:pPr>
        <w:pStyle w:val="Heading2"/>
        <w:numPr>
          <w:ilvl w:val="1"/>
          <w:numId w:val="1"/>
        </w:numPr>
        <w:rPr/>
      </w:pPr>
      <w:bookmarkStart w:id="328" w:name="__RefHeading___Toc5261400_581953129"/>
      <w:bookmarkStart w:id="329" w:name="_Toc128"/>
      <w:bookmarkEnd w:id="327"/>
      <w:bookmarkEnd w:id="328"/>
      <w:r>
        <w:rPr/>
        <w:t>8</w:t>
      </w:r>
      <w:r>
        <w:rPr>
          <w:rtl w:val="true"/>
        </w:rPr>
        <w:t xml:space="preserve"> - </w:t>
      </w:r>
      <w:r>
        <w:rPr>
          <w:rtl w:val="true"/>
        </w:rPr>
        <w:t>از دست دادن تابعیت</w:t>
      </w:r>
      <w:bookmarkEnd w:id="329"/>
    </w:p>
    <w:p>
      <w:pPr>
        <w:pStyle w:val="Heading3"/>
        <w:numPr>
          <w:ilvl w:val="2"/>
          <w:numId w:val="1"/>
        </w:numPr>
        <w:rPr/>
      </w:pPr>
      <w:bookmarkStart w:id="330" w:name="__RefHeading___Toc5261402_581953129"/>
      <w:bookmarkStart w:id="331" w:name="_Toc129"/>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راه‌های گوناگون ترک تابعیت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شرایط ماهوی ترک تابعیت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شرایط صوری ترک تابعیت ایران؛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پیامدهای ترک تابعیت ایران که بدون اجازه دولت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گذشته دولت‌ها کمتر اجازه می‌دادند کسی تابعیت خود را ترک کند؛ امّا امروزه این اندیشه پذیرفته شده است؛ چراکه امکان دارد فرد برای تغییر تابعیت و از دست دادن تابعیت کنونی خود دلایل موجهی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یک دولت بهتر آن است که افراد به آب و خاک و تابعیت خود علاقه‌مند باشند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بااین‌وجود، دولت‌ها حق خود می‌دانند که همچون پذیرش تابعیت، از درخواست ترک تابعیت خودداری کنند و یا برای آن شرایطی قائل شوند؛ برای نمونه، دولت می‌تواند درخواست ترک تابعیت را به زمان یا سن معینی موکول کند؛ مانند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پذیرش ترک تابعیت از نظر قانون ایران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نظر قانون فرانسه</w:t>
      </w:r>
      <w:r>
        <w:rPr>
          <w:rFonts w:eastAsia="IRNazanin" w:cs="IRNazanin"/>
          <w:color w:val="111111"/>
          <w:sz w:val="28"/>
          <w:szCs w:val="28"/>
          <w:rtl w:val="true"/>
          <w:lang w:bidi="fa-IR"/>
        </w:rPr>
        <w:t>.</w:t>
      </w:r>
      <w:bookmarkStart w:id="332" w:name="pg5888_36113"/>
    </w:p>
    <w:p>
      <w:pPr>
        <w:pStyle w:val="BookText"/>
        <w:rPr/>
      </w:pPr>
      <w:bookmarkEnd w:id="332"/>
      <w:r>
        <w:rPr>
          <w:rFonts w:ascii="IRNazanin" w:hAnsi="IRNazanin" w:eastAsia="IRNazanin"/>
          <w:color w:val="111111"/>
          <w:sz w:val="28"/>
          <w:sz w:val="28"/>
          <w:szCs w:val="28"/>
          <w:rtl w:val="true"/>
          <w:lang w:bidi="fa-IR"/>
        </w:rPr>
        <w:t>ازآنجاکه هر شخص بر اساس تابعیت خویش، وظایفی مانند انجام خدمت نظام وظیفه و سایر تعهدات را بر عهده دارد، ممکن است دولت ترک تابعیت را به انجام این گونه تعهدات منوط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ممکن است دولت با افزایش دائمی تقاضای ترک تابعیت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دولت می‌تواند به‌طور کلّی ترک تابعیت را ممنوع کند و یا شرایط دیگری مانند اجازه مقامات رسمی دولت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افراد با وجود شرط اجازه دولت، به آن توجهی نکنند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دراین شرایط احتمال دارد ترک تابعیت از دو راه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تابعیت قانونی و غیرقانونی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ابتدا راه‌های از دست دادن تابعیت و سپس ترک تابعیت قانونی و غیرقانونی را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333" w:name="__RefHeading___Toc5261404_581953129"/>
      <w:bookmarkStart w:id="334" w:name="_Toc130"/>
      <w:bookmarkEnd w:id="333"/>
      <w:r>
        <w:rPr/>
        <w:t>1</w:t>
      </w:r>
      <w:r>
        <w:rPr>
          <w:rtl w:val="true"/>
        </w:rPr>
        <w:t xml:space="preserve">- </w:t>
      </w:r>
      <w:r>
        <w:rPr>
          <w:rtl w:val="true"/>
        </w:rPr>
        <w:t>راه های از دست دادن تابعیت</w:t>
      </w:r>
      <w:bookmarkEnd w:id="334"/>
    </w:p>
    <w:p>
      <w:pPr>
        <w:pStyle w:val="Heading4"/>
        <w:numPr>
          <w:ilvl w:val="3"/>
          <w:numId w:val="1"/>
        </w:numPr>
        <w:rPr/>
      </w:pPr>
      <w:bookmarkStart w:id="335" w:name="__RefHeading___Toc5261406_581953129"/>
      <w:bookmarkStart w:id="336" w:name="_Toc131"/>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از دست دادن تابعیت از راه‌های گوناگونی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مهم‌ترین آنها اشاره می‌شود</w:t>
      </w:r>
      <w:r>
        <w:rPr>
          <w:rFonts w:eastAsia="IRNazanin" w:cs="IRNazanin"/>
          <w:color w:val="111111"/>
          <w:sz w:val="28"/>
          <w:szCs w:val="28"/>
          <w:rtl w:val="true"/>
          <w:lang w:bidi="fa-IR"/>
        </w:rPr>
        <w:t>:</w:t>
      </w:r>
    </w:p>
    <w:p>
      <w:pPr>
        <w:pStyle w:val="Heading4"/>
        <w:numPr>
          <w:ilvl w:val="3"/>
          <w:numId w:val="1"/>
        </w:numPr>
        <w:rPr/>
      </w:pPr>
      <w:bookmarkStart w:id="337" w:name="__RefHeading___Toc5261408_581953129"/>
      <w:bookmarkStart w:id="338" w:name="_Toc132"/>
      <w:bookmarkEnd w:id="337"/>
      <w:r>
        <w:rPr>
          <w:rtl w:val="true"/>
        </w:rPr>
        <w:t>الف</w:t>
      </w:r>
      <w:r>
        <w:rPr>
          <w:rtl w:val="true"/>
        </w:rPr>
        <w:t xml:space="preserve">) </w:t>
      </w:r>
      <w:r>
        <w:rPr>
          <w:rtl w:val="true"/>
        </w:rPr>
        <w:t>جدا شدن بخشی از خاک یک کشور</w:t>
      </w:r>
      <w:bookmarkEnd w:id="33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 همان ترتیب که به دریافت یا تحمیل تابعیت تابعیت جدیدی برای ساکنان آن منطقه می‌انجامد، بی‌گمان ترک تابعیت قبلی را نیز در پی خواهد داشت، تا بدین‌وسیله از یک سو تابعیت دوگانه ایجاد نشود و از سوی دیگر، موضوع انتقال آن بخش از خاک کشور به خاک کشور دیگر، به‌طور کامل و قطعی صورت گیرد</w:t>
      </w:r>
      <w:r>
        <w:rPr>
          <w:rFonts w:eastAsia="IRNazanin" w:cs="IRNazanin"/>
          <w:color w:val="111111"/>
          <w:sz w:val="28"/>
          <w:szCs w:val="28"/>
          <w:rtl w:val="true"/>
          <w:lang w:bidi="fa-IR"/>
        </w:rPr>
        <w:t>.</w:t>
      </w:r>
      <w:bookmarkStart w:id="339" w:name="pg5888_36114"/>
    </w:p>
    <w:p>
      <w:pPr>
        <w:pStyle w:val="Heading4"/>
        <w:numPr>
          <w:ilvl w:val="3"/>
          <w:numId w:val="1"/>
        </w:numPr>
        <w:rPr/>
      </w:pPr>
      <w:bookmarkStart w:id="340" w:name="__RefHeading___Toc5261410_581953129"/>
      <w:bookmarkStart w:id="341" w:name="_Toc133"/>
      <w:bookmarkEnd w:id="339"/>
      <w:bookmarkEnd w:id="340"/>
      <w:r>
        <w:rPr>
          <w:rtl w:val="true"/>
        </w:rPr>
        <w:t>ب</w:t>
      </w:r>
      <w:r>
        <w:rPr>
          <w:rtl w:val="true"/>
        </w:rPr>
        <w:t xml:space="preserve">) </w:t>
      </w:r>
      <w:r>
        <w:rPr>
          <w:rtl w:val="true"/>
        </w:rPr>
        <w:t xml:space="preserve">از دست دادن تابعیت در اثر مجازات </w:t>
      </w:r>
      <w:r>
        <w:rPr>
          <w:rtl w:val="true"/>
        </w:rPr>
        <w:t>(</w:t>
      </w:r>
      <w:r>
        <w:rPr>
          <w:rtl w:val="true"/>
        </w:rPr>
        <w:t>سلب تابعیت</w:t>
      </w:r>
      <w:r>
        <w:rPr>
          <w:rtl w:val="true"/>
        </w:rPr>
        <w:t>)</w:t>
      </w:r>
      <w:bookmarkEnd w:id="341"/>
    </w:p>
    <w:p>
      <w:pPr>
        <w:pStyle w:val="BookText"/>
        <w:rPr/>
      </w:pPr>
      <w:r>
        <w:rPr>
          <w:rFonts w:ascii="IRNazanin" w:hAnsi="IRNazanin" w:eastAsia="IRNazanin"/>
          <w:color w:val="111111"/>
          <w:sz w:val="28"/>
          <w:sz w:val="28"/>
          <w:szCs w:val="28"/>
          <w:rtl w:val="true"/>
          <w:lang w:bidi="fa-IR"/>
        </w:rPr>
        <w:t>گاهی تابعیت فرد به سبب مجازات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بخش بی‌تابعیتی توضیح داده شد، هنگامی که تابعیت اصلی باشد، مورد پذیرش و تأیید کشورهای دیگر و مراجع بین‌المللی نخواهد بود؛ مگر اینکه به علت پناهندگی یا مهاجرت و مانند آن باشد؛ امّا در صورتی که تابعیت اکتسابی باشد، به‌ویژه هنگامی که همه شرایط اکتساب تابعیت رعایت نشده باشد، اشکالی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جنگ جهانی اول، درباره جرایمی که بیانگر عدم وفاداری و صداقت نسبت به شؤون ملّی و رژیم کشور است، مجازات سلب تابعیت مطرح شد؛ برای نمونه، در قانون تابعیت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شده در اکتبر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مواردی از سلب تابعیت به‌عنوان مجازات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قانون تابعیت کشورهای آمریکای شمالی، محکومیت به دلیل خودداری از خدمت در ارتش یا نیروی دریایی آمریکا در زمان جنگ، موجب از دست دادن تابعیت آن کشور می‌شود؛ همچنین است ایراد سوگند وفاداری نسبت به یک کشور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کشورهای دیگر، مانند آلمان و اتریش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جنگ جهانی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کسانی که مخالف رژیم شمرده می‌شدند، مجازات سلب تابعیت مقرر شده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تلاشی که برای نفی این گونه مجازات‌ها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جلوگیری از پیدایش افراد آپاترید و بدون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مسیر تکامل حوادث، برخلاف آن بوده است؛ چنان‌که در سال‌های اخیر، قوانین برای سلب یا خلع تابعیت وضع و تدوین شده است</w:t>
      </w:r>
      <w:r>
        <w:rPr>
          <w:rFonts w:eastAsia="IRNazanin" w:cs="IRNazanin"/>
          <w:color w:val="111111"/>
          <w:sz w:val="28"/>
          <w:szCs w:val="28"/>
          <w:rtl w:val="true"/>
          <w:lang w:bidi="fa-IR"/>
        </w:rPr>
        <w:t>.</w:t>
      </w:r>
      <w:r>
        <w:rPr>
          <w:rStyle w:val="FootnoteAnchor"/>
          <w:rtl w:val="true"/>
        </w:rPr>
        <w:footnoteReference w:id="220"/>
      </w:r>
      <w:bookmarkStart w:id="342" w:name="pg5888_36115"/>
    </w:p>
    <w:p>
      <w:pPr>
        <w:pStyle w:val="BookText"/>
        <w:rPr/>
      </w:pPr>
      <w:bookmarkEnd w:id="342"/>
      <w:r>
        <w:rPr>
          <w:rFonts w:ascii="IRNazanin" w:hAnsi="IRNazanin" w:eastAsia="IRNazanin"/>
          <w:color w:val="111111"/>
          <w:sz w:val="28"/>
          <w:sz w:val="28"/>
          <w:szCs w:val="28"/>
          <w:rtl w:val="true"/>
          <w:lang w:bidi="fa-IR"/>
        </w:rPr>
        <w:t xml:space="preserve">در ایران نیز تا پیش از نظام جمهوری اسلامی، برابر ماده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مجازات سلب تابعیت پیش‌بینی شده بود؛ امّا با تصویب قانون اساسی جمهوری اسلامی ایران، این ماده با اصول چهل‌ویکم و چهل‌ودوّم قانون اساسی در تعارض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گام نخست، به موجب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موادی از 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تصویب شده در هشتم دی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کمیسیون امور قضایی مجلس شورای اسلامی که به تأیید شورای نگهبان رسیده بود، به‌طور موقّت و سپس به موجب همان قانون، که در چهاردهم آبان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در مجلس شورای اسلامی به تصویب رسید، برای همیشه حذف شد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343" w:name="__RefHeading___Toc5261412_581953129"/>
      <w:bookmarkStart w:id="344" w:name="_Toc134"/>
      <w:bookmarkEnd w:id="343"/>
      <w:r>
        <w:rPr>
          <w:rtl w:val="true"/>
        </w:rPr>
        <w:t>ج</w:t>
      </w:r>
      <w:r>
        <w:rPr>
          <w:rtl w:val="true"/>
        </w:rPr>
        <w:t xml:space="preserve">) </w:t>
      </w:r>
      <w:r>
        <w:rPr>
          <w:rtl w:val="true"/>
        </w:rPr>
        <w:t>از دست دادن تابعیت در اثر ازدواج</w:t>
      </w:r>
      <w:bookmarkEnd w:id="344"/>
    </w:p>
    <w:p>
      <w:pPr>
        <w:pStyle w:val="BookText"/>
        <w:rPr/>
      </w:pPr>
      <w:r>
        <w:rPr>
          <w:rFonts w:ascii="IRNazanin" w:hAnsi="IRNazanin" w:eastAsia="IRNazanin"/>
          <w:color w:val="111111"/>
          <w:sz w:val="28"/>
          <w:sz w:val="28"/>
          <w:szCs w:val="28"/>
          <w:rtl w:val="true"/>
          <w:lang w:bidi="fa-IR"/>
        </w:rPr>
        <w:t xml:space="preserve">در بیشتر مواردی که زن با ازدواج، تابعیت همسرخود را به دست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اثر تحمیل تابعیت شوهر یا تمایل خود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قبلی خود را از دست می‌دهد؛ مگر اینکه دولت مورد تابعیت، تابعیت اصلی وی را سلب نکند و زن ترک تابعیت نخستین خود را درخواست نکند، که دراین‌صورت، تابعیت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به‌وجود خواهد آمد؛ برای نمونه،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ایرانی که با تبعه خارجه مزاوجت می‌کند، به تابعیت ایرانی خود باقی خواهد ماند؛ مگر اینکه مطابق قانون مملکت زوج، تابعیت شوهر به واسطه وقوع عقد ازدواج به زوجه تحمیل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تابعیت زن ایرانی را در صورتی باقی می‌داند که تابعیت شوهر بر زن تحمیل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مخالف این ماده آن است که در صورت تحمیل تابعیت شوهر، تابعیت ایرانی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w:t>
      </w:r>
      <w:bookmarkStart w:id="345" w:name="pg5888_36116"/>
    </w:p>
    <w:p>
      <w:pPr>
        <w:pStyle w:val="BookText"/>
        <w:rPr/>
      </w:pPr>
      <w:bookmarkEnd w:id="345"/>
      <w:r>
        <w:rPr>
          <w:rFonts w:ascii="IRNazanin" w:hAnsi="IRNazanin" w:eastAsia="IRNazanin"/>
          <w:color w:val="111111"/>
          <w:sz w:val="28"/>
          <w:sz w:val="28"/>
          <w:szCs w:val="28"/>
          <w:rtl w:val="true"/>
          <w:lang w:bidi="fa-IR"/>
        </w:rPr>
        <w:t>در فرانسه، آمریکا و نیز برابر قانون جدید آلمان، در چنین حالتی فقط با درخواست خود زن ممکن است که او از تابعیت کشورهای یادشده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یادشده مانند نمونه‌ای است که در تبصره یکم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قانون تابعیت مملکت زوج، زن را بین حفظ تابعیت اصلی و تابعیت زوج مخیر بگذارد، در این مورد، زن ایرانی که بخواهد تابعیت مملکت زوج را دارا شود و علل موجهی هم برای تقاضای خود در دست داشته باشد، به شرط تقدیم تقاضانامه کتبی به وزارت امور خارجه، ممکن است با تقاضای او موافقت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هرگاه در چنین مواردی زن از اختیار قانونی خود استفاده کند و خروج از تابعیت اصلی خود را درخواست کند، دولت متبوع وی با این درخواست موافقت می‌کند و او تابعیت خود را از دست می‌دهد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346" w:name="__RefHeading___Toc5261414_581953129"/>
      <w:bookmarkStart w:id="347" w:name="_Toc135"/>
      <w:bookmarkEnd w:id="346"/>
      <w:r>
        <w:rPr>
          <w:rtl w:val="true"/>
        </w:rPr>
        <w:t>د</w:t>
      </w:r>
      <w:r>
        <w:rPr>
          <w:rtl w:val="true"/>
        </w:rPr>
        <w:t xml:space="preserve">) </w:t>
      </w:r>
      <w:r>
        <w:rPr>
          <w:rtl w:val="true"/>
        </w:rPr>
        <w:t>ترک تابعیت در اثر تقاضای خودِ شخص</w:t>
      </w:r>
      <w:bookmarkEnd w:id="347"/>
    </w:p>
    <w:p>
      <w:pPr>
        <w:pStyle w:val="BookText"/>
        <w:rPr/>
      </w:pP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دیدگاه برخی که تابعیت را نوعی عقد دانسته، می‌گویند این عقد می‌تواند از یک سو جایز و از سوی دیگر، لازم باشد، تابعیت، عقد نیست؛ بلکه اعطا یا سلب آن به نظر دولت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ایران با توجه به اصل احترام به آزادی افراد، ترک تابعیت را جایز دانسته است؛ امّا برای جلوگیری از سوء استفاده از آن، شرایط نسبتاً دشواری را برای آن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سخت‌گیری قانون برای ترک تابعیت، پیامد دو علت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آنکه قانون‌گذار خواسته نسبت به شیوه تأسف‌بار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لغو</w:t>
      </w:r>
      <w:bookmarkStart w:id="348" w:name="pg5888_36117"/>
    </w:p>
    <w:p>
      <w:pPr>
        <w:pStyle w:val="BookText"/>
        <w:rPr/>
      </w:pPr>
      <w:bookmarkEnd w:id="348"/>
      <w:r>
        <w:rPr>
          <w:rFonts w:ascii="IRNazanin" w:hAnsi="IRNazanin" w:eastAsia="IRNazanin"/>
          <w:color w:val="111111"/>
          <w:sz w:val="28"/>
          <w:sz w:val="28"/>
          <w:szCs w:val="28"/>
          <w:rtl w:val="true"/>
          <w:lang w:bidi="fa-IR"/>
        </w:rPr>
        <w:t>رژیم کاپیتولاسیون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نشان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پیش از لغو کاپیتولاسیون، ترک تابعیت رواج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می‌خواستند از مزایای اتباع بیگانه برخوردار شوند، تابعیت ایران را ترک کرده، به سادگی تابعیت کشور دیگری مانند انگلیس و روسیه را به دست می‌آوردند و نسبت به هم‌وطنان خود ظلم و ستم روا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پیشینه از بین برود، قانون‌گذار برخی سخت‌گیری‌ها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سخت‌گیری قانون‌گذار این است که مبادا افرادی بدون تدبیر و اندیشه و فقط به سبب هوا و هوس، به ترک تابعیت ایران مبادرت کنند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349" w:name="__RefHeading___Toc5261416_581953129"/>
      <w:bookmarkStart w:id="350" w:name="_Toc136"/>
      <w:bookmarkEnd w:id="349"/>
      <w:r>
        <w:rPr>
          <w:rtl w:val="true"/>
        </w:rPr>
        <w:t>ه</w:t>
      </w:r>
      <w:r>
        <w:rPr>
          <w:rtl w:val="true"/>
        </w:rPr>
        <w:t xml:space="preserve">) </w:t>
      </w:r>
      <w:r>
        <w:rPr>
          <w:rtl w:val="true"/>
        </w:rPr>
        <w:t>ردّ تابعیت ایران</w:t>
      </w:r>
      <w:bookmarkEnd w:id="350"/>
    </w:p>
    <w:p>
      <w:pPr>
        <w:pStyle w:val="BookText"/>
        <w:rPr/>
      </w:pPr>
      <w:r>
        <w:rPr>
          <w:rFonts w:ascii="IRNazanin" w:hAnsi="IRNazanin" w:eastAsia="IRNazanin"/>
          <w:color w:val="111111"/>
          <w:sz w:val="28"/>
          <w:sz w:val="28"/>
          <w:szCs w:val="28"/>
          <w:rtl w:val="true"/>
          <w:lang w:bidi="fa-IR"/>
        </w:rPr>
        <w:t>ردّ تابعیت ایران نیز یکی از راه‌های از دست دادن تابعیت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دارای حالت‌های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خردسال کسی که به تابعیت ایران پذیرفته شده است، حق دارند که با رعایت شرایط موجود در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تا یک‌سال پس از رسیدن به سن هجده سال تمام، ردّ تابعیت ایران و پذیرش تابعیت گذشته پدر خود را درخواست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شخص پذیرفته شده به تابعیت ایران نیز می‌تواند تا یک‌سال پس از تاریخ صدور سند تابعیت شوهر، درخواست کتبی خود به وزارت امور خارجه ارائه داده، تابعیت ایران را 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بند چهارم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ایران از پدر و مادر خارجی که یکی از آنها در ایران متولّد شده است، به‌وجود آمده‌اند، تبعه</w:t>
      </w:r>
    </w:p>
    <w:p>
      <w:pPr>
        <w:pStyle w:val="BookText"/>
        <w:rPr/>
      </w:pPr>
      <w:r>
        <w:rPr>
          <w:rFonts w:ascii="IRNazanin" w:hAnsi="IRNazanin" w:eastAsia="IRNazanin"/>
          <w:color w:val="111111"/>
          <w:sz w:val="28"/>
          <w:sz w:val="28"/>
          <w:szCs w:val="28"/>
          <w:rtl w:val="true"/>
          <w:lang w:bidi="fa-IR"/>
        </w:rPr>
        <w:t>ایران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بااین‌حال، بر اساس بند الف ماده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افراد بخواهند تابعیت پدر خود را بپذیرند، باید تا یک‌سال درخواست کتبی خود را به پیوست تأیید دولت متبوع پدرشان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بر اینکه آنها را به تابعیت خود خواهد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امور خارجه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گروه نیز می‌توانند در فرصت قانونی ردّ تابعیت کرده، بدین‌وسیله تابعیت ایرانی خود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که در بحث ردّ تابعیت، به‌ویژه در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فوق مشاهده می‌شود این است که پیوند فرد با دولت، از استحکام و استوار چندانی برخوردار نبوده است؛ ازاین‌رو، قانون‌گذار تا زمان معینی اجازه ردّ تابعیت را به فرد داده است؛ امّا ترک تابعیت نسبت به دارندگان تابعیت اصلی یا اکتسابی به‌صورتی است که وابستگی آنان به دولت، از استحکام و اصالت بیشتری برخوردار بوده و تابعیت آنان امری قطعی به‌شمار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این افراد هم حق ترک تابعیت دارند و در صورت به‌دست‌آوردن شرایط لازم می‌توانند از تابعیت این دولت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پیش‌تر گفته شد، گاهی ترک تابعیت ایران به‌صورتِ قانونی انجام می‌شود و آن هنگامی است که درخواست‌کننده ترک تابعیت، از همه تمام شرایط قانونی برخوردار باشد و دولت نیز با ترک تابعیت وی موافقت کند و گاهی ترک تابعیت ایران غیرقانونی است و آن در مواردی است که تبعه ایرانی بدون رعایت مقررات قانونی، تابعیت خارجی را به‌دست آورده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گفتار، ابتدا شرایط ترک تابعیت قانونی ایران و سپس ترک تابعیت ایران بدون رعایت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w:t>
      </w:r>
      <w:r>
        <w:rPr>
          <w:rFonts w:eastAsia="IRNazanin" w:cs="IRNazanin"/>
          <w:color w:val="111111"/>
          <w:sz w:val="28"/>
          <w:szCs w:val="28"/>
          <w:rtl w:val="true"/>
          <w:lang w:bidi="fa-IR"/>
        </w:rPr>
        <w:t>.</w:t>
      </w:r>
      <w:bookmarkStart w:id="351" w:name="pg5888_36119"/>
    </w:p>
    <w:p>
      <w:pPr>
        <w:pStyle w:val="Heading3"/>
        <w:numPr>
          <w:ilvl w:val="2"/>
          <w:numId w:val="1"/>
        </w:numPr>
        <w:rPr/>
      </w:pPr>
      <w:bookmarkStart w:id="352" w:name="__RefHeading___Toc5261418_581953129"/>
      <w:bookmarkStart w:id="353" w:name="_Toc137"/>
      <w:bookmarkEnd w:id="351"/>
      <w:bookmarkEnd w:id="352"/>
      <w:r>
        <w:rPr/>
        <w:t>2</w:t>
      </w:r>
      <w:r>
        <w:rPr>
          <w:rtl w:val="true"/>
        </w:rPr>
        <w:t xml:space="preserve">- </w:t>
      </w:r>
      <w:r>
        <w:rPr>
          <w:rtl w:val="true"/>
        </w:rPr>
        <w:t>شرایط ترک تابعیت قانونی ایران</w:t>
      </w:r>
      <w:bookmarkEnd w:id="353"/>
    </w:p>
    <w:p>
      <w:pPr>
        <w:pStyle w:val="Heading4"/>
        <w:numPr>
          <w:ilvl w:val="3"/>
          <w:numId w:val="1"/>
        </w:numPr>
        <w:rPr/>
      </w:pPr>
      <w:bookmarkStart w:id="354" w:name="__RefHeading___Toc5261420_581953129"/>
      <w:bookmarkStart w:id="355" w:name="_Toc138"/>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با توجّه به اصل چهل‌ویکم قانون اساسی جمهوری اسلامی ایران، تابعیت کشور ایران حق مسلَّم هر ایرانی است و دولت نمی‌تواند از هیچ ایرانی سلب تابعیت کند؛ مگر به درخواست خود او یا در صورتی که به تابعیت کشور دیگری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اصل چهل‌ودوم قانون اساسی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خارجه می‌توانند در حدود قوانین به تابعیت ایران درآیند و سلب تابعیت این‌گونه اشخاص در صورتی ممکن است که دولت دیگری تابعیت آنها را بپذیرد، یا خود آنها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قانون ایران، تابعیت ایران حق تردیدناپذیر هر ایرانی است و فقط در دو حالت، به دولت اختیار داده شده است که تابعیت دارنده تابعیت ایران را سلب کند؛ نخست درجایی که وی به تابعیت کشوری دیگر درآید یا دولتی دیگر تابعیت او را بپذیرد و دیگر آنکه خود او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ممکن است یک فرد با اختیار و درخواست خود، تابعیت ایرانی را سلب کند و دولت نیز ممکن است با درخواست وی موافقت کند؛ ازاین‌رو، لازم است بدانیم که ترک تابعیت قانونی ایران چه شرایطی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از دو منظر پی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ماهوی ترک تابعیت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صوری ترک تابعیت ایران</w:t>
      </w:r>
      <w:r>
        <w:rPr>
          <w:rFonts w:eastAsia="IRNazanin" w:cs="IRNazanin"/>
          <w:color w:val="111111"/>
          <w:sz w:val="28"/>
          <w:szCs w:val="28"/>
          <w:rtl w:val="true"/>
          <w:lang w:bidi="fa-IR"/>
        </w:rPr>
        <w:t>.</w:t>
      </w:r>
    </w:p>
    <w:p>
      <w:pPr>
        <w:pStyle w:val="Heading4"/>
        <w:numPr>
          <w:ilvl w:val="3"/>
          <w:numId w:val="1"/>
        </w:numPr>
        <w:rPr/>
      </w:pPr>
      <w:bookmarkStart w:id="356" w:name="__RefHeading___Toc5261422_581953129"/>
      <w:bookmarkStart w:id="357" w:name="_Toc139"/>
      <w:bookmarkEnd w:id="356"/>
      <w:r>
        <w:rPr>
          <w:rtl w:val="true"/>
        </w:rPr>
        <w:t>الف</w:t>
      </w:r>
      <w:r>
        <w:rPr>
          <w:rtl w:val="true"/>
        </w:rPr>
        <w:t xml:space="preserve">) </w:t>
      </w:r>
      <w:r>
        <w:rPr>
          <w:rtl w:val="true"/>
        </w:rPr>
        <w:t>شرایط ماهوی ترک تابعیت ایران</w:t>
      </w:r>
      <w:bookmarkEnd w:id="35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پیش‌تر بیان شد، قانون‌گذار ایرانی، ترک تابعیت را به رسمیت شناخته است؛ ولی ازآنجاکه ممکن است برخی با ترک تابعیت ایرانی و پذیرش تابعیت خارجی، مزایای ویژه‌ای برای خود قائل باشند، شرایط به نسبت سختی را برای</w:t>
      </w:r>
    </w:p>
    <w:p>
      <w:pPr>
        <w:pStyle w:val="BookText"/>
        <w:rPr/>
      </w:pPr>
      <w:r>
        <w:rPr>
          <w:rFonts w:ascii="IRNazanin" w:hAnsi="IRNazanin" w:eastAsia="IRNazanin"/>
          <w:color w:val="111111"/>
          <w:sz w:val="28"/>
          <w:sz w:val="28"/>
          <w:szCs w:val="28"/>
          <w:rtl w:val="true"/>
          <w:lang w:bidi="fa-IR"/>
        </w:rPr>
        <w:t>ترک تابعیت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شرایط ماهوی ترک تابعیت ایران را به شرح زیر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یکم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سن درخواست‌کننده ترک تابعیت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شرط سنی در این بند به مراتب بیشتر از شرط سنی در بند مربوط به دریافت تابعیت است، امّا قانون‌گذار ایرانی به منظور جلوگیری از ترک تابعیت اتباع خود، موانع بیشتری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حفظ منافع ایرانیان و بازداشتن آنها از اقدامات احساسی و عجولانه و نیز جلوگیری از احتمال مواجهه ایشان با مسئله بی‌تابعیتی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به‌عبارت‌دیگر، سن رشد در ایران حتی پایین‌تر از هجده سالگی است و معمولاً در چنین سنی، شخص باید از حق انجام هرگونه معامله و اموری که به نوعی در حقوق و تکالیف وی مؤثّر است، برخوردار باشد؛ امّا در ترک تابعیت، قانون‌گذار ایرانی سن هجده سالگی را کافی ندانسته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اجازه از هیئت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دوّم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دریافت اجازه از هیئت وزیران را برای خروج از تابعیت، لازم و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خروج از تابعیت، آثار سیاسی، فرهنگی، اجتماعی و اقتصادی گوناگونی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یا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کشور تحمیل می‌کند و نیز به منظور جلوگیری از ترک تابعیت دسته‌جمعی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آثار منفی یادشده را دو چندان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ایرانی، مرجع دارای صلاحیت برای پذیرش تقاضای ترک تابعیت اتباع خود را قوّه مجریه قرار داده و دریافت اجازه از هیئت وزیران را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به‌طور معمول هیئت وزیران به هر تقاضایی پاسخ مثبت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که فقط هیئت وزیران مرجع تقاضا در اجازه ترک تابعیت، است و مرجع دیگری نمی‌تواند در تصمیم هیئت وزیران دخالت کند؛ امّا برای انجام آسانِ کار، تصویب‌نامه هیئت وزیران در تاریخ </w:t>
      </w:r>
      <w:r>
        <w:rPr>
          <w:rFonts w:eastAsia="IRNazanin" w:cs="IRNazanin"/>
          <w:color w:val="111111"/>
          <w:sz w:val="28"/>
          <w:szCs w:val="28"/>
          <w:lang w:bidi="fa-IR"/>
        </w:rPr>
        <w:t>1346/10/13</w:t>
      </w:r>
      <w:r>
        <w:rPr>
          <w:rFonts w:ascii="IRNazanin" w:hAnsi="IRNazanin" w:eastAsia="IRNazanin"/>
          <w:color w:val="111111"/>
          <w:sz w:val="28"/>
          <w:sz w:val="28"/>
          <w:szCs w:val="28"/>
          <w:rtl w:val="true"/>
          <w:lang w:bidi="fa-IR"/>
        </w:rPr>
        <w:t>، به وزارت امور خارجه اختیار داده است تا با بررسی مدارک و شرایط، با تقاضای ترک تابعیت موافقت یا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برگه‌هایی که بدین‌منظور در وزارت امور خارجه تهیه شده است، با اشاره به‌شماره و تاریخ تصویب‌نامه یادشده،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شماره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تعهد به انتقال اموال غیرمنقول تا یک‌سال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سوّم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آمده است که درخواست‌کننده ترک تابعیت باید تعهد دهد تا یک‌سال از تاریخ ترک تابعیت، همه حقوق خود را نسبت به اموال غیرمنقولی که در ایران دارد و یا ممکن است از راه ارث دارا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قوانین ایران اجازه تملّک آن را به اتباع خارجه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به‌صورتی به اتباع ایرانی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فرزندان کسی که برابر این ماده، تابعیت خود را ترک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فرزندان یادشده خردسال یا بزرگسال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تبعیت ایرانی خارج نمی‌شوند؛ مگر اینکه اجازه هیئت وزیران شامل آنها نیز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بند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سپردن تعهّد باید قانونی، رسمی و در محضر انجام شود تا بتواند قابل پیگرد قانونی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سپردن تعهد از زمانی است که شخص درخواست‌کننده، اجازه هیئت وزیران را، در مورد تابعیت به دست آورده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قانون‌گذار ایرانی به کسی که تابعیت ایران را ترک می‌کند، اجازه نداده است حتی به اندازه یک بیگانه هم دارای اموال غیرمنقول باشد؛ زیرا معتقد</w:t>
      </w:r>
    </w:p>
    <w:p>
      <w:pPr>
        <w:pStyle w:val="BookText"/>
        <w:rPr/>
      </w:pPr>
      <w:r>
        <w:rPr>
          <w:rFonts w:ascii="IRNazanin" w:hAnsi="IRNazanin" w:eastAsia="IRNazanin"/>
          <w:color w:val="111111"/>
          <w:sz w:val="28"/>
          <w:sz w:val="28"/>
          <w:szCs w:val="28"/>
          <w:rtl w:val="true"/>
          <w:lang w:bidi="fa-IR"/>
        </w:rPr>
        <w:t>است کسی که به وطن خود علاقه‌ای ندارد، از یک بیگانه هم برای کشور بیگانه‌تر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اینکه اگرچه برای کنترل اجرای تعهد مشمولان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 پیگیری در فروش دارایی‌های غیرمنقول آنان، برنامه خاصی پیش‌بینی نشده است، اما به نظر می‌رسد وزارت خارجه هنگام صدور سند خروج از تابعیت، نسخه‌ای از آن را برای اطّلاع سازمان ثبت و املاک کشور ارسال می‌کند و آن سازمان نیز مندرجات سند مزبور را به تمام ادارات کل ثبت استان‌ها و در نهایت به دفاتر اسناد رسمی سراسر کشور بخش‌نامه می‌نماید تا از انجام معاملات غیرمنقول این افراد که تابعیت خارجی آنان به رسمیت شناخته شده است و از آن پس دیگر تبعه ایران شمرده نمی‌شوند،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خدمت نظام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چهارم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انجام خدمت تحت‌السلاح را برای خروج از تابعیت، امری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تحت‌السلاح، همان خدمت نظام وظیفه یا سربازی است که مقررات آن به دلایل امنیتی و سیاسی جزو قواعد آمره انتظامی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درخواست‌کننده ترک تابعیت، به هر دلیلی از انجام خدمت تحت‌السلاح معاف شده باشد، دیگر ملزم به انجام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ایران ظرف سه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الف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چنین مده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ترک تابعیت کرده، باید تا سه ماه از تاریخ صدور سند ترک تابعیت، از ایران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مقامات کشور، دستور اخراج و فروش اموال وی را صادر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وزارت خارجه با تمدید</w:t>
      </w:r>
      <w:bookmarkStart w:id="358" w:name="pg5888_36123"/>
    </w:p>
    <w:p>
      <w:pPr>
        <w:pStyle w:val="BookText"/>
        <w:rPr/>
      </w:pPr>
      <w:bookmarkEnd w:id="358"/>
      <w:r>
        <w:rPr>
          <w:rFonts w:ascii="IRNazanin" w:hAnsi="IRNazanin" w:eastAsia="IRNazanin"/>
          <w:color w:val="111111"/>
          <w:sz w:val="28"/>
          <w:sz w:val="28"/>
          <w:szCs w:val="28"/>
          <w:rtl w:val="true"/>
          <w:lang w:bidi="fa-IR"/>
        </w:rPr>
        <w:t>زمان، موافقت کند، مهلت مزبور حداکثر تا یک‌سال تمدید خواهد شد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بنابراین از نظر قانون‌گذار ایرانی کسی که ترک تابعیت می‌کند، نمی‌تواند دلیلی برای ماندن در ایران داشته باشد و باید در سریع‌ترین زمان از کشور خارج شود</w:t>
      </w:r>
      <w:r>
        <w:rPr>
          <w:rFonts w:eastAsia="IRNazanin" w:cs="IRNazanin"/>
          <w:color w:val="111111"/>
          <w:sz w:val="28"/>
          <w:szCs w:val="28"/>
          <w:rtl w:val="true"/>
          <w:lang w:bidi="fa-IR"/>
        </w:rPr>
        <w:t>.</w:t>
      </w:r>
    </w:p>
    <w:p>
      <w:pPr>
        <w:pStyle w:val="Heading4"/>
        <w:numPr>
          <w:ilvl w:val="3"/>
          <w:numId w:val="1"/>
        </w:numPr>
        <w:rPr/>
      </w:pPr>
      <w:bookmarkStart w:id="359" w:name="__RefHeading___Toc5261424_581953129"/>
      <w:bookmarkStart w:id="360" w:name="_Toc140"/>
      <w:bookmarkEnd w:id="359"/>
      <w:r>
        <w:rPr>
          <w:rtl w:val="true"/>
        </w:rPr>
        <w:t>ب</w:t>
      </w:r>
      <w:r>
        <w:rPr>
          <w:rtl w:val="true"/>
        </w:rPr>
        <w:t xml:space="preserve">) </w:t>
      </w:r>
      <w:r>
        <w:rPr>
          <w:rtl w:val="true"/>
        </w:rPr>
        <w:t>شرایط صوری ترک تابعیت ایران</w:t>
      </w:r>
      <w:bookmarkEnd w:id="360"/>
    </w:p>
    <w:p>
      <w:pPr>
        <w:pStyle w:val="BookText"/>
        <w:rPr/>
      </w:pPr>
      <w:r>
        <w:rPr>
          <w:rFonts w:ascii="IRNazanin" w:hAnsi="IRNazanin" w:eastAsia="IRNazanin"/>
          <w:color w:val="111111"/>
          <w:sz w:val="28"/>
          <w:sz w:val="28"/>
          <w:szCs w:val="28"/>
          <w:rtl w:val="true"/>
          <w:lang w:bidi="fa-IR"/>
        </w:rPr>
        <w:t xml:space="preserve">به موجب ماده هفتم نظام‌نامه قانون تابعیت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شده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طبق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خروج از تابعیت ایران را درخواست می‌کنند، باید درخواست‌نامه خود را بر روی برگه‌های تمبر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پس از تأیید هویت و امضای آنان در ایران از سوی شهربانی و در خارج به‌وسیله مأموران سیاسی یا کنسولی ایران، به وزارت امور خارجه ارسال کنند تا با توجّه به قوانین و مقررات، اقدامات لازم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درخواست‌کنندگان خروج از تابعیت دولت ایران، باید علت‌ها و انگیزه‌هایی را که به درخواست آنان انجامیده است در درخواست‌نامه خود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وزارت امور خارجه علل یادشده را توجیه‌پذیر بداند، پیشنهاد لازم را به هیئت وزیران تقدیم می‌کند و درصورت پذیرش آن، سند اجازه خروج از تابعیت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صادر می‌شود</w:t>
      </w:r>
      <w:r>
        <w:rPr>
          <w:rFonts w:eastAsia="IRNazanin" w:cs="IRNazanin"/>
          <w:color w:val="111111"/>
          <w:sz w:val="28"/>
          <w:szCs w:val="28"/>
          <w:rtl w:val="true"/>
          <w:lang w:bidi="fa-IR"/>
        </w:rPr>
        <w:t>.</w:t>
      </w:r>
    </w:p>
    <w:p>
      <w:pPr>
        <w:pStyle w:val="Heading3"/>
        <w:numPr>
          <w:ilvl w:val="2"/>
          <w:numId w:val="1"/>
        </w:numPr>
        <w:rPr/>
      </w:pPr>
      <w:bookmarkStart w:id="361" w:name="__RefHeading___Toc5261426_581953129"/>
      <w:bookmarkStart w:id="362" w:name="_Toc141"/>
      <w:bookmarkEnd w:id="361"/>
      <w:r>
        <w:rPr/>
        <w:t>3</w:t>
      </w:r>
      <w:r>
        <w:rPr>
          <w:rtl w:val="true"/>
        </w:rPr>
        <w:t xml:space="preserve">- </w:t>
      </w:r>
      <w:r>
        <w:rPr>
          <w:rtl w:val="true"/>
        </w:rPr>
        <w:t>ترک تابعیت ایران بدون رعایت قانون</w:t>
      </w:r>
      <w:bookmarkEnd w:id="36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که پیش‌تر بیان شد، شرایط خروج از تابعیت ایران با اجازه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اگر کسی بخواهد بدون اجازه دولت و رعایت مقررات قانونی تابعیت جمهوری اسلامی ایران را ترک کند، رویه ناگوارتری در مورد او پیش</w:t>
      </w:r>
    </w:p>
    <w:p>
      <w:pPr>
        <w:pStyle w:val="BookText"/>
        <w:rPr/>
      </w:pPr>
      <w:r>
        <w:rPr>
          <w:rFonts w:ascii="IRNazanin" w:hAnsi="IRNazanin" w:eastAsia="IRNazanin"/>
          <w:color w:val="111111"/>
          <w:sz w:val="28"/>
          <w:sz w:val="28"/>
          <w:szCs w:val="28"/>
          <w:rtl w:val="true"/>
          <w:lang w:bidi="fa-IR"/>
        </w:rPr>
        <w:t>گرفته خواهد شد و نه‌فقط از نظر ایران تابعیت خارجی او شناخته نمی‌شود، بلکه به مجازات‌هایی از قبیل فروش کلیه اموال غیرمنقول و محرومیت همیشگی از کار در شغل‌های دولتی و سیاسی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تبعه ایرانی که بدون رعایت مقررات قانونی، بعد از تاریخ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تابعیت خارجی تحصیل کرده باشد، تابعیت خارجی وی کأن‌لم‌یکن بوده، و تبعه ایران شناخته می‌شود؛ ولی در عین حال، کلیه اموال غیرمنقول او با نظارت مدعی‌العموم محل به فروش رسیده، و پس از وضع مخارج فروش، قیمت آن به وی داده خواهد شد، و به‌علاوه از اشتغال به وزارت و معاونت وزارت و عضویت مجالس مقنّنه و انجمن‌های ایالتی و ولایتی و بلدی و هر گونه مشاغل دولتی محروم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تبصره‌ای که در پیوند با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وزیران می‌تواند بنا به مصالح، به پیشنهاد وزارت امور خارجه تابعیت خارجی مشمولان این ماده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اشخاص با موافقت وزارت خارجه، اجازه ورود به ایران یا اقامت می‌توان داد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خارجی او کأن لم یکن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ترک تابعیت از لحاظ قانون ایران معتبر نیست؛ نه اینکه می‌توان تابعیت خارجی آنها را به لحاظ قانونی باطل کرد؛ زیرا باطل کردن تابعیت خارجی، با دخالت در کار حاکمیت دولت دیگر ملازمه دارد؛ ازاین‌رو، رعایت نشدن این شرایط در درستی یا نادرستی دریافت تابعیت خارجی تأثیری ندارد و کشورهای دیگر مجبور نیستند مقررات قانون ایران را پیرامون ترکت تابعیت رعایت کنند؛ برای نمونه، طبق قانون فرانسه، سن قانونی برای پذیرفته شدن به تابعیت آن دولت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یک ایرانی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پذیرش تابعیت فرانسه را تقاضا کند، در صورتی که از لحاظ قانون فرانسه واجد سایر شرایط لازم برای دریافت</w:t>
      </w:r>
    </w:p>
    <w:p>
      <w:pPr>
        <w:pStyle w:val="BookText"/>
        <w:rPr/>
      </w:pPr>
      <w:r>
        <w:rPr>
          <w:rFonts w:ascii="IRNazanin" w:hAnsi="IRNazanin" w:eastAsia="IRNazanin"/>
          <w:color w:val="111111"/>
          <w:sz w:val="28"/>
          <w:sz w:val="28"/>
          <w:szCs w:val="28"/>
          <w:rtl w:val="true"/>
          <w:lang w:bidi="fa-IR"/>
        </w:rPr>
        <w:t>تابعیت آن کشور باشد و سند تابعیت فرانسه به او داده شود، نمی‌توان تابعیت فرانسوی او را باطل و یا کأن‌لم‌یکن دانست؛ درحالی که می‌توان گفت ترک تابعیت ایرانی او از لحاظ قانون ایران فاقد اعتبار بوده و او هنوز ایرانی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یک حقوق‌دان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نیکلا بار</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دراین‌باره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کشورها حق دارند شرایط کسب تابعیت خارجی توسط شهروندان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فردی بدون انجام آن شرایط و به بیان دقیق‌تر، بدون کسب اجازه پیش‌بینی‌شده در قانون کشور اصلی، تابعیت خارجی کسب کند، آن کشور حق دارد نتایج آن تابعیت را به رسمیت نشناسد و آن شخص را یکی از شهروندان خود بداند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بر این اساس، تابعیت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ایرانی به رسمیت شناخته نخواهد شد؛ چنان‌که در بند بیستم رأی دیوان داوری دعاوی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آمریکا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 ایران، تابعیت مضاعف را به رسمیت نمی‌شناسد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تسهیلاتی را برای کسانی که این قانون را رعایت نکرده‌اند، فراهم کرده تا ایرانیانی که بدون رعایت قوانین ایران، تابعیت خارجی را دریافت کرده‌اند، بتوانند از وزارت امور خارجه در ایران و یا سفیر ایران در محل، درخواست کنند تا تابعیت خارجی آنان را به رسمیت شناخته و به آنها اجازه ورود و یا اقامت در ایران بدهد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درهرحال، جمله آخر این تبصره می‌رساند که در نتیجه شناسایی تابعیت خارجی، تابعیت ایرانی شخص از بین رفته به‌شمار می‌آید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با وجود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مشاهده می‌شود که بسیاری از ایرانیان با حفظ تابعیت ایرانی خود، به دریافت تابعیت خارجی اقدام می‌کند و دولت ایران تاکنون هیچ اقدامی برای اجرای این ماده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می‌رسد مصلحت چنین اقتضا می‌کند که دولت در چنین مواردی تا زمانی که خود آنها یا افراد دیگری وجود تابعیت خارجی را اعلام نکرده‌اند، سکوت کرده و چشم‌پوشی کند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شایان ذکر است که ترک تابعیت و پایان آن بدون رعایت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دریافت تابعیت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نوع تابعیت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یا اکتسابی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توجه به اینکه دریافت تابعیت دولت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برخی از انواع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معنای خروج از تابعیت دولتِ خودی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فردی دارای تابعیت اکتسابی، به‌ویژه از نوع تبعی</w:t>
      </w:r>
      <w:r>
        <w:rPr>
          <w:rStyle w:val="FootnoteAnchor"/>
          <w:rtl w:val="true"/>
        </w:rPr>
        <w:footnoteReference w:id="234"/>
      </w:r>
      <w:r>
        <w:rPr>
          <w:rFonts w:ascii="Amiri" w:hAnsi="Amiri" w:eastAsia="Amiri" w:cs="Amiri"/>
          <w:color w:val="111111"/>
          <w:sz w:val="28"/>
          <w:sz w:val="28"/>
          <w:szCs w:val="28"/>
          <w:rtl w:val="true"/>
          <w:lang w:bidi="ar-SA"/>
        </w:rPr>
        <w:t>و تحقّقی</w:t>
      </w:r>
      <w:r>
        <w:rPr>
          <w:rStyle w:val="FootnoteAnchor"/>
          <w:rtl w:val="true"/>
        </w:rPr>
        <w:footnoteReference w:id="235"/>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استحکام و پایداری چندانی برخوردار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کسب تابعیت جدید به معنای قطع علاقه و ارتباط و به منزله اعلام خروج از تابعیت پیشین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دولتی که در گذشته از تابعیت آن برخوردار بوده، با سلب تابعیت خود از فرد، به تابعیت او پایان می‌دهد و بدین‌شکل مسئله تعدّد تابعیت را حل می‌کند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تابعیت شخص، اصلی باشد، دولت پیشین همچنان فرد را تابع خود به‌شمار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درباره تابعیت خارجی این شخص، فقط آن دولت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خارجی صلاحیت دارد که او را خودی یا بیگانه تلقّی کند، دولت پیشین نمی‌تواند تابعیت جدید را از فرد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سلب نشدن آن از سوی دولت جدید، مشکل تعدّد تابعیت همچنان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دولت‌ها در گذشته کمتر اجازه می‌دادند تا کسی تابعیت خود را ترک کند، ولی امروزه این اندیشه مورد پذیرش است که شاید همانند دریافت تابعیت، ترک تابعیت نیز دلایل قابل توجیهی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از دست دادن تابعیت راه‌های گوناگونی وجود دارد که مهم‌ترین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تابعیت پیشین به دلیل جدا شدن بخشی از خاک یک کشور؛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تابعیت در اثر مجازات؛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تابعیت در اثر ازدواج؛</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تابعیت با درخواست خود شخص؛</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تابعیت ایران از سوی فرزندان و یا زن در مهلت قانونی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ترک تابعیت ایران دو گونه شرایط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ماهوی ترک تابعیت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صوری و ظاهری ترک تابعیت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ماهوی ترک تابعیت ایران در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 تبصره آن آمده است، که مهم‌ترین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انجام خدمت نظام وظیفه و کسب اجازه از دولت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شرایط صوری ترک تابعیت ایران، ارائه اسناد، مدارک، عکس و غیره است؛ از جمله اینکه درخواست‌کنندگان خروج از تابعیت دولت ایران، باید دلیل‌ها و انگیزه‌هایی را که به درخواست یادشده انجامیده است، در درخواست‌نامه خود ذکر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بدون رعایت مقررات قانونی، تابعیت ایران را ترک کند، نه‌فقط از نظر ایران تابعیت خارجی او شناخته نمی‌شود، بلکه به مجازات‌هایی نظیر فروش کلیه اموال غیرمنقول و محرومیت همیشگی از کار در شغل‌های دولتی و سیاسی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شرایطی را که موجب پذیرش اندیشه ترک تابعیت از سوی دولت‌ها شده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تابعیت قانونی با ترک تابعیت غیرقانونی چه فرقی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راه‌هایی را که موجب از دست دادن تابعیت می‌شوند،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تابعیت چیست؟ حالت‌های گوناگون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ماهوی ترک تابعیت ایران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تملک بر دارایی‌های غیرمنقول فردی را که با شرایط قانونی، تابعیت ایرانی خود را سلب می‌کند،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پیامدهای ترک تابعیت ایران بدون رعایت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قانونی برای ترک تابعیت و مرجع صلاحیت‌دار برای اعطای اجازه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سلب تابعیت به‌عنوان کیفر امکان‌پذیر است؟ دیدگاه قانون اساسی جمهوری اسلامی ایران را دراین‌باره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اشتراک و افتراق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نقش اراده، در از دست دادن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پژوهش آن است که حالت‌های گوناگون از دست دادن تابعیت بیان شده، نقش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یا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خوبی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منابع در این رابطه،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نصیری، حقوق بین‌الملل خصوصی ،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ascii="IRNazanin" w:hAnsi="IRNazanin" w:eastAsia="IRNazanin"/>
          <w:color w:val="111111"/>
          <w:sz w:val="28"/>
          <w:sz w:val="28"/>
          <w:szCs w:val="28"/>
          <w:rtl w:val="true"/>
          <w:lang w:bidi="fa-IR"/>
        </w:rPr>
        <w:t xml:space="preserve">دکتر بهشید ارفع‌نیا، حقوق بین‌الملل خصوصی ،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ascii="IRNazanin" w:hAnsi="IRNazanin" w:eastAsia="IRNazanin"/>
          <w:color w:val="111111"/>
          <w:sz w:val="28"/>
          <w:sz w:val="28"/>
          <w:szCs w:val="28"/>
          <w:rtl w:val="true"/>
          <w:lang w:bidi="fa-IR"/>
        </w:rPr>
        <w:t xml:space="preserve">دکتر سید جلال‌الدین مدنی، حقوق بین‌الملل خصوصی ،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تطبیقی شرایط تحصیل و ترک تابعیت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پژوهش، تحلیل و بررسی مقایسه‌ای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تحصیل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ترک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حقوق بین‌الملل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تطبیقی آثار و پیامدهای ترک تابعیت قانونی و غیرقانونی ایران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حقوق بین‌الملل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دارای صلاحیت در پذیرش یا ردّ درخواست تابعیت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و مجلس</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و وزارت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قانونی برای ترک تابعیت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تحصیل تابعیت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هیئت وزیران برای خروج از تابعیت، بیانگر کدام شرط در ترک تابعیت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تعهدات شخصی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استیذان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قانون مدنی ایران، برای امکان ترک تابعیت ایران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کامل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 بیانگر کدام شرط در ترک تابعیت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تعّهدات شخصی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استیذان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قانونی برای دریافت تابعیت، ترک تابعیت ایران و ردّ تابعیت ایران به ترتیب چند سال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نمی‌تواند آزادانه تابعیت خود را ترک کند؛ ولی می‌تواند تابعیت جدیدی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نمی‌تواند آزادانه تابعیت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نمی‌تواند آزادانه تابعیت جدیدی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آزادانه تابعیت خود را ترک کند؛ ولی نمی‌تواند تابعیت جدیدی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آزادانه تابعیت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تابعیت جدیدی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تابعیت ایران را درخواست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 با درخواست او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یادشده قابل تجدید نظر </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تجدید نظر 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عالی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تابعیت ایران در کدام حالت زیر مصداق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خارجی که در اثر ازدواج با مرد ایرانی به تابعیت ایران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نه ساله‌ای که پدر او تابعیت ایران را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ایرانی که با مرد خارجی ازدواج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ترک تابعیت ایران اقدام می‌کند، چه اندازه حق داشتن دارایی‌های غیرمنقول را در ایران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مجاز برای اتباع خارجه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پیش از خروج از تابعیت ایران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برای داشتن دارایی‌های غیرمنقول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داشتن مسکن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ترک تابعیت ایران اقدام کرده‌اند، چه مدّتی باید از ایران خارج شوند؟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از تاریخ صدور سند ترک تابعیت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از تاریخ صدور سند ترک تابعیت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از تاریخ درخواست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از تاریخ درخواست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دریافت تابعیت بیگانه در تابعیت ایرانی فرد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او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مجاز است تابعیت ایرانی او را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او به حال تعلیق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مکلف به سلب تابعیت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اخراج تبعه از کشور امکان‌پذیر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دادگاه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او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او در صورت داشتن جرایم علیه امنیت کشور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سلب تابعیت اکتسابی شخصِ محکوم به انجام کارهایی علیه امنیت ایران، امکان‌پذیر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محکومیت، سلب تابعیت ایرانی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او قابل سلب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تابعیت ایرانی او به تصریح آن در حکم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می‌تواند تابعیت او را سلب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پذیرش تابعیت پدر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تابعیت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ترک تابعیت ایران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سنی در هر دو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سنی در هر دو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جنبه ارادی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جنبه قهری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سلب تابعیت ایران به‌عنوان کیفر امکان‌پذیر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قانون مدنی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تصمیم دادگاه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پیش‌بینی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تبعه ایرانی که بدون رعایت قانونی، ترک تابعیت کند و تابعیت خارجی دریافت کند، از کدام حقوق محروم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مخصوصه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سیاسی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احوال شخصیه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 اعراض از تابعیت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انتخاب بین تابعیت ایران و تابعیت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تابعیت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تابعیت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ارادی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علی‌البدل بودن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تولدی بودن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ارادی بودن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ایرانی که به تابعیت دولت خارجی درآید،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او دیگر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 ایران دارای تابعیت مضاعف و مورد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جرم شده، مجازات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دولت از او سلب تابعیت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دارنده تابعیتِ اکتسابی ایران، در هنگام حضور درخارج از کشور، مرتکب اعمالی بر ضد ایران بشود،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نمی‌تواند از او سلب تابعیت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می‌تواند از او سلب تابعیت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وی شدیدتر از اتباع ایرانی‌الاصل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سلب تابعیت، طبق قانون مجازات اسلامی با او برخورد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یک ایرانی بدون رعایت مقررات مربوط به ترک تابعیت، تابعیت یک کشور خارجی را دریافت کند، از نظر دولت جمهوری اسلامی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خارجی او به رسمیت شناخته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خارجی وی کأن‌لم‌یکن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وی سلب و تابعیت خارجی او کأن‌لم‌یکن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جرم شده و مجازاتش تبعید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زن حق ردّ تابعیت ایران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ایرانی که به واسطه ازدواج با مرد خارجی، تابعیت خارجی به او تحمیل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خارجی که با مرد ایرانی ازدواج کرده و شوهر او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خارجی که به پیروی از شوهرش تابعیت ایران را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خارجی که با مرد ایرانی ازدواج کرده و سپس از او طلاق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یک ایرانی درخواست ترک تابعیت کند، دولت جمهوری اسلامی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درخواست موافقت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ارائه گواهی مبنی بر تحصیل یک تابعیت خارجی توسط متقاضی، باید با درخواست وی موافقت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درخواست را رد کند؛ ولی باید خسارت وارده به متقاضی را در این رابطه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درخواست را رد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ترک تابعیت ایران، درخواست‌کننده باید چند سال تمام داشته باشد؟ کدام مرجع، خروج از تابعیت وی را اجازه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قضائیه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وزیران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قانون اساسی، سلب تابعیت ایرانی از یک خارجی که به تابعیت ایران درآمده است، چگونه امکان‌پذیر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خودش</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خودش و ارائه تابعیت پیشین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صورت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کشف مدارک سوءپیشینه کیفری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کدام مورد برای تابعیت، مهلت یک ساله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تابعیت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تابعیت ایران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تابعیت خارجی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تابعیت ایران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تابعیت از ایرانی‌ها ممکن نیست، مگر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جرم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تابعیت کشور دیگری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تبعید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غیرمجاز از ایران خارج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گزینه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کشور ایران حق مسلَّم کسانی است که در ایران سکونت دارند و در صورتی که جرمی مرتکب شوند، ممکن است دولت تابعیت آنها را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کشور ایران حق مسلَّم هر فرد ایرانی است و دولت نمی‌تواند از هیچ ایرانی سلب تابعیت کند؛ مگر اینکه او به تابعیت کشور دیگری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کشور ایران حق مسلَّم تمام کسانی است که آن را تقاضا می‌کنند و دولت در هیچ صورت نمی‌تواند تابعیت آنها از سلب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کشور ایران حق مسلَّم هیچ‌کس نیست؛ مگر اینکه دولت ایران</w:t>
      </w:r>
    </w:p>
    <w:p>
      <w:pPr>
        <w:pStyle w:val="BookText"/>
        <w:rPr/>
      </w:pPr>
      <w:r>
        <w:rPr>
          <w:rFonts w:ascii="IRNazanin" w:hAnsi="IRNazanin" w:eastAsia="IRNazanin"/>
          <w:color w:val="111111"/>
          <w:sz w:val="28"/>
          <w:sz w:val="28"/>
          <w:szCs w:val="28"/>
          <w:rtl w:val="true"/>
          <w:lang w:bidi="fa-IR"/>
        </w:rPr>
        <w:t>صلاحیت کسی را برای اعطای تابعیت احراز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اتباع ایران که ترک تابعیت کرده‌اند، چه اندازه می‌توانند دارایی غیرمنقول در ایران داشته باشند؟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موجب سلطه اقتصادی خارجی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خارجیان می‌توانند داشته باشند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نیاز می‌توانند داشته باشند</w:t>
      </w:r>
      <w:r>
        <w:rPr>
          <w:rFonts w:eastAsia="IRNazanin" w:cs="IRNazanin"/>
          <w:color w:val="111111"/>
          <w:sz w:val="28"/>
          <w:szCs w:val="28"/>
          <w:rtl w:val="true"/>
          <w:lang w:bidi="fa-IR"/>
        </w:rPr>
        <w:t>.</w:t>
      </w:r>
      <w:bookmarkStart w:id="363" w:name="pg5888_36142"/>
    </w:p>
    <w:p>
      <w:pPr>
        <w:pStyle w:val="Heading2"/>
        <w:numPr>
          <w:ilvl w:val="1"/>
          <w:numId w:val="1"/>
        </w:numPr>
        <w:rPr/>
      </w:pPr>
      <w:bookmarkStart w:id="364" w:name="__RefHeading___Toc5261428_581953129"/>
      <w:bookmarkStart w:id="365" w:name="_Toc142"/>
      <w:bookmarkEnd w:id="363"/>
      <w:bookmarkEnd w:id="364"/>
      <w:r>
        <w:rPr/>
        <w:t>9</w:t>
      </w:r>
      <w:r>
        <w:rPr>
          <w:rtl w:val="true"/>
        </w:rPr>
        <w:t xml:space="preserve">- </w:t>
      </w:r>
      <w:r>
        <w:rPr>
          <w:rtl w:val="true"/>
        </w:rPr>
        <w:t>آثار ترک تابعیت ایران</w:t>
      </w:r>
      <w:bookmarkEnd w:id="365"/>
    </w:p>
    <w:p>
      <w:pPr>
        <w:pStyle w:val="Heading3"/>
        <w:numPr>
          <w:ilvl w:val="2"/>
          <w:numId w:val="1"/>
        </w:numPr>
        <w:rPr/>
      </w:pPr>
      <w:bookmarkStart w:id="366" w:name="__RefHeading___Toc5261430_581953129"/>
      <w:bookmarkStart w:id="367" w:name="_Toc143"/>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 ترک تابعیت ایران نسبت به خود شخص؛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 ترک تابعیت ایران نسبت به خانواده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 ترک تابعیت زن ایرانی بی‌شوهر بر روی فرزندانش؛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اثر ترک تابعیت ایران به‌صورتِ غیرقانونی؛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موارد ترک تابعیت قانونی بدون رعایت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مسئله بازگشت به تابعیت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چنان‌که پیش‌تر بیان شد، دولت‌ها در گذشته کمتر ترک تابعیت را به اتباع خویش اجازه می‌دادند؛ ولی امروزه به‌صورتی محدود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تابعیت، به‌عنوان یک پدیده حقوقی، دارای آثار و پیامدهای حقوقی، سیاسی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ممکن است نسبت به خود شخص و یا همسر و فرزندان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درس بیشتر مورد توجه قرار گرفته، بررسی آثار حقوقی ترک تابعیت از نگاه قانون ایران است</w:t>
      </w:r>
      <w:r>
        <w:rPr>
          <w:rFonts w:eastAsia="IRNazanin" w:cs="IRNazanin"/>
          <w:color w:val="111111"/>
          <w:sz w:val="28"/>
          <w:szCs w:val="28"/>
          <w:rtl w:val="true"/>
          <w:lang w:bidi="fa-IR"/>
        </w:rPr>
        <w:t>.</w:t>
      </w:r>
    </w:p>
    <w:p>
      <w:pPr>
        <w:pStyle w:val="Heading3"/>
        <w:numPr>
          <w:ilvl w:val="2"/>
          <w:numId w:val="1"/>
        </w:numPr>
        <w:rPr/>
      </w:pPr>
      <w:bookmarkStart w:id="368" w:name="__RefHeading___Toc5261432_581953129"/>
      <w:bookmarkStart w:id="369" w:name="_Toc144"/>
      <w:bookmarkEnd w:id="368"/>
      <w:r>
        <w:rPr/>
        <w:t>1</w:t>
      </w:r>
      <w:r>
        <w:rPr>
          <w:rtl w:val="true"/>
        </w:rPr>
        <w:t xml:space="preserve">- </w:t>
      </w:r>
      <w:r>
        <w:rPr>
          <w:rtl w:val="true"/>
        </w:rPr>
        <w:t>اثر ترک تابعیت نسبت به خود شخص</w:t>
      </w:r>
      <w:bookmarkEnd w:id="36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تابعیت ایران را ترک می‌کند، دیگر ایرانی نیست و بیگانه شمرده</w:t>
      </w:r>
      <w:bookmarkStart w:id="370" w:name="pg5888_36143"/>
    </w:p>
    <w:p>
      <w:pPr>
        <w:pStyle w:val="BookText"/>
        <w:rPr/>
      </w:pPr>
      <w:bookmarkEnd w:id="370"/>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نمی‌تواند از حقوق و مزایایی که برای ایرانیان مقرر است استفاده کند؛ برای نمونه، نگهداری دارایی‌های غیرمنقول پس از دریافت تابعیت خارجی، برای این افراد ممنوع است؛ اگرچه به آن در مواد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تصریح نشده باشد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زنانی که بر اثر ازدواج با مرد بیگانه، تابعیت ایرانی خود را به نفع تابعیت خارجی شوهر از دست می‌دهند، به سبب آنکه نسبت به جامعه ایران بیگانه تلقّی می‌شوند، در حقوق آنها نسبت به دارایی‌های غیرمنقول در ایران، به موجب تبصره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محدودیت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این محدودیت در همان زمینه‌ای است که درباره ترک‌کنندگان تابعیت ایران مقرر شده، همواره ارفاق‌آمیز بوده است؛ به‌طوری که پیش از اصلاح قانون مدنی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این امکان برای آنها شناخته شده بود که حقوق خود را نسبت به دارایی‌های غیرمنقول خود که پیش از ازدواج داشته‌اند، محفوظ نگه دارند؛ ولی پس از این اصلاح، محرومیت آنها از حقوق نسبت به این نوع دارایی‌ها، به هنگامی محدود شده که تملک آنها موجب سلطه اقتصادی خارجی شود؛ حتی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قابلیت انتقال این حق به ورّاث خارجی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اصلاح از قانون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آنها از تکلیف خروج از ایران که درباره ترک‌کنندگان تابعیت ایران در قانون پیش‌بینی شده است، معاف شده‌اند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371" w:name="__RefHeading___Toc5261434_581953129"/>
      <w:bookmarkStart w:id="372" w:name="_Toc145"/>
      <w:bookmarkEnd w:id="371"/>
      <w:r>
        <w:rPr/>
        <w:t>2</w:t>
      </w:r>
      <w:r>
        <w:rPr>
          <w:rtl w:val="true"/>
        </w:rPr>
        <w:t xml:space="preserve">- </w:t>
      </w:r>
      <w:r>
        <w:rPr>
          <w:rtl w:val="true"/>
        </w:rPr>
        <w:t xml:space="preserve">اثر ترک تابعیت ایران، نسبت به خانواده شخص </w:t>
      </w:r>
      <w:r>
        <w:rPr>
          <w:rtl w:val="true"/>
        </w:rPr>
        <w:t>(</w:t>
      </w:r>
      <w:r>
        <w:rPr>
          <w:rtl w:val="true"/>
        </w:rPr>
        <w:t>زن و فرزندان</w:t>
      </w:r>
      <w:r>
        <w:rPr>
          <w:rtl w:val="true"/>
        </w:rPr>
        <w:t>)</w:t>
      </w:r>
      <w:bookmarkEnd w:id="37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کشورهایی که اصل وحدت تابعیت را در مورد افراد خانواده پذیرفته‌اند،</w:t>
      </w:r>
    </w:p>
    <w:p>
      <w:pPr>
        <w:pStyle w:val="BookText"/>
        <w:rPr/>
      </w:pPr>
      <w:r>
        <w:rPr>
          <w:rFonts w:ascii="IRNazanin" w:hAnsi="IRNazanin" w:eastAsia="IRNazanin"/>
          <w:color w:val="111111"/>
          <w:sz w:val="28"/>
          <w:sz w:val="28"/>
          <w:szCs w:val="28"/>
          <w:rtl w:val="true"/>
          <w:lang w:bidi="fa-IR"/>
        </w:rPr>
        <w:t>همان‌طور که در هنگام دریافت تابعیت پدر، فرزندان خردسال وی را دارای تابعیت جدید می‌دانند، در ترک تابعیت پدر نیز این حکم را در فرزندان خردسال جاری می‌کنند؛ ولی قانون مدنی در ایران، از یک سو در هنگام دریافت تابعیت ایران، اصل وحدت تابعیت را پذیرفته است و از سوی دیگر، هنگام ترک تابعیت ایران، اصل استقلال تابعیت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فرزند خردسال، به پیروی از ترک تابعیت پدر، تابعیت ایران را از دست نمی‌دهد؛ بلکه فقط در صورتی که تقاضای پدر، تابعیت فرزندان را نیز در بر بگیرد، اجازه ترک تابعیت، شامل حال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و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پایانی بند سوّم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 و اطفال کسی که برطبق این ماده، ترک تابعیت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اینکه اطفال مزبور خردسال یا بزرگسال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تبعیت ایران خارج نمی‌گردند؛ مگر اینکه اجازه هیئت وزرا شامل آنها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برخلاف پذیرش تابعیت که زن و فرزندان خردسال به‌صورتِ استقلالی به تابعیت ایران درمی‌آمدند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تابعیت این‌چنین نیست؛ مگر اینکه هیئت وزیران ترک تابعیت زن و فرزندان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و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در مورد زن و فرزندان شخص درخواست‌کننده ترک تابعیت، لازم است درخواست در تقاضانامه‌ای تصریح شده باشد و هیئت وزیران نیز این اجازه را صادر کرده باشند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قانون‌گذار از پیش‌بینی چنین وضعی در مورد ترک تابعیت، فقط دشوار کردن شرایط ترک تابعیت بوده است؛ زیرا در صورتی که تقاضای ترک تابعیت شامل کلیه افراد خانواده نباشد و یا هیئت وزیران با تقاضای همگی موافقت نکند، امکان تفرقه خانواده، قابل فرض خواهد بود</w:t>
      </w:r>
      <w:r>
        <w:rPr>
          <w:rFonts w:eastAsia="IRNazanin" w:cs="IRNazanin"/>
          <w:color w:val="111111"/>
          <w:sz w:val="28"/>
          <w:szCs w:val="28"/>
          <w:rtl w:val="true"/>
          <w:lang w:bidi="fa-IR"/>
        </w:rPr>
        <w:t>.</w:t>
      </w:r>
      <w:bookmarkStart w:id="373" w:name="pg5888_36145"/>
    </w:p>
    <w:p>
      <w:pPr>
        <w:pStyle w:val="Heading3"/>
        <w:numPr>
          <w:ilvl w:val="2"/>
          <w:numId w:val="1"/>
        </w:numPr>
        <w:rPr/>
      </w:pPr>
      <w:bookmarkStart w:id="374" w:name="__RefHeading___Toc5261436_581953129"/>
      <w:bookmarkStart w:id="375" w:name="_Toc146"/>
      <w:bookmarkEnd w:id="373"/>
      <w:bookmarkEnd w:id="374"/>
      <w:r>
        <w:rPr/>
        <w:t>3</w:t>
      </w:r>
      <w:r>
        <w:rPr>
          <w:rtl w:val="true"/>
        </w:rPr>
        <w:t xml:space="preserve">- </w:t>
      </w:r>
      <w:r>
        <w:rPr>
          <w:rtl w:val="true"/>
        </w:rPr>
        <w:t>اثر ترک تابعیت زن ایرانی بی شوهر بر روی فرزندانش</w:t>
      </w:r>
      <w:bookmarkEnd w:id="375"/>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وزیران می‌تواند ضمن تصویت ترک تابعیت زن ایرانی بی‌شوهر، ترک تابعیت فرزندان او را نیز که فاقد پدر و جد پدری هستند و کمتر از هجده سال تمام دارند و یا به جهات دیگری محجورند،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زن مذکور نیز که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نرسیده باشند، می‌توانند به تبعیت از درخواست مادر، تقاضای ترک تابعیت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چنانچه هیئت وزیران تشخیص دهد فرزندان چنین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علت فقدان پدر و جد پدری، تحت سرپرستی مادر قرار خواهند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باقی ماندن در تابعیت ایران بهره‌ای ندارند و برای دولت ایران هم هنگام بی‌سرپرست شدن کودکان به سبب، تغییر تابعیت مادر، نگه داشتن آنها در تابعیت خود سودی نخواهد داشت، دراین‌صورت، اجازه می‌دهد که این فرزندان نیز تابعیت ایران را ترک کنند؛ زیرا صلاح دولت ایران این‌چنین اقتضا می‌کند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نتیجه آنکه قانون‌گذار ایرانی در ترک تابعیت،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و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ایرانی بی‌شوهر را مشمول حکم مادرشان نمی‌داند؛ امّا در فرزندان خردسال، در صورت وجود شرایط سه‌گانه زیر، ترک تابعیت مادر شامل آنان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فاقد پدر و جد پدری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کمتر از هجده سال تمام داشته، یا به دلایل دیگر محجور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هیئت وزیران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را از این فراتر نهاده، می‌گوید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سن فرزندان زن مذکور، از هجده سال بیشتر و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bookmarkStart w:id="376" w:name="pg5888_36146"/>
    </w:p>
    <w:p>
      <w:pPr>
        <w:pStyle w:val="BookText"/>
        <w:rPr/>
      </w:pPr>
      <w:bookmarkEnd w:id="376"/>
      <w:r>
        <w:rPr>
          <w:rFonts w:ascii="IRNazanin" w:hAnsi="IRNazanin" w:eastAsia="IRNazanin"/>
          <w:color w:val="111111"/>
          <w:sz w:val="28"/>
          <w:sz w:val="28"/>
          <w:szCs w:val="28"/>
          <w:rtl w:val="true"/>
          <w:lang w:bidi="fa-IR"/>
        </w:rPr>
        <w:t>کمتر باشد، می‌توانند به تبع درخواست مادر، تقاضای ترک تابعیت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اگرچه این فرزندان به سن بزرگسالی رسیده‌اند و باید تقاضای ترک تابعیت از سوی خودشان انجام شود، امّا هیئت دولت اجازه ترک تابعیت آنها را به پیروی از مادر صادر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اگر سن آنها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می‌توانند برای ترک تابعیت ایران طبق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مدنی در مورد ترک تابعیت کسانی که به علت حجر تحت سرپرستی قرار دارند، ساکت است؛ ولی با توجه به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باید در تربیت و اصلاح حال محجور سعی و اهتمام کند و در امور او رعایت مصلحت را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مادر خارجی که در اثر ازدواج با مرد ایرانی، تابعیت ایران را کسب کرده است و سرپرستی فرزند محجور خود را پس از فوت شوهر بر عهده دارد، بخواهد به تابعیت اصلی خود بازگردد، حتی در صورت زاید بودن سن محجور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می‌تواند برای کسی که سرپرستی او را بر عهده دارد، تقاضای ترک تابعیت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lang w:bidi="fa-IR"/>
        </w:rPr>
        <w:t>1345/9/6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مشورتی حقوق بین‌الملل خصوصی</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377" w:name="__RefHeading___Toc5261438_581953129"/>
      <w:bookmarkStart w:id="378" w:name="_Toc147"/>
      <w:bookmarkEnd w:id="377"/>
      <w:r>
        <w:rPr/>
        <w:t>4</w:t>
      </w:r>
      <w:r>
        <w:rPr>
          <w:rtl w:val="true"/>
        </w:rPr>
        <w:t xml:space="preserve">- </w:t>
      </w:r>
      <w:r>
        <w:rPr>
          <w:rtl w:val="true"/>
        </w:rPr>
        <w:t>آثار ترک تابعیت غیرقانونی ایران</w:t>
      </w:r>
      <w:bookmarkEnd w:id="378"/>
    </w:p>
    <w:p>
      <w:pPr>
        <w:pStyle w:val="Heading4"/>
        <w:numPr>
          <w:ilvl w:val="3"/>
          <w:numId w:val="1"/>
        </w:numPr>
        <w:rPr/>
      </w:pPr>
      <w:bookmarkStart w:id="379" w:name="__RefHeading___Toc5261440_581953129"/>
      <w:bookmarkStart w:id="380" w:name="_Toc148"/>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آثار ترک تابعیت غیرقانونی ایران عبارت‌اند از</w:t>
      </w:r>
      <w:r>
        <w:rPr>
          <w:rFonts w:eastAsia="IRNazanin" w:cs="IRNazanin"/>
          <w:color w:val="111111"/>
          <w:sz w:val="28"/>
          <w:szCs w:val="28"/>
          <w:rtl w:val="true"/>
          <w:lang w:bidi="fa-IR"/>
        </w:rPr>
        <w:t>:</w:t>
      </w:r>
    </w:p>
    <w:p>
      <w:pPr>
        <w:pStyle w:val="Heading4"/>
        <w:numPr>
          <w:ilvl w:val="3"/>
          <w:numId w:val="1"/>
        </w:numPr>
        <w:rPr/>
      </w:pPr>
      <w:bookmarkStart w:id="381" w:name="__RefHeading___Toc5261442_581953129"/>
      <w:bookmarkStart w:id="382" w:name="_Toc149"/>
      <w:bookmarkEnd w:id="381"/>
      <w:r>
        <w:rPr>
          <w:rtl w:val="true"/>
        </w:rPr>
        <w:t>الف</w:t>
      </w:r>
      <w:r>
        <w:rPr>
          <w:rtl w:val="true"/>
        </w:rPr>
        <w:t xml:space="preserve">) </w:t>
      </w:r>
      <w:r>
        <w:rPr>
          <w:rtl w:val="true"/>
        </w:rPr>
        <w:t>اعتبار نداشتن تابعیت خارجی آنان</w:t>
      </w:r>
      <w:bookmarkEnd w:id="38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اعتبار نداشتن تابعیت خارجی آنان این نیست که ایران می‌تواند</w:t>
      </w:r>
      <w:bookmarkStart w:id="383" w:name="pg5888_36147"/>
    </w:p>
    <w:p>
      <w:pPr>
        <w:pStyle w:val="BookText"/>
        <w:rPr/>
      </w:pPr>
      <w:bookmarkEnd w:id="383"/>
      <w:r>
        <w:rPr>
          <w:rFonts w:ascii="IRNazanin" w:hAnsi="IRNazanin" w:eastAsia="IRNazanin"/>
          <w:color w:val="111111"/>
          <w:sz w:val="28"/>
          <w:sz w:val="28"/>
          <w:szCs w:val="28"/>
          <w:rtl w:val="true"/>
          <w:lang w:bidi="fa-IR"/>
        </w:rPr>
        <w:t>تابعیت خارجی به دست آمده او را باطل کند؛ بلکه منظور این است که ترک تابعیت ایرانی چنین شخصی از نگاه قانون ایران بدون اثر بوده و او همچنان ایرانی است</w:t>
      </w:r>
      <w:r>
        <w:rPr>
          <w:rFonts w:eastAsia="IRNazanin" w:cs="IRNazanin"/>
          <w:color w:val="111111"/>
          <w:sz w:val="28"/>
          <w:szCs w:val="28"/>
          <w:rtl w:val="true"/>
          <w:lang w:bidi="fa-IR"/>
        </w:rPr>
        <w:t>.</w:t>
      </w:r>
    </w:p>
    <w:p>
      <w:pPr>
        <w:pStyle w:val="Heading4"/>
        <w:numPr>
          <w:ilvl w:val="3"/>
          <w:numId w:val="1"/>
        </w:numPr>
        <w:rPr/>
      </w:pPr>
      <w:bookmarkStart w:id="384" w:name="__RefHeading___Toc5261444_581953129"/>
      <w:bookmarkStart w:id="385" w:name="_Toc150"/>
      <w:bookmarkEnd w:id="384"/>
      <w:r>
        <w:rPr>
          <w:rtl w:val="true"/>
        </w:rPr>
        <w:t>ب</w:t>
      </w:r>
      <w:r>
        <w:rPr>
          <w:rtl w:val="true"/>
        </w:rPr>
        <w:t xml:space="preserve">) </w:t>
      </w:r>
      <w:r>
        <w:rPr>
          <w:rtl w:val="true"/>
        </w:rPr>
        <w:t>فروش دارایی های غیرمنقول آنان</w:t>
      </w:r>
      <w:bookmarkEnd w:id="385"/>
    </w:p>
    <w:p>
      <w:pPr>
        <w:pStyle w:val="BookText"/>
        <w:rPr/>
      </w:pPr>
      <w:r>
        <w:rPr>
          <w:rFonts w:ascii="IRNazanin" w:hAnsi="IRNazanin" w:eastAsia="IRNazanin"/>
          <w:color w:val="111111"/>
          <w:sz w:val="28"/>
          <w:sz w:val="28"/>
          <w:szCs w:val="28"/>
          <w:rtl w:val="true"/>
          <w:lang w:bidi="fa-IR"/>
        </w:rPr>
        <w:t>با وجود اینکه قانون‌گذار، این گروه را ایرانی می‌داند، امّا برای آنها در ایران حق مالکیت دارایی‌های غیرمنقول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درباره افرادی که با تصویب هیئت وزیران تابعیت ایران را از خود سلب کرده‌اند، این حق به رسمیت شناخته شده است؛ هرچند از نگاه قانون‌گذار، آنان ایرانی به‌شمار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آن است که قانون‌گذار می‌خواهد افرادی را که به‌طور غیرقانونی تابعیت ایرانی را از خود سلب می‌کنند، مجازات کند</w:t>
      </w:r>
      <w:r>
        <w:rPr>
          <w:rFonts w:eastAsia="IRNazanin" w:cs="IRNazanin"/>
          <w:color w:val="111111"/>
          <w:sz w:val="28"/>
          <w:szCs w:val="28"/>
          <w:rtl w:val="true"/>
          <w:lang w:bidi="fa-IR"/>
        </w:rPr>
        <w:t>.</w:t>
      </w:r>
    </w:p>
    <w:p>
      <w:pPr>
        <w:pStyle w:val="Heading4"/>
        <w:numPr>
          <w:ilvl w:val="3"/>
          <w:numId w:val="1"/>
        </w:numPr>
        <w:rPr/>
      </w:pPr>
      <w:bookmarkStart w:id="386" w:name="__RefHeading___Toc5261446_581953129"/>
      <w:bookmarkStart w:id="387" w:name="_Toc151"/>
      <w:bookmarkEnd w:id="386"/>
      <w:r>
        <w:rPr>
          <w:rtl w:val="true"/>
        </w:rPr>
        <w:t>ج</w:t>
      </w:r>
      <w:r>
        <w:rPr>
          <w:rtl w:val="true"/>
        </w:rPr>
        <w:t xml:space="preserve">) </w:t>
      </w:r>
      <w:r>
        <w:rPr>
          <w:rtl w:val="true"/>
        </w:rPr>
        <w:t>محرومیت از شغل های دولتی</w:t>
      </w:r>
      <w:bookmarkEnd w:id="387"/>
    </w:p>
    <w:p>
      <w:pPr>
        <w:pStyle w:val="BookText"/>
        <w:rPr/>
      </w:pPr>
      <w:r>
        <w:rPr>
          <w:rFonts w:ascii="IRNazanin" w:hAnsi="IRNazanin" w:eastAsia="IRNazanin"/>
          <w:color w:val="111111"/>
          <w:sz w:val="28"/>
          <w:sz w:val="28"/>
          <w:szCs w:val="28"/>
          <w:rtl w:val="true"/>
          <w:lang w:bidi="fa-IR"/>
        </w:rPr>
        <w:t>کسانی که به‌طور غیرقانونی تابعیت ایران را ترک کرده‌اند، اگرچه دولت ایران همچنان آنها را ایرانی می‌داند، ولی از اشتغال به قضاوت، معاونت وزارت، عضویت در مجلس شورای اسلامی، عضویت در انجمن‌های استان، شهر و شهرستان و هریک مشاغل دولتی محروم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این گروه، برای کسانی که با اجازه هیئت وزیران و طبق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تابعیت ایران خارج شده و دوباره بخواهند به تابعیت ایران بازگردند، تقدیم دادخواست کفایت می‌کند؛ مگر اینکه به عللی دولت تابعیت آنها را صلاح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به تابعیت ایران باز می‌گردد، از همه حقوق و امتیازات متعلّق به ایرانیان اصیل برخوردار خواهد بود</w:t>
      </w:r>
      <w:r>
        <w:rPr>
          <w:rFonts w:eastAsia="IRNazanin" w:cs="IRNazanin"/>
          <w:color w:val="111111"/>
          <w:sz w:val="28"/>
          <w:szCs w:val="28"/>
          <w:rtl w:val="true"/>
          <w:lang w:bidi="fa-IR"/>
        </w:rPr>
        <w:t>.</w:t>
      </w:r>
      <w:bookmarkStart w:id="388" w:name="pg5888_36148"/>
    </w:p>
    <w:p>
      <w:pPr>
        <w:pStyle w:val="Heading3"/>
        <w:numPr>
          <w:ilvl w:val="2"/>
          <w:numId w:val="1"/>
        </w:numPr>
        <w:rPr/>
      </w:pPr>
      <w:bookmarkStart w:id="389" w:name="__RefHeading___Toc5261448_581953129"/>
      <w:bookmarkStart w:id="390" w:name="_Toc152"/>
      <w:bookmarkEnd w:id="388"/>
      <w:bookmarkEnd w:id="389"/>
      <w:r>
        <w:rPr/>
        <w:t>5</w:t>
      </w:r>
      <w:r>
        <w:rPr>
          <w:rtl w:val="true"/>
        </w:rPr>
        <w:t xml:space="preserve">- </w:t>
      </w:r>
      <w:r>
        <w:rPr>
          <w:rtl w:val="true"/>
        </w:rPr>
        <w:t xml:space="preserve">موارد ترک تابعیت قانونی، بدون رعایت ماده </w:t>
      </w:r>
      <w:r>
        <w:rPr/>
        <w:t>989</w:t>
      </w:r>
      <w:r>
        <w:rPr>
          <w:rtl w:val="true"/>
        </w:rPr>
        <w:t xml:space="preserve"> </w:t>
      </w:r>
      <w:r>
        <w:rPr>
          <w:rtl w:val="true"/>
        </w:rPr>
        <w:t>قانون مدنی</w:t>
      </w:r>
      <w:bookmarkEnd w:id="390"/>
    </w:p>
    <w:p>
      <w:pPr>
        <w:pStyle w:val="Heading4"/>
        <w:numPr>
          <w:ilvl w:val="3"/>
          <w:numId w:val="1"/>
        </w:numPr>
        <w:rPr/>
      </w:pPr>
      <w:bookmarkStart w:id="391" w:name="__RefHeading___Toc5261450_581953129"/>
      <w:bookmarkStart w:id="392" w:name="_Toc153"/>
      <w:bookmarkEnd w:id="391"/>
      <w:r>
        <w:rPr>
          <w:rtl w:val="true"/>
        </w:rPr>
        <w:t>اشاره</w:t>
      </w:r>
      <w:bookmarkEnd w:id="392"/>
    </w:p>
    <w:p>
      <w:pPr>
        <w:pStyle w:val="BookText"/>
        <w:rPr/>
      </w:pP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این مطلب، به‌صورتِ پراکنده و در بخش‌های گوناگون تابعیت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فقط موارد مختلفی را که ترک تابعیت می‌تواند بدون رعایت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به‌صورتِ قانونی انجام شود دسته‌بندی کرده، مورد بحث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به‌طور کلّی به دو دسته تقسیم می‌شود</w:t>
      </w:r>
      <w:r>
        <w:rPr>
          <w:rFonts w:eastAsia="IRNazanin" w:cs="IRNazanin"/>
          <w:color w:val="111111"/>
          <w:sz w:val="28"/>
          <w:szCs w:val="28"/>
          <w:rtl w:val="true"/>
          <w:lang w:bidi="fa-IR"/>
        </w:rPr>
        <w:t>:</w:t>
      </w:r>
    </w:p>
    <w:p>
      <w:pPr>
        <w:pStyle w:val="Heading4"/>
        <w:numPr>
          <w:ilvl w:val="3"/>
          <w:numId w:val="1"/>
        </w:numPr>
        <w:rPr/>
      </w:pPr>
      <w:bookmarkStart w:id="393" w:name="__RefHeading___Toc5261452_581953129"/>
      <w:bookmarkStart w:id="394" w:name="_Toc154"/>
      <w:bookmarkEnd w:id="393"/>
      <w:r>
        <w:rPr>
          <w:rtl w:val="true"/>
        </w:rPr>
        <w:t>الف</w:t>
      </w:r>
      <w:r>
        <w:rPr>
          <w:rtl w:val="true"/>
        </w:rPr>
        <w:t xml:space="preserve">) </w:t>
      </w:r>
      <w:r>
        <w:rPr>
          <w:rtl w:val="true"/>
        </w:rPr>
        <w:t>موارد خروج از تابعیت در ایران در فاصله سنّی هجده تا نوزده سالگی</w:t>
      </w:r>
      <w:bookmarkEnd w:id="394"/>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درج شده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اشخاص مذکور در بند چهارم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سن هجده سال تمام بخواهند تابعیت پدر خود را قبول کنند، باید ظرف یک‌سال درخواستی کتبی به ضمیمه تصدیق دولت متبوع پدرشان، دایر به اینکه آنها را تبعه خود خواهند شناخت، به وزارت امور خارجه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درج شده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اشخاص مذکور در بند پنجم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سن هجده سال تمام بخواهند به تابعیت پدر خود باقی بمانند، باید ظرف یک‌سال درخواستی کتبی به ضمیمه تصدیق دولت متبوع پدرشان، دایر به اینکه آنها را تبعه خود خواهد شناخت، به وزارت امور خارجه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درج شده در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صغیر کسانی که بر طبق این قانون تحصیل تابعیت ایران می‌کنند، تبعه دولت ایران شناخته می‌شوند؛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خردسال در ظرف یک‌سال از تاریخ رسیدن به سن هجده سال تمام می‌توانند اظهاریه کتبی به وزارت امور خارجه داده و تابعیت مملکت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را قبول کند؛ لیکن به اظهاریه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ذکور و 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تصدیق مذکور در ماده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شود</w:t>
      </w:r>
      <w:r>
        <w:rPr>
          <w:rFonts w:eastAsia="IRNazanin" w:cs="IRNazanin"/>
          <w:color w:val="111111"/>
          <w:sz w:val="28"/>
          <w:szCs w:val="28"/>
          <w:rtl w:val="true"/>
          <w:lang w:bidi="fa-IR"/>
        </w:rPr>
        <w:t>.</w:t>
      </w:r>
      <w:bookmarkStart w:id="395" w:name="pg5888_36149"/>
    </w:p>
    <w:p>
      <w:pPr>
        <w:pStyle w:val="Heading4"/>
        <w:numPr>
          <w:ilvl w:val="3"/>
          <w:numId w:val="1"/>
        </w:numPr>
        <w:rPr/>
      </w:pPr>
      <w:bookmarkStart w:id="396" w:name="__RefHeading___Toc5261454_581953129"/>
      <w:bookmarkStart w:id="397" w:name="_Toc155"/>
      <w:bookmarkEnd w:id="395"/>
      <w:bookmarkEnd w:id="396"/>
      <w:r>
        <w:rPr>
          <w:rtl w:val="true"/>
        </w:rPr>
        <w:t>ب</w:t>
      </w:r>
      <w:r>
        <w:rPr>
          <w:rtl w:val="true"/>
        </w:rPr>
        <w:t xml:space="preserve">) </w:t>
      </w:r>
      <w:r>
        <w:rPr>
          <w:rtl w:val="true"/>
        </w:rPr>
        <w:t>موارد خروج از تابعیت ایران در پیوند با ازدواج یا انحلال ازدواج</w:t>
      </w:r>
      <w:bookmarkEnd w:id="397"/>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درج شده در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ایرانی که با تبعه خارجه مزاوجت می‌کند، به تابعیت ایرانی خود باقی خواهد ماند؛ مگر اینکه مطابق قانون مملکت زوج، تابعیت شوهر به واسطه وقوع عقد ازدواج به زوجه تحمیل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طبق تبصره یکم ماده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قانون تابعیت مملکت زوج، زن را بین حفظ تابعیت اصلی و تابعیت زوج مخیر بگذارد، در این مورد، زن ایرانی که بخواهد تابعیت مملکت زوج را دارا شود و علل موجّهی هم برای تقاضای خود در دست داشته باشد، به شرط تقدیم تقاضانامه کتبی به وزارت امور خارجه، ممکن است با تقاضای او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درج شده در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طبق این قانون تحصیل تابعیت ایران می‌کنند، تبعه دولت ایران شناخته می‌شوند؛ ولی زن در ظرف یک‌سال از تاریخ صدور سند تابعیت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اظهاریه کتبی به وزارت امور خارجه داده و تابعیت مملکت سابق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درج شده در ماده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غیر ایرانی که در نتیجه ازدواج ایرانی می‌شود، می‌تواند بعد از طلاق یا فوت شوهر ایرانی به تابعیت اول خود رجوع کند؛ مشروط بر اینکه وزارت امور خارجه را مطلع کند؛ ولی هر زن شوهر مرده‌ای که از شوهر سابق خود اولاد دارد، نمی‌تواند مادام که اولاد او به سن هجده سال تمام نرسیده، از این حق استفاده کند</w:t>
      </w:r>
      <w:r>
        <w:rPr>
          <w:rFonts w:eastAsia="IRNazanin" w:cs="IRNazanin"/>
          <w:color w:val="111111"/>
          <w:sz w:val="28"/>
          <w:szCs w:val="28"/>
          <w:rtl w:val="true"/>
          <w:lang w:bidi="fa-IR"/>
        </w:rPr>
        <w:t>.</w:t>
      </w:r>
    </w:p>
    <w:p>
      <w:pPr>
        <w:pStyle w:val="Heading3"/>
        <w:numPr>
          <w:ilvl w:val="2"/>
          <w:numId w:val="1"/>
        </w:numPr>
        <w:rPr/>
      </w:pPr>
      <w:bookmarkStart w:id="398" w:name="__RefHeading___Toc5261456_581953129"/>
      <w:bookmarkStart w:id="399" w:name="_Toc156"/>
      <w:bookmarkEnd w:id="398"/>
      <w:r>
        <w:rPr/>
        <w:t>6</w:t>
      </w:r>
      <w:r>
        <w:rPr>
          <w:rtl w:val="true"/>
        </w:rPr>
        <w:t xml:space="preserve">- </w:t>
      </w:r>
      <w:r>
        <w:rPr>
          <w:rtl w:val="true"/>
        </w:rPr>
        <w:t>بازگشت به تابعیت ایران</w:t>
      </w:r>
      <w:bookmarkEnd w:id="39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تحصیل تابعیت یا ترک تابعیت، برای بازگشت به تابعیت ایران، به</w:t>
      </w:r>
    </w:p>
    <w:p>
      <w:pPr>
        <w:pStyle w:val="BookText"/>
        <w:rPr/>
      </w:pPr>
      <w:r>
        <w:rPr>
          <w:rFonts w:ascii="IRNazanin" w:hAnsi="IRNazanin" w:eastAsia="IRNazanin"/>
          <w:color w:val="111111"/>
          <w:sz w:val="28"/>
          <w:sz w:val="28"/>
          <w:szCs w:val="28"/>
          <w:rtl w:val="true"/>
          <w:lang w:bidi="fa-IR"/>
        </w:rPr>
        <w:t>تشریفات گسترده‌ای نیاز نیست و قانون‌گذار فقط به درخواست اشخاص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قانون‌گذار درباره اینکه درخواست باید به چه مرکزی ارائه شود، ساکت است؛ ولی به نظر می‌رسد مانند موارد گذشته، وزارت امور خارجه مرجع دریافت درخواست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پرسش مطرح است که تقدیم درخواست به تنهایی کافی است، یا دولت مانند موارد قبل، حق تصمیم دارد و می‌تواند درخواست بازگشت به تابعیت ایران را رد کند؟</w:t>
      </w:r>
    </w:p>
    <w:p>
      <w:pPr>
        <w:pStyle w:val="BookText"/>
        <w:rPr/>
      </w:pPr>
      <w:r>
        <w:rPr>
          <w:rFonts w:ascii="IRNazanin" w:hAnsi="IRNazanin" w:eastAsia="IRNazanin"/>
          <w:color w:val="111111"/>
          <w:sz w:val="28"/>
          <w:sz w:val="28"/>
          <w:szCs w:val="28"/>
          <w:rtl w:val="true"/>
          <w:lang w:bidi="fa-IR"/>
        </w:rPr>
        <w:t>دراین‌باره باید قائل به تفکیک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ایرانی اصیل بوده و به‌صورتِ قانونی تابعیت ایران را ترک کرده‌اند و می‌خواهند دوباره به تابعیت ایران بازگردند، دو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ایرانی که برابر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تابعیت ایران را ترک کرده باشد، می‌تواند با ارائه درخواست خود به وزارت امور خارجه، به تابعیت ایرانی برگردد؛ مگر آنکه بازگشت وی به تابعیت ایران به صلاح دولت نباشد و هیئت دولت آن را به مصلحت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ماده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ایرانی کسانی که خود یا پدرشان موافق مقررات، تبدیل تابعیت کرده باشند و بخواهند به تابعیت اصلیه خود رجوع کنند، به مجرد درخواست، به تابعیت ایران قبول خواهند شد؛ مگر آنکه دولت تابعیت آنها را صلاح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ماده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شرایط چهارگانه زیر برای بازگشت به تابعیت ایران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اصیل باشد و قبل از ترک تابعیت ایران، تابعیت اواصلی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بودن عمل تبعه در تبدیل تابعیت ایرانی خود به تابعیت بیگانه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وی از دولت</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دولت ایران بازگشت وی به تابعیت ایران مخالف مصلحت نباشد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درباره شرط مخالف مصلحت تلقّی نشدن درخواست از سوی دولت، باید گفت که این شرط به نظر مبهم است و معلوم نیست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پایه مصلحت‌اندیشی دولت، سنجش وضعیت درخواست‌کننده در مدّتی که او از تابعیت ایران بیرون بوده است و حدود احراز شایستگی وی برای به‌دست‌آوردن دوباره تابعیت ایران است، که نتیجه عدم احراز آن، بی‌اثر شدن درخواست تبعه می‌شود؟ یا دولت می‌تواند دراین‌باره جنبه‌های بیرون از شایستگی شخصی را نیز ملاک قرار دهد</w:t>
      </w:r>
      <w:r>
        <w:rPr>
          <w:rFonts w:eastAsia="IRNazanin" w:cs="IRNazanin"/>
          <w:color w:val="111111"/>
          <w:sz w:val="28"/>
          <w:szCs w:val="28"/>
          <w:rtl w:val="true"/>
          <w:lang w:bidi="fa-IR"/>
        </w:rPr>
        <w:t>.</w:t>
      </w:r>
      <w:r>
        <w:rPr>
          <w:rStyle w:val="FootnoteAnchor"/>
          <w:rtl w:val="true"/>
        </w:rPr>
        <w:footnoteReference w:id="24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درهرحال، با وجود سهولتی که برای بازگشت به تابعیت ایران وجود دارد، قانون‌گذار برای دولت، حق وتو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می‌تواند با توجّه به انگیزه‌ها و دلایلی، تابعیت ایرانی شخص را صلاح نداند و او را به تابعیت خود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وی نمی‌تواند به تابعیت ایران بازگردد؛ برای نمونه، ممکن است تبعه ایرانی که برابر مقررات، ترک تابعیت کرده است، تمام توان و دارایی‌اش را در کشور دیگر صرف کرده و به هنگام ناتوانی و ناداری، بخواهد به تابعیت ایران بازگردد و دولت مصلحت نداند که چنین رویه‌ای استمرار پیدا کند؛ یا ممکن است بازگشت تبعه‌اش که در خارج، عملیات جاسوسی را به نفع کشوری عهده‌دار بوده است، باعث تیرگی روابط ایران با دولت‌هایی شود، که ممکن است با بازگشت او مخالفت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دولت انگیزه‌ها و دلایل موافقت نکردن خود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 بازگشت به تابعیت هم نمی‌تواند از تصمیم دولت شکایت کند و تجدید رسیدگی را بخواهد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ایرانی که به سبب ازدواج با شوهر خارجی، به تابعیت خارجی درآمده و تابعیت خارجی او نیز به رسمیت شناخته شده است، می‌تواند همزمان با درخواست از وزارت امور خارجه و بدون نیاز به تأیید هیئت دولت، به تابعیت ایران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پس از وفات شوهر و یا جدایی، فقط با ارائه درخواست به وزارت خارجه، تابعیت اصلی با همه حقوق و امتیازات مربوط به آن، دوباره به او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مورد گروه دوم، حق وتو ندارد و آنان فقط با ارائه درخواست می‌توانند تابعیت ایران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تابعیت ایران را ترک می‌کند، دیگر ایرانی نبوده، بیگانه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نسبت به دارایی‌های غیرمنقول زن ایرانی که به سبب ازدواج با تبعه خارجی، تابعیت ایرانی خود را از دست می‌دهد، محدودیت ایجاد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مردی تابعیت ایران را ترک کند، ترک تابعیت او شامل همسر و فرزندان وی نمی‌شود؛ مگر اینکه ترک تابعیت او شامل زن و فرزندان نیز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زن ایرانی بی‌شوهر، تابعیت خود را ترک کند، دولت می‌تواند ترک تابعیت فرزندان او را نیز که فاقد پدر و جد پدری‌اند و کمتر از هجده سال تمام دارند و یا به انگیزه‌های دیگری محجورند،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زن یادشده نیز که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نرسیده باشند، می‌توانند به پیروی از درخواست مادر، ترک تابعیت خود را تقاضا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فردی به‌صورتِ غیرقانونی، تابعیت ایران را ترک کرده باشد، دولت ایران تابعیت خارجی او را بی‌اعتبار می‌داند و وی حق مالکیت دارایی‌های غیرمنقول را نخواهد داشت و از داشتن مشاغل دولتی نیز محروم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ممکن است شخصی بدون رعایت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تابعیت ایرانی خویش را ترک کند؛ با وجود این، ترک تابعیت وی قانونی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ایرانی که طبق قانون، تابعیت ایرانی را ترک کرده باشد، برای بازگشت به تابعیت ایران به تشریفات مفصّلی نیاز ندارد و می‌تواند با تقدیم درخواست خود به وزارت امور خارجه به تابعیت ایرانی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ترک تابعیت ایران را نسبت به خود شخص و نیز خانواده‌اش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زن ایرانی بی‌شوهر، تابعیت ایران را ترک کند، با چه شرایطی ترک تابعیت او شامل فرزندان وی نیز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ترک تابعیت ایران که به‌صورتِ غیرقانونی صورت گرفته است، چیست؟</w:t>
      </w:r>
    </w:p>
    <w:p>
      <w:pPr>
        <w:pStyle w:val="BookText"/>
        <w:rPr/>
      </w:pPr>
      <w:r>
        <w:rPr>
          <w:rFonts w:ascii="IRNazanin" w:hAnsi="IRNazanin" w:eastAsia="IRNazanin"/>
          <w:color w:val="111111"/>
          <w:sz w:val="28"/>
          <w:sz w:val="28"/>
          <w:szCs w:val="28"/>
          <w:rtl w:val="true"/>
          <w:lang w:bidi="fa-IR"/>
        </w:rPr>
        <w:t xml:space="preserve">موارد ترک تابعیت ایران را که ممکن است بدون رعایت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 در فاصله سنی هجده تا نوزده سالگی اتفاق بیافتد،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ترک تابعیت ایران را که ممکن است بدون رعایت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 در ارتباط با ازدواج یا انحلال ازدواج اتفاق بیافتد،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از افرادی را که ممکن است دوباره به تابعیت ایران بازگردند،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ملزم به پذیرش درخواست آنان هست یا نه؟</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ترک تابعیت را نسبت به خود شخص، از نظر قانون سایر کشورهای اسلامی مورد بررسی و تحلیل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اثر ترک تابعیت را نسبت به خانواده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قوانین کشورهای اروپایی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ترک تابعیت به‌صورتِ غیرقانونی از نظر قوانین ایران و سایر کشورها بررسی تطبیقی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قانون فرانسه، سن قانونی برای پذیرش تابعیت آن دولت، باید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یک نفر ایرانی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تابعیت فرانسه را تقاضا کند، در صورتی که از لحاظ قانون فرانسه واجد سایر شرایط لازم برای تحصیل تابعیت باشد، از نظر قاضی ایرانی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فرانسوی این شخص باطل و ترک تابعیت ایرانی او به‌طور کامل صحیح 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فرانسوی این شخص معتبر و ترک تابعیت ایرانی وی باطل و فاقد اعتبار بوده و هنوز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فرانسوی و ترک تابعیت ایرانی وی باطل و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فرانسوی و ترک تابعیت ایرانی او به‌طور کامل معتبر و صحیح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تابعیت ایران را ترک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تابعیت ایران خارج می‌شود؛ ولی فرزندان به پیروی از پدر، از تابعیت ایران خارج نمی‌شوند و باید درخواست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 خردسال وی از تابعیت ایران خارج می‌شوند؛ ولی فرزند بزرگسال وی به تابعیت ایران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 بزرگسال وی از تابعیت ایران خارج می‌شوند؛ ولی فرزند خردسال او تا رسیدن به سن هجده سالگی تبعه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 و بزرگسال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تبعیت ایران خارج نمی‌شوند؛ مگر اینکه اجازه هیئت وزیران شامل آنها نیز بشود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زن ایرانی بی‌شوهر که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نرسیده‌اند،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پیروی از درخواست مادر، تقاضای ترک تابعیت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 امکان ترک تابعیت برای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ارائه درخواست کتبی به همراه علل موجّه به وزارت امور خارجه، ممکن است با تقاضای ایشان موافقت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یک‌سال پیش از رسیدن به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می‌توانند درخواست کتبی خود را به وزارت امور خارجه ارائه داده، ترک تابعیت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شرایط ترک تابعیت ایران، داشتن اهلیت لازم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مذکور به کدام‌یک از شرایط ترک تابعیت مربوط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تعهدات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نمی‌تواند آزادانه تابعیت خود را ترک کند؛ ولی می‌تواند آزادانه تابعیت جدیدی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نمی‌تواند آزادانه تابعیت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نمی‌تواند آزادانه تابعیت جدیدی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آزادانه تابعیت خود را ترک کند؛ ولی نمی‌تواند آزادانه تابعیت جدیدی به دست آورد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آزادانه تابعیت خود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آزادانه تابعیت جدیدی را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ایرانی برای ترک تابعیت ایران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افراد زیر به پیروی از او از تابعیت ایران خارج می‌شوند؟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خردسال زیر هجده سال او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بزرگسال او</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ایرانی بی‌شوهری که برابر مقررات قانونی، تابعیت ایران را ترک کرده و سپس در کشور دیگری، مردی غیر ایرانی را به همسری برگزیده است، در چه صورتی می‌تواند به تابعیت ایران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دولت صلاح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شوهر او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شوهر طلاق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شوهر او مخالفت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تابعیت زن ایرانی دارای شوهر، به لحاظ قانونی چگونه امکان‌پذیر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خود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 خود او به شرط موافقت شوهر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ترک تابعیت ایران از سوی شوهر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تابعیت خارجی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ایرانیانی که برابر مقررات، تابعیت ایران را ترک کرده باشند، بازگشت به تابعیت اصلی چه اثری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از حقوق خصوصی بهره‌مند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از حقوق سیاسی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مدنی مخصوصه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حقوق بهره‌مند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تبعه ایرانی که برابر قانون ایران تابعیت خود را ترک می‌کند و برابر ماده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به تابعیت اصلی خود بازمی‌گردد، از کدام حقوق محروم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پیش از ترک تابعیت از آن محروم بوده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مخصوصه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سیاسی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غیر سیاسی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ترک تابعیت ایران شامل چه کسانی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اثر تبعی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فرزندان شخص ترک کننده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همسر شخص ترک کننده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فرزندان کسی که تابعیت ایران را ترک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وی بزرگسال باشند، از تابعیت ایرانی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وی خردسال باشند، از تابعیت ایرانی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فرزندان وی بزرگسال باشند، از تابعیت ایرانی خارج نمی‌شوند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فرزندان وی خردسال باشند، از تابعیت ایرانی خارج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یک ایرانی بدون ترک تابعیت ایران، تابعیت خارجی دریافت کند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خارجی او در ایران به رسمیت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او سلب و تابعیت خارجی او بی‌اعتبار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خارجی او بی‌اعتبار تلقّی می‌شود و تبعه ایران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خارجی او در ایران در صورتی به رسمیت شناخته می‌شود که حداقل پنج سال پیشینه اقامت در کشور خارجی یادشده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گزینه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قانون ایران، شخص خارجی که تابعیت ایران را کسب کرده، تابعیت خارجی او نیز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قانون ایران، تابعیت خارجی ایرانی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قانون ایران، تابعیت مضاعف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خارجی ایرانیانی که خلاف مقررات، آن را کسب کرده‌اند، بی‌اعتبار تلقّی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ایرانی که به تابعیت کشور خارجی درآمده است، طبق قانون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ایران دارایی غیرمنقول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بدون دریافت روادید وارد ایران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خارجی او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خارجی او سلب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هیچ ایرانی نمی‌توان سلب تابعیت کرد، مگر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جنایتی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تابعیت دولت دیگری درآمده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سیاسی مرتکب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خانواده‌اش تابعیت ایران را ترک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گزینه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ترک تابعیت ایران، تابعیت خارجی را کسب کرده است، ممکن است تابعیت خارجی او بی‌اعتبار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صورتی نمی‌توان بدون ترک تابعیت ایران، تابعیت خارجی را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تابعیت خارجی، بدون ترک تابعیت ایرانی ممکن است به سلب تابعیت ایرانی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تابعیت خارجی با داشتن تابعیت ایران منافات ندارد و هر دو از نظر قانون تابعیت ایران معتبر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 تابعیت مرد ایرانی چه تأثیری بر تابعیت زن و فرزندان او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 او نیز به پیروی از وی از تابعیت ایران خارج می‌شوند؛ امّا تا یک‌سال می‌توانند اعلام کنند که می‌خواهند به تابعیت ایران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وی و فرزندانی که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دارند، به پیروی از او از تابعیت ایران خارج می‌شوند؛ امّا فرزندان بالای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خودشان باید درخواست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تغییر تابعیت فرزندان زیر هجده سال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هیچ تأثیری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بازگشت به تابعیت ایران برای زن ایرانی بی‌شوهری که با اجازه دولت ترک تابعیت کرده و پس از دریافت تابعیت خارجی، با یک مرد خارجی</w:t>
      </w:r>
    </w:p>
    <w:p>
      <w:pPr>
        <w:pStyle w:val="BookText"/>
        <w:rPr/>
      </w:pPr>
      <w:r>
        <w:rPr>
          <w:rFonts w:ascii="IRNazanin" w:hAnsi="IRNazanin" w:eastAsia="IRNazanin"/>
          <w:color w:val="111111"/>
          <w:sz w:val="28"/>
          <w:sz w:val="28"/>
          <w:szCs w:val="28"/>
          <w:rtl w:val="true"/>
          <w:lang w:bidi="fa-IR"/>
        </w:rPr>
        <w:t xml:space="preserve">ازدواج کرده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دولت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دولت خارجی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شوهر خارجی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یا فوت شوهر خارجی</w:t>
      </w:r>
      <w:bookmarkStart w:id="400" w:name="pg5888_36164"/>
    </w:p>
    <w:p>
      <w:pPr>
        <w:pStyle w:val="Heading2"/>
        <w:numPr>
          <w:ilvl w:val="1"/>
          <w:numId w:val="1"/>
        </w:numPr>
        <w:rPr/>
      </w:pPr>
      <w:bookmarkStart w:id="401" w:name="__RefHeading___Toc5261458_581953129"/>
      <w:bookmarkStart w:id="402" w:name="_Toc157"/>
      <w:bookmarkEnd w:id="400"/>
      <w:bookmarkEnd w:id="401"/>
      <w:r>
        <w:rPr/>
        <w:t>10</w:t>
      </w:r>
      <w:r>
        <w:rPr>
          <w:rtl w:val="true"/>
        </w:rPr>
        <w:t xml:space="preserve"> - </w:t>
      </w:r>
      <w:r>
        <w:rPr>
          <w:rtl w:val="true"/>
        </w:rPr>
        <w:t>تابعیت اشخاص حقوقی</w:t>
      </w:r>
      <w:bookmarkEnd w:id="402"/>
    </w:p>
    <w:p>
      <w:pPr>
        <w:pStyle w:val="Heading3"/>
        <w:numPr>
          <w:ilvl w:val="2"/>
          <w:numId w:val="1"/>
        </w:numPr>
        <w:rPr/>
      </w:pPr>
      <w:bookmarkStart w:id="403" w:name="__RefHeading___Toc5261460_581953129"/>
      <w:bookmarkStart w:id="404" w:name="_Toc158"/>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تعریف اشخاص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انواع اشخاص حقوقی؛ یعنی اشخاص حقوقی حقوق عمومی و اشخاص حقوقی حقوق خصوصی؛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تشخیص تابعیت اشخاص حقوقی؛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دیدگاه‌های مهم درباره وجود یا وجود نداشتن شخص حقوقی؛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راه‌حل‌های پیشنهادی مربوط به تعیین تابعیت اشخاص حقوقی؛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ضابطه تعیین تابعیت اشخاص حقوقی در قوانین 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استثناهایی در تعیین تابعیت اشخاص حقوقی در ایران؛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تابعیت مضاعف اشخاص حقوقی؛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چگونگی تغییر تابعیت اشخاص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آنچه تاکنون درباره تابعیت بیان شد، پیرامون اشخاص حقیقی، یعنی افراد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گفتار، درباره تابعیت اشخاص حقوقی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اتفاق می‌افتد که به انگیزه‌ای گروهی از مردم با هدفی معین گرد هم جمع می‌شوند و شخصیتی به‌وجود می‌آورند که به شخصیت هیچ‌یک از تشکیل دهندگان آن بستگی ندارد و دارای حقوق و تکالیفی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توجه به دگرگونی‌های سریع و نقش مهمی که اشخاص حقوقی در</w:t>
      </w:r>
      <w:bookmarkStart w:id="405" w:name="pg5888_36165"/>
    </w:p>
    <w:p>
      <w:pPr>
        <w:pStyle w:val="BookText"/>
        <w:rPr/>
      </w:pPr>
      <w:bookmarkEnd w:id="405"/>
      <w:r>
        <w:rPr>
          <w:rFonts w:ascii="IRNazanin" w:hAnsi="IRNazanin" w:eastAsia="IRNazanin"/>
          <w:color w:val="111111"/>
          <w:sz w:val="28"/>
          <w:sz w:val="28"/>
          <w:szCs w:val="28"/>
          <w:rtl w:val="true"/>
          <w:lang w:bidi="fa-IR"/>
        </w:rPr>
        <w:t>ایجاد روابط حقوقی بین کشورها دارند، باید نسبت به وضع مقررات خاص در این‌باره اقدامی بایسته صورت گیرد</w:t>
      </w:r>
      <w:r>
        <w:rPr>
          <w:rFonts w:eastAsia="IRNazanin" w:cs="IRNazanin"/>
          <w:color w:val="111111"/>
          <w:sz w:val="28"/>
          <w:szCs w:val="28"/>
          <w:rtl w:val="true"/>
          <w:lang w:bidi="fa-IR"/>
        </w:rPr>
        <w:t>.</w:t>
      </w:r>
    </w:p>
    <w:p>
      <w:pPr>
        <w:pStyle w:val="Heading3"/>
        <w:numPr>
          <w:ilvl w:val="2"/>
          <w:numId w:val="1"/>
        </w:numPr>
        <w:rPr/>
      </w:pPr>
      <w:bookmarkStart w:id="406" w:name="__RefHeading___Toc5261462_581953129"/>
      <w:bookmarkStart w:id="407" w:name="_Toc159"/>
      <w:bookmarkEnd w:id="406"/>
      <w:r>
        <w:rPr/>
        <w:t>1</w:t>
      </w:r>
      <w:r>
        <w:rPr>
          <w:rtl w:val="true"/>
        </w:rPr>
        <w:t xml:space="preserve">- </w:t>
      </w:r>
      <w:r>
        <w:rPr>
          <w:rtl w:val="true"/>
        </w:rPr>
        <w:t>تعریف اشخاص حقوقی و انواع آن</w:t>
      </w:r>
      <w:bookmarkEnd w:id="407"/>
    </w:p>
    <w:p>
      <w:pPr>
        <w:pStyle w:val="Heading4"/>
        <w:numPr>
          <w:ilvl w:val="3"/>
          <w:numId w:val="1"/>
        </w:numPr>
        <w:rPr/>
      </w:pPr>
      <w:bookmarkStart w:id="408" w:name="__RefHeading___Toc5261464_581953129"/>
      <w:bookmarkStart w:id="409" w:name="_Toc160"/>
      <w:bookmarkEnd w:id="408"/>
      <w:r>
        <w:rPr>
          <w:rtl w:val="true"/>
        </w:rPr>
        <w:t>اشاره</w:t>
      </w:r>
      <w:bookmarkEnd w:id="409"/>
    </w:p>
    <w:p>
      <w:pPr>
        <w:pStyle w:val="BookText"/>
        <w:rPr/>
      </w:pPr>
      <w:r>
        <w:rPr>
          <w:rFonts w:ascii="IRNazanin" w:hAnsi="IRNazanin" w:eastAsia="IRNazanin"/>
          <w:color w:val="111111"/>
          <w:sz w:val="28"/>
          <w:sz w:val="28"/>
          <w:szCs w:val="28"/>
          <w:rtl w:val="true"/>
          <w:lang w:bidi="fa-IR"/>
        </w:rPr>
        <w:t>به‌طور کلی، اشخاص حقوقی را می‌توان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اشخاص حقوقی عبارت‌اند از دسته‌هایی از افراد انسان که قانون‌گذار برای امکان فعّالیت و پیشرفت هدف این دسته‌ها، آنها را یک وجود حقوقی مستقل می‌شناسد؛ یعنی برای آنها حقوق و تکالیفی مانند حقوق و تکالیف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می‌شود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همچنین در تعریف اشخاص حقوقی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اشخاص حقوقی، از اجتماع، تشکّل و همبستگی افراد انسانی یا اشخاص حقیقی برای انجام هدفی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انتفاعی یا غیر انتفاعی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و مقررات قانونی به‌وجود می‌آید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از نگاه قانون‌گذار ایرانی، شخصیت حقوقی پذیرفته شده و ماده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برای اشخاص حقوقی، اهلیت مدنی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حقوقی می‌تواند دارای کلیه حقوق و تکالیفی شود که قانون برای افراد قائل شده است؛ مگر وظایفی که بالطبیعه فقط انسان ممکن است دارای آن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وظایف ابوّت و بنوّت و امثال ذلک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اشخاص حقوقی، موجودات طبیعی و مادی نظیر انسان نیستند و حقوق و تکالیف طبیعی مانند انسان ندارند؛ بلکه بر اساس اعتبار و فرض قانونی به آنها اجازه داشتن دارایی و مالکیت اموال منقول و غیرمنقول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می‌توانند از منابع اختصاصی خود در مراجع صلاحیت‌دار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خواهان یا</w:t>
      </w:r>
      <w:bookmarkStart w:id="410" w:name="pg5888_36166"/>
    </w:p>
    <w:p>
      <w:pPr>
        <w:pStyle w:val="BookText"/>
        <w:rPr/>
      </w:pPr>
      <w:bookmarkEnd w:id="410"/>
      <w:r>
        <w:rPr>
          <w:rFonts w:ascii="IRNazanin" w:hAnsi="IRNazanin" w:eastAsia="IRNazanin"/>
          <w:color w:val="111111"/>
          <w:sz w:val="28"/>
          <w:sz w:val="28"/>
          <w:szCs w:val="28"/>
          <w:rtl w:val="true"/>
          <w:lang w:bidi="fa-IR"/>
        </w:rPr>
        <w:t xml:space="preserve">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کرده، به انعقاد قرارداد و پذیرش تعهدات مالی مبادرت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در همه کشورهای دنیا، قوانین و مقرراتی درباره اشخاص حقوقی پیش‌بینی شده است، که این نشان‌دهنده پذیرش اشخاص حقوقی در سطح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 حقوقی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حقوقی حقوق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حقوقی حقوق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درباره هریک و به اختصار توضیح می‌دهیم</w:t>
      </w:r>
      <w:r>
        <w:rPr>
          <w:rFonts w:eastAsia="IRNazanin" w:cs="IRNazanin"/>
          <w:color w:val="111111"/>
          <w:sz w:val="28"/>
          <w:szCs w:val="28"/>
          <w:rtl w:val="true"/>
          <w:lang w:bidi="fa-IR"/>
        </w:rPr>
        <w:t>:</w:t>
      </w:r>
    </w:p>
    <w:p>
      <w:pPr>
        <w:pStyle w:val="Heading4"/>
        <w:numPr>
          <w:ilvl w:val="3"/>
          <w:numId w:val="1"/>
        </w:numPr>
        <w:rPr/>
      </w:pPr>
      <w:bookmarkStart w:id="411" w:name="__RefHeading___Toc5261466_581953129"/>
      <w:bookmarkStart w:id="412" w:name="_Toc161"/>
      <w:bookmarkEnd w:id="411"/>
      <w:r>
        <w:rPr>
          <w:rtl w:val="true"/>
        </w:rPr>
        <w:t>الف</w:t>
      </w:r>
      <w:r>
        <w:rPr>
          <w:rtl w:val="true"/>
        </w:rPr>
        <w:t xml:space="preserve">) </w:t>
      </w:r>
      <w:r>
        <w:rPr>
          <w:rtl w:val="true"/>
        </w:rPr>
        <w:t>اشخاص حقوقی حقوق عمومی</w:t>
      </w:r>
      <w:bookmarkEnd w:id="412"/>
    </w:p>
    <w:p>
      <w:pPr>
        <w:pStyle w:val="BookText"/>
        <w:rPr/>
      </w:pPr>
      <w:r>
        <w:rPr>
          <w:rFonts w:ascii="IRNazanin" w:hAnsi="IRNazanin" w:eastAsia="IRNazanin"/>
          <w:color w:val="111111"/>
          <w:sz w:val="28"/>
          <w:sz w:val="28"/>
          <w:szCs w:val="28"/>
          <w:rtl w:val="true"/>
          <w:lang w:bidi="fa-IR"/>
        </w:rPr>
        <w:t>اشخاصی هستند که به دولت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شناسایی شخصیت حقوقی برای یک دولت، خودبه‌خود اشخاص حقوقی مربوط به آن دولت نیز دارای شخصیت حقوقی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حقوقی وابسته به دولت، مانند مؤسّسه‌ها و سازمان‌های دولتی، دارای شخصیت حقوقی مستقل هستند، از استقلال مالی و اداری برخوردارند و می‌توانند تعهدات و مسؤولیت‌هایی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چگونگی تأسیس مؤسسّه‌ها و سازمان‌های دولتی، مانند شهرداری‌ها، دانشگاه‌ها، راه آهن، شرکت ملّی نفت ایران، سازمان آب منطقه‌ای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 که آنها برای انجام فعالیت و ارائه خدمات، نیازی به ثبت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مؤسسّه‌ها و تشکیلات دولتی و بلدی به محض ایجاد، بدون احتیاج به ثبت دارای شخصیت حقوقی هستند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نخستین اصل درباره ایجاد مؤسسّه‌ها و سازمان‌های دولتی، نیاز نداشتن به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ممکن است ثبت برخی تشکیلات دولتی با</w:t>
      </w:r>
      <w:bookmarkStart w:id="413" w:name="pg5888_36167"/>
    </w:p>
    <w:p>
      <w:pPr>
        <w:pStyle w:val="BookText"/>
        <w:rPr/>
      </w:pPr>
      <w:bookmarkEnd w:id="413"/>
      <w:r>
        <w:rPr>
          <w:rFonts w:ascii="IRNazanin" w:hAnsi="IRNazanin" w:eastAsia="IRNazanin"/>
          <w:color w:val="111111"/>
          <w:sz w:val="28"/>
          <w:sz w:val="28"/>
          <w:szCs w:val="28"/>
          <w:rtl w:val="true"/>
          <w:lang w:bidi="fa-IR"/>
        </w:rPr>
        <w:t>قوانین ویژه‌ای الزامی باشد؛ برای نمونه، به موجب ماده یک آیین‌نامه قانون تأسیس شرکت اتوبوسرانی، شرکت سهامی اتوبوسرانی عمومی، باید بر اساس مقررات قانون تجارت به ثبت برسد</w:t>
      </w:r>
      <w:r>
        <w:rPr>
          <w:rFonts w:eastAsia="IRNazanin" w:cs="IRNazanin"/>
          <w:color w:val="111111"/>
          <w:sz w:val="28"/>
          <w:szCs w:val="28"/>
          <w:rtl w:val="true"/>
          <w:lang w:bidi="fa-IR"/>
        </w:rPr>
        <w:t>.</w:t>
      </w:r>
    </w:p>
    <w:p>
      <w:pPr>
        <w:pStyle w:val="Heading4"/>
        <w:numPr>
          <w:ilvl w:val="3"/>
          <w:numId w:val="1"/>
        </w:numPr>
        <w:rPr/>
      </w:pPr>
      <w:bookmarkStart w:id="414" w:name="__RefHeading___Toc5261468_581953129"/>
      <w:bookmarkStart w:id="415" w:name="_Toc162"/>
      <w:bookmarkEnd w:id="414"/>
      <w:r>
        <w:rPr>
          <w:rtl w:val="true"/>
        </w:rPr>
        <w:t>ب</w:t>
      </w:r>
      <w:r>
        <w:rPr>
          <w:rtl w:val="true"/>
        </w:rPr>
        <w:t xml:space="preserve">) </w:t>
      </w:r>
      <w:r>
        <w:rPr>
          <w:rtl w:val="true"/>
        </w:rPr>
        <w:t>اشخاص حقوقی حقوق خصوصی</w:t>
      </w:r>
      <w:bookmarkEnd w:id="415"/>
    </w:p>
    <w:p>
      <w:pPr>
        <w:pStyle w:val="BookText"/>
        <w:rPr/>
      </w:pPr>
      <w:r>
        <w:rPr>
          <w:rFonts w:ascii="IRNazanin" w:hAnsi="IRNazanin" w:eastAsia="IRNazanin"/>
          <w:color w:val="111111"/>
          <w:sz w:val="28"/>
          <w:sz w:val="28"/>
          <w:szCs w:val="28"/>
          <w:rtl w:val="true"/>
          <w:lang w:bidi="fa-IR"/>
        </w:rPr>
        <w:t>منظور از آن، شرکت‌ها، مؤسسّه‌ها و نهادهای غیردولتی و غیروابسته به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هنگامی به‌وجود می‌آیند که دو یا چند نفر برای رسیدن به هدفی معین، با یکدیگر مشارکت و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حقوقی حقوق خصوصی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مؤسسّه‌های غیرتجاری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انجمن‌ها؛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مؤسّسه‌های غیرتجاری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انجمن‌ها</w:t>
      </w:r>
    </w:p>
    <w:p>
      <w:pPr>
        <w:pStyle w:val="BookText"/>
        <w:rPr/>
      </w:pPr>
      <w:r>
        <w:rPr>
          <w:rFonts w:ascii="IRNazanin" w:hAnsi="IRNazanin" w:eastAsia="IRNazanin"/>
          <w:color w:val="111111"/>
          <w:sz w:val="28"/>
          <w:sz w:val="28"/>
          <w:szCs w:val="28"/>
          <w:rtl w:val="true"/>
          <w:lang w:bidi="fa-IR"/>
        </w:rPr>
        <w:t>هدف از تشکیل این نوع مؤسّسه‌ها و انجمن‌ها، جلب سود و تقسیم منافع مادی نیست؛ بلکه بیشتر با هدف معنوی و خیرخواهانه و انگیزه انسان‌دوستی تأسیس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نهادهایی در هر کشوری وجود دارد و شامل مراکز خیریه و عام‌المنفعه، مانند درمانگاه، بیمارستان، شیرخوارگاه، دارالایتام، دارالمساکین و دارالمجانین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دراین‌باره ماده یکم آیین‌نامه وزارت دادگستری</w:t>
      </w:r>
      <w:r>
        <w:rPr>
          <w:rStyle w:val="FootnoteAnchor"/>
          <w:rtl w:val="true"/>
        </w:rPr>
        <w:footnoteReference w:id="247"/>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تشکیلات و مؤسسّه‌ها غیرتجاری مذکور در ماده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مجامعی است که برای مقاصد علمی یا ادبی یا امور خیریه و یا</w:t>
      </w:r>
    </w:p>
    <w:p>
      <w:pPr>
        <w:pStyle w:val="BookText"/>
        <w:rPr/>
      </w:pPr>
      <w:r>
        <w:rPr>
          <w:rFonts w:ascii="IRNazanin" w:hAnsi="IRNazanin" w:eastAsia="IRNazanin"/>
          <w:color w:val="111111"/>
          <w:sz w:val="28"/>
          <w:sz w:val="28"/>
          <w:szCs w:val="28"/>
          <w:rtl w:val="true"/>
          <w:lang w:bidi="fa-IR"/>
        </w:rPr>
        <w:t>تفریحی و غیره تشکیل می‌شود؛ بدون آنکه مقصود از آن، جلب منافع مادی و تقسیم منافع بین اعضای جمعیت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از نهادها از هنگام ثبت، دارای شخصیت حقوقی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و مؤسسّه‌هایی که برای مقاصد غیرتجارتی تأسیس شده یا بشوند، از تاریخ ثبت در دفتر ثبت مخصوص که وزارت عدلیه معین خواهد کرد، شخصیت حقوقی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مؤسسّه‌ها و تشکیلاتی را که مقاصد آنها مخالف با انتظامات عمومی بوده و یا نامشروع باشند، نمی‌توان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مؤسسّه‌های تجاری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شرکت‌ها</w:t>
      </w:r>
    </w:p>
    <w:p>
      <w:pPr>
        <w:pStyle w:val="BookText"/>
        <w:rPr/>
      </w:pPr>
      <w:r>
        <w:rPr>
          <w:rFonts w:ascii="IRNazanin" w:hAnsi="IRNazanin" w:eastAsia="IRNazanin"/>
          <w:color w:val="111111"/>
          <w:sz w:val="28"/>
          <w:sz w:val="28"/>
          <w:szCs w:val="28"/>
          <w:rtl w:val="true"/>
          <w:lang w:bidi="fa-IR"/>
        </w:rPr>
        <w:t>به آن دسته از شرکت‌ها و بنگاه‌های اقتصادی گفته می‌شود که هدف از تأسیس آنها فعالیت در امور تجاری و بازرگانی و جلب منفعت و تقسیم سود است و یا به‌صورتی مال و دارایی در آن مطرح و از اهمیت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مؤسسّه‌هایی به شرکت‌های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شرکت عبارت است از اجتماع حقوق مالکین متعدّد در شیئی واحد به نحو اشاعه، که ممکن است اختیاری یا قهری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شرکت‌های مدنی که بر اساس قرارداد مشارکت و بدون تشریفات قانونی ثبت شرکت‌ها ایجاد می‌شوند، تابع قانون تجارت نبوده، از شخصیت حقوقی بهره‌مند نیستند و شیوه اداره آنها تابع مقررات و شرایط مورد توافق بین شریکان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دراین‌باره می‌گوید</w:t>
      </w:r>
      <w:r>
        <w:rPr>
          <w:rFonts w:eastAsia="IRNazanin" w:cs="IRNazanin"/>
          <w:color w:val="111111"/>
          <w:sz w:val="28"/>
          <w:szCs w:val="28"/>
          <w:rtl w:val="true"/>
          <w:lang w:bidi="fa-IR"/>
        </w:rPr>
        <w:t>:</w:t>
      </w:r>
      <w:bookmarkStart w:id="416" w:name="pg5888_36169"/>
    </w:p>
    <w:p>
      <w:pPr>
        <w:pStyle w:val="BookText"/>
        <w:rPr/>
      </w:pPr>
      <w:bookmarkEnd w:id="416"/>
      <w:r>
        <w:rPr>
          <w:rFonts w:ascii="IRNazanin" w:hAnsi="IRNazanin" w:eastAsia="IRNazanin"/>
          <w:color w:val="111111"/>
          <w:sz w:val="28"/>
          <w:sz w:val="28"/>
          <w:szCs w:val="28"/>
          <w:rtl w:val="true"/>
          <w:lang w:bidi="fa-IR"/>
        </w:rPr>
        <w:t>هریک از شریکان به نسبت سهم خود در نفع و ضرر سهیم است؛ مگر اینکه برای یک یا چند نفر از آنها در مقابل عملی، سهم زیادتر منظور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اداره کردن اموال مشترک تابع شریعت‌ها مقرره بین شریکان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شرکت‌هایی هستند که بر اساس قرارداد میان دو یا چند شخص تأسیس می‌شوند تا در امور تجاری و انتفاعی فعالیت کرده، سود به دست آمده را بین خود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ماده بیستم قانون تجارت، شرکت‌های تجاری، هفت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سهامی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 با مسؤولیت محدود، شرکت تضامنی، شرکت مختلط غیرسهامی، شرکت مختلط سهامی، شرکت نسبی و شرکت تعاونی تولید و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کلیه شرکت‌های یادشده در ماده بیستم قانون تجارت، شخصیت حقوقی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شرکت‌های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وابسته به شخصیت شریکان و صاحبان سهام بوده و خواه به میزان سرمایه وابسته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ثبت، از شخصیت حقوقی کاملی برخوردار خواهند بود</w:t>
      </w:r>
      <w:r>
        <w:rPr>
          <w:rFonts w:eastAsia="IRNazanin" w:cs="IRNazanin"/>
          <w:color w:val="111111"/>
          <w:sz w:val="28"/>
          <w:szCs w:val="28"/>
          <w:rtl w:val="true"/>
          <w:lang w:bidi="fa-IR"/>
        </w:rPr>
        <w:t>.</w:t>
      </w:r>
    </w:p>
    <w:p>
      <w:pPr>
        <w:pStyle w:val="Heading3"/>
        <w:numPr>
          <w:ilvl w:val="2"/>
          <w:numId w:val="1"/>
        </w:numPr>
        <w:rPr/>
      </w:pPr>
      <w:bookmarkStart w:id="417" w:name="__RefHeading___Toc5261470_581953129"/>
      <w:bookmarkStart w:id="418" w:name="_Toc163"/>
      <w:bookmarkEnd w:id="417"/>
      <w:r>
        <w:rPr/>
        <w:t>2</w:t>
      </w:r>
      <w:r>
        <w:rPr>
          <w:rtl w:val="true"/>
        </w:rPr>
        <w:t xml:space="preserve">- </w:t>
      </w:r>
      <w:r>
        <w:rPr>
          <w:rtl w:val="true"/>
        </w:rPr>
        <w:t>اهمیت تشخیص تابعیت اشخاص حقوقی</w:t>
      </w:r>
      <w:bookmarkEnd w:id="418"/>
    </w:p>
    <w:p>
      <w:pPr>
        <w:pStyle w:val="BookText"/>
        <w:rPr/>
      </w:pPr>
      <w:r>
        <w:rPr>
          <w:rFonts w:ascii="IRNazanin" w:hAnsi="IRNazanin" w:eastAsia="IRNazanin"/>
          <w:color w:val="111111"/>
          <w:sz w:val="28"/>
          <w:sz w:val="28"/>
          <w:szCs w:val="28"/>
          <w:rtl w:val="true"/>
          <w:lang w:bidi="fa-IR"/>
        </w:rPr>
        <w:t>برای اینکه شرکت خارجی بتواند در ایران به رسمیت شناخته شود و فعالیت تجاری انجام دهد، باید در کشور اصلی خود، قانونی شناخته شود و نیز در اداره ثبت شرکت‌ها و مالکیت صنعتی و به ثبت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ثبت شدن در این اداره به معنای به رسمیت شناخته شدن و دریافت مجوّز فعالیت برای شخصیت حقوقی این‌دسته از شرکت‌هاست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تابعیت اشخاص حقوقی، برای تعیین حقوق و تکالیف آنها در موارد زیر بسیار با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تابعیت شخص حقوقی نشان می‌دهد که در قلمرو قوانین کدام کشور تأسیس شده است، شخصیت حقوقی مستقلّی را به دست آورده و از چه حقوقی بهره‌مند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 فقط از شرکت‌هایی که تابعیت آن کشور را دارند حمایت دیپلماتیک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بیشتر کشورها تشکیل، طرز کار، ورشکستگی و انحلال اشخاص حقوقی، تابع قانون دولت متبوع شرکت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بیشتر کشورها فعالیت‌های تجاری، صنعتی و کشاورزی اشخاص حقوقی با اجازه ویژه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دریافت چنین مجوزی تابعیت اشخاص حقوقی از اهمیت بسزایی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مسئله تعیین تابعیت در یک کشور، زمانی بیشتر آشکار می‌شود که تعیین تابعیت، به شرکت‌های چندملیتی مربوط باشد؛ یعنی شرکت‌هایی که با چند کشور به گونه‌ای در پیوند هستند که می‌توان آنها را همزمان تابع هریک از آن کشورها به‌شمار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امتیازات به اشخاص حقوقی که بر اساس عهدنامه‌ها و قراردادهای دو یا چندجانبه بین کشورها صورت می‌گیرد؛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بودن از پرداخت مالیات و عوارض و برقراری مقررات ارزی خاص، که به تعیین تابعیت اشخاص حقوقی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مقررات کشور میزبان، که تسهیلات خاصی را برای اشخاص حقوقی خارجی درباره انتقال ارز به خارج از کشور اختصاص می‌دهد، به تعیین تابعیت اشخاص مزبور وابسته است</w:t>
      </w:r>
      <w:r>
        <w:rPr>
          <w:rFonts w:eastAsia="IRNazanin" w:cs="IRNazanin"/>
          <w:color w:val="111111"/>
          <w:sz w:val="28"/>
          <w:szCs w:val="28"/>
          <w:rtl w:val="true"/>
          <w:lang w:bidi="fa-IR"/>
        </w:rPr>
        <w:t>.</w:t>
      </w:r>
      <w:bookmarkStart w:id="419" w:name="pg5888_36171"/>
    </w:p>
    <w:p>
      <w:pPr>
        <w:pStyle w:val="BookText"/>
        <w:rPr/>
      </w:pPr>
      <w:bookmarkEnd w:id="4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تعیین تابعیت اشخاص حقوقی، به تعیین یکی از عوامل ارتباطی، مانند تابعیت سهام‌داران و مدیران، محل ثبت و تشکیل شرکت، محل استقرار تأسیسات اصلی و یا محل عملیات و بهره‌برداری وابسته است، فقط به اساسنامه اشخاص حقوقی برای تعیین تابعیت بسنده نشده است و باید تابعیت واقعی آنها را کشف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20" w:name="__RefHeading___Toc5261472_581953129"/>
      <w:bookmarkStart w:id="421" w:name="_Toc164"/>
      <w:bookmarkEnd w:id="420"/>
      <w:r>
        <w:rPr/>
        <w:t>3</w:t>
      </w:r>
      <w:r>
        <w:rPr>
          <w:rtl w:val="true"/>
        </w:rPr>
        <w:t xml:space="preserve">- </w:t>
      </w:r>
      <w:r>
        <w:rPr>
          <w:rtl w:val="true"/>
        </w:rPr>
        <w:t>دیدگاه ها درباره شخص حقوقی</w:t>
      </w:r>
      <w:bookmarkEnd w:id="421"/>
    </w:p>
    <w:p>
      <w:pPr>
        <w:pStyle w:val="Heading4"/>
        <w:numPr>
          <w:ilvl w:val="3"/>
          <w:numId w:val="1"/>
        </w:numPr>
        <w:rPr/>
      </w:pPr>
      <w:bookmarkStart w:id="422" w:name="__RefHeading___Toc5261474_581953129"/>
      <w:bookmarkStart w:id="423" w:name="_Toc165"/>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آیا شخص حقوقی، مانند شرکت‌ها، مؤسسّه‌ها و انجمن‌ها، وجود خارجی دارد یا نه؟ دراین‌باره سه دیدگاه وجود دارد</w:t>
      </w:r>
      <w:r>
        <w:rPr>
          <w:rFonts w:eastAsia="IRNazanin" w:cs="IRNazanin"/>
          <w:color w:val="111111"/>
          <w:sz w:val="28"/>
          <w:szCs w:val="28"/>
          <w:rtl w:val="true"/>
          <w:lang w:bidi="fa-IR"/>
        </w:rPr>
        <w:t>:</w:t>
      </w:r>
    </w:p>
    <w:p>
      <w:pPr>
        <w:pStyle w:val="Heading4"/>
        <w:numPr>
          <w:ilvl w:val="3"/>
          <w:numId w:val="1"/>
        </w:numPr>
        <w:rPr/>
      </w:pPr>
      <w:bookmarkStart w:id="424" w:name="__RefHeading___Toc5261476_581953129"/>
      <w:bookmarkStart w:id="425" w:name="_Toc166"/>
      <w:bookmarkEnd w:id="424"/>
      <w:r>
        <w:rPr>
          <w:rtl w:val="true"/>
        </w:rPr>
        <w:t>الف</w:t>
      </w:r>
      <w:r>
        <w:rPr>
          <w:rtl w:val="true"/>
        </w:rPr>
        <w:t xml:space="preserve">) </w:t>
      </w:r>
      <w:r>
        <w:rPr>
          <w:rtl w:val="true"/>
        </w:rPr>
        <w:t>نظریه انکار وجود شخص حقوقی</w:t>
      </w:r>
      <w:bookmarkEnd w:id="425"/>
    </w:p>
    <w:p>
      <w:pPr>
        <w:pStyle w:val="BookText"/>
        <w:rPr/>
      </w:pPr>
      <w:r>
        <w:rPr>
          <w:rFonts w:ascii="IRNazanin" w:hAnsi="IRNazanin" w:eastAsia="IRNazanin"/>
          <w:color w:val="111111"/>
          <w:sz w:val="28"/>
          <w:sz w:val="28"/>
          <w:szCs w:val="28"/>
          <w:rtl w:val="true"/>
          <w:lang w:bidi="fa-IR"/>
        </w:rPr>
        <w:t xml:space="preserve">بعضی مانند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حقوق‌دان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بنیان، لزوم فرض شخصیت حقوقی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عقیده دارند و همان مقصودی را که ممکن است از شخصیت حقوقی به دست آید، از مفهوم دارایی اختصاصی نیز می‌توان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علت برشی که در دارایی یک فرد ایجاد می‌شود، این نظر پذیرفتنی نیست؛ زیرا مخالف اصل وحدت دارایی افراد است</w:t>
      </w:r>
      <w:r>
        <w:rPr>
          <w:rFonts w:eastAsia="IRNazanin" w:cs="IRNazanin"/>
          <w:color w:val="111111"/>
          <w:sz w:val="28"/>
          <w:szCs w:val="28"/>
          <w:rtl w:val="true"/>
          <w:lang w:bidi="fa-IR"/>
        </w:rPr>
        <w:t>.</w:t>
      </w:r>
      <w:r>
        <w:rPr>
          <w:rStyle w:val="FootnoteAnchor"/>
          <w:rtl w:val="true"/>
        </w:rPr>
        <w:footnoteReference w:id="248"/>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با فرض شخصیت حقوقی، بخشی از دارایی‌های یک فرد که به شرکتی با شخصیت حقوقی جداگانه اختصاص داده می‌شود، دیگر جزء اموال او نیست؛ بلکه جزء اموال شخص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اصل وحدت دارایی خللی وارد نمی‌آید</w:t>
      </w:r>
      <w:r>
        <w:rPr>
          <w:rFonts w:eastAsia="IRNazanin" w:cs="IRNazanin"/>
          <w:color w:val="111111"/>
          <w:sz w:val="28"/>
          <w:szCs w:val="28"/>
          <w:rtl w:val="true"/>
          <w:lang w:bidi="fa-IR"/>
        </w:rPr>
        <w:t>.</w:t>
      </w:r>
      <w:r>
        <w:rPr>
          <w:rStyle w:val="FootnoteAnchor"/>
          <w:rtl w:val="true"/>
        </w:rPr>
        <w:footnoteReference w:id="249"/>
      </w:r>
      <w:bookmarkStart w:id="426" w:name="pg5888_36172"/>
    </w:p>
    <w:p>
      <w:pPr>
        <w:pStyle w:val="Heading4"/>
        <w:numPr>
          <w:ilvl w:val="3"/>
          <w:numId w:val="1"/>
        </w:numPr>
        <w:rPr/>
      </w:pPr>
      <w:bookmarkStart w:id="427" w:name="__RefHeading___Toc5261478_581953129"/>
      <w:bookmarkStart w:id="428" w:name="_Toc167"/>
      <w:bookmarkEnd w:id="426"/>
      <w:bookmarkEnd w:id="427"/>
      <w:r>
        <w:rPr>
          <w:rtl w:val="true"/>
        </w:rPr>
        <w:t>ب</w:t>
      </w:r>
      <w:r>
        <w:rPr>
          <w:rtl w:val="true"/>
        </w:rPr>
        <w:t xml:space="preserve">) </w:t>
      </w:r>
      <w:r>
        <w:rPr>
          <w:rtl w:val="true"/>
        </w:rPr>
        <w:t>نظریه وجود واقعی شخص حقوقی</w:t>
      </w:r>
      <w:bookmarkEnd w:id="428"/>
    </w:p>
    <w:p>
      <w:pPr>
        <w:pStyle w:val="BookText"/>
        <w:rPr/>
      </w:pPr>
      <w:r>
        <w:rPr>
          <w:rFonts w:ascii="IRNazanin" w:hAnsi="IRNazanin" w:eastAsia="IRNazanin"/>
          <w:color w:val="111111"/>
          <w:sz w:val="28"/>
          <w:sz w:val="28"/>
          <w:szCs w:val="28"/>
          <w:rtl w:val="true"/>
          <w:lang w:bidi="fa-IR"/>
        </w:rPr>
        <w:t>گروهی از دیدگاه وجود یک نظام واقعی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شخصیت حقوقی، یک واقعیت است و وجدانی به نام وجدان گروهی وجود دارد که با وجدان افراد تشکیل‌دهنده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این گروه، شخص حقوقی را قانون ایجاد نمی‌کند؛ بلکه با توسعه زندگی اجتماعی، وجود شخص حقوقی، مانند وجود شخص طبیعی ضروری می‌شود و قانون ناگزیر از شناسایی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هرچند قانون، شخص حقوقی را به رسمیت شمرده است، ولی بین شخص حقوقی و طبیعی تفاوت آشکار وجود دارد؛ زیرا شخص طبیعی، دارای وجود حقیقی و خارجی است؛ ولی شخص حقوقی و یا وجدان گروه، دارای وجود فرضی و اعتباری است</w:t>
      </w:r>
      <w:r>
        <w:rPr>
          <w:rFonts w:eastAsia="IRNazanin" w:cs="IRNazanin"/>
          <w:color w:val="111111"/>
          <w:sz w:val="28"/>
          <w:szCs w:val="28"/>
          <w:rtl w:val="true"/>
          <w:lang w:bidi="fa-IR"/>
        </w:rPr>
        <w:t>.</w:t>
      </w:r>
    </w:p>
    <w:p>
      <w:pPr>
        <w:pStyle w:val="Heading4"/>
        <w:numPr>
          <w:ilvl w:val="3"/>
          <w:numId w:val="1"/>
        </w:numPr>
        <w:rPr/>
      </w:pPr>
      <w:bookmarkStart w:id="429" w:name="__RefHeading___Toc5261480_581953129"/>
      <w:bookmarkStart w:id="430" w:name="_Toc168"/>
      <w:bookmarkEnd w:id="429"/>
      <w:r>
        <w:rPr>
          <w:rtl w:val="true"/>
        </w:rPr>
        <w:t>ج</w:t>
      </w:r>
      <w:r>
        <w:rPr>
          <w:rtl w:val="true"/>
        </w:rPr>
        <w:t xml:space="preserve">) </w:t>
      </w:r>
      <w:r>
        <w:rPr>
          <w:rtl w:val="true"/>
        </w:rPr>
        <w:t>نظریه وجود فرضی شخص حقوقی</w:t>
      </w:r>
      <w:bookmarkEnd w:id="430"/>
    </w:p>
    <w:p>
      <w:pPr>
        <w:pStyle w:val="BookText"/>
        <w:rPr/>
      </w:pPr>
      <w:r>
        <w:rPr>
          <w:rFonts w:ascii="IRNazanin" w:hAnsi="IRNazanin" w:eastAsia="IRNazanin"/>
          <w:color w:val="111111"/>
          <w:sz w:val="28"/>
          <w:sz w:val="28"/>
          <w:szCs w:val="28"/>
          <w:rtl w:val="true"/>
          <w:lang w:bidi="fa-IR"/>
        </w:rPr>
        <w:t>گروه دیگری از نظام فرضی دفاع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برای پیشرفتِ بهتر هدف‌های خود، اجتماع یا شرکت را تشکیل می‌دهند و در حقیقت، شرکت وسیله‌ای است که با آن زندگی حقوقی افراد، بهتر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شخصیت حقوقی فقط یک اختراع قانون‌گذاری است که برای آسان کردن فعالیت این اجتماع‌ها به‌وجود می‌آید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اجتماعی ممکن است برای پیشبرد هدف‌های افرادِ تشکیل‌دهنده آن دارای بعضی از صفات انسانی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اقامتگاه و تابعیت، و چون این صفات به لحاظ قانونی ویژه اشخاص است، در علم حقوق برای این‌گونه از اجتماع‌ها، شخصیت حقوقی فرض شده است و سپس تا آنجا که لازم است، از حقوق و صفات افراد انسان به آن اعطا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فقط حقوق و وظایفی</w:t>
      </w:r>
      <w:bookmarkStart w:id="431" w:name="pg5888_36173"/>
    </w:p>
    <w:p>
      <w:pPr>
        <w:pStyle w:val="BookText"/>
        <w:rPr/>
      </w:pPr>
      <w:bookmarkEnd w:id="431"/>
      <w:r>
        <w:rPr>
          <w:rFonts w:ascii="IRNazanin" w:hAnsi="IRNazanin" w:eastAsia="IRNazanin"/>
          <w:color w:val="111111"/>
          <w:sz w:val="28"/>
          <w:sz w:val="28"/>
          <w:szCs w:val="28"/>
          <w:rtl w:val="true"/>
          <w:lang w:bidi="fa-IR"/>
        </w:rPr>
        <w:t xml:space="preserve">را که ممکن است انسان از آن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حقوق و وظایف پدری و فرزندی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برای شخص حقوقی بیان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w:t>
      </w:r>
      <w:r>
        <w:rPr>
          <w:rFonts w:eastAsia="IRNazanin" w:cs="IRNazanin"/>
          <w:color w:val="111111"/>
          <w:sz w:val="28"/>
          <w:szCs w:val="28"/>
          <w:rtl w:val="true"/>
          <w:lang w:bidi="fa-IR"/>
        </w:rPr>
        <w:t>).</w:t>
      </w:r>
    </w:p>
    <w:p>
      <w:pPr>
        <w:pStyle w:val="Heading3"/>
        <w:numPr>
          <w:ilvl w:val="2"/>
          <w:numId w:val="1"/>
        </w:numPr>
        <w:rPr/>
      </w:pPr>
      <w:bookmarkStart w:id="432" w:name="__RefHeading___Toc5261482_581953129"/>
      <w:bookmarkStart w:id="433" w:name="_Toc169"/>
      <w:bookmarkEnd w:id="432"/>
      <w:r>
        <w:rPr/>
        <w:t>4</w:t>
      </w:r>
      <w:r>
        <w:rPr>
          <w:rtl w:val="true"/>
        </w:rPr>
        <w:t xml:space="preserve">- </w:t>
      </w:r>
      <w:r>
        <w:rPr>
          <w:rtl w:val="true"/>
        </w:rPr>
        <w:t xml:space="preserve">ضابطه تعیین تابعیت اشخاص حقوقی </w:t>
      </w:r>
      <w:r>
        <w:rPr>
          <w:rtl w:val="true"/>
        </w:rPr>
        <w:t>(</w:t>
      </w:r>
      <w:r>
        <w:rPr>
          <w:rtl w:val="true"/>
        </w:rPr>
        <w:t>راه حل های پیشنهادی</w:t>
      </w:r>
      <w:r>
        <w:rPr>
          <w:rtl w:val="true"/>
        </w:rPr>
        <w:t>)</w:t>
      </w:r>
      <w:bookmarkEnd w:id="433"/>
    </w:p>
    <w:p>
      <w:pPr>
        <w:pStyle w:val="Heading4"/>
        <w:numPr>
          <w:ilvl w:val="3"/>
          <w:numId w:val="1"/>
        </w:numPr>
        <w:rPr/>
      </w:pPr>
      <w:bookmarkStart w:id="434" w:name="__RefHeading___Toc5261484_581953129"/>
      <w:bookmarkStart w:id="435" w:name="_Toc170"/>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در مورد اشخاص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شرکت‌ها و مؤسّسه‌ها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مطرح است که این نهادها از تابعیت چه کشوری برخوردارند و چگونه می‌توان تابعیت یک شخص حقوقی را تعیین کرد؟</w:t>
      </w:r>
    </w:p>
    <w:p>
      <w:pPr>
        <w:pStyle w:val="BookText"/>
        <w:rPr/>
      </w:pPr>
      <w:r>
        <w:rPr>
          <w:rFonts w:ascii="IRNazanin" w:hAnsi="IRNazanin" w:eastAsia="IRNazanin"/>
          <w:color w:val="111111"/>
          <w:sz w:val="28"/>
          <w:sz w:val="28"/>
          <w:szCs w:val="28"/>
          <w:rtl w:val="true"/>
          <w:lang w:bidi="fa-IR"/>
        </w:rPr>
        <w:t>همان‌طور که درباره وجود داشتن یا نداشتن شخص حقوقی و شناسایی آن دیدگاه‌های گوناگونی وجود دارد، پیرامون تابعیت اشخاص حقوقی نیز عقاید متفاوتی وجود داشته و راه‌های مختلفی پیشنهاد شده است که در ادامه به آن اشاره می‌شود</w:t>
      </w:r>
      <w:r>
        <w:rPr>
          <w:rFonts w:eastAsia="IRNazanin" w:cs="IRNazanin"/>
          <w:color w:val="111111"/>
          <w:sz w:val="28"/>
          <w:szCs w:val="28"/>
          <w:rtl w:val="true"/>
          <w:lang w:bidi="fa-IR"/>
        </w:rPr>
        <w:t>:</w:t>
      </w:r>
    </w:p>
    <w:p>
      <w:pPr>
        <w:pStyle w:val="Heading4"/>
        <w:numPr>
          <w:ilvl w:val="3"/>
          <w:numId w:val="1"/>
        </w:numPr>
        <w:rPr/>
      </w:pPr>
      <w:bookmarkStart w:id="436" w:name="__RefHeading___Toc5261486_581953129"/>
      <w:bookmarkStart w:id="437" w:name="_Toc171"/>
      <w:bookmarkEnd w:id="436"/>
      <w:r>
        <w:rPr>
          <w:rtl w:val="true"/>
        </w:rPr>
        <w:t>الف</w:t>
      </w:r>
      <w:r>
        <w:rPr>
          <w:rtl w:val="true"/>
        </w:rPr>
        <w:t xml:space="preserve">) </w:t>
      </w:r>
      <w:r>
        <w:rPr>
          <w:rtl w:val="true"/>
        </w:rPr>
        <w:t>تعیین تابعیت شرکت، مطابق با تابعیت شریکان یا سهام داران</w:t>
      </w:r>
      <w:bookmarkEnd w:id="437"/>
    </w:p>
    <w:p>
      <w:pPr>
        <w:pStyle w:val="BookText"/>
        <w:rPr/>
      </w:pPr>
      <w:r>
        <w:rPr>
          <w:rFonts w:ascii="IRNazanin" w:hAnsi="IRNazanin" w:eastAsia="IRNazanin"/>
          <w:color w:val="111111"/>
          <w:sz w:val="28"/>
          <w:sz w:val="28"/>
          <w:szCs w:val="28"/>
          <w:rtl w:val="true"/>
          <w:lang w:bidi="fa-IR"/>
        </w:rPr>
        <w:t>طبق این راه حل، تابعیت شرکت بر اساس محل تابعیت شریکان و صاحبان سهام آن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پذیرش این راه‌حل که آن را قابل پذیرش نمی‌سازد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صاحبان شرکت، به‌ویژه در شرکت‌های سهامی، از ملیت‌های مختلف و دارای تابعیت‌های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عملاً تعیین تابعیت شرکت با مشکل روبه‌رو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تابعیت شرکت با جابه‌جایی شریکان و تغییر تابعیت آنان تغییر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ممکن است منافع و مصالح اشخاص طرف سوّم به خطر بیفتد</w:t>
      </w:r>
      <w:r>
        <w:rPr>
          <w:rFonts w:eastAsia="IRNazanin" w:cs="IRNazanin"/>
          <w:color w:val="111111"/>
          <w:sz w:val="28"/>
          <w:szCs w:val="28"/>
          <w:rtl w:val="true"/>
          <w:lang w:bidi="fa-IR"/>
        </w:rPr>
        <w:t>.</w:t>
      </w:r>
      <w:r>
        <w:rPr>
          <w:rStyle w:val="FootnoteAnchor"/>
          <w:rtl w:val="true"/>
        </w:rPr>
        <w:footnoteReference w:id="250"/>
      </w:r>
      <w:bookmarkStart w:id="438" w:name="pg5888_36174"/>
    </w:p>
    <w:p>
      <w:pPr>
        <w:pStyle w:val="BookText"/>
        <w:rPr/>
      </w:pPr>
      <w:bookmarkEnd w:id="4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پس از تأسیس، از شخصیت حقوقی و دارایی مستقلی برخوردار خواهد بود و رسم و اقامتگاه جداگانه‌ای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داشتن تابعیت مستقل از تابعیت شرکت ایرادی ندارد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ملاک تابعیت شرکت، تابعیت اکثر صاحبان سهام آن باشد، دو مسئله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ممکن است از آغاز، چنین اکثریتی در تأسیس شرکت وجود نداشته باشد و دوّم اینکه ازآنجاکه ممکن است صاحبان سهام به نقل و انتقال سهام شرکت بپردازند، این راه حل، تابعیت شرکت را دستخوش تغییرات کرده، در عمل با مشکل مواجه می‌سازد</w:t>
      </w:r>
      <w:r>
        <w:rPr>
          <w:rFonts w:eastAsia="IRNazanin" w:cs="IRNazanin"/>
          <w:color w:val="111111"/>
          <w:sz w:val="28"/>
          <w:szCs w:val="28"/>
          <w:rtl w:val="true"/>
          <w:lang w:bidi="fa-IR"/>
        </w:rPr>
        <w:t>.</w:t>
      </w:r>
    </w:p>
    <w:p>
      <w:pPr>
        <w:pStyle w:val="Heading4"/>
        <w:numPr>
          <w:ilvl w:val="3"/>
          <w:numId w:val="1"/>
        </w:numPr>
        <w:rPr/>
      </w:pPr>
      <w:bookmarkStart w:id="439" w:name="__RefHeading___Toc5261488_581953129"/>
      <w:bookmarkStart w:id="440" w:name="_Toc172"/>
      <w:bookmarkEnd w:id="439"/>
      <w:r>
        <w:rPr>
          <w:rtl w:val="true"/>
        </w:rPr>
        <w:t>ب</w:t>
      </w:r>
      <w:r>
        <w:rPr>
          <w:rtl w:val="true"/>
        </w:rPr>
        <w:t xml:space="preserve">) </w:t>
      </w:r>
      <w:r>
        <w:rPr>
          <w:rtl w:val="true"/>
        </w:rPr>
        <w:t>تعیین تابعیت شرکت بر اساس اراده مؤسّسان شرکت</w:t>
      </w:r>
      <w:bookmarkEnd w:id="440"/>
    </w:p>
    <w:p>
      <w:pPr>
        <w:pStyle w:val="BookText"/>
        <w:rPr/>
      </w:pPr>
      <w:r>
        <w:rPr>
          <w:rFonts w:ascii="IRNazanin" w:hAnsi="IRNazanin" w:eastAsia="IRNazanin"/>
          <w:color w:val="111111"/>
          <w:sz w:val="28"/>
          <w:sz w:val="28"/>
          <w:szCs w:val="28"/>
          <w:rtl w:val="true"/>
          <w:lang w:bidi="fa-IR"/>
        </w:rPr>
        <w:t>این راه حل که اصل حاکمیت اراده افراد را ملاک عمل قرار داده است، معتقد است وقتی اصل تأسیس شرکت، مخلوق اراده مؤسّسان است، تابعیت آن هم به اراده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چندان نمی‌تواند مورد پذیرش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تابعیت، یک مسئله سیاسی است و به حقوق عمومی و حاکمیت دولت‌ها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اراده افراد، هر چند در تأسیس آن شرکت مؤثّر است، ولی نمی‌تواند در تعیین تابعیت آن اثرگذار باشد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درست مانند این است که بگوییم اراده والدین، تابعیت کودکان را تعیین می‌کند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چنانچه این راه حل به کار گرفته شود، به راحتی می‌توان در هر کشوری چنین شرکت‌های تجاری را تأسیس کرد و از مزایای ویژه</w:t>
      </w:r>
      <w:bookmarkStart w:id="441" w:name="pg5888_36175"/>
    </w:p>
    <w:p>
      <w:pPr>
        <w:pStyle w:val="BookText"/>
        <w:rPr/>
      </w:pPr>
      <w:bookmarkEnd w:id="441"/>
      <w:r>
        <w:rPr>
          <w:rFonts w:ascii="IRNazanin" w:hAnsi="IRNazanin" w:eastAsia="IRNazanin"/>
          <w:color w:val="111111"/>
          <w:sz w:val="28"/>
          <w:sz w:val="28"/>
          <w:szCs w:val="28"/>
          <w:rtl w:val="true"/>
          <w:lang w:bidi="fa-IR"/>
        </w:rPr>
        <w:t>شرکت‌های داخلی بهره‌مند شد و حتی قواعد دستوردهنده و مقررات انتظامی آن را نقض کرد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442" w:name="__RefHeading___Toc5261490_581953129"/>
      <w:bookmarkStart w:id="443" w:name="_Toc173"/>
      <w:bookmarkEnd w:id="442"/>
      <w:r>
        <w:rPr>
          <w:rtl w:val="true"/>
        </w:rPr>
        <w:t>ج</w:t>
      </w:r>
      <w:r>
        <w:rPr>
          <w:rtl w:val="true"/>
        </w:rPr>
        <w:t xml:space="preserve">) </w:t>
      </w:r>
      <w:r>
        <w:rPr>
          <w:rtl w:val="true"/>
        </w:rPr>
        <w:t>تعیین تابعیت شرکت بر اساس محل تعهد پرداخت بهای سهام</w:t>
      </w:r>
      <w:bookmarkEnd w:id="443"/>
    </w:p>
    <w:p>
      <w:pPr>
        <w:pStyle w:val="BookText"/>
        <w:rPr/>
      </w:pPr>
      <w:r>
        <w:rPr>
          <w:rFonts w:ascii="IRNazanin" w:hAnsi="IRNazanin" w:eastAsia="IRNazanin"/>
          <w:color w:val="111111"/>
          <w:sz w:val="28"/>
          <w:sz w:val="28"/>
          <w:szCs w:val="28"/>
          <w:rtl w:val="true"/>
          <w:lang w:bidi="fa-IR"/>
        </w:rPr>
        <w:t>با توجه به اینکه صاحبان سهام و سرمایه از مقررات قانونی محل تعهد پرداخت بهای سهام آگاه بوده و به آن رضایت داده‌اند، به ناچار باید مقررات قانونی آن محل بر شرکت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خالی از اشکال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چنان‌که پیش‌تر گفته شد، تابعیت از مقوله حقوق عمومی و تابع اراده دولت‌هاست و اراده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تعهد به پرداخت بهای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در دریافت آن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ممکن است محل عمده فعالیت‌ها و عملیات شرکت، غیر از محل تعهد پرداخت بهای سهام باشد که دراین‌صورت، باید به مقررات قانونی آن محل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ممکن است صاحبان سهام از ملیت‌های گوناگون و محل تعهد پرداخت بهای سهام در کشورهای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تعیین کشور محل تعهد پرداخت بهای سهام امکان‌پذیر نباشد و یا به کار بستن مقررات قانونی یک کشور خاص بر فعالیت‌های شرکت در کشور دیگر، بدون دلیل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اینکه ممکن است صاحبان واقعی سهام، متعهد به پرداخت بهای سهام نباشند و حتی سهام، بی‌نام باشد و یا آنکه نمایندگان و اشخاص، با نام مستعار به پرداخت بهای سهام اقدام کنند</w:t>
      </w:r>
      <w:r>
        <w:rPr>
          <w:rFonts w:eastAsia="IRNazanin" w:cs="IRNazanin"/>
          <w:color w:val="111111"/>
          <w:sz w:val="28"/>
          <w:szCs w:val="28"/>
          <w:rtl w:val="true"/>
          <w:lang w:bidi="fa-IR"/>
        </w:rPr>
        <w:t>.</w:t>
      </w:r>
      <w:r>
        <w:rPr>
          <w:rStyle w:val="FootnoteAnchor"/>
          <w:rtl w:val="true"/>
        </w:rPr>
        <w:footnoteReference w:id="254"/>
      </w:r>
      <w:bookmarkStart w:id="444" w:name="pg5888_36176"/>
    </w:p>
    <w:p>
      <w:pPr>
        <w:pStyle w:val="Heading4"/>
        <w:numPr>
          <w:ilvl w:val="3"/>
          <w:numId w:val="1"/>
        </w:numPr>
        <w:rPr/>
      </w:pPr>
      <w:bookmarkStart w:id="445" w:name="__RefHeading___Toc5261492_581953129"/>
      <w:bookmarkStart w:id="446" w:name="_Toc174"/>
      <w:bookmarkEnd w:id="444"/>
      <w:bookmarkEnd w:id="445"/>
      <w:r>
        <w:rPr>
          <w:rtl w:val="true"/>
        </w:rPr>
        <w:t>د</w:t>
      </w:r>
      <w:r>
        <w:rPr>
          <w:rtl w:val="true"/>
        </w:rPr>
        <w:t xml:space="preserve">) </w:t>
      </w:r>
      <w:r>
        <w:rPr>
          <w:rtl w:val="true"/>
        </w:rPr>
        <w:t>تعیین تابعیت شرکت بر اساس محل تأسیس و ثبت شرکت</w:t>
      </w:r>
      <w:bookmarkEnd w:id="446"/>
    </w:p>
    <w:p>
      <w:pPr>
        <w:pStyle w:val="BookText"/>
        <w:rPr/>
      </w:pPr>
      <w:r>
        <w:rPr>
          <w:rFonts w:ascii="IRNazanin" w:hAnsi="IRNazanin" w:eastAsia="IRNazanin"/>
          <w:color w:val="111111"/>
          <w:sz w:val="28"/>
          <w:sz w:val="28"/>
          <w:szCs w:val="28"/>
          <w:rtl w:val="true"/>
          <w:lang w:bidi="fa-IR"/>
        </w:rPr>
        <w:t>بر اساس این دیدگاه، شرکت از تابعیت کشوری برخوردار خواهد بود که در آنجا تأسیس شده است؛ از این‌رو تابعیت شرکت به تابعیت سهام‌داران آن ارتباطی ندارد؛ بلکه شرکت از تابعیت کشوری برخوردار است که مطابق قوانین و مقررات آن به ثبت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نظیر آمریکا، انگلیس و هلند، تعیین تابعیت شرکت به مکان تأسیس و ثبت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شرکت‌ها که تسهیلات زیادی را برای تشریفات ثبت شرکت‌ها قائل هستند،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صادرکننده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نیز با اشکالات زیر روبه‌رو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ممکن است شرکتی تأسیس شود بدون آنکه تأسیس‌کنندگان آن از تشریفات قانونی و مقررات پیچیده آن کشور آگاهی کافی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ممکن است سرمایه‌ها یا منافع شرکت از آنِ اتباع همان کشور نباشد و در نتیجه، انگیزه‌ها و زمینه‌های تقویت و رشد بازار داخلی را فراهم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ممکن است شرکتی به شکل صوری در کشوری تأسیس گردد، ولی همه فعالیت‌ها و برنامه‌های آن در کشور دیگری انجام شود که دراین‌صورت، راه حیله، تقلّب و سوءاستفاده‌های قضایی باز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تشکیل شرکت، از مراحل گوناگونی برخوردار است؛ مانند پذیره‌نویسی، پرداخت تمام یا بخشی از سهام شرکت به‌وسیله شریکان، تنظیم و ثبت سند رسمی شرکت و اساسنامه و دیگر اقدامات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مراحل در مکان‌ها یا زمان‌های گوناگونی انجام پذیرد که در عمل، انتخاب مکانِ تشکیل شرکت را با دشواری روبه‌رو خواهد ساخت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اینکه چنانچه محل گردهمایی شریکان و توافق بر اساسنامه شرکت و سهام هر عضو، اساس تعیین تابعیت شرکت باشد، همان اشکال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bookmarkStart w:id="447" w:name="pg5888_36177"/>
    </w:p>
    <w:p>
      <w:pPr>
        <w:pStyle w:val="BookText"/>
        <w:rPr/>
      </w:pPr>
      <w:bookmarkEnd w:id="447"/>
      <w:r>
        <w:rPr>
          <w:rFonts w:ascii="IRNazanin" w:hAnsi="IRNazanin" w:eastAsia="IRNazanin"/>
          <w:color w:val="111111"/>
          <w:sz w:val="28"/>
          <w:sz w:val="28"/>
          <w:szCs w:val="28"/>
          <w:rtl w:val="true"/>
          <w:lang w:bidi="fa-IR"/>
        </w:rPr>
        <w:t xml:space="preserve">تابعیت به‌عنوان مقوله حاکمیتی نمی‌تواند تابع تصمیم‌های اشخاص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خواهد داشت</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448" w:name="__RefHeading___Toc5261494_581953129"/>
      <w:bookmarkStart w:id="449" w:name="_Toc175"/>
      <w:bookmarkEnd w:id="448"/>
      <w:r>
        <w:rPr>
          <w:rtl w:val="true"/>
        </w:rPr>
        <w:t>ه</w:t>
      </w:r>
      <w:r>
        <w:rPr>
          <w:rtl w:val="true"/>
        </w:rPr>
        <w:t xml:space="preserve">) </w:t>
      </w:r>
      <w:r>
        <w:rPr>
          <w:rtl w:val="true"/>
        </w:rPr>
        <w:t>تعیین تابعیت شرکت بر اساس مرکز فعالیت</w:t>
      </w:r>
      <w:bookmarkEnd w:id="449"/>
    </w:p>
    <w:p>
      <w:pPr>
        <w:pStyle w:val="BookText"/>
        <w:rPr/>
      </w:pPr>
      <w:r>
        <w:rPr>
          <w:rFonts w:ascii="IRNazanin" w:hAnsi="IRNazanin" w:eastAsia="IRNazanin"/>
          <w:color w:val="111111"/>
          <w:sz w:val="28"/>
          <w:sz w:val="28"/>
          <w:szCs w:val="28"/>
          <w:rtl w:val="true"/>
          <w:lang w:bidi="fa-IR"/>
        </w:rPr>
        <w:t>مرکز فعالیت شرکت نیز می‌تواند در تابعیت شرکت تعیین‌کننده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راه حل، از تقلّب، حیله و سوءاستفاده ناشی از تأسیس صوری شرکت‌ها جلوگیری می‌کند، خالی از اشکال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ممکن است محل فعالیت‌های تجاری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عملیات پیمان‌کاری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گوناگون بوده، امکان تعیین مرکز اصلی وجود نداشته باشد و یا آنکه مراکز عمده گوناگونی وجود داشته باشد، ولی تخصیص یکی از آنها برای تعیین تابعیت، به سبب برتری نداشتن آن نسبت به دیگران، به آسانی امکان‌پذیر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ممکن است مرکز فعالیت شرکت با محل تأسیس آن متفاوت باشد و در نتیجه، بین اساسنامه و موضوع فعالیت‌های آن شرکت تفاوت‌هایی ایجاد شود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450" w:name="__RefHeading___Toc5261496_581953129"/>
      <w:bookmarkStart w:id="451" w:name="_Toc176"/>
      <w:bookmarkEnd w:id="450"/>
      <w:r>
        <w:rPr>
          <w:rtl w:val="true"/>
        </w:rPr>
        <w:t>و</w:t>
      </w:r>
      <w:r>
        <w:rPr>
          <w:rtl w:val="true"/>
        </w:rPr>
        <w:t xml:space="preserve">) </w:t>
      </w:r>
      <w:r>
        <w:rPr>
          <w:rtl w:val="true"/>
        </w:rPr>
        <w:t>تعیین تابعیت شرکت بر اساس مرکز اداری یا مرکز اصلی</w:t>
      </w:r>
      <w:bookmarkEnd w:id="45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تصمیم‌های اساسی، تدوین سیاست‌های کلان، دستور کارها و اداره شرکت، سکونت اعضای هیئت رئیسه شرکت، محل برگزاری جلسه‌های هیئت مدیره و مجامع عمومی شرکت در اداره‌های مرکزی شرکت انجام می‌پذیرد، بایسته است تابعیت شرکت نیز بر اساس محل مرکز اداری آن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است که درباره امور شرکت و اداره کارهای آن تصمیم گرفته می‌شود</w:t>
      </w:r>
      <w:r>
        <w:rPr>
          <w:rFonts w:eastAsia="IRNazanin" w:cs="IRNazanin"/>
          <w:color w:val="111111"/>
          <w:sz w:val="28"/>
          <w:szCs w:val="28"/>
          <w:rtl w:val="true"/>
          <w:lang w:bidi="fa-IR"/>
        </w:rPr>
        <w:t>.</w:t>
      </w:r>
      <w:bookmarkStart w:id="452" w:name="pg5888_36178"/>
    </w:p>
    <w:p>
      <w:pPr>
        <w:pStyle w:val="BookText"/>
        <w:rPr/>
      </w:pPr>
      <w:bookmarkEnd w:id="452"/>
      <w:r>
        <w:rPr>
          <w:rFonts w:ascii="IRNazanin" w:hAnsi="IRNazanin" w:eastAsia="IRNazanin"/>
          <w:color w:val="111111"/>
          <w:sz w:val="28"/>
          <w:sz w:val="28"/>
          <w:szCs w:val="28"/>
          <w:rtl w:val="true"/>
          <w:lang w:bidi="fa-IR"/>
        </w:rPr>
        <w:t>حال اگر بخش‌های گوناگون و اداره‌های شرکت در کشورهای مختلف پراکنده باشند، به‌طور طبیعی، مرکز اداری شرکت در کشوری خواهد بود که تصمیم‌های نهایی در آنجا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که در فرانسه و دیگر کشورهای اروپای قاره‌ای حاکم است، بیشتر با ویژگی‌ها و ساختار اقتصاد آزاد سازگار است؛ زیرا این امکان را ایجاد می‌کند که شرکت بتواند بدون آنکه به تابعیت آن آسیبی وارد شود، مراکز عملیات خود را از یک کشور به کشور دیگر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تعیین تابعیت شرکت بر این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وحدت و ثبات مرکز اداری، امکان تقلب و سوءاستفاده وجود ندارد، امّا ممکن است محل مرکز اداری از محل تأسیس و ثبت شرکت متفاوت باشد و نیز محل فعالیت و عملیات، از مرکز اداری آن جدا و در نتیجه، بسیاری از مدرک‌ها و سندهای مالی، تجاری و قراردادی، در محل فعالیت و عملیات شرکت متمرکز شده باشد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453" w:name="__RefHeading___Toc5261498_581953129"/>
      <w:bookmarkStart w:id="454" w:name="_Toc177"/>
      <w:bookmarkEnd w:id="453"/>
      <w:r>
        <w:rPr/>
        <w:t>5</w:t>
      </w:r>
      <w:r>
        <w:rPr>
          <w:rtl w:val="true"/>
        </w:rPr>
        <w:t xml:space="preserve">- </w:t>
      </w:r>
      <w:r>
        <w:rPr>
          <w:rtl w:val="true"/>
        </w:rPr>
        <w:t>ضابطه تعیین تابعیت اشخاص حقوقی در قوانین ایران</w:t>
      </w:r>
      <w:bookmarkEnd w:id="454"/>
    </w:p>
    <w:p>
      <w:pPr>
        <w:pStyle w:val="BookText"/>
        <w:rPr/>
      </w:pPr>
      <w:r>
        <w:rPr>
          <w:rFonts w:ascii="IRNazanin" w:hAnsi="IRNazanin" w:eastAsia="IRNazanin"/>
          <w:color w:val="111111"/>
          <w:sz w:val="28"/>
          <w:sz w:val="28"/>
          <w:szCs w:val="28"/>
          <w:rtl w:val="true"/>
          <w:lang w:bidi="fa-IR"/>
        </w:rPr>
        <w:t>پیش‌تر ضابطه‌ها و راه‌حل‌های گوناگون پیرامون چگونگی تعیین تابعیت اشخاص حقوقی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آن است که ببینیم کدام‌یک از این راه‌حل‌ها در قوانین ایران پیش‌بینی شده است؟</w:t>
      </w:r>
    </w:p>
    <w:p>
      <w:pPr>
        <w:pStyle w:val="BookText"/>
        <w:rPr/>
      </w:pPr>
      <w:r>
        <w:rPr>
          <w:rFonts w:ascii="IRNazanin" w:hAnsi="IRNazanin" w:eastAsia="IRNazanin"/>
          <w:color w:val="111111"/>
          <w:sz w:val="28"/>
          <w:sz w:val="28"/>
          <w:szCs w:val="28"/>
          <w:rtl w:val="true"/>
          <w:lang w:bidi="fa-IR"/>
        </w:rPr>
        <w:t xml:space="preserve">پیرامون تابعیت اشخاص حقوقی در ایران، قانون مدنی ساکت است؛ ولی ماده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دراین‌باره چنین می‌گوید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حقوقی، تابعیت مملکتی را دارند که اقامتگاه آنها در آن مملکت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تعیین تابعیت اشخاص حقوقی در قانون ایران، لازم است ابتدا اقامتگاه آنها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درباره اقامتگاه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شخص حقوقی، محلی است که اداره شخص حقوقی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اشخاص حقوقی، مرکز عملیات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می‌بینیم، قانون‌گذار در حقوق تجارت، محل اداره شخص حقوقی را اقامتگاه شخص حقوقی می‌داند؛ درحالی‌که در حقوق مدنی، مرکز عملیات اشخاص حقوقی، اقامتگاه آنها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موردی که محل اداره شخص حقوقی و مرکز عملیات او، هر دو در یک کشور باشند، اشکالی پدید نمی‌آید؛ ولی اگر محل اداره و مرکز عملیات شخص حقوقی در دو یا چند کشور قرار گرفته باشند، باید دانست که برای تعریف اقامتگاه، کدام‌یک از دو حکم موجود در قانون مدنی یا تجارت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مرکز اداری ثابت بوده، در یک محل قرار دارد و دستورات از این مرکز به مراکز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ممکن است تعدادشان زیاد باشد و در مناطق مختلف قرار گرفته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برای نمونه، فرض کنیم مرکز اداری و هیئت مدیره شرکتی در ایران بوده، دارای شعبه‌هایی برای فعالیت‌های تجاری یا ساختمانی است که در کشورهای مختلف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باید روشن شود که تابعیت کدام‌یک از این کشورها، تابعیت شرکت مورد بحث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است شرکتی محل فعالیت خود را در کشوری قرار دهد و پس از آنکه عملیاتش در آن کشور به پایان رسید، محل فعالیت خود را به کشور دیگری منتقل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مرکز عملیات اداری باشد، حکم دو 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یکی خواهد بود؛ ولی اگر منظور، مرکز عملیات اجرایی باشد، دو 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تعارض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تعارض موجود بین قانون مدنی و تجارت، قانون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شده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بااینکه پیش‌تر از این بخش از 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شده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رسیده است، ولی شخصیت حقوقی آن نسبت به قانون مدنی، خاص است و ازآنجاکه قانون عام نمی‌تواند قانون خاص را نسخ کند، در قانون ایران، اقامتگاه و تابعیت اشخاص حقوقی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اداری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اشخاص حقوقی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استقرار دست‌اندرکاران و جایی است که هیئت مدیره و مجمع عمومی در آن تشکیل می‌شود و دستورها پیرامون اشخاص حقوقی از آنها صادر می‌شود و نتیجه عملکرد و بیلان سالانه در آنجا تنظیم و منتشر می‌گردد؛ چنان‌که رویه قضایی فرانسه، مرکز اداری یا اداره شرکت را محلی می‌داند که در آنجا تصمیمات اساسی برای فعالیت شرکت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روش بالا برای تعیین تابعیت اشخاص حقوقی، ماده نخست قانون ثبت شرکت‌ها که در یازدهم خرداد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به تصویب رسید، شیوه دیگری را نیز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شرکتی که در ایران تشکیل و مرکز اصلی آن در ایران باشد، شرکت ایرانی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ماده، افزون بر آنکه مرکزیت اصلی شرکت در ایران برای داشتن تابعیت ایرانی شرط دانسته شده است، تشکیل شرکت در ایران نیز شرط دوّم به‌شمار آمده است؛ یعنی می‌بایست مقدمات آغازین برای تشکیل شرکت و ثبت، آگهی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ایران انجام شده باشند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پرسش مطرح است که آیا بین ماده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و ماده</w:t>
      </w:r>
      <w:bookmarkStart w:id="455" w:name="pg5888_36181"/>
    </w:p>
    <w:p>
      <w:pPr>
        <w:pStyle w:val="BookText"/>
        <w:rPr/>
      </w:pPr>
      <w:bookmarkEnd w:id="455"/>
      <w:r>
        <w:rPr>
          <w:rFonts w:ascii="IRNazanin" w:hAnsi="IRNazanin" w:eastAsia="IRNazanin"/>
          <w:color w:val="111111"/>
          <w:sz w:val="28"/>
          <w:sz w:val="28"/>
          <w:szCs w:val="28"/>
          <w:rtl w:val="true"/>
          <w:lang w:bidi="fa-IR"/>
        </w:rPr>
        <w:t>نخست قانون ثبت شرکت‌ها تعارضی وجود دارد؟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ماده نخست قانون ثبت شرکت‌ها درباره ایرانی بودن شرکت سخن گفته و ماده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پیرامون اقامتگاه و تابعیت شرکت به‌طور کلّی بحث می‌کند، این دو قانون در واقع، دو حکم متفاوت را بیان می‌کنند و با هم تعارضی ندارند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به بیان دیگر، ماده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در بردارنده قاعده حل تعارض ایران است، با این توضیح که تابعیت اشخاص حقوقی بیگانه بر اساس اقامتگاه آنها تعیین می‌شود؛ ولی ماده نخست قانون ثبت شرکت‌ها فقط درصدد تعیین تابعیت شرکت‌های ایرانی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بدین‌ترتیب، چنانچه یک شرکت خارجی بخواهد در ایران ثبت شود و اجازه فعالیت داشته باشد، باید افزون بر اینکه مرکز اداری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کشور باشد، طبق ماده سوّم قانون ثبت شرکت‌ها، به‌طور قانونی در آن کشور تشکیل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تشکیل یک شرکت در کشور بیگانه و یافتن شخصیت حقوقی، ثبت شرکت، شرط اصلی فعالیت آن در ایران است؛ چراکه از این راه، اداره ثبت شرکت‌ها بر فعالیت شرکت خارجی و هماهنگی آن با قوانین ایران نظارت خواهد داشت</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456" w:name="__RefHeading___Toc5261500_581953129"/>
      <w:bookmarkStart w:id="457" w:name="_Toc178"/>
      <w:bookmarkEnd w:id="456"/>
      <w:r>
        <w:rPr/>
        <w:t>6</w:t>
      </w:r>
      <w:r>
        <w:rPr>
          <w:rtl w:val="true"/>
        </w:rPr>
        <w:t xml:space="preserve">- </w:t>
      </w:r>
      <w:r>
        <w:rPr>
          <w:rtl w:val="true"/>
        </w:rPr>
        <w:t>استثناهایی در تعیین تابعیت اشخاص حقوقی در ایران</w:t>
      </w:r>
      <w:bookmarkEnd w:id="457"/>
    </w:p>
    <w:p>
      <w:pPr>
        <w:pStyle w:val="Heading4"/>
        <w:numPr>
          <w:ilvl w:val="3"/>
          <w:numId w:val="1"/>
        </w:numPr>
        <w:rPr/>
      </w:pPr>
      <w:bookmarkStart w:id="458" w:name="__RefHeading___Toc5261502_581953129"/>
      <w:bookmarkStart w:id="459" w:name="_Toc179"/>
      <w:bookmarkEnd w:id="458"/>
      <w:r>
        <w:rPr>
          <w:rtl w:val="true"/>
        </w:rPr>
        <w:t>اشاره</w:t>
      </w:r>
      <w:bookmarkEnd w:id="45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ایرانی درباره معیارهای حاکم بر تعیین اشخاص حقوقی استثناهایی را به کار برده است که به نمونه‌هایی از آن اشاره می‌شود</w:t>
      </w:r>
      <w:r>
        <w:rPr>
          <w:rFonts w:eastAsia="IRNazanin" w:cs="IRNazanin"/>
          <w:color w:val="111111"/>
          <w:sz w:val="28"/>
          <w:szCs w:val="28"/>
          <w:rtl w:val="true"/>
          <w:lang w:bidi="fa-IR"/>
        </w:rPr>
        <w:t>:</w:t>
      </w:r>
      <w:bookmarkStart w:id="460" w:name="pg5888_36182"/>
    </w:p>
    <w:p>
      <w:pPr>
        <w:pStyle w:val="Heading4"/>
        <w:numPr>
          <w:ilvl w:val="3"/>
          <w:numId w:val="1"/>
        </w:numPr>
        <w:rPr/>
      </w:pPr>
      <w:bookmarkStart w:id="461" w:name="__RefHeading___Toc5261504_581953129"/>
      <w:bookmarkStart w:id="462" w:name="_Toc180"/>
      <w:bookmarkEnd w:id="460"/>
      <w:bookmarkEnd w:id="461"/>
      <w:r>
        <w:rPr>
          <w:rtl w:val="true"/>
        </w:rPr>
        <w:t>الف</w:t>
      </w:r>
      <w:r>
        <w:rPr>
          <w:rtl w:val="true"/>
        </w:rPr>
        <w:t xml:space="preserve">) </w:t>
      </w:r>
      <w:r>
        <w:rPr>
          <w:rtl w:val="true"/>
        </w:rPr>
        <w:t>تابعیت سهام داران به عنوان معیار تعیین تابعیت بانک</w:t>
      </w:r>
      <w:bookmarkEnd w:id="462"/>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پولی و بانکی کشور،</w:t>
      </w:r>
      <w:r>
        <w:rPr>
          <w:rStyle w:val="FootnoteAnchor"/>
          <w:rtl w:val="true"/>
        </w:rPr>
        <w:footnoteReference w:id="261"/>
      </w:r>
      <w:r>
        <w:rPr>
          <w:rFonts w:ascii="IRNazanin" w:hAnsi="IRNazanin" w:eastAsia="IRNazanin"/>
          <w:color w:val="111111"/>
          <w:sz w:val="28"/>
          <w:sz w:val="28"/>
          <w:szCs w:val="28"/>
          <w:rtl w:val="true"/>
          <w:lang w:bidi="fa-IR"/>
        </w:rPr>
        <w:t>معیار تعلق سرمایه به اتباع کشورها را معیاری برای تعیین تابعیت بانک و اشخاص حقوقی سهام‌دار آن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یادشده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بانکی که بیش از چهل درصد سرمایه آن متعلّق به اشخاص حقیقی یا حقوقی اتباع خارجی باشد، از نظر این قانون، خارجی شمرده شده و بانک باید تحت عنوان بانک خارجی به ثبت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ماده، هر شخص حقوقی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سرمایه آن متعلّق به اشخاص حقیقی اتباع ایران نباشد، خارجی تلقّی می‌شود</w:t>
      </w:r>
      <w:r>
        <w:rPr>
          <w:rFonts w:eastAsia="IRNazanin" w:cs="IRNazanin"/>
          <w:color w:val="111111"/>
          <w:sz w:val="28"/>
          <w:szCs w:val="28"/>
          <w:rtl w:val="true"/>
          <w:lang w:bidi="fa-IR"/>
        </w:rPr>
        <w:t>.</w:t>
      </w:r>
    </w:p>
    <w:p>
      <w:pPr>
        <w:pStyle w:val="Heading4"/>
        <w:numPr>
          <w:ilvl w:val="3"/>
          <w:numId w:val="1"/>
        </w:numPr>
        <w:rPr/>
      </w:pPr>
      <w:bookmarkStart w:id="463" w:name="__RefHeading___Toc5261506_581953129"/>
      <w:bookmarkStart w:id="464" w:name="_Toc181"/>
      <w:bookmarkEnd w:id="463"/>
      <w:r>
        <w:rPr>
          <w:rtl w:val="true"/>
        </w:rPr>
        <w:t>ب</w:t>
      </w:r>
      <w:r>
        <w:rPr>
          <w:rtl w:val="true"/>
        </w:rPr>
        <w:t xml:space="preserve">) </w:t>
      </w:r>
      <w:r>
        <w:rPr>
          <w:rtl w:val="true"/>
        </w:rPr>
        <w:t>تابعیت سهام داران به عنوان معیار تعیین تابعیت شرکت های هواپیمایی</w:t>
      </w:r>
      <w:bookmarkEnd w:id="464"/>
    </w:p>
    <w:p>
      <w:pPr>
        <w:pStyle w:val="BookText"/>
        <w:rPr/>
      </w:pPr>
      <w:r>
        <w:rPr>
          <w:rFonts w:ascii="IRNazanin" w:hAnsi="IRNazanin" w:eastAsia="IRNazanin"/>
          <w:color w:val="111111"/>
          <w:sz w:val="28"/>
          <w:sz w:val="28"/>
          <w:szCs w:val="28"/>
          <w:rtl w:val="true"/>
          <w:lang w:bidi="fa-IR"/>
        </w:rPr>
        <w:t>به موجب قانون تأسیس مؤسسّه‌های حمل‌ونقل هوایی و دریایی، آن دسته از شرکت‌های هواپیمایی که بیش از چهل‌ونه درصد سهم آنان متعلّق به بیگانه است، خارجی تلقّی می‌شوند</w:t>
      </w:r>
      <w:r>
        <w:rPr>
          <w:rFonts w:eastAsia="IRNazanin" w:cs="IRNazanin"/>
          <w:color w:val="111111"/>
          <w:sz w:val="28"/>
          <w:szCs w:val="28"/>
          <w:rtl w:val="true"/>
          <w:lang w:bidi="fa-IR"/>
        </w:rPr>
        <w:t>.</w:t>
      </w:r>
    </w:p>
    <w:p>
      <w:pPr>
        <w:pStyle w:val="Heading4"/>
        <w:numPr>
          <w:ilvl w:val="3"/>
          <w:numId w:val="1"/>
        </w:numPr>
        <w:rPr/>
      </w:pPr>
      <w:bookmarkStart w:id="465" w:name="__RefHeading___Toc5261508_581953129"/>
      <w:bookmarkStart w:id="466" w:name="_Toc182"/>
      <w:bookmarkEnd w:id="465"/>
      <w:r>
        <w:rPr>
          <w:rtl w:val="true"/>
        </w:rPr>
        <w:t>ج</w:t>
      </w:r>
      <w:r>
        <w:rPr>
          <w:rtl w:val="true"/>
        </w:rPr>
        <w:t xml:space="preserve">) </w:t>
      </w:r>
      <w:r>
        <w:rPr>
          <w:rtl w:val="true"/>
        </w:rPr>
        <w:t>معیار پذیرفته شده در بیانیه دولت جمهوری الجزایر درباره حل وفصل دعاوی میان دولت ایران و آمریکا</w:t>
      </w:r>
      <w:bookmarkEnd w:id="46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بیانیه، تعیین تابعیت اشخاص حقوقی افزون بر تأسیس اشخاص حقوقی، بر اساس قوانین ایران یا آمریکا، به تعلّق پنجاه درصد یا بیشتر، از سرمایه آن به اتباع این دو دولت مشروط بود</w:t>
      </w:r>
      <w:r>
        <w:rPr>
          <w:rFonts w:eastAsia="IRNazanin" w:cs="IRNazanin"/>
          <w:color w:val="111111"/>
          <w:sz w:val="28"/>
          <w:szCs w:val="28"/>
          <w:rtl w:val="true"/>
          <w:lang w:bidi="fa-IR"/>
        </w:rPr>
        <w:t>.</w:t>
      </w:r>
      <w:r>
        <w:rPr>
          <w:rStyle w:val="FootnoteAnchor"/>
          <w:rtl w:val="true"/>
        </w:rPr>
        <w:footnoteReference w:id="262"/>
      </w:r>
      <w:bookmarkStart w:id="467" w:name="pg5888_36183"/>
    </w:p>
    <w:p>
      <w:pPr>
        <w:pStyle w:val="Heading3"/>
        <w:numPr>
          <w:ilvl w:val="2"/>
          <w:numId w:val="1"/>
        </w:numPr>
        <w:rPr/>
      </w:pPr>
      <w:bookmarkStart w:id="468" w:name="__RefHeading___Toc5261510_581953129"/>
      <w:bookmarkStart w:id="469" w:name="_Toc183"/>
      <w:bookmarkEnd w:id="467"/>
      <w:bookmarkEnd w:id="468"/>
      <w:r>
        <w:rPr/>
        <w:t>7</w:t>
      </w:r>
      <w:r>
        <w:rPr>
          <w:rtl w:val="true"/>
        </w:rPr>
        <w:t xml:space="preserve">- </w:t>
      </w:r>
      <w:r>
        <w:rPr>
          <w:rtl w:val="true"/>
        </w:rPr>
        <w:t>تابعیت مضاعف اشخاص حقوقی</w:t>
      </w:r>
      <w:bookmarkEnd w:id="469"/>
    </w:p>
    <w:p>
      <w:pPr>
        <w:pStyle w:val="BookText"/>
        <w:rPr/>
      </w:pPr>
      <w:r>
        <w:rPr>
          <w:rFonts w:ascii="IRNazanin" w:hAnsi="IRNazanin" w:eastAsia="IRNazanin"/>
          <w:color w:val="111111"/>
          <w:sz w:val="28"/>
          <w:sz w:val="28"/>
          <w:szCs w:val="28"/>
          <w:rtl w:val="true"/>
          <w:lang w:bidi="fa-IR"/>
        </w:rPr>
        <w:t xml:space="preserve">ممکن است اشخاص حقوقی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آنچه درباره تابعیت مضاعف اشخاص حقیقی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اختلاف نظام‌های حقوقی در تعیین تابعیت، دارای تابعیت مضاعف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ممکن است به علت تفاوت در تابعیت‌های صوری تعیین‌شده در اساسنامه یا محل استقرار مرکز اصلی شرکت و به پیروی از آن، تابعیت واقعی شخص حقوقی، تابعیت مضاعف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وقوع تابعیت مضاعف، به نظر می‌رسد راه‌حل‌های پیشگیری یا رفع آن می‌تواند در بحث اشخاص حقیقی، به‌ویژه تابعیت مؤثّر و یا غالب مورد توجّه قرار گیرد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470" w:name="__RefHeading___Toc5261512_581953129"/>
      <w:bookmarkStart w:id="471" w:name="_Toc184"/>
      <w:bookmarkEnd w:id="470"/>
      <w:r>
        <w:rPr/>
        <w:t>8</w:t>
      </w:r>
      <w:r>
        <w:rPr>
          <w:rtl w:val="true"/>
        </w:rPr>
        <w:t xml:space="preserve">- </w:t>
      </w:r>
      <w:r>
        <w:rPr>
          <w:rtl w:val="true"/>
        </w:rPr>
        <w:t>تغییر تابعیت اشخاص حقوقی</w:t>
      </w:r>
      <w:bookmarkEnd w:id="471"/>
    </w:p>
    <w:p>
      <w:pPr>
        <w:pStyle w:val="BookText"/>
        <w:rPr/>
      </w:pPr>
      <w:r>
        <w:rPr>
          <w:rFonts w:ascii="IRNazanin" w:hAnsi="IRNazanin" w:eastAsia="IRNazanin"/>
          <w:color w:val="111111"/>
          <w:sz w:val="28"/>
          <w:sz w:val="28"/>
          <w:szCs w:val="28"/>
          <w:rtl w:val="true"/>
          <w:lang w:bidi="fa-IR"/>
        </w:rPr>
        <w:t>چنان‌که بیان شد اشخاص حقوقی می‌توانند دارای تابعیت باشند؛ امّا آیا تغییر تابعیت نیز امکان‌پذیر است و این اشخاص می‌توانند تابعیت خود را تغییر دهند یا نه؟ و در صورتی که این حق برای آنها شناخته شود، از چه راه و با چه میزان رأیی امکان‌پذیر است؟</w:t>
      </w:r>
    </w:p>
    <w:p>
      <w:pPr>
        <w:pStyle w:val="BookText"/>
        <w:rPr/>
      </w:pPr>
      <w:r>
        <w:rPr>
          <w:rFonts w:ascii="IRNazanin" w:hAnsi="IRNazanin" w:eastAsia="IRNazanin"/>
          <w:color w:val="111111"/>
          <w:sz w:val="28"/>
          <w:sz w:val="28"/>
          <w:szCs w:val="28"/>
          <w:rtl w:val="true"/>
          <w:lang w:bidi="fa-IR"/>
        </w:rPr>
        <w:t>ممکن است مرکز اصلی شخص حقوقی از یک کشور به کشور دیگر منتقل شود و یا بر اثر تجزیه کشور یا پیوستن بخشی از خاک آن به کشور دیگر و یا استقلال یافتن، به تابعیت کشور جدیدی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تابعیت شرکتی که اقامتگاهش در آن محل است، تغییر یابد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طبیعی، تا زمانی که کار انتقال تابعیت شخص حقوقی از کشور مبدأ به کشور مقصد به‌صورتِ رسمی انجام نشود، شخص حقوقی تابع قوانین و مقررات کشور مبدأ خواهد بود و این کشور است که تصمیم می‌گیرد آیا انتقال مزبور</w:t>
      </w:r>
    </w:p>
    <w:p>
      <w:pPr>
        <w:pStyle w:val="BookText"/>
        <w:rPr/>
      </w:pPr>
      <w:r>
        <w:rPr>
          <w:rFonts w:ascii="IRNazanin" w:hAnsi="IRNazanin" w:eastAsia="IRNazanin"/>
          <w:color w:val="111111"/>
          <w:sz w:val="28"/>
          <w:sz w:val="28"/>
          <w:szCs w:val="28"/>
          <w:rtl w:val="true"/>
          <w:lang w:bidi="fa-IR"/>
        </w:rPr>
        <w:t>مجاز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نظر به اینکه وجود اشخاص حقوقی، وابسته به قانون کشوری است که به آنها شخصیت حقوقی داده است، تصمیم به تغییر تابعیت آنها از راه انتقال از یک کشور به کشور دیگر نیز باید با مجوّز قانونِ همان کشور صورت پذیرد؛ در غیر این صورت، چنین اقدامی به انحلال شخصیت حقوقی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کشور مزبور چنین مجوّزی را صادر کند و شرایط و تشریفات انتقال آن نیز برابر قانون انجام شود، پذیرش یا ردّ انتقال تابعیت شخص حقوقی، به قانون کشور مقصد وابسته خواهد بود و در فرض پذیرش نیز قوانین و مقررات آن کشور، بر اساسنامه و فعالیت‌های شخص حقوقی حاکم می‌شود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ازآنجاکه تابعیت، امری است که به حاکمیت دولت‌ها بستگی کامل دارد، به نظر می‌رسد نباید تغییر تابعیت به‌طور کامل در اختیار اشخاص حقوقی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ماده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اختیار تغییر تابعیت در شرکت‌های سهامی را از مجمع عمومی آن سلب کرده و چنین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مجمع عمومی نمی‌تواند تابعیت شرکت را تغییر دهد و با هیچ اکثریتی نمی‌تواند بر تعهدات صاحبان سهام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قانون‌گذار در ماده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که درباره شرکت با مسؤولیت محدود است، می‌گوید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شریکان نمی‌توانند تابعیت شرکت را تغییر دهند؛ مگر به اتّفاق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 اتفاق‌نظر همه شریکان یا سهام‌داران، می‌توان تابعیت شرکت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 کار، تنها تغییر تابعیت در بندهای اساسنامه شخص حقوقی کافی نیست؛ بلکه تغییر اقامتگاه ضروری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با این توضیح روشن می‌شود که قانون‌گذار ایرانی فقط درباره تغییر تابعیت دو نوع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شرکت سهامی و شرکت با مسؤولیت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کرده و پیرامون تغییر تابعیت بقیه شرکت‌ها نظیر شرکت‌های تضامنی، مختلط غیرسهامی، مختلط سهامی، نسبی و تعاونی تولید و مصرف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نمی‌توان سکوت قانون‌گذار را دلیل بر عدم حق آنها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ازآنجاکه همه کارهای شرکت باید با اساسنامه آنها برابر باشد، تغییر تابعیت نیز باید مطابق با اکثریتی باشد که در اساسنامه آمده است؛ مگر آنکه خلاف قوانین موضوعه کشوری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قانون‌گذار مانند شخص حقیقی، به اشخاص حقوقی نیز اجازه تغییر تابعیت بدهد، دیدگاهی منطقی است؛ زیرا گاه مصالح یک شرکت، تغییر تابعیت آن شرکت را اقتضا می‌کند و ممکن است اثر مهمی در وضعیت شرکت به‌وجود آورد؛ ولی چنین امری می‌بایست با شرایط زیر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به اینکه تابعیت، رابطه‌ای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است، لازم است افزون بر دریافت موافقت مجمع عمومی شخص حقوقی، پذیرش هیئت دولت نیز دریافت شود؛ مانند آنچه در ترک تابعیت اشخاص حقیقی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توافق همه شریکان فقط یکی از شرایط درخواست تغییر تابعیت است، نه یگانه شرط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تغییر تابعیت شخص حقوقی بسیار مهم و حساس است، لازم است همچنان‌که ماده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مقرر داشته است، اتفاق آراء شریکان یا مجمع عمومی شخص حقوقی دریافت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تابعیت اشخاص حقوقی نباید موجب تخفیف یا برائت آنها از مسؤولیت‌شان در مقابل طلبکاران و اشخاص ثالث شود و یا خسارتی را متوجه آنها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اشخاص حقوقی، از اجتماع و تشکل افراد انسانی برای انجام هدفی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انتفاعی یا غیر انتفاعی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شرایط و مقررات قانونی به‌وجود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حقوقی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اشخاص حقوقی حقوق عمومی، شامل شرکت‌ها و مؤسسّه‌هایی که به دولت وابسته‌اند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اشخاص حقوقی حقوق خصوصی، شامل شرکت‌ها و انجمن‌هایی که به دولت وابسته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حقوق خصوصی نیز، به دو دسته تجاری و غیرتجاری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تابعیت اشخاص حقوقی، همانند تابعیت اشخاص حقیقی از اهمیت بسیاری برخوردار است؛ زیرا بدین‌وسیله روشن می‌شود که این شخص حقوقی، در قلمرو قوانین کدام کشور تأسیس شده و کدام دولت از صلاحیت حمایت از آن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وجود داشتن یا نداشتن شخص حقوقی، دیدگاه‌های گوناگونی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شخص حقوقی دارای وجود فرضی و اعتباری است و شخصیت حقوقی، اختراع قانون‌گذار است تا فعالیت اجتماعی به آسانی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چگونگی تعیین تابعیت اشخاص حقوقی، مقررات یا راه‌حل‌های گوناگونی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ایران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حقوقی، تابعیت مملکتی را دارند که اقامتگاه آنها در آن مملکت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مفهوم اقامتگاه اشخاص حقوقی، میان ماده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و ماده</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تعارض وجود دارد، که به دلیل تقدّم قانون تجارت، باید گفت از نظر قانون ایران، اقامتگاه و نیز تابعیت اشخاص حقوقی بر مبنای مرکز اداری شرکت تعیین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از نگاه قانون ایران، تابعیت اشخاص حقوقی بر مبنای مرکز اداری اشخاص حقوقی تعیین می‌شود، ولی استثناهایی هم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حقوقی، مانند شرکت‌ها و مؤسسّه‌ها ممکن است همچون اشخاص حقیقی، به دلیل اختلاف نظام‌های حقوقی در تعیین تابعیت، دارای تابعیت مضاعف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ممکن است تابعیت اشخاص حقوقی دچار تغییر شود؛ برای نمونه، مرکز اصلی شخص حقوقی، از یک کشور به کشور دیگر جابه‌جا شود و یا بر اثر تجزیه کشور، یا ضمیمه شدن به کشور دیگر و یا استقلال یافتن، به تابعیت کشور جدیدی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تابعیت شرکتی که اقامتگاهش در آن محل است، تغییر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حقوقی را تعریف کرده، گونه‌های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اشخاص حقوقی حقوق عمومی را با اشخاص حقوقی حقوق خصوصی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یک شرکت خارجی بتواند در ایران به رسمیت شناخته شود، چه مراحلی را باید بگذراند؟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فایده‌ها یا اهمیت تشخیص تابعیت اشخاص حقوقی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مختلف درباره وجود داشتن یا نداشتن وجود شخص حقوقی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ضابطه یا راه‌حل‌هایی برای تعیین تابعیت اشخاص حقوقی بیان شده است؟ هریک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قوانین ایران، چه ضابطه‌ای برای تعیین تابعیت اشخاص حقوقی بیان شده است؟ تعارض موجود بین قانون تجارت و قانون مدنی ایران را چگونه می‌توان حل کرد؟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تعیین تابعیت اشخاص حقوقی در ایران، چه استثناهایی وجود دارد؟ چگونه ممکن است اشخاص حقوقی دارای تابعیت مضاعف شوند؟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تابعیت اشخاص حقوقی تغییر می‌کند؟ شرایط لازم برای این کار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شخص حقوقی تحقیق کرده، به‌روشنی مفهوم شخص حقوقی و اقسام آن را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 در این رابطه، افزون بر کتاب‌های حقوق بین‌الملل خصوصی،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حسین صفایی و دکتر سید مرتضی قاسم زاده، حقوق اشخاص و محجورین ؛</w:t>
      </w:r>
    </w:p>
    <w:p>
      <w:pPr>
        <w:pStyle w:val="BookText"/>
        <w:rPr/>
      </w:pPr>
      <w:r>
        <w:rPr>
          <w:rFonts w:ascii="IRNazanin" w:hAnsi="IRNazanin" w:eastAsia="IRNazanin"/>
          <w:color w:val="111111"/>
          <w:sz w:val="28"/>
          <w:sz w:val="28"/>
          <w:szCs w:val="28"/>
          <w:rtl w:val="true"/>
          <w:lang w:bidi="fa-IR"/>
        </w:rPr>
        <w:t>دکتر سید حسن امامی، حقوق مدنی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دکتر موسی جوان، مبانی حقوق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شیرازی، الفقه السیاسة ؛</w:t>
      </w:r>
    </w:p>
    <w:p>
      <w:pPr>
        <w:pStyle w:val="BookText"/>
        <w:rPr/>
      </w:pPr>
      <w:r>
        <w:rPr>
          <w:rFonts w:ascii="IRNazanin" w:hAnsi="IRNazanin" w:eastAsia="IRNazanin"/>
          <w:color w:val="111111"/>
          <w:sz w:val="28"/>
          <w:sz w:val="28"/>
          <w:szCs w:val="28"/>
          <w:rtl w:val="true"/>
          <w:lang w:bidi="fa-IR"/>
        </w:rPr>
        <w:t>دکتر سید حسین صفایی، حقوق مدنی ،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آغاز و پایان و ممیزات شخص حقوقی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وضع حقوقی شخص حقوقی تحقیق کرده، به‌روشنی مسؤولیت مدنی شخص حقوقی و مسؤولیت کیفری شخص حقوقی را مورد بررسی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علی‌آبادی، حقوق جنایی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دکتر منوچهر طباطبایی مؤتمنی، شخصیت حقوقی، تحوّلات حقوق خصوصی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حقوق اداری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پرویز صانعی، حقوق جزای عمومی ،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گارو، مطالعات نظری و عملی در حقوق جزا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عبدالحمید ابوالحمد، مسؤولیت مدنی دولت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ناصر کاتوزیان، حقوق مدنی، ضمان قهری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تعیین تابعیت شخص حقوقی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ثبت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تشکیل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انعقاد جلسات هیئت مدیره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حقوق موضوعه ایران، تابعیت شرکت از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پذیره‌نویسی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شرکا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مؤسسین شرکت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شرکت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اقامتگاه شرکت بر حسب تعاریف قانون مدنی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امور اداری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سهام‌داران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عملیات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پیش‌بینی شده در اساسنامه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قانون مدنی ایران، اقامتگاه هر شخص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او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او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مهم امور که ممکن است با محل سکونت منطبق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امور مهم وی که ممکن است در خارج از کشور 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روش حقوقی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در حقوق بین‌الملل خصوصی، کشوری است که شخص در آنجا سکونت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در حقوق بین‌الملل خصوصی، همان اقامتگاه خارجی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در حقوق بین‌الملل خصوصی، عبارت است از محلی که شخص در آنجا سکونت داشته و مرکز امور او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در حقوق بین‌الملل خصوصی، کشوری است که شخص به آنجا رفت‌وآمد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موجب قانون تجارت ایران، شرکت‌ها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کشور متبوع سهام‌داران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کشوری را دارند که در آنجا ثبت شده است و فعالیت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کشوری را دارند که اقامتگاه آنها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می‌توانند تابعیت ایران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بیگانه‌ای در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مهم امور داشته باشد، مقیم ایران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داشته باشد و مشغول به کار باشد، نمی‌تواند مقیم ایران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نمی‌تواند اقامتگاه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بستگانی داشته باشد و در رفت‌وآمد به ایران باشد، مقیم ایران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مدنی ایران درباره زنِ دارای تابعیت بیگانه که شوهر ایرانی اختیار کند،</w:t>
      </w:r>
    </w:p>
    <w:p>
      <w:pPr>
        <w:pStyle w:val="BookText"/>
        <w:rPr/>
      </w:pPr>
      <w:r>
        <w:rPr>
          <w:rFonts w:ascii="IRNazanin" w:hAnsi="IRNazanin" w:eastAsia="IRNazanin"/>
          <w:color w:val="111111"/>
          <w:sz w:val="28"/>
          <w:sz w:val="28"/>
          <w:szCs w:val="28"/>
          <w:rtl w:val="true"/>
          <w:lang w:bidi="fa-IR"/>
        </w:rPr>
        <w:t xml:space="preserve">سیستم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نسبی تابعیت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کامل تابعیت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تابعیت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مدنی ایران درباره زن ایرانی که با شوهر خارجی ازدواج کند، سیستم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نسبی تابعیت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کامل تابعیت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تابعیت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انگلیسی که شوهر وی تابعیت ایران را دریافت کند، تبعه دولت ایران شناخته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پس از تاریخ طلاق می‌تواند درخواست کتبی خود را به وزارت امور خارجه ارائه داده، تابعیت کشور سابق شوهر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یک‌سال از تاریخ فوت شوهر ایرانی، می‌تواند درخواست کتبی خود را به وزارت امور خارجه ارائه داده، تابعیت کشور سابق شوهر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یک‌سال از تاریخ صدور سند تابعیت شوهر، می‌تواند درخواست کتبی خود را به وزارت امور خارجه ارائه داده، تابعیت کشور سابق شوهر را بپذیرد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پس از تاریخ صدور سند تابعیت شوهر، می‌تواند درخواست کتبی</w:t>
      </w:r>
    </w:p>
    <w:p>
      <w:pPr>
        <w:pStyle w:val="BookText"/>
        <w:rPr/>
      </w:pPr>
      <w:r>
        <w:rPr>
          <w:rFonts w:ascii="IRNazanin" w:hAnsi="IRNazanin" w:eastAsia="IRNazanin"/>
          <w:color w:val="111111"/>
          <w:sz w:val="28"/>
          <w:sz w:val="28"/>
          <w:szCs w:val="28"/>
          <w:rtl w:val="true"/>
          <w:lang w:bidi="fa-IR"/>
        </w:rPr>
        <w:t>خود را به وزارت امورخارجه ارائه داده، تابعیت کشور سابق شوهر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خارجی در اثر ازدواج با مرد ایرانی تبعه ایران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پنج سال زندگی مشترک، درحالی‌که یک فرزند سه ساله دارد، از همسرش طلاق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می‌تواند به تابعیت گذشته خود بازگردد یا خیر؟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فرزند آنان به سن هجده سال نرسیده است، نمی‌تواند به تابعیت گذشته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صورتی نمی‌تواند به تابعیت گذشته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اطلاع کتبی وزارت امور خارجه، به تابعیت گذشته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فرزند یادشده به سن</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نرسیده است، نمی‌تواند به تابعیت گذشته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نگاه قانون ایران، ازدواج زن ایرانی با مرد خارجی چه اثری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خارجی به تابعیت ایران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زن ایرانی به تابعیت دولت متبوع مرد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ایرانی به تابعیت دولت متبوع مرد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موافقت دولت، مرد خارجی به تابعیت ایران درمی‌آید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موضوعه ایران، روش استقلال نسبی تابعیت زن و مرد را در کدام فرض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سراسری</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 ایرانی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 خارجی با مرد ایرانی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 خارجی با مرد خارجی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تابعیت زن ایرانی بی‌شوهر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خارجی که در نتیجه ازدواج ایرانی می‌شود، بنابر کدام شرط، حق رجوع به تابعیت اول خود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سراسری</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از بین رفتن پیوند ازدواج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نداشتن فرزند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یک‌سال از تاریخ دریافت تابعیت ایران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موافقت دولت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تکلیف تابعیت زن ایرانی که با مردی بیگانه ازدواج کرده است،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تغییری در تابعیت او ایجاد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تابعیت او به اراده خود او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تابعیت او به اراده شوهر او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تابعیت او به چگونگی قانون کشور متبوع شوهر او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خارجی که در اثر ازدواج با مرد ایرانی تابعیت ایران را به دست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تابعیت نخستین خود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ایران اجازه 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شوهر ایرانی، به شرط اینکه از شوهر متوفی فرزندی نداشته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خارجی اجازه دهد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طلاق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ایرانی که در اثر ازدواج با مرد خارجی تابعیت ایران را از دست داده است، در چه صورتی می‌تواند به تابعیت ایران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شرط اینکه دولت رجوع او را صلاح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یا فوت شوهر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شوهر، به شرط اینکه دولت رجوع او را صلاح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شوهر، به شرط اینکه از متوفی، فرزند خردسال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تابعیت زن خارجی که با مرد ایرانی ازدواج می‌کند و زن ایرانی که با مرد خارجی ازدواج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زن تابعیت ایرانی خواهد داشت و در مورد دوم، ممکن است تابعیت زن ایرانی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ممکن است تابعیت زن، ایرانی شود و در مورد دوم، تابعیت زن، ایرانی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تابعیت زن، خارجی خواهد ماند و در مورد دوم، تابعیت زن، ایرانی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تابعیت زن، ایرانی خواهد ماند و در مورد دوم، ممکن است تابعیت زن، ایرانی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ایرانی زن خارجی که با مرد ایرانی ازدواج می‌کند و تابعیت ایرانی زن خارجی که شوهرش تابعیت ایران را دریافت می‌کند، به ترتیب چه نوع تابعیتی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ارادی، غیر ارادی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 ارادی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ارادی، تبعی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 تبعی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تابعیت زن در اثر ازدواج،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ارادی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حقوق بین‌الملل خصوصی ایران، زنان ایرانی که در اثر ازدواج با مردان خارجی تابعیت خارجی شوهران خود را دریافت می‌کنند، حق داشتن دارایی‌های غیرمنقول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لازم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ایرانی که با یک تبعه خارجی ازدواج می‌کند،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تابعیت ایرانی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تابعیت ایرانی خود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دارد که تابعیت شوهر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تابعیت ایرانی خود را از دست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ازدواج بین‌المللی آمیخته،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تابعیت مضاعف اکتسابی به‌وجود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تابعیت مضاعف اکتسابی به‌وجود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تابعیت مضاعف تولّدی به‌وجود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تابعیت مضاعف تولّدی به‌وجود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وحدت تابعیت زن و مرد در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زن، تابعیت مضاعف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بین‌المللی ساده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بین‌المللی مختلط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که مذاهب مختلف دارند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که اقامتگاه‌های مختلف دارند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رجوع به تابعیت ایران برای زن ایرانی که در اثر ازدواج با مرد خارجی تابعیت ایران را از دست داده 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دولت ایران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دولت خارجی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شوهر خارجی</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یا فوت شوهر خارجی</w:t>
      </w:r>
      <w:bookmarkStart w:id="472" w:name="pg5888_36200"/>
    </w:p>
    <w:p>
      <w:pPr>
        <w:pStyle w:val="Heading2"/>
        <w:numPr>
          <w:ilvl w:val="1"/>
          <w:numId w:val="1"/>
        </w:numPr>
        <w:rPr/>
      </w:pPr>
      <w:bookmarkStart w:id="473" w:name="__RefHeading___Toc5261514_581953129"/>
      <w:bookmarkStart w:id="474" w:name="_Toc185"/>
      <w:bookmarkEnd w:id="472"/>
      <w:bookmarkEnd w:id="473"/>
      <w:r>
        <w:rPr/>
        <w:t>11</w:t>
      </w:r>
      <w:r>
        <w:rPr>
          <w:rtl w:val="true"/>
        </w:rPr>
        <w:t xml:space="preserve">- </w:t>
      </w:r>
      <w:r>
        <w:rPr>
          <w:rtl w:val="true"/>
        </w:rPr>
        <w:t xml:space="preserve">اقامتگاه </w:t>
      </w:r>
      <w:r>
        <w:rPr>
          <w:rtl w:val="true"/>
        </w:rPr>
        <w:t>(</w:t>
      </w:r>
      <w:r>
        <w:rPr/>
        <w:t>1</w:t>
      </w:r>
      <w:r>
        <w:rPr>
          <w:rtl w:val="true"/>
        </w:rPr>
        <w:t>)</w:t>
      </w:r>
      <w:bookmarkEnd w:id="474"/>
    </w:p>
    <w:p>
      <w:pPr>
        <w:pStyle w:val="Heading3"/>
        <w:numPr>
          <w:ilvl w:val="2"/>
          <w:numId w:val="1"/>
        </w:numPr>
        <w:rPr/>
      </w:pPr>
      <w:bookmarkStart w:id="475" w:name="__RefHeading___Toc5261516_581953129"/>
      <w:bookmarkStart w:id="476" w:name="_Toc186"/>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تعریف اقامتگاه و شناخت تفاوت سکونت با اقامتگاه و اقامتگاه با تابعیت؛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ماهیت اقامتگاه، از نظر حقوق داخلی و بین‌الملل؛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آثار و فواید بحث از اقامتگاه؛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اصول سه گانه اقامتگاه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از جمله مسایل حقوقی که هم در حقوق داخلی و هم در حقوق بین‌الملل اهمیت 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مفهوم در حقوق داخلی تفاوت بسیاری با حقوق بین‌الملل دارد، ولی تعریف به نسبت مشابهی از اقامتگاه در سطح داخلی و بین‌المللی ارائه می‌شود؛ چنان‌که بیشتر قوانین به یک تعریف کلّی از اقامتگاه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داخلی و چه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هر شخص با محیط اطراف خود و محلی که در آن زندگی می‌کند و نیز محلی که در آن به کسب و کار اشتغال دارد، با عنوان اقامتگاه مورد بررسی قرار می‌گیرد</w:t>
      </w:r>
      <w:r>
        <w:rPr>
          <w:rFonts w:eastAsia="IRNazanin" w:cs="IRNazanin"/>
          <w:color w:val="111111"/>
          <w:sz w:val="28"/>
          <w:szCs w:val="28"/>
          <w:rtl w:val="true"/>
          <w:lang w:bidi="fa-IR"/>
        </w:rPr>
        <w:t>.</w:t>
      </w:r>
    </w:p>
    <w:p>
      <w:pPr>
        <w:pStyle w:val="Heading3"/>
        <w:numPr>
          <w:ilvl w:val="2"/>
          <w:numId w:val="1"/>
        </w:numPr>
        <w:rPr/>
      </w:pPr>
      <w:bookmarkStart w:id="477" w:name="__RefHeading___Toc5261518_581953129"/>
      <w:bookmarkStart w:id="478" w:name="_Toc187"/>
      <w:bookmarkEnd w:id="477"/>
      <w:r>
        <w:rPr/>
        <w:t>1</w:t>
      </w:r>
      <w:r>
        <w:rPr>
          <w:rtl w:val="true"/>
        </w:rPr>
        <w:t xml:space="preserve">- </w:t>
      </w:r>
      <w:r>
        <w:rPr>
          <w:rtl w:val="true"/>
        </w:rPr>
        <w:t>تعریف اقامتگاه</w:t>
      </w:r>
      <w:bookmarkEnd w:id="478"/>
    </w:p>
    <w:p>
      <w:pPr>
        <w:pStyle w:val="Heading4"/>
        <w:numPr>
          <w:ilvl w:val="3"/>
          <w:numId w:val="1"/>
        </w:numPr>
        <w:rPr/>
      </w:pPr>
      <w:bookmarkStart w:id="479" w:name="__RefHeading___Toc5261520_581953129"/>
      <w:bookmarkStart w:id="480" w:name="_Toc188"/>
      <w:bookmarkEnd w:id="479"/>
      <w:r>
        <w:rPr>
          <w:rtl w:val="true"/>
        </w:rPr>
        <w:t>اشاره</w:t>
      </w:r>
      <w:bookmarkEnd w:id="48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مکانی که خانواده، کار و منافع او در آنجا قرار دارد،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یادشده جایی است که وی در آنجا سکونت می‌کند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اقامتگاه رابطه‌ای است مادی و حقوقی که شخص را بدون توجه به تابعیت، به بخشی از خاک یک دولت پیوند می‌دهد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اقامتگاه رابطه‌ای مادی است؛ زیرا به محلی که شخص در آنجا اقامت دارد، وابسته است و رابطه مزبور با خروج وی از آن محل منتفی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اقامتگاه رابطه‌ای حقوقی است؛ زیرا داشتن اقامتگاه در یک کشور، منشأ آثار حقوقی بسیاری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حقوق، اقامتگاه محلی است که مقرّ قانونی شخص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شخص و اقامتگاه او رابطه‌ای حقوقی مبتنی بر این فرض قانونی است که همیشه در آنجا مستقر است و وابستگی دائمی دارد؛ هرچند به واقع در آنجا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که شخص، غایب مفقودالاثر و یا فوت شود، این رابطه تا حدودی باقی است؛ چراکه در قوانین، امور غایب مفقودالاثر و ترکه متوفی، به دادگاه محل اقامتگاه آنها ارجاع می‌شود</w:t>
      </w:r>
      <w:r>
        <w:rPr>
          <w:rFonts w:eastAsia="IRNazanin" w:cs="IRNazanin"/>
          <w:color w:val="111111"/>
          <w:sz w:val="28"/>
          <w:szCs w:val="28"/>
          <w:rtl w:val="true"/>
          <w:lang w:bidi="fa-IR"/>
        </w:rPr>
        <w:t>.</w:t>
      </w:r>
      <w:r>
        <w:rPr>
          <w:rStyle w:val="FootnoteAnchor"/>
          <w:rtl w:val="true"/>
        </w:rPr>
        <w:footnoteReference w:id="26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مدنی برای هر کس، محل اقامت ویژه‌ای معین می‌کند که اقامتگاه او به‌شمار می‌رود؛ حتی اگر در آنجا حضور فیزیکی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ایران در ماده </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اقامتگاه هر شخص را جایی می‌داند که در آن سکونت دارد و فرایند امور مهم زندگی‌اش در آنجا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سکونت، غیر از محل اداره کردن کارها و سر و سامان دادن به آنها باشد، مرکز امور او اقامتگاه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w:t>
      </w:r>
      <w:bookmarkStart w:id="481" w:name="pg5888_36202"/>
    </w:p>
    <w:p>
      <w:pPr>
        <w:pStyle w:val="BookText"/>
        <w:rPr/>
      </w:pPr>
      <w:bookmarkEnd w:id="481"/>
      <w:r>
        <w:rPr>
          <w:rFonts w:ascii="IRNazanin" w:hAnsi="IRNazanin" w:eastAsia="IRNazanin"/>
          <w:color w:val="111111"/>
          <w:sz w:val="28"/>
          <w:sz w:val="28"/>
          <w:szCs w:val="28"/>
          <w:rtl w:val="true"/>
          <w:lang w:bidi="fa-IR"/>
        </w:rPr>
        <w:t>اقامتگاه هر شخص عبارت است از محلی که شخص در آنجا سکونت داشته و مرکز مهم امور او نیز در آنجا باشد</w:t>
      </w:r>
      <w:r>
        <w:rPr>
          <w:rFonts w:eastAsia="IRNazanin" w:cs="IRNazanin"/>
          <w:color w:val="111111"/>
          <w:sz w:val="28"/>
          <w:szCs w:val="28"/>
          <w:rtl w:val="true"/>
          <w:lang w:bidi="fa-IR"/>
        </w:rPr>
        <w:t>.</w:t>
      </w:r>
    </w:p>
    <w:p>
      <w:pPr>
        <w:pStyle w:val="Heading4"/>
        <w:numPr>
          <w:ilvl w:val="3"/>
          <w:numId w:val="1"/>
        </w:numPr>
        <w:rPr/>
      </w:pPr>
      <w:bookmarkStart w:id="482" w:name="__RefHeading___Toc5261522_581953129"/>
      <w:bookmarkStart w:id="483" w:name="_Toc189"/>
      <w:bookmarkEnd w:id="482"/>
      <w:r>
        <w:rPr>
          <w:rtl w:val="true"/>
        </w:rPr>
        <w:t>الف</w:t>
      </w:r>
      <w:r>
        <w:rPr>
          <w:rtl w:val="true"/>
        </w:rPr>
        <w:t xml:space="preserve">) </w:t>
      </w:r>
      <w:r>
        <w:rPr>
          <w:rtl w:val="true"/>
        </w:rPr>
        <w:t>فرق سکونت با اقامتگاه</w:t>
      </w:r>
      <w:bookmarkEnd w:id="483"/>
    </w:p>
    <w:p>
      <w:pPr>
        <w:pStyle w:val="BookText"/>
        <w:rPr/>
      </w:pPr>
      <w:r>
        <w:rPr>
          <w:rFonts w:ascii="IRNazanin" w:hAnsi="IRNazanin" w:eastAsia="IRNazanin"/>
          <w:color w:val="111111"/>
          <w:sz w:val="28"/>
          <w:sz w:val="28"/>
          <w:szCs w:val="28"/>
          <w:rtl w:val="true"/>
          <w:lang w:bidi="fa-IR"/>
        </w:rPr>
        <w:t xml:space="preserve">از تعریف قانون‌گذار روشن می‌شود که اقامتگاه، پدیده‌ای فرضی و قراردادی است و ممکن است با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شخص، به گونه‌ای واقعی در آنجا حضور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فقط یک رابطه مادی با محل سکونت دارد؛ درحالی‌که با محل اقامت، افزون بر رابطه مادی، از رابطه حقوقی نیز برخوردار است و به‌صورتی ضعیف دارای برخی از ویژگی‌های سیاسی است که بین او و حوزه معین از قلمرو دولتی وجود دارد؛ مانند کسی که در شمیران زندگی می‌کند، ولی در بازار تهران دارای مغازه یا دفتری است که مرکز کارهای حقوقی او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زیر متفاوت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سکونت ممکن است چند جا باشد؛ درحالی‌که اقامتگاه واحد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هر شخصی با محل سکونت خود فقط رابطه‌ای مادی است؛ درحالی‌که محل اقامت، افزون بر ایجاد رابطه مادی بین وی و دولتی معین، ضامن منافع حقوقی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نیز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شخص با محل سکونتِ عادی فقط رابطه‌ای مادی است و همین که از محل سکونت خود دور شود، ساکن آن مکان به‌شمار نخواهد آمد؛ درحالی‌که رابطه شخص با اقامتگاه، رابطه‌ای مادی و معنوی است؛ زیرا هرچند برای مدّت طولانی و ممتد در محل اقامت خود حضور فیزیکی نداشته باشد، ولی همچنان مقیم آن محل شمرده خواهد شد</w:t>
      </w:r>
      <w:r>
        <w:rPr>
          <w:rFonts w:eastAsia="IRNazanin" w:cs="IRNazanin"/>
          <w:color w:val="111111"/>
          <w:sz w:val="28"/>
          <w:szCs w:val="28"/>
          <w:rtl w:val="true"/>
          <w:lang w:bidi="fa-IR"/>
        </w:rPr>
        <w:t>.</w:t>
      </w:r>
      <w:r>
        <w:rPr>
          <w:rStyle w:val="FootnoteAnchor"/>
          <w:rtl w:val="true"/>
        </w:rPr>
        <w:footnoteReference w:id="269"/>
      </w:r>
      <w:bookmarkStart w:id="484" w:name="pg5888_36203"/>
    </w:p>
    <w:p>
      <w:pPr>
        <w:pStyle w:val="Heading4"/>
        <w:numPr>
          <w:ilvl w:val="3"/>
          <w:numId w:val="1"/>
        </w:numPr>
        <w:rPr/>
      </w:pPr>
      <w:bookmarkStart w:id="485" w:name="__RefHeading___Toc5261524_581953129"/>
      <w:bookmarkStart w:id="486" w:name="_Toc190"/>
      <w:bookmarkEnd w:id="484"/>
      <w:bookmarkEnd w:id="485"/>
      <w:r>
        <w:rPr>
          <w:rtl w:val="true"/>
        </w:rPr>
        <w:t>ب</w:t>
      </w:r>
      <w:r>
        <w:rPr>
          <w:rtl w:val="true"/>
        </w:rPr>
        <w:t xml:space="preserve">) </w:t>
      </w:r>
      <w:r>
        <w:rPr>
          <w:rtl w:val="true"/>
        </w:rPr>
        <w:t>فرق اقامتگاه با تابعیت</w:t>
      </w:r>
      <w:bookmarkEnd w:id="486"/>
    </w:p>
    <w:p>
      <w:pPr>
        <w:pStyle w:val="BookText"/>
        <w:rPr/>
      </w:pPr>
      <w:r>
        <w:rPr>
          <w:rFonts w:ascii="IRNazanin" w:hAnsi="IRNazanin" w:eastAsia="IRNazanin"/>
          <w:color w:val="111111"/>
          <w:sz w:val="28"/>
          <w:sz w:val="28"/>
          <w:szCs w:val="28"/>
          <w:rtl w:val="true"/>
          <w:lang w:bidi="fa-IR"/>
        </w:rPr>
        <w:t>تابعیت، رابطه‌ای است معنوی، سیاسی و حقوقی؛ درحالی‌که اقامتگاه رابطه‌ای است کاملاً مادی، حقوقی و دارای بُعد ضعیفی از ویژگی‌های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تابعیت، رابطه شخص با دولت، از وصف معنوی برخوردار است؛ یعنی پیوند شخص با دولت خود، قطع‌نظر از محل اقامت او است و به‌عبارت‌دیگر، تابعیت، یک عامل تقسیم معنوی اشخاص است و حال آنکه اقامتگاه شخص در مملکتی قرار دارد که منافع او در آنجا متمرکز شده است و این منافع، بیشتر مالی و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اقامتگاه یک عامل تقسیم مادی و مربوط به مکانی است که افراد در آنجا ساکن هستند و ازآنجاکه اقامتگاه به محل معینی از دولتی بستگی دارد و به‌صورتِ یک پیوند با واسطه و غیر مستقیم با دولت ظاهر می‌شود، بعضی از علما آن را جایگزین تابعیت نامیده‌اند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با توجّه به اینکه تابعیت، برخلاف اقامتگاه و محل سکونت، پدیده‌ای همیشگی و مداوم است، موجبات تسهیل در رسیدگی را برای محاکم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تغییر تابعیت به سادگی انجام نمی‌شود، حال آنکه اقامتگاه و یا محل سکونت به‌راحتی تغییر می‌کند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منافع و مصالح کشورها با تابعیت بیشتر تأمین می‌شود؛ زیرا اقامتگاه یا محل سکونت، بیشتر بر اساس صلاحدید شخص و محاسبه‌های منافع فردی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بیشتر مهاجران علاقه‌مند هستند که پیوند و دلبستگی خود را با کشور اصلی خویش حفظ کنند و آرزو دارند روزی به کشور متبوع خود بازگردند، که این کار از راه تابعیت و حفظ آن امکان‌پذیر است</w:t>
      </w:r>
      <w:r>
        <w:rPr>
          <w:rFonts w:eastAsia="IRNazanin" w:cs="IRNazanin"/>
          <w:color w:val="111111"/>
          <w:sz w:val="28"/>
          <w:szCs w:val="28"/>
          <w:rtl w:val="true"/>
          <w:lang w:bidi="fa-IR"/>
        </w:rPr>
        <w:t>.</w:t>
      </w:r>
      <w:r>
        <w:rPr>
          <w:rStyle w:val="FootnoteAnchor"/>
          <w:rtl w:val="true"/>
        </w:rPr>
        <w:footnoteReference w:id="271"/>
      </w:r>
      <w:bookmarkStart w:id="487" w:name="pg5888_36204"/>
    </w:p>
    <w:p>
      <w:pPr>
        <w:pStyle w:val="Heading3"/>
        <w:numPr>
          <w:ilvl w:val="2"/>
          <w:numId w:val="1"/>
        </w:numPr>
        <w:rPr/>
      </w:pPr>
      <w:bookmarkStart w:id="488" w:name="__RefHeading___Toc5261526_581953129"/>
      <w:bookmarkStart w:id="489" w:name="_Toc191"/>
      <w:bookmarkEnd w:id="487"/>
      <w:bookmarkEnd w:id="488"/>
      <w:r>
        <w:rPr/>
        <w:t>2</w:t>
      </w:r>
      <w:r>
        <w:rPr>
          <w:rtl w:val="true"/>
        </w:rPr>
        <w:t xml:space="preserve">- </w:t>
      </w:r>
      <w:r>
        <w:rPr>
          <w:rtl w:val="true"/>
        </w:rPr>
        <w:t>ماهیت اقامتگاه</w:t>
      </w:r>
      <w:bookmarkEnd w:id="489"/>
    </w:p>
    <w:p>
      <w:pPr>
        <w:pStyle w:val="Heading4"/>
        <w:numPr>
          <w:ilvl w:val="3"/>
          <w:numId w:val="1"/>
        </w:numPr>
        <w:rPr/>
      </w:pPr>
      <w:bookmarkStart w:id="490" w:name="__RefHeading___Toc5261528_581953129"/>
      <w:bookmarkStart w:id="491" w:name="_Toc192"/>
      <w:bookmarkEnd w:id="490"/>
      <w:r>
        <w:rPr>
          <w:rtl w:val="true"/>
        </w:rPr>
        <w:t>اشاره</w:t>
      </w:r>
      <w:bookmarkEnd w:id="491"/>
    </w:p>
    <w:p>
      <w:pPr>
        <w:pStyle w:val="BookText"/>
        <w:rPr/>
      </w:pPr>
      <w:r>
        <w:rPr>
          <w:rFonts w:ascii="IRNazanin" w:hAnsi="IRNazanin" w:eastAsia="IRNazanin"/>
          <w:color w:val="111111"/>
          <w:sz w:val="28"/>
          <w:sz w:val="28"/>
          <w:szCs w:val="28"/>
          <w:rtl w:val="true"/>
          <w:lang w:bidi="fa-IR"/>
        </w:rPr>
        <w:t>پیش‌تر گفته شد که موضوع اقامتگاه، هم با حقوق داخلی و هم با حقوق بین‌الملل در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توضیح بیشتری دراین‌باره ارائه می‌شود</w:t>
      </w:r>
      <w:r>
        <w:rPr>
          <w:rFonts w:eastAsia="IRNazanin" w:cs="IRNazanin"/>
          <w:color w:val="111111"/>
          <w:sz w:val="28"/>
          <w:szCs w:val="28"/>
          <w:rtl w:val="true"/>
          <w:lang w:bidi="fa-IR"/>
        </w:rPr>
        <w:t>:</w:t>
      </w:r>
    </w:p>
    <w:p>
      <w:pPr>
        <w:pStyle w:val="Heading4"/>
        <w:numPr>
          <w:ilvl w:val="3"/>
          <w:numId w:val="1"/>
        </w:numPr>
        <w:rPr/>
      </w:pPr>
      <w:bookmarkStart w:id="492" w:name="__RefHeading___Toc5261530_581953129"/>
      <w:bookmarkStart w:id="493" w:name="_Toc193"/>
      <w:bookmarkEnd w:id="492"/>
      <w:r>
        <w:rPr>
          <w:rtl w:val="true"/>
        </w:rPr>
        <w:t>الف</w:t>
      </w:r>
      <w:r>
        <w:rPr>
          <w:rtl w:val="true"/>
        </w:rPr>
        <w:t xml:space="preserve">) </w:t>
      </w:r>
      <w:r>
        <w:rPr>
          <w:rtl w:val="true"/>
        </w:rPr>
        <w:t>اقامتگاه از نگاه حقوق داخلی</w:t>
      </w:r>
      <w:bookmarkEnd w:id="493"/>
    </w:p>
    <w:p>
      <w:pPr>
        <w:pStyle w:val="BookText"/>
        <w:rPr/>
      </w:pPr>
      <w:r>
        <w:rPr>
          <w:rFonts w:ascii="IRNazanin" w:hAnsi="IRNazanin" w:eastAsia="IRNazanin"/>
          <w:color w:val="111111"/>
          <w:sz w:val="28"/>
          <w:sz w:val="28"/>
          <w:szCs w:val="28"/>
          <w:rtl w:val="true"/>
          <w:lang w:bidi="fa-IR"/>
        </w:rPr>
        <w:t>اقامتگاه به لحاظ حقوقی داخلی مانند آن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در تهران اقامت دارد و در قم اقامت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اقامتگاه به احوال شخصیه مربوط است و از وضعیت شخص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اقامتگاه داخلی و منطقه‌ای در داخل یک کشور برای زندگی و کار، به اراده فرد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به این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اقامتگاه‌های اجباری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تحمیل نمی‌شود؛ بلکه هر جا را که اراده کند می‌تواند مرکز مهم امور و فعالیت‌های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حقوق مدنی بهره‌مند می‌گردد و تعهدها و مسؤولیت‌های قانونی خود را در آنجا ایفا می‌کند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اقامتگاه در مفهوم 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تکمیل‌کننده هویت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عوامل هویت شخص، نام برده می‌شوند، اسم، فامیل، اسم پدر، شغل و اقامتگاه هم اضافه می‌گردد تا هویت و مشخّصات دارنده آن به‌صورتِ دقیق روشن و در هنگام نیاز، آثار حقوقی بر آن بار شود</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494" w:name="__RefHeading___Toc5261532_581953129"/>
      <w:bookmarkStart w:id="495" w:name="_Toc194"/>
      <w:bookmarkEnd w:id="494"/>
      <w:r>
        <w:rPr>
          <w:rtl w:val="true"/>
        </w:rPr>
        <w:t>ب</w:t>
      </w:r>
      <w:r>
        <w:rPr>
          <w:rtl w:val="true"/>
        </w:rPr>
        <w:t xml:space="preserve">) </w:t>
      </w:r>
      <w:r>
        <w:rPr>
          <w:rtl w:val="true"/>
        </w:rPr>
        <w:t>اقامتگاه از نگاه حقوق بین الملل</w:t>
      </w:r>
      <w:bookmarkEnd w:id="49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اقامتگاه به لحاظ حقوق بین الملل مانند آن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در ایران</w:t>
      </w:r>
      <w:bookmarkStart w:id="496" w:name="pg5888_36205"/>
    </w:p>
    <w:p>
      <w:pPr>
        <w:pStyle w:val="BookText"/>
        <w:rPr/>
      </w:pPr>
      <w:bookmarkEnd w:id="496"/>
      <w:r>
        <w:rPr>
          <w:rFonts w:ascii="IRNazanin" w:hAnsi="IRNazanin" w:eastAsia="IRNazanin"/>
          <w:color w:val="111111"/>
          <w:sz w:val="28"/>
          <w:sz w:val="28"/>
          <w:szCs w:val="28"/>
          <w:rtl w:val="true"/>
          <w:lang w:bidi="fa-IR"/>
        </w:rPr>
        <w:t>اقامت دارد، نه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کشورِ محل اقامت شخص، از کشور مورد تابعیت او متفاوت باشد، اقامتگاه وی بین‌المللی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بین‌المللی به اراده فرد بستگی ندارد؛ بلکه بیشتر به اراده دولت‌ها وابسته است؛ زیرا تعیین اقامتگاه و یا اعطای آن به اشخاص، به‌وسیله دولت‌ها و بر اساس مصالح و منافع آنها و در حوزه فرمانروایی و قلمرو حکومت آنها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تعیین اقامتگاه شخص بیگانه در خاک یک کشور، به قوانین همان کشور مراجعه می‌شود و الزامی برای مراجعه به قانون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در مفهوم حقوق بین‌الملل، اقامتگاه همچون تابعیت است؛ با این تفاوت که در تابعیت، موضوع تقسیم اشخاص، به لحاظ وابستگی افراد به یک دولت معین مطرح است؛ ولی در اقامتگاه، اشخاص از لحاظ وابستگی به یک محل معین تقسیم می‌شوند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نکته دیگر آنکه از جمله منافع فراوان هر دولتی این است که تعیین کند چه اشخاصی در قلمرو حکومت او و چه کسانی در خارج از حوزه فرمانروایی او هستند؛ چراکه دراین‌صورت، موضوع اقامتگاه، یک منفعت سیاسی را ایجاب می‌کند؛ حال آنکه تعیین اقامتگاه داخلی، دربردارنده هیچ بهره سیاسی نیست</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497" w:name="__RefHeading___Toc5261534_581953129"/>
      <w:bookmarkStart w:id="498" w:name="_Toc195"/>
      <w:bookmarkEnd w:id="497"/>
      <w:r>
        <w:rPr/>
        <w:t>3</w:t>
      </w:r>
      <w:r>
        <w:rPr>
          <w:rtl w:val="true"/>
        </w:rPr>
        <w:t xml:space="preserve">- </w:t>
      </w:r>
      <w:r>
        <w:rPr>
          <w:rtl w:val="true"/>
        </w:rPr>
        <w:t>اثرها و فایده های بحث از اقامتگاه بین المللی</w:t>
      </w:r>
      <w:bookmarkEnd w:id="498"/>
    </w:p>
    <w:p>
      <w:pPr>
        <w:pStyle w:val="Heading4"/>
        <w:numPr>
          <w:ilvl w:val="3"/>
          <w:numId w:val="1"/>
        </w:numPr>
        <w:rPr/>
      </w:pPr>
      <w:bookmarkStart w:id="499" w:name="__RefHeading___Toc5261536_581953129"/>
      <w:bookmarkStart w:id="500" w:name="_Toc196"/>
      <w:bookmarkEnd w:id="499"/>
      <w:r>
        <w:rPr>
          <w:rtl w:val="true"/>
        </w:rPr>
        <w:t>اشاره</w:t>
      </w:r>
      <w:bookmarkEnd w:id="50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اقامتگاه افزون بر تعیین هویت و شناسایی اشخاص، از نظر قضایی نیز دارای اهمیت فراوانی است و در موقعیت‌های گوناگون به منظور تعیین صلاحیت دادگاه، اعمال و اجرای قوانین صلاحیت‌دار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دادگاه‌ها، اداره‌ها و افراد قرار می‌گیرد</w:t>
      </w:r>
      <w:r>
        <w:rPr>
          <w:rFonts w:eastAsia="IRNazanin" w:cs="IRNazanin"/>
          <w:color w:val="111111"/>
          <w:sz w:val="28"/>
          <w:szCs w:val="28"/>
          <w:rtl w:val="true"/>
          <w:lang w:bidi="fa-IR"/>
        </w:rPr>
        <w:t>.</w:t>
      </w:r>
      <w:bookmarkStart w:id="501" w:name="pg5888_36206"/>
    </w:p>
    <w:p>
      <w:pPr>
        <w:pStyle w:val="BookText"/>
        <w:rPr/>
      </w:pPr>
      <w:bookmarkEnd w:id="501"/>
      <w:r>
        <w:rPr>
          <w:rFonts w:ascii="IRNazanin" w:hAnsi="IRNazanin" w:eastAsia="IRNazanin"/>
          <w:color w:val="111111"/>
          <w:sz w:val="28"/>
          <w:sz w:val="28"/>
          <w:szCs w:val="28"/>
          <w:rtl w:val="true"/>
          <w:lang w:bidi="fa-IR"/>
        </w:rPr>
        <w:t>ازاین‌رو، در قوانین کشورها، در موارد گوناگونی به اقامتگاه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چند مورد از فایده‌ها و پیامدهای این بحث اشاره می‌شود</w:t>
      </w:r>
      <w:r>
        <w:rPr>
          <w:rFonts w:eastAsia="IRNazanin" w:cs="IRNazanin"/>
          <w:color w:val="111111"/>
          <w:sz w:val="28"/>
          <w:szCs w:val="28"/>
          <w:rtl w:val="true"/>
          <w:lang w:bidi="fa-IR"/>
        </w:rPr>
        <w:t>:</w:t>
      </w:r>
    </w:p>
    <w:p>
      <w:pPr>
        <w:pStyle w:val="Heading4"/>
        <w:numPr>
          <w:ilvl w:val="3"/>
          <w:numId w:val="1"/>
        </w:numPr>
        <w:rPr/>
      </w:pPr>
      <w:bookmarkStart w:id="502" w:name="__RefHeading___Toc5261538_581953129"/>
      <w:bookmarkStart w:id="503" w:name="_Toc197"/>
      <w:bookmarkEnd w:id="502"/>
      <w:r>
        <w:rPr>
          <w:rtl w:val="true"/>
        </w:rPr>
        <w:t>الف</w:t>
      </w:r>
      <w:r>
        <w:rPr>
          <w:rtl w:val="true"/>
        </w:rPr>
        <w:t xml:space="preserve">) </w:t>
      </w:r>
      <w:r>
        <w:rPr>
          <w:rtl w:val="true"/>
        </w:rPr>
        <w:t>اقامتگاه درباره تعیین قانون صلاحیت دار</w:t>
      </w:r>
      <w:bookmarkEnd w:id="503"/>
    </w:p>
    <w:p>
      <w:pPr>
        <w:pStyle w:val="BookText"/>
        <w:rPr/>
      </w:pPr>
      <w:r>
        <w:rPr>
          <w:rFonts w:ascii="IRNazanin" w:hAnsi="IRNazanin" w:eastAsia="IRNazanin"/>
          <w:color w:val="111111"/>
          <w:sz w:val="28"/>
          <w:sz w:val="28"/>
          <w:szCs w:val="28"/>
          <w:rtl w:val="true"/>
          <w:lang w:bidi="fa-IR"/>
        </w:rPr>
        <w:t>در حقوق برخی از کشورها، تعیین قانون صلاحیت‌دار، به تعیین اقامتگاه شخص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در برخی از کشورها، قضات مکلف شده‌اند تا از میان چند قانون، قانون محل اقامتگاه را اعمال کنند و برای این منظور باید اقامتگاه شخص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اقامتگاه شخص و قانون حاکم، در برخی موارد از اهمیت خاصی برخوردار است که در زیر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کشورها نظیر آمریکا، انگلیس، کشورهای اسکاندیناوی و فرانسه پیش از قرن نوزدهم، قانون صلاحیت‌دار نسبت به مسائل مربوط به احوال شخصیه، بر اساس قانون اقامتگاه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ضابطه اقامتگاه برای کشورهای مهاجرپذیر و ضابطه تابعیت برای کشورهای مهاجرفرست مورد استفاده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کشورها از جمله فرانسه، باآنکه قانون دولتِ مورد تابعیت شخص، بر احوال شخصیه وی حاکم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طلاق و نَسَب باید قانون دولت مورد تابعیت شخص رعایت شود، چنانچه طرفین دارای دو تابعیت مختلف باشند، قانون اقامتگاه مشترک آنها اجرا می‌شود</w:t>
      </w:r>
      <w:r>
        <w:rPr>
          <w:rFonts w:eastAsia="IRNazanin" w:cs="IRNazanin"/>
          <w:color w:val="111111"/>
          <w:sz w:val="28"/>
          <w:szCs w:val="28"/>
          <w:rtl w:val="true"/>
          <w:lang w:bidi="fa-IR"/>
        </w:rPr>
        <w:t>.</w:t>
      </w:r>
      <w:r>
        <w:rPr>
          <w:rStyle w:val="FootnoteAnchor"/>
          <w:rtl w:val="true"/>
        </w:rPr>
        <w:footnoteReference w:id="27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ترکه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بیشتر اموال متوفّا در محل اقامتگاه وی قرار دارد، درباره ترکه متوفا در بیشتر موارد، قانون اقامتگاه لازم‌الاجراست؛ برای</w:t>
      </w:r>
      <w:bookmarkStart w:id="504" w:name="pg5888_36207"/>
    </w:p>
    <w:p>
      <w:pPr>
        <w:pStyle w:val="BookText"/>
        <w:rPr/>
      </w:pPr>
      <w:bookmarkEnd w:id="504"/>
      <w:r>
        <w:rPr>
          <w:rFonts w:ascii="IRNazanin" w:hAnsi="IRNazanin" w:eastAsia="IRNazanin"/>
          <w:color w:val="111111"/>
          <w:sz w:val="28"/>
          <w:sz w:val="28"/>
          <w:szCs w:val="28"/>
          <w:rtl w:val="true"/>
          <w:lang w:bidi="fa-IR"/>
        </w:rPr>
        <w:t>نمونه، هرگاه یک ایرانی که در فرانسه اقامت دارد از دنیا برود، قانون صلاحیت‌دار در تقسیم ترکه منقول وی قانون فرانسه خواهد بود؛</w:t>
      </w:r>
      <w:r>
        <w:rPr>
          <w:rStyle w:val="FootnoteAnchor"/>
          <w:rtl w:val="true"/>
        </w:rPr>
        <w:footnoteReference w:id="277"/>
      </w:r>
      <w:r>
        <w:rPr>
          <w:rFonts w:ascii="IRNazanin" w:hAnsi="IRNazanin" w:eastAsia="IRNazanin"/>
          <w:color w:val="111111"/>
          <w:sz w:val="28"/>
          <w:sz w:val="28"/>
          <w:szCs w:val="28"/>
          <w:rtl w:val="true"/>
          <w:lang w:bidi="fa-IR"/>
        </w:rPr>
        <w:t xml:space="preserve">امّا قانون مدنی ایران در برخی موارد، مانند مواد پنجم و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محل سکونت را به جای اقامتگاه ملاک عمل قرار داده است</w:t>
      </w:r>
      <w:r>
        <w:rPr>
          <w:rFonts w:eastAsia="IRNazanin" w:cs="IRNazanin"/>
          <w:color w:val="111111"/>
          <w:sz w:val="28"/>
          <w:szCs w:val="28"/>
          <w:rtl w:val="true"/>
          <w:lang w:bidi="fa-IR"/>
        </w:rPr>
        <w:t>.</w:t>
      </w:r>
    </w:p>
    <w:p>
      <w:pPr>
        <w:pStyle w:val="Heading4"/>
        <w:numPr>
          <w:ilvl w:val="3"/>
          <w:numId w:val="1"/>
        </w:numPr>
        <w:rPr/>
      </w:pPr>
      <w:bookmarkStart w:id="505" w:name="__RefHeading___Toc5261540_581953129"/>
      <w:bookmarkStart w:id="506" w:name="_Toc198"/>
      <w:bookmarkEnd w:id="505"/>
      <w:r>
        <w:rPr>
          <w:rtl w:val="true"/>
        </w:rPr>
        <w:t>ب</w:t>
      </w:r>
      <w:r>
        <w:rPr>
          <w:rtl w:val="true"/>
        </w:rPr>
        <w:t xml:space="preserve">) </w:t>
      </w:r>
      <w:r>
        <w:rPr>
          <w:rtl w:val="true"/>
        </w:rPr>
        <w:t>اقامتگاه در مورد تعیین محاکم صلاحیت دار</w:t>
      </w:r>
      <w:bookmarkEnd w:id="506"/>
    </w:p>
    <w:p>
      <w:pPr>
        <w:pStyle w:val="BookText"/>
        <w:rPr/>
      </w:pPr>
      <w:r>
        <w:rPr>
          <w:rFonts w:ascii="IRNazanin" w:hAnsi="IRNazanin" w:eastAsia="IRNazanin"/>
          <w:color w:val="111111"/>
          <w:sz w:val="28"/>
          <w:sz w:val="28"/>
          <w:szCs w:val="28"/>
          <w:rtl w:val="true"/>
          <w:lang w:bidi="fa-IR"/>
        </w:rPr>
        <w:t>در بیشتر موارد، صلاحیت محاکم با توجه به اقامتگاه شخص معین می‌شود و در صورت فقدان آن، محل سکونت شخص ملاک عمل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شخص نقش بسزایی در تعیین محاکم صلاحیت‌دار کشور و حقوق و تکالیف برای شخص مقیم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بیان برخی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دعوی درباره دارایی‌های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دادگاه برای طرح دعوای دارایی‌های منقول باید در محل اقامتگاهِ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چنان‌که گفته می‌شود، اصل بر صلاحیت دادگاه محل اقامت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یازدهم قانون آیین دادرسی دادگاه‌های عمومی و انقلاب در امور مدنی چنین آمده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 باید در دادگاهی اقامه شود که خوانده در حوزه قضایی آن اقامتگاه دارد و اگر خوانده در ایران اقامتگاه نداشته باشد، در صورتی که در ایران محل سکونت موقّت داشته باشد، در دادگاه همان محل باید اقامه شود؛ و هرگاه در ایران اقامتگاه و یا محل سکونت موقّت نداشته، ولی مال غیرمنقول داشته باشد، دعوا در دادگاهی اقامه می‌شود که مال غیرمنقول در حوزه آن واقع است و هرگاه مال غیرمنقول هم نداشته باشد، خواهان در دادگاه محل اقامتگاه خود اقامه دعوی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مدیون، دِین خود را در موعد معینی به 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مطالبه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نپردازد، پس از آنکه 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مطالبه طلب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مراجع قضایی اقدام کرد، اظهارنامه به محل اقامت مدیون ارسال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قیمومت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قیمومت، راجع به دادگاه شهرستانی است که اقامتگاه محجور در حوزه آن دادگاه است و اگر محجور در ایران اقامتگاه نداشته باشد، دادگاهی که محجور در حوزه آن دادگاه سکنی دارد برای قیمومت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محجور در خارج ایران اقامت یا سکنی داشته باشد، امور قیمومت راجع به دادگاه شهرستان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راجع به غایب مفقودالاثر، با دادگاه شهرستان محلی است که آخرین اقامتگاه غایب در آن محل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مواد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اقامتگاه غایب در خارج از ایران باشد، دادگاهی برای رسیدگی به امور غایب صالح است که آخرین محل سکونت غایب در حوزه آن دادگاه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غایب در ایران اقامتگاه یا محل سکنی نداشته یا اقامتگاه و محل سکنای او در ایران معلوم نباشد، دادگاهِ محلّی برای رسیدگی به امور غایب صالح است که ورثه غایب در آن محل، اقامت یا سکنی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راجع به ترکه 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راجع به ترکه با دادگاه بخشی است که آخرین اقامتگاه متوفی در ایران در حوزه آن دادگاه بوده و اگر متوفی در ایران اقامتگاه نداشته، با دادگاهی است که آخرین محل سکنای متوفی در حوزه آن دادگاه بوده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 اساس ماده بیستم قانون آیین دادرسی دادگاه‌های عمومی و انقلاب در امور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دعاوی راجع به ترکه متوفی، اگرچه خواسته، دین یا مربوط به وصایای متوفی باشد، تا زمانی که ترکه تقسیم نشده، در دادگاه محلی اقامه می‌شود که آخرین اقامتگاه متوفی در ایران، آن محل بوده و اگر آخرین اقامتگاه متوفی معلوم نباشد، رسیدگی به دعاوی یادشده در صلاحیت دادگاهی است که آخرین محل سکونت متوفی در ایران، در حوزه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امین برای اداره و تصفیه ترکه متوفای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ماده سیزدهم آیین‌نامه اجرایی قانون مربوط به ترکه اتباع بیگانه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صورتی که اقامتگاه مرده در ایران بوده و در غیر محل مزبور هم مالی داشته باشد، تعیین امین برای اداره و تصفیه ترکه مرده، به درخواست دادستان شهرستان اقامتگاه مرده به عمل خواهد آمد و در صورتی که مرده در ایران اقامتگاه نداشته و اموال او در دو یا چند حوزه دادگاه شهرستان واقع باشد، تعیین امین، به درخواست دادستان شهرستان مرکز در تهران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دعوای توقف و ورشکستگی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باید ظرف سه روز از تاریخ وقفه که در تأدیه قروض یا سایر تعهدات نقدی او حاصل شده است، توقف خود را به دفتر محکمه بدایت محل اقامت خود اظهار کرده، صورت حساب دارایی و کلیه دفاتر تجارتی خود را به دفتر محکمه مزبور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موجب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دادگاه‌های عمومی و انقلاب در امور مدنی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دعوای راجع به توقف یا ورشکستگی باید در دادگاهی اقامه شود که شخص متوقف یا ورشکسته در حوزه آن اقامت داشته است و چنانچه در ایران اقامت نداشته باشد، در دادگاهی اقامه می‌شود که متوقف یا ورشکسته در حوزه آن برای انجام معاملات خود، شعبه یا نمایندگی داشته یا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در دعوای اعسار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دادگاه‌های عمومی و انقلاب در امور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دلیل اعسار، شهادت شهود باشد، شاهد باید در شهادت‌نامه خود، افزون بر ذکر مشخصات، شغل، وسیله امرارمعاش مدّعی اعسار و نداشتن توان مالی او، منشأ اطلاعات و مشخّصات کامل و اقامتگاه خود را به‌طور روشن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دادخواست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دادگاه‌های عمومی و انقلاب در امور مدنی و تبصره یکم و دوّمِ آن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خواهان در تقدیم دادخواست باید آدرس اقامتگاه خوانده حقیقی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خصوصیات از قبیل شهر و روستا و دهستان 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درج کند؛ به گونه‌ای که ابلاغ به‌سهولت ممکن باشد؛ امّا در صورتی که خوانده، شخص حقوقی بود، نام و اقامتگاه شخص حقوقی نوشته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معلوم شود محلی را که خواهان در دادخواست معین کرده است، نشانی خوانده نبوده یا قبل از ابلاغ تغییر کرده باشد و مأمور هم نتواند نشانی او را پیدا کند، باید این نکته را در برگ دیگر اخطاریه قید کند و ظرف دو روز اوراق را عودت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برابر ماده </w:t>
      </w:r>
      <w:r>
        <w:rPr>
          <w:rFonts w:eastAsia="IRNazanin" w:cs="IRNazanin"/>
          <w:color w:val="111111"/>
          <w:sz w:val="28"/>
          <w:szCs w:val="28"/>
          <w:lang w:bidi="fa-IR"/>
        </w:rPr>
        <w:t>54</w:t>
      </w:r>
      <w:r>
        <w:rPr>
          <w:rStyle w:val="FootnoteAnchor"/>
          <w:rtl w:val="true"/>
        </w:rPr>
        <w:footnoteReference w:id="279"/>
      </w:r>
      <w:r>
        <w:rPr>
          <w:rFonts w:ascii="IRNazanin" w:hAnsi="IRNazanin" w:eastAsia="IRNazanin"/>
          <w:color w:val="111111"/>
          <w:sz w:val="28"/>
          <w:sz w:val="28"/>
          <w:szCs w:val="28"/>
          <w:rtl w:val="true"/>
          <w:lang w:bidi="fa-IR"/>
        </w:rPr>
        <w:t xml:space="preserve">رفتار خواهد شد؛ مگر در مواردی که اقامتگاه خوانده برابر ماده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Style w:val="FootnoteAnchor"/>
          <w:rtl w:val="true"/>
        </w:rPr>
        <w:footnoteReference w:id="280"/>
      </w:r>
      <w:r>
        <w:rPr>
          <w:rFonts w:ascii="IRNazanin" w:hAnsi="IRNazanin" w:eastAsia="IRNazanin"/>
          <w:color w:val="111111"/>
          <w:sz w:val="28"/>
          <w:sz w:val="28"/>
          <w:szCs w:val="28"/>
          <w:rtl w:val="true"/>
          <w:lang w:bidi="fa-IR"/>
        </w:rPr>
        <w:t>تعیین شده</w:t>
      </w:r>
      <w:bookmarkStart w:id="507" w:name="pg5888_36211"/>
    </w:p>
    <w:p>
      <w:pPr>
        <w:pStyle w:val="BookText"/>
        <w:rPr/>
      </w:pPr>
      <w:bookmarkEnd w:id="507"/>
      <w:r>
        <w:rPr>
          <w:rFonts w:ascii="IRNazanin" w:hAnsi="IRNazanin" w:eastAsia="IRNazanin"/>
          <w:color w:val="111111"/>
          <w:sz w:val="28"/>
          <w:sz w:val="28"/>
          <w:szCs w:val="28"/>
          <w:rtl w:val="true"/>
          <w:lang w:bidi="fa-IR"/>
        </w:rPr>
        <w:t>باشد که در همان محل ابلاغ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دادخواست تجدیدنظر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آیین دادرسی دادگاه‌های عمومی و انقلاب در امور مدنی، لازم است در دادخواست تجدیدنظر، نام و نام خانوادگی، اقامتگاه و سایر مشخّصات تجدیدنظرخواه و وکیل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دادخواست را به وکیل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مشخّصات تجدیدنظرخواه در دادخواست معین نشده و معلوم نباشد که دادخواست‌دهنده چه کسی می‌باشد یا اقامتگاه او معلوم نباشد و قبل از انقضای مهلت، دادخواست یادشده به موجب قرار دادگاهی که دادخواست را دریافت کرده، 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فرجام‌خواهی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دادگاه‌های عمومی و انقلاب در امور مدنی، اقامتگاه فرجام‌خواه و فرجام‌خوانده باید در درخواست فرجام‌خواهی 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اظهارنامه، احضاریه و برگهای دادرسی و اجرائیه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اقامتگاه شخص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اجرای احکام مدنی</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مرجع تقاضای اجرای حکم، دادگاه شهرستان محل اقامت یا محل سکونت محکوم‌علیه است و اگر محل اقامت یا محل سکونت محکوم‌علیه در ایران معلوم نباشد، دادگاه شهرستان تهران است</w:t>
      </w:r>
      <w:r>
        <w:rPr>
          <w:rFonts w:eastAsia="IRNazanin" w:cs="IRNazanin"/>
          <w:color w:val="111111"/>
          <w:sz w:val="28"/>
          <w:szCs w:val="28"/>
          <w:rtl w:val="true"/>
          <w:lang w:bidi="fa-IR"/>
        </w:rPr>
        <w:t>.</w:t>
      </w:r>
    </w:p>
    <w:p>
      <w:pPr>
        <w:pStyle w:val="Heading4"/>
        <w:numPr>
          <w:ilvl w:val="3"/>
          <w:numId w:val="1"/>
        </w:numPr>
        <w:rPr/>
      </w:pPr>
      <w:bookmarkStart w:id="508" w:name="__RefHeading___Toc5261542_581953129"/>
      <w:bookmarkStart w:id="509" w:name="_Toc199"/>
      <w:bookmarkEnd w:id="508"/>
      <w:r>
        <w:rPr>
          <w:rtl w:val="true"/>
        </w:rPr>
        <w:t>ج</w:t>
      </w:r>
      <w:r>
        <w:rPr>
          <w:rtl w:val="true"/>
        </w:rPr>
        <w:t xml:space="preserve">) </w:t>
      </w:r>
      <w:r>
        <w:rPr>
          <w:rtl w:val="true"/>
        </w:rPr>
        <w:t>اقامتگاه در مورد بهره مندی از حقوق و یا انجام تعهدات</w:t>
      </w:r>
      <w:bookmarkEnd w:id="50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معمول، اقامتگاه به‌عنوان عامل ارتباطی برای به کار بستن حقوق و یا محل انجام تعهدات قانونی شخص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موارد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در اقامتگاه، به پرداخت مالیات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تشخیص تعهد پرداخت مالیاتی که بر عهده پرداخت‌کننده است، بر اساس تعیین اقامتگاه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مالیات‌های مستقیم</w:t>
      </w:r>
      <w:r>
        <w:rPr>
          <w:rStyle w:val="FootnoteAnchor"/>
          <w:rtl w:val="true"/>
        </w:rPr>
        <w:footnoteReference w:id="282"/>
      </w:r>
      <w:r>
        <w:rPr>
          <w:rFonts w:ascii="IRNazanin" w:hAnsi="IRNazanin" w:eastAsia="IRNazanin"/>
          <w:color w:val="111111"/>
          <w:sz w:val="28"/>
          <w:sz w:val="28"/>
          <w:szCs w:val="28"/>
          <w:rtl w:val="true"/>
          <w:lang w:bidi="fa-IR"/>
        </w:rPr>
        <w:t>دراین‌باره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مالیاتی صلاحیت‌دار در مورد ارث، حوزه‌ای است که آخرین اقامتگاه قانونی متوفی در محدوده آن واقع بوده است و اگر متوفی در ایران مقیم نبوده، حوزه مربوط در تهران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ماده نهم قانون انتخابات مجلس شورای ملّی پیشین، یکی از شرایط انتخاب‌کننده، دست‌کم شش ماه سکونت در محل حوزه انتخابات است؛ امّا در قانون انتخابات مجلس شورای اسلامی</w:t>
      </w:r>
      <w:r>
        <w:rPr>
          <w:rStyle w:val="FootnoteAnchor"/>
          <w:rtl w:val="true"/>
        </w:rPr>
        <w:footnoteReference w:id="283"/>
      </w:r>
      <w:r>
        <w:rPr>
          <w:rFonts w:ascii="IRNazanin" w:hAnsi="IRNazanin" w:eastAsia="IRNazanin"/>
          <w:color w:val="111111"/>
          <w:sz w:val="28"/>
          <w:sz w:val="28"/>
          <w:szCs w:val="28"/>
          <w:rtl w:val="true"/>
          <w:lang w:bidi="fa-IR"/>
        </w:rPr>
        <w:t>چنین شرطی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فوت به مأموران کنسولی محل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ثبت‌احوال</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ایرانیان در خارج از کشور، به مأموران کنسولی محل اقامت یا به نزدیکترین مأموران کنسولی ایران در سازمان ثبت احوال کشور اعلام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اقامتگاه معامله‌کنندگان در اسناد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تبصره سوّم 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 اسناد و املاک</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کلیه اسناد رسمی بایستی اقامتگاه متعاملین به‌طور وضوح در سند قید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علامت یا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اصلاحی اجرای قانون ثبت علائم تجارتی و اختراعات</w:t>
      </w:r>
      <w:r>
        <w:rPr>
          <w:rFonts w:eastAsia="IRNazanin" w:cs="IRNazanin"/>
          <w:color w:val="111111"/>
          <w:sz w:val="28"/>
          <w:szCs w:val="28"/>
          <w:rtl w:val="true"/>
          <w:lang w:bidi="fa-IR"/>
        </w:rPr>
        <w:t>:</w:t>
      </w:r>
      <w:r>
        <w:rPr>
          <w:rStyle w:val="FootnoteAnchor"/>
          <w:rtl w:val="true"/>
        </w:rPr>
        <w:footnoteReference w:id="286"/>
      </w:r>
      <w:bookmarkStart w:id="510" w:name="pg5888_36213"/>
    </w:p>
    <w:p>
      <w:pPr>
        <w:pStyle w:val="BookText"/>
        <w:rPr/>
      </w:pPr>
      <w:bookmarkEnd w:id="510"/>
      <w:r>
        <w:rPr>
          <w:rFonts w:ascii="IRNazanin" w:hAnsi="IRNazanin" w:eastAsia="IRNazanin"/>
          <w:color w:val="111111"/>
          <w:sz w:val="28"/>
          <w:sz w:val="28"/>
          <w:szCs w:val="28"/>
          <w:rtl w:val="true"/>
          <w:lang w:bidi="fa-IR"/>
        </w:rPr>
        <w:t>هرگاه کسی که تقاضای ثبت علامت یا اختراعی را می‌کند مقیم در ایران نباشد، باید در تهران اقامتگاه معلوم و مشخصی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ابلاغ‌های مربوطه به علائم تجارتی یا اختراعات، در اقامتگاه شخص ذی‌نفع و یا اقامتگاه شخص یا اشخاصی که به موجب این ماده معین می‌شود، به عمل خواهد آمد</w:t>
      </w:r>
      <w:r>
        <w:rPr>
          <w:rFonts w:eastAsia="IRNazanin" w:cs="IRNazanin"/>
          <w:color w:val="111111"/>
          <w:sz w:val="28"/>
          <w:szCs w:val="28"/>
          <w:rtl w:val="true"/>
          <w:lang w:bidi="fa-IR"/>
        </w:rPr>
        <w:t>.</w:t>
      </w:r>
    </w:p>
    <w:p>
      <w:pPr>
        <w:pStyle w:val="Heading3"/>
        <w:numPr>
          <w:ilvl w:val="2"/>
          <w:numId w:val="1"/>
        </w:numPr>
        <w:rPr/>
      </w:pPr>
      <w:bookmarkStart w:id="511" w:name="__RefHeading___Toc5261544_581953129"/>
      <w:bookmarkStart w:id="512" w:name="_Toc200"/>
      <w:bookmarkEnd w:id="511"/>
      <w:r>
        <w:rPr/>
        <w:t>4</w:t>
      </w:r>
      <w:r>
        <w:rPr>
          <w:rtl w:val="true"/>
        </w:rPr>
        <w:t xml:space="preserve">- </w:t>
      </w:r>
      <w:r>
        <w:rPr>
          <w:rtl w:val="true"/>
        </w:rPr>
        <w:t>اصول و مبانی اقامتگاه</w:t>
      </w:r>
      <w:bookmarkEnd w:id="512"/>
    </w:p>
    <w:p>
      <w:pPr>
        <w:pStyle w:val="Heading4"/>
        <w:numPr>
          <w:ilvl w:val="3"/>
          <w:numId w:val="1"/>
        </w:numPr>
        <w:rPr/>
      </w:pPr>
      <w:bookmarkStart w:id="513" w:name="__RefHeading___Toc5261546_581953129"/>
      <w:bookmarkStart w:id="514" w:name="_Toc201"/>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پیش‌تر سه اصل درباره تابعیت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نیز تا حدودی بر همان سه اصل مبتنی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اقامتگاه، وحدت اقامتگاه تغییرپذیری اقامتگاه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تشابه تابعیت و اقامتگاه در اصول سه‌گانه بالا آن است که هر دو روابط بین‌المللی، روی دو سطح موازی قرار دارند و به منظور تقسیم اشخاص در روابط بین‌المللی به‌وجود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 به کار گرفتن این اندیشه می‌توانیم قواعد کلّی اقامتگاه را از روی همان قواعد تابعیت استخراج کنیم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در ادامه، هریک از این اصول را توضیح می‌دهیم</w:t>
      </w:r>
      <w:r>
        <w:rPr>
          <w:rFonts w:eastAsia="IRNazanin" w:cs="IRNazanin"/>
          <w:color w:val="111111"/>
          <w:sz w:val="28"/>
          <w:szCs w:val="28"/>
          <w:rtl w:val="true"/>
          <w:lang w:bidi="fa-IR"/>
        </w:rPr>
        <w:t>:</w:t>
      </w:r>
    </w:p>
    <w:p>
      <w:pPr>
        <w:pStyle w:val="Heading4"/>
        <w:numPr>
          <w:ilvl w:val="3"/>
          <w:numId w:val="1"/>
        </w:numPr>
        <w:rPr/>
      </w:pPr>
      <w:bookmarkStart w:id="515" w:name="__RefHeading___Toc5261548_581953129"/>
      <w:bookmarkStart w:id="516" w:name="_Toc202"/>
      <w:bookmarkEnd w:id="515"/>
      <w:r>
        <w:rPr>
          <w:rtl w:val="true"/>
        </w:rPr>
        <w:t>الف</w:t>
      </w:r>
      <w:r>
        <w:rPr>
          <w:rtl w:val="true"/>
        </w:rPr>
        <w:t xml:space="preserve">) </w:t>
      </w:r>
      <w:r>
        <w:rPr>
          <w:rtl w:val="true"/>
        </w:rPr>
        <w:t>اصل لزوم اقامتگاه</w:t>
      </w:r>
      <w:bookmarkEnd w:id="516"/>
    </w:p>
    <w:p>
      <w:pPr>
        <w:pStyle w:val="BookText"/>
        <w:rPr/>
      </w:pPr>
      <w:r>
        <w:rPr>
          <w:rFonts w:ascii="IRNazanin" w:hAnsi="IRNazanin" w:eastAsia="IRNazanin"/>
          <w:color w:val="111111"/>
          <w:sz w:val="28"/>
          <w:sz w:val="28"/>
          <w:szCs w:val="28"/>
          <w:rtl w:val="true"/>
          <w:lang w:bidi="fa-IR"/>
        </w:rPr>
        <w:t>هر شخص باید برای اجرای حقوق و تکالیف خود، اقامتگاهی مشخص و معین داشته باشد؛ برای نمونه، در صورتی می‌توان به شخصی که تعهداتی را به عهده گرفته و زمان انجام آن فرا رسیده است، مراجعه کرد و او را به انجام تعهد خود مکلف کرد که اقامتگاه وی معین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بااینکه اصل لزوم تابعیت، یکی از اصول ابتدایی و مهم تابعیت است، ولی در عمل گاه اشخاصی یافت می‌شوند که به دلیلی بدون تابعیت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درباره</w:t>
      </w:r>
    </w:p>
    <w:p>
      <w:pPr>
        <w:pStyle w:val="BookText"/>
        <w:rPr/>
      </w:pPr>
      <w:r>
        <w:rPr>
          <w:rFonts w:ascii="IRNazanin" w:hAnsi="IRNazanin" w:eastAsia="IRNazanin"/>
          <w:color w:val="111111"/>
          <w:sz w:val="28"/>
          <w:sz w:val="28"/>
          <w:szCs w:val="28"/>
          <w:rtl w:val="true"/>
          <w:lang w:bidi="fa-IR"/>
        </w:rPr>
        <w:t>اقامتگاه کمتر پیش می‌آید؛ چون به‌هرحال، هر شخص در محلی به سر می‌برد و به‌طور معمول در همان محل، اقامتگاه او قرار دارد و امور حقوقی وی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هیچ‌کس بدون اقامتگاه نیست؛ امّا ممکن است اقامتگاه وی معلوم و مشخص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بودن 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دارای اقامتگاه معین نبوده و یا اقامتگاه آنها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گفته می‌شود؛ همان‌طور که افراد فاقد تابعیت،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آپاترید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اصل لزوم اقامتگاه دو نتیجه به دست می‌آید که هریک به نوبه خود، قاعده‌ای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به محض تولّد باید دارای اقامتگاه معینی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فرد در آغاز زندگی از تابعیت کشور معینی برخوردار است، باید در هنگام تولد، به یک محل معین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قاعده نخست، معمولاً قانون دولت‌ها، اقامتگاه والدین یا اقامتگاه سرپرست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کودک قائل می‌شود؛ به‌عبارت‌دیگر، طبق این قاعده در بیشتر کشورهای جهان، به محض تولّد کودک، اقامتگاه پدر و مادر او در هنگام تولد، به او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اقامتگاه شخص از زمان تولّد تا سن رشد، به‌طور معمول اقامتگاه سرپرست یا پدر و مادر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قوانین کشورهای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دراین‌باره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خردسال و محجور همان اقامتگاه ولی یا قیم آنهاست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روشن می‌شود که اقامتگاه گاهی اصلی است؛ یعنی به‌طور طبیعی برای خود شخص وجود دارد و گاهی تبعی است؛ یعنی به پیروی از فرد</w:t>
      </w:r>
    </w:p>
    <w:p>
      <w:pPr>
        <w:pStyle w:val="BookText"/>
        <w:rPr/>
      </w:pPr>
      <w:r>
        <w:rPr>
          <w:rFonts w:ascii="IRNazanin" w:hAnsi="IRNazanin" w:eastAsia="IRNazanin"/>
          <w:color w:val="111111"/>
          <w:sz w:val="28"/>
          <w:sz w:val="28"/>
          <w:szCs w:val="28"/>
          <w:rtl w:val="true"/>
          <w:lang w:bidi="fa-IR"/>
        </w:rPr>
        <w:t>دیگری، اقامتگاه قانونی برای شخص معین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خردسالان و افراد محجور که تابع اقامتگاه ولی یا 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قانون‌گذار چند مورد دیگر را اقامتگاه تبعی دانسته است که به مواردی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زن شوهردار، که همان اقامتگاه شوهر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زن شوهردار، همان اقامتگاه شوهر است؛ معذلک زنی که شوهر او اقامتگاه معلومی ندارد و نیز زنی که با رضایت شوهر خود و یا با اجازه محکمه مسکن علی‌حدّه اختیار کرده می‌تواند اقامتگاه شخصی علی‌حدّه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مستخدم ، که همان اقامتگاه کارفرماست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اشخاص بزرگسال که معمولاً نزد دیگری کار یا خدمت می‌کنند، در منزل کارفرما یا مخدوم خود سکونت داشته باشند، اقامتگاه آنها همان اقامتگاه کارفرما یا مخدوم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مأمورین دولتی، که همان محل خدمت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مأمورین دولتی، محلی است که در آنجا مأموریت ثابت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افراد نظامی، که محل پادگان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افراد نظامی که در ساخلو هستند، محل ساخلو آنها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نباید اقامتگاه خود را از دست بدهد بدون اینکه اقامتگاه دیگری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استثناهای زیادی دارد؛ به‌ویژه که قوانین کشورها در عمل از دست دادن اقامتگاه را بسته به کسب اقامتگاه در کشور دیگری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ممکن است باعث پیدایش اشخاص بی‌اقامتگاه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بیانجامد</w:t>
      </w:r>
      <w:r>
        <w:rPr>
          <w:rFonts w:eastAsia="IRNazanin" w:cs="IRNazanin"/>
          <w:color w:val="111111"/>
          <w:sz w:val="28"/>
          <w:szCs w:val="28"/>
          <w:rtl w:val="true"/>
          <w:lang w:bidi="fa-IR"/>
        </w:rPr>
        <w:t>.</w:t>
      </w:r>
      <w:bookmarkStart w:id="517" w:name="pg5888_36216"/>
    </w:p>
    <w:p>
      <w:pPr>
        <w:pStyle w:val="BookText"/>
        <w:rPr/>
      </w:pPr>
      <w:bookmarkEnd w:id="517"/>
      <w:r>
        <w:rPr>
          <w:rFonts w:ascii="IRNazanin" w:hAnsi="IRNazanin" w:eastAsia="IRNazanin"/>
          <w:color w:val="111111"/>
          <w:sz w:val="28"/>
          <w:sz w:val="28"/>
          <w:szCs w:val="28"/>
          <w:rtl w:val="true"/>
          <w:lang w:bidi="fa-IR"/>
        </w:rPr>
        <w:t xml:space="preserve">معمولاً در اجرای قاعده دوم، اقامتگاه را به چند عامل وابسته می‌دانند تا عملاً ترک اقامتگاه به سادگی تحقّق نیابد و نیز در صورتی که در یک‌جا همه عوامل از بین رفت، در جای دیگری استقرار پیدا کند؛ برای نمونه، هنگامی که اقامتگاه به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باشد، با فرض تغییر محل سکونت، همچنان در مرکز فعالیت او استمرار خواهد داشت، و هرگاه مرکز فعالیت او انتقال یابد، به‌طور طبیعی اقامتگاه جدید او شکل خواهد گرفت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درهرحال، چنانچه شخصی دارای مشکل آدُمید باشد، از ضابطه آخرین اقامتگاه استفاده می‌شود؛ یعنی تا زمانی که شخص، اقامتگاه جدیدی به دست نیاورده است، مقیم اقامتگاه پیشین خود به‌شمار می‌آید</w:t>
      </w:r>
      <w:r>
        <w:rPr>
          <w:rFonts w:eastAsia="IRNazanin" w:cs="IRNazanin"/>
          <w:color w:val="111111"/>
          <w:sz w:val="28"/>
          <w:szCs w:val="28"/>
          <w:rtl w:val="true"/>
          <w:lang w:bidi="fa-IR"/>
        </w:rPr>
        <w:t>.</w:t>
      </w:r>
    </w:p>
    <w:p>
      <w:pPr>
        <w:pStyle w:val="Heading4"/>
        <w:numPr>
          <w:ilvl w:val="3"/>
          <w:numId w:val="1"/>
        </w:numPr>
        <w:rPr/>
      </w:pPr>
      <w:bookmarkStart w:id="518" w:name="__RefHeading___Toc5261550_581953129"/>
      <w:bookmarkStart w:id="519" w:name="_Toc203"/>
      <w:bookmarkEnd w:id="518"/>
      <w:r>
        <w:rPr>
          <w:rtl w:val="true"/>
        </w:rPr>
        <w:t>ب</w:t>
      </w:r>
      <w:r>
        <w:rPr>
          <w:rtl w:val="true"/>
        </w:rPr>
        <w:t xml:space="preserve">) </w:t>
      </w:r>
      <w:r>
        <w:rPr>
          <w:rtl w:val="true"/>
        </w:rPr>
        <w:t>اصل وحدت اقامتگاه</w:t>
      </w:r>
      <w:bookmarkEnd w:id="519"/>
    </w:p>
    <w:p>
      <w:pPr>
        <w:pStyle w:val="BookText"/>
        <w:rPr/>
      </w:pPr>
      <w:r>
        <w:rPr>
          <w:rFonts w:ascii="IRNazanin" w:hAnsi="IRNazanin" w:eastAsia="IRNazanin"/>
          <w:color w:val="111111"/>
          <w:sz w:val="28"/>
          <w:sz w:val="28"/>
          <w:szCs w:val="28"/>
          <w:rtl w:val="true"/>
          <w:lang w:bidi="fa-IR"/>
        </w:rPr>
        <w:t>هیچ‌کس نباید بیش از یک اقامتگاه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همچنان‌که دارا بودن تابعیت مضاعف به بروز اشکالاتی در سطح بین‌المللی می‌انجامد، داشتن اقامتگاه مضاعف نیز اشکالاتی را در برخواهد داشت؛ برای نمونه، از نظر مالیاتی ممکن است هر دو کشور محل اقامت، از شخص مالیات بگیرند و در نتیجه، شخص مالیات مضاعف بپردازد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ضوابط تعیین محل اقامت و دریافت مالیات در کشورهای مختلف یکسان نیست و این امر خود موجب بروز اشکالاتی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دعوای مالیاتی، دریافت مالیات بر ارث از سوی یکی از دو کشور، در گذشته، موجب اعتبار قضیه محکومٌ‌بها در کشور دیگر نخواهد بود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با توجّه به اینکه معمولاً هر فردی بیش از یک مرکز مهم برای امور خود ندارد و نیز ممکن است داشتن بیش از یک اقامتگاه، هم برای دارنده و هم برای دیگران مشکلاتی در پی داشته باشد، اصل نخستین آن است که هر فردی بیش از یک اقامتگاه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یگانه بودن اقامتگاه، ناظر به اقامتگاه‌های اختیاری و اجباری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قراردادی</w:t>
      </w:r>
      <w:r>
        <w:rPr>
          <w:rStyle w:val="FootnoteAnchor"/>
          <w:rtl w:val="true"/>
        </w:rPr>
        <w:footnoteReference w:id="292"/>
      </w:r>
      <w:r>
        <w:rPr>
          <w:rFonts w:ascii="IRNazanin" w:hAnsi="IRNazanin" w:eastAsia="IRNazanin"/>
          <w:color w:val="111111"/>
          <w:sz w:val="28"/>
          <w:sz w:val="28"/>
          <w:szCs w:val="28"/>
          <w:rtl w:val="true"/>
          <w:lang w:bidi="fa-IR"/>
        </w:rPr>
        <w:t>با توجه به اینکه مربوط به موضوعی خاص است، می‌تواند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مغایرتی با اصل بالا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وحدت اقامتگاه، مورد تأکید قانون‌گذار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دراین‌باره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نمی‌تواند بیش از یک اقامتگاه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ممکن است اشخاص حقیقی، مراکز متعددی برای امور خود داشته باشند، در نتیجه، ماده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به آنها اجازه داده است که بتوانند اقامتگاه‌های متعددی داشته و حتی در موارد خاصی اقامتگاه خود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قانون‌گذار ایرانی در ماده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می‌کند که شخص نمی‌تواند بیش از یک اقامتگاه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اجازه داده است تا افراد بتوانند اقامتگاه دیگری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به‌وجود آمدن اقامتگاه مضاعف می‌شود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تعدّد اقامتگاه در قوانین سایر کشورها نیز مشاهده می‌شود؛ از جمله قانون مدنی آلمان به صراحت به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یا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می‌دهد که دارای چندین اقامتگاه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کشورهایی که به اصل وحدت اقامتگاه باور دارند نیز موارد بسیاری یافت می‌شود که فردی دارای بیش از یک اقامتگاه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مهم‌ترین مرکز مهم امور شخصی، به‌عنوان اقامتگاه افراد معین</w:t>
      </w:r>
      <w:bookmarkStart w:id="520" w:name="pg5888_36218"/>
    </w:p>
    <w:p>
      <w:pPr>
        <w:pStyle w:val="BookText"/>
        <w:rPr/>
      </w:pPr>
      <w:bookmarkEnd w:id="520"/>
      <w:r>
        <w:rPr>
          <w:rFonts w:ascii="IRNazanin" w:hAnsi="IRNazanin" w:eastAsia="IRNazanin"/>
          <w:color w:val="111111"/>
          <w:sz w:val="28"/>
          <w:sz w:val="28"/>
          <w:szCs w:val="28"/>
          <w:rtl w:val="true"/>
          <w:lang w:bidi="fa-IR"/>
        </w:rPr>
        <w:t xml:space="preserve">می‌شود؛ امّا اگر همه مراکز امور شخص از نظر اهمیت در یک ردیف باشند، تکلیف چیست؟ باید گفت که قانون ما برای رفع این مشکل چاره‌ای نیندیشیده است؛ ولی رویه قضایی فرانسه دراین‌باره از نظریه اقامتگاه ظاهر استفاده می‌کند؛ بدین‌معنا که هرگاه در فرض گفته‌شده ظاهر امر به‌صورتِی باشد که برای شخص سومی این تصوّر پیش آید که اقامتگاه شخص در یکی از مراکز امور وی قرار دارد، در صورتی که شخص سوّم حسن‌نیت داشته باشد، محل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اقامتگاه واقعی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شخص تلقّی می‌شود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521" w:name="__RefHeading___Toc5261552_581953129"/>
      <w:bookmarkStart w:id="522" w:name="_Toc204"/>
      <w:bookmarkEnd w:id="521"/>
      <w:r>
        <w:rPr>
          <w:rtl w:val="true"/>
        </w:rPr>
        <w:t>ج</w:t>
      </w:r>
      <w:r>
        <w:rPr>
          <w:rtl w:val="true"/>
        </w:rPr>
        <w:t xml:space="preserve">) </w:t>
      </w:r>
      <w:r>
        <w:rPr>
          <w:rtl w:val="true"/>
        </w:rPr>
        <w:t>اصل تغییرپذیری اقامتگاه</w:t>
      </w:r>
      <w:bookmarkEnd w:id="522"/>
    </w:p>
    <w:p>
      <w:pPr>
        <w:pStyle w:val="BookText"/>
        <w:rPr/>
      </w:pPr>
      <w:r>
        <w:rPr>
          <w:rFonts w:ascii="IRNazanin" w:hAnsi="IRNazanin" w:eastAsia="IRNazanin"/>
          <w:color w:val="111111"/>
          <w:sz w:val="28"/>
          <w:sz w:val="28"/>
          <w:szCs w:val="28"/>
          <w:rtl w:val="true"/>
          <w:lang w:bidi="fa-IR"/>
        </w:rPr>
        <w:t>اقامتگاه پدیده‌ای همیشگی نیست؛ یعنی هرکس می‌تواند در دوران زندگی، اقامتگاه خود را تغییر دهد؛ البته صرف‌نظر از اقامتگاه‌های اجباری که جنبه استثنا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مفهوم اقامتگاه می‌توان وصف ثبات و دائمی بودن را دریافت و به‌طور معمول به شخصی مقیم می‌گویند که همیشه در جایی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حصول این اطمینان می‌شود که در آن محل همواره شخص مورد نظر قابل دسترسی خواهد بود؛ ولی به موجب این اصل، اقامتگاه، یک امر همیشگی نیست و همانند تابعیت، قابل تغییر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قانون‌گذار ایرانی اصل تغییرپذیری تابعیت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تغییر اقامتگاه به‌وسیله سکونت حقیقی در محل دیگر به عمل می‌آید؛ مشروط بر اینکه مرکز مهم امور او نیز به همان محل انتقال یافته باشد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از مفهوم مخالف این ماده می‌توان دریافت که تغییر اقامتگاه به دو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محل سکونت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مرکز مهم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دارد، امّا نظر به اینکه چنین مفهومی با منطوق 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تعارض دارد،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پذیرفت که با تغییر مرکز مهم امور، اقامتگاه نیز تغییر می‌یابد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رابطه‌ای است مادی و حقوقی که شخص را بدون توجّه به تابعیت، به بخشی از خاک یک دولت پیوند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اقامتگاه از لحاظ گوناگون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از جمله اینکه اقامتگاه یک امر فرضی و قراردادی است، درحالی‌که محل سکونت، محلی است که شخص به‌طور واقعی در آنجا حضور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 چه اینکه در تابعیت رابطه شخص با دولت مورد تابعیت، یک رابطه معنوی و قطع‌نظر از محل اقامت است؛ درحالی‌که اقامتگاه یک عامل تقسیم مادی و مربوط به مکانی است که شخص در آنجا ساکن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دارای ماهیت دوگانه است؛ چه اینکه، هم به حقوق داخلی و هم به حقوق بین‌الملل مربوط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و بررسی اقامتگاه دارای آثار و فواید متعدّد حقوقی است؛ از جمله در تعیین قانون صلاحیت‌دار و محاکم صلاحیت‌دار، در بهره‌مندی از حقوق و یا انجام تعهدات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اقامتگاه، همانند تابعیت، بر اصول سه‌گانه مبتنی است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اقامتگاه، وحدت اقامتگاه و تغییرپذیری اقامتگاه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اقامتگاه را با محل سکونت و تابعیت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اقامتگاه را از لحاظ حقوق داخلی و حقوق بین‌الملل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فواید بحث از اقامتگاه در مورد تعیین محاکم صلاحیت‌دار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فواید بحث از اقامتگاه را در مورد تعیین محاکم صلاحیت‌دار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فواید اقامتگاه را درباره بهره‌مندی از حقوق و یا انجام تعهدات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لزوم اقامتگاه چیست؟ دو قاعده متضاد از آن را شرح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نقض این اصل چه مشکلاتی پدید می‌آید؟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وحدت اقامتگاه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نقض این اصل چه مشکلاتی پدید می‌آید؟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تغییرپذیری اقامتگاه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تاریخچه اقامتگاه تحقیق و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افزون بر کتاب‌هایی در موضوع حقوق بین‌الملل خصوصی و حقوق اشخاص و محجورین، برخی از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بهشید ارفع‌نیا، حقوق بین‌الملل خصوصی ؛</w:t>
      </w:r>
    </w:p>
    <w:p>
      <w:pPr>
        <w:pStyle w:val="BookText"/>
        <w:rPr/>
      </w:pPr>
      <w:r>
        <w:rPr>
          <w:rFonts w:ascii="IRNazanin" w:hAnsi="IRNazanin" w:eastAsia="IRNazanin"/>
          <w:color w:val="111111"/>
          <w:sz w:val="28"/>
          <w:sz w:val="28"/>
          <w:szCs w:val="28"/>
          <w:rtl w:val="true"/>
          <w:lang w:bidi="fa-IR"/>
        </w:rPr>
        <w:t>دکتر محمد نصیری، حقوق بین‌الملل خصوصی ؛</w:t>
      </w:r>
    </w:p>
    <w:p>
      <w:pPr>
        <w:pStyle w:val="BookText"/>
        <w:rPr/>
      </w:pPr>
      <w:r>
        <w:rPr>
          <w:rFonts w:ascii="IRNazanin" w:hAnsi="IRNazanin" w:eastAsia="IRNazanin"/>
          <w:color w:val="111111"/>
          <w:sz w:val="28"/>
          <w:sz w:val="28"/>
          <w:szCs w:val="28"/>
          <w:rtl w:val="true"/>
          <w:lang w:bidi="fa-IR"/>
        </w:rPr>
        <w:t>دکتر علی‌محمد مکرمی، حقوق بین‌الملل خصوصی ؛</w:t>
      </w:r>
    </w:p>
    <w:p>
      <w:pPr>
        <w:pStyle w:val="BookText"/>
        <w:rPr/>
      </w:pPr>
      <w:r>
        <w:rPr>
          <w:rFonts w:ascii="IRNazanin" w:hAnsi="IRNazanin" w:eastAsia="IRNazanin"/>
          <w:color w:val="111111"/>
          <w:sz w:val="28"/>
          <w:sz w:val="28"/>
          <w:szCs w:val="28"/>
          <w:rtl w:val="true"/>
          <w:lang w:bidi="fa-IR"/>
        </w:rPr>
        <w:t>دکتر سید حسن امامی، حقوق مدنی ،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حسین صفایی، حقوق اشخاص و محجورین ؛</w:t>
      </w:r>
    </w:p>
    <w:p>
      <w:pPr>
        <w:pStyle w:val="BookText"/>
        <w:rPr/>
      </w:pPr>
      <w:r>
        <w:rPr>
          <w:rFonts w:ascii="IRNazanin" w:hAnsi="IRNazanin" w:eastAsia="IRNazanin"/>
          <w:color w:val="111111"/>
          <w:sz w:val="28"/>
          <w:sz w:val="28"/>
          <w:szCs w:val="28"/>
          <w:rtl w:val="true"/>
          <w:lang w:bidi="fa-IR"/>
        </w:rPr>
        <w:t>دکتر حبیب‌اللّه طاهری، حقوق مدنی ،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اصول سه‌گانه تابعیت و اقامتگاه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شناخت موارد تشابه و تخالف اصول سه‌گانه تابعیت و اقامتگاه و نیز آثار هریک از این اصول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رابطه‌ای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بعضی از خصایص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تابعیت، یک عامل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اقامتگاه، یک عامل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درست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آپاترید می‌تواند اقامتگاه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بر پایه تابعیت ناشی از روش خاک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تبعه‌ای اقامتگاه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اقامتگاه در کشورهای آنگلوساکن از اهمیت فراوانی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 صلاحیت‌دار را راجع به وضعیت و اهلیت اشخاص، قانون محلی می‌داند که اشخاص در آنجا اقامتگاه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ایتالیایی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اقامتگاه جزئی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اشخاص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اشخاص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اشخاص</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شخصیه اشخاص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حقوق ایران، قواعد و مقررات اقامتگاه بین‌المللی بر اساس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داخلی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دادگاه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مشترک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جغرافیایی اشخاص بر چه اساسی صورت می‌گیرد؟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تولّد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یا اقامتگاه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درباره اقامتگاه بین‌المللی 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بین‌المللی مانند اقامتگاه داخلی فقط یک مسئله حقوق خصوصی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بین‌المللی برخلاف اقامتگاه داخلی فقط یک مسئله حقوق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بین‌المللی مانند اقامتگاه داخلی، یک مسئله مربوط به حقوق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بین‌المللی برخلاف اقامتگاه داخلی، یک مسئله مربوط به حقوق عمومی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را که فاقد اقامتگاه باشد چه می‌نامند؟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آپاترید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داخلی با اقامتگاه از لحاظ بین‌المللی چه رابطه‌ای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از لحاظ بین‌المللی، همان اقامتگاه داخلی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داخلی، جنبه سیاسی و اقامتگاه از لحاظ بین‌المللی، جنبه حقوقی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داخلی، جنبه حقوقی و اقامتگاه از لحاظ بین‌المللی، جنبه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نوع اقامتگاه جنبه سیاسی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اقامتگاه و مسکن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یک مفهوم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مفهوم جدا از یکدیگر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جزئی از مفهوم مسکن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بر هم انطباق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اقامتگاه و تابعیت اشخاص حقیقی چیست؟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عامل تعیین تابعیت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عامل تعیین اقامتگاه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بدل اقامتگاه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کاملاً متفاوت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کدام‌یک از گزینه‌های زیر نادرست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تابعیت و ملیت فرد قابل احراز نباشد، قانون اقامتگاه بر او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در قاعده ایرانی، حل تعارض مندرج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بین‌الملل خصوصی ایران، اقامتگاه جانشین تابعیت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سیستم‌های حقوقی، اقامتگاه و محل تابعیت همه اشخاص بنابر لزوم یک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بیگانگان، همان کشور مورد تابعیت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مهم‌تر از اقامتگاه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سیستم‌های حقوقی، اهلیت شخص، تابع قانون کشور اقامتگاه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اقامتگاه اشخاص از لحاظ حقوق بین‌الملل خصوصی از آن نظر اهمیت دارد که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صلاحیت دادگاه‌ها بدان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قانون حاکم بر احوال شخصیه بدان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آنجا شخص را تحت تعقیب جزایی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در حقوق بین‌الملل خصوصی، از نظر تعیین تابعیت اشخاص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در حقوق بین‌الملل خصوصی، از لحاظ تعیین قانون حاکم بر قراردادهای اشخاص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در حقوق بین‌الملل خصوصی، از نظر مسائل حقوق مدنی اهمیت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در حقوق بین‌الملل خصوصی، از لحاظ احوال شخصیه و تشخیص قانون قابل اعمال و تعیین دادگاه صالح اهمیت دارد</w:t>
      </w:r>
      <w:r>
        <w:rPr>
          <w:rFonts w:eastAsia="IRNazanin" w:cs="IRNazanin"/>
          <w:color w:val="111111"/>
          <w:sz w:val="28"/>
          <w:szCs w:val="28"/>
          <w:rtl w:val="true"/>
          <w:lang w:bidi="fa-IR"/>
        </w:rPr>
        <w:t>.</w:t>
      </w:r>
      <w:bookmarkStart w:id="523" w:name="pg5888_36228"/>
    </w:p>
    <w:p>
      <w:pPr>
        <w:pStyle w:val="Heading2"/>
        <w:numPr>
          <w:ilvl w:val="1"/>
          <w:numId w:val="1"/>
        </w:numPr>
        <w:rPr/>
      </w:pPr>
      <w:bookmarkStart w:id="524" w:name="__RefHeading___Toc5261554_581953129"/>
      <w:bookmarkStart w:id="525" w:name="_Toc205"/>
      <w:bookmarkEnd w:id="523"/>
      <w:bookmarkEnd w:id="524"/>
      <w:r>
        <w:rPr/>
        <w:t>12</w:t>
      </w:r>
      <w:r>
        <w:rPr>
          <w:rtl w:val="true"/>
        </w:rPr>
        <w:t xml:space="preserve">- </w:t>
      </w:r>
      <w:r>
        <w:rPr>
          <w:rtl w:val="true"/>
        </w:rPr>
        <w:t xml:space="preserve">اقامتگاه </w:t>
      </w:r>
      <w:r>
        <w:rPr>
          <w:rtl w:val="true"/>
        </w:rPr>
        <w:t>(</w:t>
      </w:r>
      <w:r>
        <w:rPr/>
        <w:t>2</w:t>
      </w:r>
      <w:r>
        <w:rPr>
          <w:rtl w:val="true"/>
        </w:rPr>
        <w:t>)</w:t>
      </w:r>
      <w:bookmarkEnd w:id="525"/>
    </w:p>
    <w:p>
      <w:pPr>
        <w:pStyle w:val="Heading3"/>
        <w:numPr>
          <w:ilvl w:val="2"/>
          <w:numId w:val="1"/>
        </w:numPr>
        <w:rPr/>
      </w:pPr>
      <w:bookmarkStart w:id="526" w:name="__RefHeading___Toc5261556_581953129"/>
      <w:bookmarkStart w:id="527" w:name="_Toc206"/>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اقسام اقامتگاه شخص 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مفهوم اقامتگاه اشخاص حقوقی؛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تغییر اقامتگاه اشخاص حقوقی؛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انواع شخص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درس گذشته، برخی از نکات پیرامون اقامتگاه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گفتارهای تکمیلی دراین‌باره بیان می‌شود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اقامتگاه شخص حقیقی، اقامتگاه اشخاص حقوقی، تغییر اقامتگاه اشخاص حقوقی و انواع اقامتگاه اشخاص حقوقی</w:t>
      </w:r>
      <w:r>
        <w:rPr>
          <w:rFonts w:eastAsia="IRNazanin" w:cs="IRNazanin"/>
          <w:color w:val="111111"/>
          <w:sz w:val="28"/>
          <w:szCs w:val="28"/>
          <w:rtl w:val="true"/>
          <w:lang w:bidi="fa-IR"/>
        </w:rPr>
        <w:t>.</w:t>
      </w:r>
    </w:p>
    <w:p>
      <w:pPr>
        <w:pStyle w:val="Heading3"/>
        <w:numPr>
          <w:ilvl w:val="2"/>
          <w:numId w:val="1"/>
        </w:numPr>
        <w:rPr/>
      </w:pPr>
      <w:bookmarkStart w:id="528" w:name="__RefHeading___Toc5261558_581953129"/>
      <w:bookmarkStart w:id="529" w:name="_Toc207"/>
      <w:bookmarkEnd w:id="528"/>
      <w:r>
        <w:rPr/>
        <w:t>1</w:t>
      </w:r>
      <w:r>
        <w:rPr>
          <w:rtl w:val="true"/>
        </w:rPr>
        <w:t xml:space="preserve">- </w:t>
      </w:r>
      <w:r>
        <w:rPr>
          <w:rtl w:val="true"/>
        </w:rPr>
        <w:t>اقسام اقامتگاه شخص حقیقی</w:t>
      </w:r>
      <w:bookmarkEnd w:id="529"/>
    </w:p>
    <w:p>
      <w:pPr>
        <w:pStyle w:val="Heading4"/>
        <w:numPr>
          <w:ilvl w:val="3"/>
          <w:numId w:val="1"/>
        </w:numPr>
        <w:rPr/>
      </w:pPr>
      <w:bookmarkStart w:id="530" w:name="__RefHeading___Toc5261560_581953129"/>
      <w:bookmarkStart w:id="531" w:name="_Toc208"/>
      <w:bookmarkEnd w:id="530"/>
      <w:r>
        <w:rPr>
          <w:rtl w:val="true"/>
        </w:rPr>
        <w:t>اشاره</w:t>
      </w:r>
      <w:bookmarkEnd w:id="53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هرچه بیشتر ماهیت اقامتگاه، توجه به گونه‌ها و انواع اقامتگاه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از نظر حقوق مدنی ایران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w:t>
      </w:r>
      <w:bookmarkStart w:id="532" w:name="pg5888_36229"/>
    </w:p>
    <w:p>
      <w:pPr>
        <w:pStyle w:val="Heading4"/>
        <w:numPr>
          <w:ilvl w:val="3"/>
          <w:numId w:val="1"/>
        </w:numPr>
        <w:rPr/>
      </w:pPr>
      <w:bookmarkStart w:id="533" w:name="__RefHeading___Toc5261562_581953129"/>
      <w:bookmarkStart w:id="534" w:name="_Toc209"/>
      <w:bookmarkEnd w:id="532"/>
      <w:bookmarkEnd w:id="533"/>
      <w:r>
        <w:rPr>
          <w:rtl w:val="true"/>
        </w:rPr>
        <w:t>الف</w:t>
      </w:r>
      <w:r>
        <w:rPr>
          <w:rtl w:val="true"/>
        </w:rPr>
        <w:t xml:space="preserve">) </w:t>
      </w:r>
      <w:r>
        <w:rPr>
          <w:rtl w:val="true"/>
        </w:rPr>
        <w:t xml:space="preserve">اقامتگاه عام </w:t>
      </w:r>
      <w:r>
        <w:rPr>
          <w:rtl w:val="true"/>
        </w:rPr>
        <w:t>(</w:t>
      </w:r>
      <w:r>
        <w:rPr>
          <w:rtl w:val="true"/>
        </w:rPr>
        <w:t>حقیقی، عمومی</w:t>
      </w:r>
      <w:r>
        <w:rPr>
          <w:rtl w:val="true"/>
        </w:rPr>
        <w:t>)</w:t>
      </w:r>
      <w:bookmarkEnd w:id="534"/>
    </w:p>
    <w:p>
      <w:pPr>
        <w:pStyle w:val="BookText"/>
        <w:rPr/>
      </w:pPr>
      <w:r>
        <w:rPr>
          <w:rFonts w:ascii="IRNazanin" w:hAnsi="IRNazanin" w:eastAsia="IRNazanin"/>
          <w:color w:val="111111"/>
          <w:sz w:val="28"/>
          <w:sz w:val="28"/>
          <w:szCs w:val="28"/>
          <w:rtl w:val="true"/>
          <w:lang w:bidi="fa-IR"/>
        </w:rPr>
        <w:t>اقامتگاه عام یا حقیقی، به اقامتگاهی گفته می‌شود که مرکز مهم انجام روابط حقوقی شخص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اقامتگاهی است که به کلّیه حقوق مدنی و تعهدات شخص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عام، خود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و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اختیاری</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اقامتگاه اختیاری، اقامتگاهی است که شخصِ دارای اهلیت، به اراده و میل خود آن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سی‌وسوّم قانون اساسی جمهوری اسلامی ایران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را نمی‌توان از محل اقامت خود تبعید کرد یا از اقامت در محل مورد علاقه‌اش ممنوع یا به اقامت در محلی مجبور ساخت؛ مگر در مواردی که قانون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اقامتگاه از مظاهر آزادی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و می‌تواند هر محلی را برای سکونت و امور مهم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محجورین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خردسالی خود، به پیروی از اقامتگاه سرپرست خود دارای اقامتگاه اجباری هستند، پس از رسیدن به سن بلوغ، می‌توانند به‌صورتِ اختیاری اقامتگاه خود را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که دارای اقامتگاه اجباری هستند، نمی‌توانند به میل خود اقامتگاه اختیاری تعیین کنند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تعیین اقامتگاهِ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مرکز مهم امور</w:t>
      </w:r>
    </w:p>
    <w:p>
      <w:pPr>
        <w:pStyle w:val="BookText"/>
        <w:rPr/>
      </w:pPr>
      <w:r>
        <w:rPr>
          <w:rFonts w:ascii="IRNazanin" w:hAnsi="IRNazanin" w:eastAsia="IRNazanin"/>
          <w:color w:val="111111"/>
          <w:sz w:val="28"/>
          <w:sz w:val="28"/>
          <w:szCs w:val="28"/>
          <w:rtl w:val="true"/>
          <w:lang w:bidi="fa-IR"/>
        </w:rPr>
        <w:t>وی معلوم شود؛ خواه محل سکونت او نیز در همان محل باشد و یا در محل دیگری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مدنی ایران در 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هر شخص عبارت است از محلی که شخص در آنجا سکونت داشته و مرکز مهم امور او نیز در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سکونت شخصی غیر از مرکز مهم امور او باشد، مرکز امور او اقامتگاه وی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موجب ماده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مدّعی محل اقامت مدّعی‌علیه را غیر از اقامتگاه حقیقی او معین کرده باشد، مدّعی‌علیه می‌تواند اقامتگاه حقیقی خود را به دادگاه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برگها به محلی که مدّعی‌علیه تعیین کرده است ابلاغ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 قانونی</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مقصود از اقامتگاه اجباری، اقامتگاهی است که افراد در تعیین آن نقشی ندارند؛ بلکه از سوی قانون‌گذار برای آنها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این نوع اقامتگاه برای بعضی از اشخاص، به علت وابستگی‌هایی که به اشخاص دیگر دارند و یا به مناسبت موقعیت‌های شغلی خاص آنها، از سوی قانون‌گذار تعیین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زن شوهردار، اقامتگاه خردسالان و محجورین، اقامتگاه مأموران دولت، افراد نظامی و اقامتگاه خدمه که در ماده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ذکر شده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برخی از حقوق‌دانان،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قانون‌گذار آن را برای افراد به منظور وضعیت خاص آنان</w:t>
      </w:r>
    </w:p>
    <w:p>
      <w:pPr>
        <w:pStyle w:val="BookText"/>
        <w:rPr/>
      </w:pPr>
      <w:r>
        <w:rPr>
          <w:rFonts w:ascii="IRNazanin" w:hAnsi="IRNazanin" w:eastAsia="IRNazanin"/>
          <w:color w:val="111111"/>
          <w:sz w:val="28"/>
          <w:sz w:val="28"/>
          <w:szCs w:val="28"/>
          <w:rtl w:val="true"/>
          <w:lang w:bidi="fa-IR"/>
        </w:rPr>
        <w:t>قرار داده است و به آنها امر می‌کند که در اقامتگاه یادشده اقامت گزینند و در صورت رعایت نکردن، شخص خاطی، از فوایدی که در مورد اقامتگاه وجود دارد، محروم خواهد 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این نوع اقامتگاه‌ها با از بین رفتن عاملی که سبب تعیین آنها شده است، از میان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آنها اقامتگاه اختیاری شخص، جای خود را بازمی‌یابد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با رسیدن شخص خردسال به سن رشد و خروج وی از زیر سرپرستی یا قیمومت، جدا شدن زن از شوهر، قطع رابطه خادم و مخدومی میان خدمتکار و مخدوم و یا پایان یافتن رابطه استخدامی جاری میان کارمندِ و دولت، اقامتگاه قانونی هریک از آنها که پیش از آن وجود داشته است، منحل می‌شود؛ و اگر برای شخص اقامتگاه تبعی دیگری یافت نشود، اقامتگاه اختیاری وی جای آن را می‌گیرد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اقسام اقامتگاه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زن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زن شوهردار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دائم و یا عقد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اقامتگاه شوهر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پس از ازدواج، اقامتگاه سابق خویش را از دست داده، اقامتگاه جدید را که همان اقامتگاه شوهر است به دست می‌آورد؛ چه اینکه روابط زن و شوهر و اصل وحدت خانوادگی حکم می‌کند که آن دو دارای محل سکونت مشترک و اقامتگاه واحد باشند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کشورهایی که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اقامتگاه زن همانند مسئله تابعیت، متأثر از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اقامتگاه زن شوهردار به قدری</w:t>
      </w:r>
    </w:p>
    <w:p>
      <w:pPr>
        <w:pStyle w:val="BookText"/>
        <w:rPr/>
      </w:pPr>
      <w:r>
        <w:rPr>
          <w:rFonts w:ascii="IRNazanin" w:hAnsi="IRNazanin" w:eastAsia="IRNazanin"/>
          <w:color w:val="111111"/>
          <w:sz w:val="28"/>
          <w:sz w:val="28"/>
          <w:szCs w:val="28"/>
          <w:rtl w:val="true"/>
          <w:lang w:bidi="fa-IR"/>
        </w:rPr>
        <w:t>است که بر سایر اقامتگاه‌های اجباری نظیر حجر زن یا مأموریت وی از سوی دولت یا دارا بودن شغل نظامی و یا خدمت نزد دیگری ترجیح دارد ازاین‌رو، در چنین مواردی اقامتگاه زن، همان اقامتگاه شوهر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اقامتگاه زن شوهردار همان اقامتگاه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زنی که شوهر او اقامتگاه معلومی ندارد و نیز زنی که با رضایت شوهر خود یا اجازه محکمه مسکن علی‌حدّه اختیار کرده است، می‌تواند اقامتگاه شخصی علی‌حدّه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دعاوی علیه زن شوهردار و نیز همه دعاوی خانوادگی پیرامون اختلافات ناشی از ازدواج، در دادگاه محل اقامت شوهر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درگذشت، حجر و یا غایب مفقودالاثر شدن زن شوهردار، امور مربوط به او با دادگاه اقامتگاه شوهر است و هرگاه در مدّت برقراری رابطه زوجیت، تغییری در اقامتگاه شوهر پدید آید، در اقامتگاه زن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ماده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زن باید در منزلی که شوهر تعیین می‌کند، زندگی کند؛ مگر آنکه اختیار منزل به زن داده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زن شوهردار در موارد زیر دارای اقامتگاه اختیاری و مستقل از شوهر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اقامتگاه شوهر نامعلوم باشد؛ مانند اینکه زن، خود را در محلی رها کرده و در محل نامعلومی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 در این حالت دارای اقامتگاه است؛ ولی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زن بر اساس رضایت شوهر، ضمن عقد ازدواج یا پس از آن، اقامتگاه دیگری غیر از اقامتگاه شوهر اختیار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برابر حکم دادگاه، زندگی مشترک زن با شوهر، هراس و زیان جسمانی، مالی و یا شرافتی را برای زن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زن حق اختیار خواهد داشت تا مسکن جداگانه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بودن زن با شوهر در یک منزل، متضمن خوف و ضرر بدنی یا مالی و یا شرافتی برای زن باشد، زن می‌تواند مسکن علی‌حدّه اختیار کند و در صورت ثبوت مظنّه ضرر مزبور، محکمه حکم بازگشت به منزل شوهر نخواهد داد و تا زمانی که زن در بازگشت به منزل مزبور معذور است، نفقه بر عهده شوهر خواهد بود؛ بنابراین، در مواردی که اختیار تعیین مسکن جداگانه به زوجه داده شده است، زن، ناشزه شمرده نشده و از حقّ دریافت نفقه برخوردار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زن به عقد مردی درآمده، ولی هنوز به خانه او نرفته است؛</w:t>
      </w:r>
      <w:r>
        <w:rPr>
          <w:rStyle w:val="FootnoteAnchor"/>
          <w:rtl w:val="true"/>
        </w:rPr>
        <w:footnoteReference w:id="300"/>
      </w:r>
      <w:r>
        <w:rPr>
          <w:rFonts w:ascii="IRNazanin" w:hAnsi="IRNazanin" w:eastAsia="IRNazanin"/>
          <w:color w:val="111111"/>
          <w:sz w:val="28"/>
          <w:sz w:val="28"/>
          <w:szCs w:val="28"/>
          <w:rtl w:val="true"/>
          <w:lang w:bidi="fa-IR"/>
        </w:rPr>
        <w:t>چه اینکه صرف عقد ازدواج باعث نمی‌شود که اقامتگاه زن، همان اقامتگاه شوهر باشد؛ بلکه هرگاه زن با همسرش در یکجا زندگی کند، اقامتگاه وی همان اقامتگاه شوهر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زن ناشزه شده، خانه شوهر را ترک کند و در جای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منزل پدر یا 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شود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به‌عبارت‌دیگر، اقامتگاه زن در زمان نشوز، غیر از اقامتگاه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معتقدند با توجه به اینکه چنین زنی هنوز به عقد نکاح مرد باقی است، با اطلاق ماده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باید اقامتگاه وی اقامتگاه شوهر به‌شمار آید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اقامتگاه خردسالان و اشخاص 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اقامتگاه خردسال و محجور، همان اقامتگاه ولی یا قیم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 برای حفظ منافع خردسالان و اشخاص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دیوانگان و سفیهان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تحت مراقبت و سرپرستی شخص دیگری هستند و اداره امور آنها با ولی و قیم آنهاست، اقامتگاه آنها را همان اقامتگاه ولی و قیم آنها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نیست چرا قانون‌گذار در ماده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را جدا از محجور قرار داده است؛ با وجود اینکه محجور شامل خردسال، سفیه و مجنون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بااین‌وجود، خردسال، قسیم محجور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به موجب این ماده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اقامتگاه خردسال، سفیه و دیوانه‌ای که رشد نیافتنی یا دیوانگی او متصل به زمان خردسالی بوده است، در صورتی که ولی خاصی داشته باشد، همان اقامتگاه ولی خواهد بود؛ امّا در صورتی که خردسال، ولی خاص نداشته، یا سفاهت و جنون محجور متصل به زمان خردسالی نباشد و تحت قیمومت باشد، اقامتگاه وی به موجب ماده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اقامتگاه قیم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ماده </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اقامتگاه زن خردسال، همان اقامتگاه شوهر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قانون‌گذار ایرانی در مورد کودکان سرراهی و یا نامشروعی که بر اساس قانون ایران، ملحق به زانی نمی‌شوند، سخنی از اقامتگاه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این دسته از کودکان، دارای پدربزرگ و یا مادربزرگ باشند و یا اینکه برای آنها قیم تعیین شده باشد، اقامتگاه پدربزرگ، مادربزرگ و یا قیم، به آنان تحمیل خواهد شد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اقامتگاه مأمورین دولتی و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مأموران دولتی، محلی است که در آنجا مأموریت ثابت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افراد نظامی که در داخل ساخلو هستند، محل ساخلو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محل مأموریت مأموران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و کشوری و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سازمان‌های مربوط به خود به خدمت در یک محل اعزام می‌شوند، اقامتگاه آنان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مأموریتی است که به زمان و مدّت معینی مقید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چنانچه مأموران دولت در جابه‌جایی باشند و محل مأموریت آنها گوناگون باشد و یا برای دوره معین و زمان محدودی به منظور انجام مأموریت خاصی اعزام شوند، اقامتگاه آنها تغییر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اقامتگاه آنها محلی خواهد بود که از آن محل حکم مأموریت خود را دریافت می‌کنند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به افراد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درجه‌دار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نیروی هوایی، دریایی و 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کسانی که به خدمت نظام وظیفه مشغول هستند، نظامی به‌شمار نیامده و زمان خدمتشان موقّت و کوتاه است، از این قاعده مستثنا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اجباری مأمورین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و کشوری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استعفا یا بازنشستگی از بین می‌رود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اقامتگاه خدمتکاران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دراین‌باره می‌گوید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اشخاص بزرگسال که معمولاً نزد دیگری کار یا خدمت می‌کنند، در منزل کارفرما یا مخدوم خود سکونت داشته باشند، اقامتگاه آنها همان</w:t>
      </w:r>
    </w:p>
    <w:p>
      <w:pPr>
        <w:pStyle w:val="BookText"/>
        <w:rPr/>
      </w:pPr>
      <w:r>
        <w:rPr>
          <w:rFonts w:ascii="IRNazanin" w:hAnsi="IRNazanin" w:eastAsia="IRNazanin"/>
          <w:color w:val="111111"/>
          <w:sz w:val="28"/>
          <w:sz w:val="28"/>
          <w:szCs w:val="28"/>
          <w:rtl w:val="true"/>
          <w:lang w:bidi="fa-IR"/>
        </w:rPr>
        <w:t>اقامتگاه کارفرما یا مخدوم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ماده بالا، در صورت وجود شرایط زیر، اقامتگاه خدمتگزار، همان اقامتگاه کارفرما یا مخدوم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بزرگسال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ماده شامل کسی که خردسال است، نمی‌شود؛ زیرا چنین شخصی دارای اقامتگاه اجباری ولی یا سرپرست خود خواهد بود؛ چنان‌که شخص بزرگسالِ محجور، تابع اقامتگاه سرپرست خود است، نه کارفرمای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سن بلوغ برای دختر، پایان نه سالگی و برای پسر، پایان پانزده سالگی است؛ ولی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کار می‌گوید به کار گماردن افراد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این دو ماده، به نظر می‌رسد شخص خدمتگزار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یا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دست‌کم پانزده سال تمام داشته باشد تا مشمول ماده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معمول نزد دیگری کار یا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به‌طور اتفاقی نزد دیگری کار می‌کند و شغل اصلی و همیشگی وی کار دیگری است، مشمول این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 کار یادشده شامل خدمات و کارهای عمومی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کشاورزی، کتابداری، کارپردازی و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کارفرما یا مخدوم خود سکونت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شرط، لزوم وابستگی کامل شخص به کارفرماست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شخص برای خدمتکاری، آشپزی، چوپانی و مانند آن، هر روز به محل سکونت کارفرمای خود رود و پس از انجام خدمت به خانه بازگردد، مشمول این ماده نبوده، خانه خودِ وی اقامتگاه او شمرده می‌شود</w:t>
      </w:r>
      <w:r>
        <w:rPr>
          <w:rFonts w:eastAsia="IRNazanin" w:cs="IRNazanin"/>
          <w:color w:val="111111"/>
          <w:sz w:val="28"/>
          <w:szCs w:val="28"/>
          <w:rtl w:val="true"/>
          <w:lang w:bidi="fa-IR"/>
        </w:rPr>
        <w:t>.</w:t>
      </w:r>
      <w:r>
        <w:rPr>
          <w:rStyle w:val="FootnoteAnchor"/>
          <w:rtl w:val="true"/>
        </w:rPr>
        <w:footnoteReference w:id="306"/>
      </w:r>
      <w:bookmarkStart w:id="535" w:name="pg5888_36237"/>
    </w:p>
    <w:p>
      <w:pPr>
        <w:pStyle w:val="Heading4"/>
        <w:numPr>
          <w:ilvl w:val="3"/>
          <w:numId w:val="1"/>
        </w:numPr>
        <w:rPr/>
      </w:pPr>
      <w:bookmarkStart w:id="536" w:name="__RefHeading___Toc5261564_581953129"/>
      <w:bookmarkStart w:id="537" w:name="_Toc210"/>
      <w:bookmarkEnd w:id="535"/>
      <w:bookmarkEnd w:id="536"/>
      <w:r>
        <w:rPr>
          <w:rtl w:val="true"/>
        </w:rPr>
        <w:t>ب</w:t>
      </w:r>
      <w:r>
        <w:rPr>
          <w:rtl w:val="true"/>
        </w:rPr>
        <w:t xml:space="preserve">) </w:t>
      </w:r>
      <w:r>
        <w:rPr>
          <w:rtl w:val="true"/>
        </w:rPr>
        <w:t>اقامتگاه خاص یا قراردادی</w:t>
      </w:r>
      <w:bookmarkEnd w:id="537"/>
    </w:p>
    <w:p>
      <w:pPr>
        <w:pStyle w:val="BookText"/>
        <w:rPr/>
      </w:pP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اسم این اقامتگاه می‌توان دریافت، اقامتگاهی است که به موجب قرارداد تعیین می‌شود، که ممکن است محلی غیر از اقامتگاه حقیقی شخص و یا حتی در خارج از کشور مورد تابعیت و محل اقامت شخص باشد، تا در صورت بروز اختلاف و دعوا، اسناد و مدارک مربوط، به همان اقامتگاه ارسال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ضمن معامله یا قراردادی، طرفین معامله یا یکی از آنها برای اجرای تعهدات حاصله از آن معامله، محلی غیر از اقامتگاه حقیقی خود انتخاب کرده باشد، نسبت به دعاوی راجعه به آن معامله، همان محلی که انتخاب شده است، اقامتگاه او شمرده خواهد شد و همچنین است در صورتی که برای ابلاغ اوراق دعوی و احضار و اخطار، محلی را غیر از اقامتگاه حقیقی خود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تأکید آنچه در بالا آمده است، ماده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مدنی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دعاوی که رسیدگی به آن از صلاحیت دادگاه‌هایی است که رسیدگی نخستین می‌کنند، طرفین دعوا می‌توانند تراضی کرده، به دادگاه دیگری که در عرض دادگاه صلاحیت‌دار باشد،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اقامتگاه قراردادی که ماده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به آن اشاره دارد، توجه به نکات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اقامتگاه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سوی دو طرف قرارداد انتخاب شود یا به‌وسیله یکی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موافقت هر دو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اقامتگاه خاص یا قراردادی، در صورتی که دو طرف قرارداد یا یکی از آنها به‌طور مستقیم جایی را به‌عنوان اقامتگاه تعیین نکرده باشند، معمولاً محل اجرای قرارداد را به این عنوان می‌شناسند؛ ولی به موجب بخش اخیر ماده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w:t>
      </w:r>
    </w:p>
    <w:p>
      <w:pPr>
        <w:pStyle w:val="BookText"/>
        <w:rPr/>
      </w:pPr>
      <w:r>
        <w:rPr>
          <w:rFonts w:ascii="IRNazanin" w:hAnsi="IRNazanin" w:eastAsia="IRNazanin"/>
          <w:color w:val="111111"/>
          <w:sz w:val="28"/>
          <w:sz w:val="28"/>
          <w:szCs w:val="28"/>
          <w:rtl w:val="true"/>
          <w:lang w:bidi="fa-IR"/>
        </w:rPr>
        <w:t xml:space="preserve">صورتی که طرفین قرارداد یا یکی از آنها تصریح نکرده باشد که ابلاغ برگ‌های مربوط به دعوا، احضار، اخطار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اقامتگاه قراردادی به عمل آید، در اقامتگاه حقیقی خوانده به 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بخش اخیر ماده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آیین دادرسی مدنی، در مواردی که اقامتگاه مدّعی‌علیه طبق ماده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تعیین شده باشد، باید به ترتیب یادشده در مواد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شود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نوع اقامتگاه که به آن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متفاوت با اقامتگاه حقیقی است و به معامله معین و دعاوی ناشی از آن اختصاص داشته، نسبت به دیگر معامله‌ها و یا اشخاص سوّم، معتبر و مؤثّر نخواهد بود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قراردادی با اراده یکی از دو طرف، قابل تغییر نیست؛ بلکه فقط با توافق دو طرف تغییرپذیر خواهد بود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اقامتگاه قراردادی، به زمان توافق شده در قرارداد و زمان اجرای آن وابسته بوده، پس از پایان مدّت قرارداد منقضی می‌شود؛ مگر آنکه دو طرف قرارداد بخواهند پیش از پایان زمان قرارداد از اقامتگاه خود صرف‌نظر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اقامتگاه قراردادی اعتبار مستقل دارد، چنانچه اقامتگاه قراردادی، همان اقامتگاه حقیقی باشد و سپس اقامتگاه حقیقی تغییر یابد، این تغییر بر اعتبار اقامتگاه قراردادی تأثیر قرار نمی‌گذارد</w:t>
      </w:r>
      <w:r>
        <w:rPr>
          <w:rFonts w:eastAsia="IRNazanin" w:cs="IRNazanin"/>
          <w:color w:val="111111"/>
          <w:sz w:val="28"/>
          <w:szCs w:val="28"/>
          <w:rtl w:val="true"/>
          <w:lang w:bidi="fa-IR"/>
        </w:rPr>
        <w:t>.</w:t>
      </w:r>
      <w:r>
        <w:rPr>
          <w:rStyle w:val="FootnoteAnchor"/>
          <w:rtl w:val="true"/>
        </w:rPr>
        <w:footnoteReference w:id="311"/>
      </w:r>
      <w:bookmarkStart w:id="538" w:name="pg5888_36239"/>
    </w:p>
    <w:p>
      <w:pPr>
        <w:pStyle w:val="BookText"/>
        <w:rPr/>
      </w:pPr>
      <w:bookmarkEnd w:id="5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پیش‌تر گفته شد، ماده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داشتن بیش از یک اقامتگاه را منع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ندارد؛ زیرا ماده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اقامتگاه اختصاصی یا قراردادی است؛ امّا ماده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اقامتگاه حقیقی یا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شخص می‌تواند یک اقامتگاه اختیاری داشته باشد و با توجّه به معامله‌های انعقادیافته، یک یا چند اقامتگاه قراردادی نیز داشته باشد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طرف می‌توانند اقامتگاه قراردادی را نسبت به همه دعاوی مربوط به قرارداد، قابل اعمال بدانند و یا اینکه آن را به اختلافات ناشی از اجرای بعضی از مواد قرارداد منحصر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اقامتگاه قراردادی، در اثر درگذشت یا حجر دو طرف یا یکی از آنها از بین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بتوان از قرارداد چنین نکته‌ای را برداشت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 آنچه از ماده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می‌توان دریافت، پس از درگذشت شخص، اقامتگاه یادشده نسبت به آن قرارداد به وارثان شخص منتقل خواهد شد؛ زیرا ماده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عقودی که بر طبق قانون واقع شده باشند، بین متعاملین و قائم مقام آنها لازم‌الاتباع است؛ مگر اینکه به رضای طرفین، اقاله یا به علّت قانونی فسخ شود</w:t>
      </w:r>
      <w:r>
        <w:rPr>
          <w:rFonts w:eastAsia="IRNazanin" w:cs="IRNazanin"/>
          <w:color w:val="111111"/>
          <w:sz w:val="28"/>
          <w:szCs w:val="28"/>
          <w:rtl w:val="true"/>
          <w:lang w:bidi="fa-IR"/>
        </w:rPr>
        <w:t>.</w:t>
      </w:r>
    </w:p>
    <w:p>
      <w:pPr>
        <w:pStyle w:val="Heading3"/>
        <w:numPr>
          <w:ilvl w:val="2"/>
          <w:numId w:val="1"/>
        </w:numPr>
        <w:rPr/>
      </w:pPr>
      <w:bookmarkStart w:id="539" w:name="__RefHeading___Toc5261566_581953129"/>
      <w:bookmarkStart w:id="540" w:name="_Toc211"/>
      <w:bookmarkEnd w:id="539"/>
      <w:r>
        <w:rPr/>
        <w:t>2</w:t>
      </w:r>
      <w:r>
        <w:rPr>
          <w:rtl w:val="true"/>
        </w:rPr>
        <w:t xml:space="preserve">- </w:t>
      </w:r>
      <w:r>
        <w:rPr>
          <w:rtl w:val="true"/>
        </w:rPr>
        <w:t>اقامتگاه اشخاص حقوقی</w:t>
      </w:r>
      <w:bookmarkEnd w:id="54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اقامتگاه اشخاص حقوقی، نظیر شرکت‌ها و مؤسسّه‌ها، همانند تعیین اقامتگاه اشخاص حقیقی دارای اهمیت بوده و فواید عملی دارد؛ چراکه اشخاص</w:t>
      </w:r>
    </w:p>
    <w:p>
      <w:pPr>
        <w:pStyle w:val="BookText"/>
        <w:rPr/>
      </w:pPr>
      <w:r>
        <w:rPr>
          <w:rFonts w:ascii="IRNazanin" w:hAnsi="IRNazanin" w:eastAsia="IRNazanin"/>
          <w:color w:val="111111"/>
          <w:sz w:val="28"/>
          <w:sz w:val="28"/>
          <w:szCs w:val="28"/>
          <w:rtl w:val="true"/>
          <w:lang w:bidi="fa-IR"/>
        </w:rPr>
        <w:t xml:space="preserve">حقوقی به لحاظ روابطی که با سایر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یا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باید مانند اشخاص حقیقی، همواره در محل معینی حاضر فرض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تابعیت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اقامتگاه اشخاص حقوقی توضیح داده شد، که به اختصار آن را یادآوری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تجارت در ماده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شخص حقوقی، محلی است که اداره شخص حقوقی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بخش اخیرِ 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اشخاص حقوقی، مرکزعملیات آنهاست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دو تعریف در آن است که در تعریف قانون مدنی، عامل تعیین اقامتگاه اشخاص حقوقی، مرکز عملیات و در تعریف قانون تجارت، این عامل محل اداره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بخش از قانون مدنی نسبت به قانون تجارت لاحق است، امّا نمی‌تواند آن را نسخ کند؛ زیرا نسبت به آن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دیدگاه قانون‌گذار ایرانی، اقامتگاه اشخاص حقوقی، مرکز اصلی یا مرکز اداری شخص حقوقی است و طبق قاعده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دادگاه محل اقامت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دعاوی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محلی که مرکز اصلی شخص حقوقی در آن قرار دارد اقامه شده و ابلاغ برگ‌های احضار، اخطار و دادرسی نیز در این محل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همه کارهای مربوط به ورشکستگی مانند دعوای توقّف، تعیین عضو ناظر، تعیین مدیر تصفیه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دادگاه شهرستان محل اقامت شخص حقوقی مورد رسیدگی قرار می‌گیرد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مدنی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راجع به ورشکستگی شرکت‌های بازرگانی که مرکز اصلی آن در ایران است، باید در مرکز اصلی شرکت اقامه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مدنی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دعاوی مربوط به اصل شرکت و دعاوی بین شرکت و شریکان و اختلافات حاصله بین شریکان و همچنین دعاوی اشخاص خارج بر شرکت، مادام که شرکت باقی است و درصورت برچیدگی تا وقتی که تصفیه امور شرکت در جریان است، در مرکز اصلی شرکت اقامه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ممکن است یک شرکت دارای شعبه‌های گوناگونی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بر اساس اصل وحدت اقامتگاه، اشخاص حقوقی نباید اقامتگاه‌های متعددی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صورت بروز اختلاف، برای آسانی مراجعه افرادی که ممکن است با شعبه‌های مختلف یک شخص حقوقی قرارداد ببندند، دادگاه واقع در محل همان شعبه، صالح برای رسیدگی به دعاوی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مدنی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شرکت دارای شعب متعدّد در جاهای مختلف باشد، دعاوی ناشیه از تعهدات هر شعبه با اشخاص خارج باید در دادگاه محلی که شعبه طرف معامله در آن واقع است، اقامه گردد؛ مگر آنکه شعبه برچیده شده باشد که دراین‌صورت، دعاوی نامبرده نیز در مرکز اصلی شرکت اقامه خواهد 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توجیه اینکه چگونه قانون‌گذار ایران در این ماده، برخلاف قاعده بیان‌شده در ماده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بر جایز نبودن داشتن بیش از یک اقامتگاه برای شخص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محل هر شعبه، ارزش اقامتگاه را شناخته است، می‌توان گفت در اینجا منظور قانون‌گذار تعیین اقامتگاهی مستقل از اقامتگاه شرکت برای</w:t>
      </w:r>
      <w:bookmarkStart w:id="541" w:name="pg5888_36242"/>
    </w:p>
    <w:p>
      <w:pPr>
        <w:pStyle w:val="BookText"/>
        <w:rPr/>
      </w:pPr>
      <w:bookmarkEnd w:id="541"/>
      <w:r>
        <w:rPr>
          <w:rFonts w:ascii="IRNazanin" w:hAnsi="IRNazanin" w:eastAsia="IRNazanin"/>
          <w:color w:val="111111"/>
          <w:sz w:val="28"/>
          <w:sz w:val="28"/>
          <w:szCs w:val="28"/>
          <w:rtl w:val="true"/>
          <w:lang w:bidi="fa-IR"/>
        </w:rPr>
        <w:t>شعبه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محل فقط در حد دادن صلاحیت به دادگاه‌های محلی در دعاوی علیه شعبه‌ها است؛ چنان‌که اگر شعبه‌ای برچیده شده باشد، اقامه دعوا علیه او در مرکز اصلی شرکت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می‌توان شناخت صلاحیت برای دادگاه‌های محل شعبه را در قانون درباره دعاوی علیه شعبه، نتیجه این فرض قانون‌گذار دانست که در معاملات شعبه با دیگران، پذیرش اقامتگاه قراردادی مفروض است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542" w:name="__RefHeading___Toc5261568_581953129"/>
      <w:bookmarkStart w:id="543" w:name="_Toc212"/>
      <w:bookmarkEnd w:id="542"/>
      <w:r>
        <w:rPr/>
        <w:t>3</w:t>
      </w:r>
      <w:r>
        <w:rPr>
          <w:rtl w:val="true"/>
        </w:rPr>
        <w:t xml:space="preserve">- </w:t>
      </w:r>
      <w:r>
        <w:rPr>
          <w:rtl w:val="true"/>
        </w:rPr>
        <w:t>تغییر اقامتگاه اشخاص حقوقی</w:t>
      </w:r>
      <w:bookmarkEnd w:id="543"/>
    </w:p>
    <w:p>
      <w:pPr>
        <w:pStyle w:val="BookText"/>
        <w:rPr/>
      </w:pPr>
      <w:r>
        <w:rPr>
          <w:rFonts w:ascii="IRNazanin" w:hAnsi="IRNazanin" w:eastAsia="IRNazanin"/>
          <w:color w:val="111111"/>
          <w:sz w:val="28"/>
          <w:sz w:val="28"/>
          <w:szCs w:val="28"/>
          <w:rtl w:val="true"/>
          <w:lang w:bidi="fa-IR"/>
        </w:rPr>
        <w:t>ازآنجاکه اقامتگاه شخص حقوقی در اساسنامه شرکت تعیین می‌شود، چگونگی تغییر اقامتگاه، به مقررات تغییر اساسنامه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از یک‌سو بر اساس ماده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تابعیت شخص حقوقی به اقامتگاه وی وابسته است و از سوی دیگر، برابر مواد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اصلاحی بخشی از قانون تجارت، تغییر تابعیت شخص حقوقی فقط به اتفاق‌نظر همه شریکان یا سهام‌داران ممکن است در صورتی که تغییر اقامتگاه به تغییر تابعیت منجر شود، لازم است بین شریکان اتفاق‌نظر وجود داشته باشد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544" w:name="__RefHeading___Toc5261570_581953129"/>
      <w:bookmarkStart w:id="545" w:name="_Toc213"/>
      <w:bookmarkEnd w:id="544"/>
      <w:r>
        <w:rPr/>
        <w:t>4</w:t>
      </w:r>
      <w:r>
        <w:rPr>
          <w:rtl w:val="true"/>
        </w:rPr>
        <w:t xml:space="preserve">- </w:t>
      </w:r>
      <w:r>
        <w:rPr>
          <w:rtl w:val="true"/>
        </w:rPr>
        <w:t>انواع اقامتگاه های شخص حقوقی</w:t>
      </w:r>
      <w:bookmarkEnd w:id="545"/>
    </w:p>
    <w:p>
      <w:pPr>
        <w:pStyle w:val="BookText"/>
        <w:rPr/>
      </w:pPr>
      <w:r>
        <w:rPr>
          <w:rFonts w:ascii="IRNazanin" w:hAnsi="IRNazanin" w:eastAsia="IRNazanin"/>
          <w:color w:val="111111"/>
          <w:sz w:val="28"/>
          <w:sz w:val="28"/>
          <w:szCs w:val="28"/>
          <w:rtl w:val="true"/>
          <w:lang w:bidi="fa-IR"/>
        </w:rPr>
        <w:t>شخص حقوقی می‌تواند دارای دو نوع اقامتگاه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تعریف آن پیش از این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اقامتگاه قراردادی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اقامتگاه معمولی شخص حقوقی نیز ناشی از اساسنامه آن است که</w:t>
      </w:r>
    </w:p>
    <w:p>
      <w:pPr>
        <w:pStyle w:val="BookText"/>
        <w:rPr/>
      </w:pPr>
      <w:r>
        <w:rPr>
          <w:rFonts w:ascii="IRNazanin" w:hAnsi="IRNazanin" w:eastAsia="IRNazanin"/>
          <w:color w:val="111111"/>
          <w:sz w:val="28"/>
          <w:sz w:val="28"/>
          <w:szCs w:val="28"/>
          <w:rtl w:val="true"/>
          <w:lang w:bidi="fa-IR"/>
        </w:rPr>
        <w:t>بر اثر توافق میان بنیان‌گذاران آن تهیه و تصویب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اقامتگاه دارای ریشه قراردادی است؛ بااین‌حال نمی‌توان آن را اقامتگاه قراردادی بدان‌گونه که در ماده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از آن یاد شده است، دانست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اقامتگاه قراردادی، میان اشخاص حقیقی و حقوقی، مشترک و احکام آن میان آنها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حقوقی می‌تواند بدون آنکه از قاعده مجاز نبودن بیش از یک اقامتگاه سرپیچی کرده باشد، افزون بر اقامتگاه معمولی خود، دارای یک یا چند اقامتگاه قراردادی نیز باشد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از نظر حقوق مدنی ایران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عام، خود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اختیاری و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نخست، شخص به اراده و میل خود آن را انتخاب می‌کند؛ درحالی‌که در نوع دوم، اقامتگاه از سوی قانون‌گذار تعیین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اقامتگاهی که به موجب قرارداد تعیین می‌شود، قراردادی است که ممکن است محلی غیر از اقامتگاه حقیقی شخص و یا حتی در خارج از کشور مورد تابعیت و محل اقامت شخص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قانون تجارت، اقامتگاه شخص حقوقی، محلی است که اداره شخص حقوقی در آنجاست؛ ولی از نظر قانون مدنی، اقامتگاه اشخاص حقوقی، مرکز عملیات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اقامتگاه شخص حقوقی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معمولی و قراردادی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اقامتگاه اختیاری با قراردادی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دوگونه اقامتگاه از چه نظر دارای زمینه‌های مشترک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اقامتگاه قانونی را نام برده، به اختصار توضیح دهید و بگویید کدام‌یک از آنها کاربرد بیشتری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اقامتگاه‌های قانونی یا تبعی چیست؟ اقامتگاه‌های این نوع که تعریف آنها در قانون مدنی آمده است کدامند و ویژگی مشترک آنها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خردسال و محجور، چه نوع اقامتگاهی است؟ اقامتگاه‌هایی که قانون‌گذار برای این دسته از افراد در نظر گرفته است، کجاست؟ چه چیزی ایجاب کرده که برای آنها اقامتگاه در نظر گرفته شده است و تغییر اقامتگاه آنان چگونه صورت می‌گیرد؟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قانون‌گذار، اقامتگاه زن شوهردار را تابع اقامتگاه همسر او شناخته است؟ در چه مواردی زن شوهردار می‌تواند اقامتگاهی جدا از اقامتگاه همسر خود داشته باشد و در چه حالتی ممکن است اقامتگاه زن به‌عنوان اقامتگاه شوهر او شناخته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کسانی که نزد دیگری کار می‌کنند و در خانه او ساکن هستند، کجاست؟ شرایط آن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اقامتگاه مأموران دولتی کجاست؟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در نظر گرفتن اقامتگاه برای اشخاص حقوقی در قانون، چیست؟ چه تفاوتی میان اقامتگاه این دسته از افراد و اقامتگاه اشخاص حقیقی می‌توان یافت؟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تفاوتی میان تعریف قانون مدنی و تجارت درباره اقامتگاه اشخاص حقوقی است؟ آیا هر دو تعریف معتبرند، یا یکی سبب نسخ دیگری شده است؟ چه دلایلی برای اثبات نظری که ابزاری می‌شود می‌توان ارائه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شخص حقوقی چند نوع اقامتگاه قابل تصوّر است و تعریف اقامتگاه قراردادی شخص حقوقی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آنکه شعبه‌های شخص حقوقی دارای شخصیتی جدا از شخصیت خود شخص حقوقی نیست و فرض اقامتگاهی جدا از اقامتگاه شخص حقوقی برای آنها به نظر جایز نیست، چگونه می‌توان برای آنها نیز اقامتگاهی مستقل فرض کرد؟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تعیین اقامتگاه شعبه‌های شخص حقوقی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 اقامتگاه شخص حقوقی چگونه ممکن است؟</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تطبیقی اقسام اقامتگاه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مقایسه تطبیقی اقسام اقامتگاه از نظر قانون ایران و کشورهای دیگر مانند انگلستان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افزون بر کتاب‌های حقوق بین‌الملل خصوصی، برخی از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نصراللّه ابراهیمی، حقوق بین‌الملل خصوصی ، ص</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p>
    <w:p>
      <w:pPr>
        <w:pStyle w:val="BookText"/>
        <w:rPr/>
      </w:pPr>
      <w:r>
        <w:rPr>
          <w:rFonts w:ascii="IRNazanin" w:hAnsi="IRNazanin" w:eastAsia="IRNazanin"/>
          <w:color w:val="111111"/>
          <w:sz w:val="28"/>
          <w:sz w:val="28"/>
          <w:szCs w:val="28"/>
          <w:rtl w:val="true"/>
          <w:lang w:bidi="fa-IR"/>
        </w:rPr>
        <w:t>دکتر بهشید ارفع‌نیا، حقوق بین‌الملل خصوصی ،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محمد مکرمی، حقوق بین‌الملل خصوصی ،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اقامتگاه زن شوهردار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شناخت اقامتگاه زن شوهردار در حالت‌های گوناگون است و اینکه او در چه مواردی دارای اقامتگاه مستقل است و یا در چه مواردی تابع اقامتگاه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هنگامی که شوهر، خود، دارای اقامتگاه قانونی است یا محجور شده و قیمومیت شوهر، با همسر او یا فرد دیگری است، اقامتگاه زن در این حالت چگونه است؛ مستقل از شوهر بوده، یا همان اقامتگاه شوهر است؟ نیز اگر زن شوهردار در خانه دیگری کار می‌کند و در همان‌جا هم ساکن است، اقامتگاه قانونی وی کجاست؛ اقامتگاه شوهر است یا کارفرما؟</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حقوق بین‌الملل خصوصی،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محمود سلجوقی، بایسته‌های حقوق بین‌الملل خصوصی ، ص</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ماده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مدنی در ماده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خردسال و محجور، همان اقامتگاه ولی یا قیم آنها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این پژوهش، بررسی این نکته است که چرا این ماده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 کرده است، درحالی‌که خردسال، بخشی از محجورین است و نه قسیم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یک ایرانی مقیم فرانسه در آنجا فوت کند، از نظر قانون فرانسوی قانون صلاحیت‌دار در تقسیم ترکه منقول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متبوع شخص درگذشته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محل وجود دارایی‌ها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متبوع وارثان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اقامتگاه شخص درگذشته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مرد آلمانی با همسر هلندی‌اش مقیم فرانسه بوده، قصد دارند در همان جا طلاق بگیرند، قانون صلاحیت‌دار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متبوع مرد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متبوع زن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اقامتگاه مشترک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منتخب دو طرف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قانون مدنی، از کدام‌یک از انواع اقامتگاه‌ها 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اختیاری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قراردادی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قانونی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اصلی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کدام‌یک از انواع اقامتگاه‌ها قاعده منع بیش از یک اقامتگاه جاری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اختیاری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اصلی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قراردادی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قانونی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حقوق بین‌الملل خصوصی ایران، در مورد اشخاص حقیقی، چند نوع اقامتگاه قابل تشخیص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اقامتگاه کارمندان شرکت،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شرکت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مدیر عامل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کارمند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کار او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جدایی پدر و مادر، اقامتگاه فرزند خردسال بنابر قانون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پدر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مادر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 اوست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bookmarkStart w:id="546" w:name="pg5888_36252"/>
    </w:p>
    <w:p>
      <w:pPr>
        <w:pStyle w:val="Heading2"/>
        <w:numPr>
          <w:ilvl w:val="1"/>
          <w:numId w:val="1"/>
        </w:numPr>
        <w:rPr/>
      </w:pPr>
      <w:bookmarkStart w:id="547" w:name="__RefHeading___Toc5261572_581953129"/>
      <w:bookmarkStart w:id="548" w:name="_Toc214"/>
      <w:bookmarkEnd w:id="546"/>
      <w:bookmarkEnd w:id="547"/>
      <w:r>
        <w:rPr/>
        <w:t>13</w:t>
      </w:r>
      <w:r>
        <w:rPr>
          <w:rtl w:val="true"/>
        </w:rPr>
        <w:t xml:space="preserve">- </w:t>
      </w:r>
      <w:r>
        <w:rPr>
          <w:rtl w:val="true"/>
        </w:rPr>
        <w:t>وضعیت بیگانگان</w:t>
      </w:r>
      <w:bookmarkEnd w:id="548"/>
    </w:p>
    <w:p>
      <w:pPr>
        <w:pStyle w:val="Heading3"/>
        <w:numPr>
          <w:ilvl w:val="2"/>
          <w:numId w:val="1"/>
        </w:numPr>
        <w:rPr/>
      </w:pPr>
      <w:bookmarkStart w:id="549" w:name="__RefHeading___Toc5261574_581953129"/>
      <w:bookmarkStart w:id="550" w:name="_Toc215"/>
      <w:bookmarkEnd w:id="549"/>
      <w:r>
        <w:rPr>
          <w:rtl w:val="true"/>
        </w:rPr>
        <w:t>اشاره</w:t>
      </w:r>
      <w:bookmarkEnd w:id="550"/>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دیدگاه اسلام دراین‌باره؛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از انواع بیگانگان که ممکن است وارد کشور 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اصول و مبانی حقوق بیگانگان؛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وضعیت ورود، خروج و اقامت بیگانگان در قوانین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گذشته، دولت‌ها کمتر به حقوق بیگانگان توجه می‌کردند و به‌طور کلّی شخصیت آنها نفی می‌شد؛ ولی امروزه یکی از اصول مسلَّم حقوق بین‌الملل، شناخت و رعایت حقوق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قوانین همه کشورهای جهان، مقرراتی ویژه اشخاص بیگانه وضع شده است تا در مواردی نظیر مهاجرت، جهانگردی، مأموریت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که شخص خارجی از چه حقوقی برخوردار و از چه حقوقی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تابعیت، در هر کشوری دو دسته افراد یافت می‌شوند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نخست که اکثریت آن کشور را تشکیل می‌دهند، اتباع آن کشور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قوانین، نظیر قانون اساسی، قانون مدنی، قانون تجارت و مانند آن، به اتباع کشور مربوط‌اند</w:t>
      </w:r>
      <w:r>
        <w:rPr>
          <w:rFonts w:eastAsia="IRNazanin" w:cs="IRNazanin"/>
          <w:color w:val="111111"/>
          <w:sz w:val="28"/>
          <w:szCs w:val="28"/>
          <w:rtl w:val="true"/>
          <w:lang w:bidi="fa-IR"/>
        </w:rPr>
        <w:t>.</w:t>
      </w:r>
      <w:bookmarkStart w:id="551" w:name="pg5888_36253"/>
    </w:p>
    <w:p>
      <w:pPr>
        <w:pStyle w:val="BookText"/>
        <w:rPr/>
      </w:pPr>
      <w:bookmarkEnd w:id="551"/>
      <w:r>
        <w:rPr>
          <w:rFonts w:ascii="IRNazanin" w:hAnsi="IRNazanin" w:eastAsia="IRNazanin"/>
          <w:color w:val="111111"/>
          <w:sz w:val="28"/>
          <w:sz w:val="28"/>
          <w:szCs w:val="28"/>
          <w:rtl w:val="true"/>
          <w:lang w:bidi="fa-IR"/>
        </w:rPr>
        <w:t>گروه دوم که اقلیت بسیار کمی از ساکنین کشور را تشکیل می‌دهند، اتباع خارجی یا بیگانگان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یا از تابعیت محل اقامت خود برخوردار نبوده و یا به‌طور کلّی فاقد تابعیت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و درس‌های آینده تلاش بر آن است تا وضعیت حقوقی دارندگان تابعیت خارجی یا بیگانه را توضیح دهیم</w:t>
      </w:r>
      <w:r>
        <w:rPr>
          <w:rFonts w:eastAsia="IRNazanin" w:cs="IRNazanin"/>
          <w:color w:val="111111"/>
          <w:sz w:val="28"/>
          <w:szCs w:val="28"/>
          <w:rtl w:val="true"/>
          <w:lang w:bidi="fa-IR"/>
        </w:rPr>
        <w:t>.</w:t>
      </w:r>
    </w:p>
    <w:p>
      <w:pPr>
        <w:pStyle w:val="Heading3"/>
        <w:numPr>
          <w:ilvl w:val="2"/>
          <w:numId w:val="1"/>
        </w:numPr>
        <w:rPr/>
      </w:pPr>
      <w:bookmarkStart w:id="552" w:name="__RefHeading___Toc5261576_581953129"/>
      <w:bookmarkStart w:id="553" w:name="_Toc216"/>
      <w:bookmarkEnd w:id="552"/>
      <w:r>
        <w:rPr/>
        <w:t>1</w:t>
      </w:r>
      <w:r>
        <w:rPr>
          <w:rtl w:val="true"/>
        </w:rPr>
        <w:t xml:space="preserve">- </w:t>
      </w:r>
      <w:r>
        <w:rPr>
          <w:rtl w:val="true"/>
        </w:rPr>
        <w:t>تعریف بیگانه</w:t>
      </w:r>
      <w:bookmarkEnd w:id="55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برخلاف تصوّر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بار منفی و ضد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بیگانه کسانی است که در غیر سرزمین خود به منظور تحصیل، کار، جهانگردی و مانند آن، به‌صورتِ موقّت یا همیشگی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دائرة‌المعارف کلمبیا دراین‌باره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حقوق، بیگانه، به هر شخصی گفته می‌شود که در یک جامعه سیاسی اقامت دارد؛ درحالی‌که تابعیت کشور دیگری را داراست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همچنین در دائرة‌المعارف حقوق بین‌الملل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 شخصی است که در یک کشور زندگی می‌کند، ولی تابعیت آن کشور را ندارد و اشخاص بدون تابعیت هم بیگانه شمرده می‌شوند</w:t>
      </w:r>
      <w:r>
        <w:rPr>
          <w:rFonts w:eastAsia="IRNazanin" w:cs="IRNazanin"/>
          <w:color w:val="111111"/>
          <w:sz w:val="28"/>
          <w:szCs w:val="28"/>
          <w:rtl w:val="true"/>
          <w:lang w:bidi="fa-IR"/>
        </w:rPr>
        <w:t>».</w:t>
      </w:r>
      <w:r>
        <w:rPr>
          <w:rStyle w:val="FootnoteAnchor"/>
          <w:rtl w:val="true"/>
        </w:rPr>
        <w:footnoteReference w:id="31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تقسیم سیاسی افراد، رویکرد 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دین را به کار گرفته، مردم را بر اساس گرایش اسلام، به دو گروه بزرگ مؤمن و کافر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همه مرزهای غیر ارزشی که عمدتاً غیر اختیاری هستند، مانند</w:t>
      </w:r>
      <w:bookmarkStart w:id="554" w:name="pg5888_36254"/>
    </w:p>
    <w:p>
      <w:pPr>
        <w:pStyle w:val="BookText"/>
        <w:rPr/>
      </w:pPr>
      <w:bookmarkEnd w:id="554"/>
      <w:r>
        <w:rPr>
          <w:rFonts w:ascii="IRNazanin" w:hAnsi="IRNazanin" w:eastAsia="IRNazanin"/>
          <w:color w:val="111111"/>
          <w:sz w:val="28"/>
          <w:sz w:val="28"/>
          <w:szCs w:val="28"/>
          <w:rtl w:val="true"/>
          <w:lang w:bidi="fa-IR"/>
        </w:rPr>
        <w:t>رنگ، خون، نژاد، وابستگی سرزمینی و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می‌توانند با بستن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تابعیت دولت اسلامی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بیگانه کسی است که، نه اسلام را بپذیرد و نه به بستن پیمان ذمّه اقدام کند</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همچنین برخی از غیرمسلمانان که در سرزمین اسلامی سکونت دارند،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مستأمن به اشخاصی گفته می‌شود که به‌طور موقّت در سرزمین اسلامی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دولت اسلامی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واقعیت و عمل، سخن ما بیشتر درباره بیگانگانی است که به هر علت در غیر سرزمین دولت متبوع خود سکونت یا اقامت دارند</w:t>
      </w:r>
      <w:r>
        <w:rPr>
          <w:rFonts w:eastAsia="IRNazanin" w:cs="IRNazanin"/>
          <w:color w:val="111111"/>
          <w:sz w:val="28"/>
          <w:szCs w:val="28"/>
          <w:rtl w:val="true"/>
          <w:lang w:bidi="fa-IR"/>
        </w:rPr>
        <w:t>.</w:t>
      </w:r>
    </w:p>
    <w:p>
      <w:pPr>
        <w:pStyle w:val="Heading3"/>
        <w:numPr>
          <w:ilvl w:val="2"/>
          <w:numId w:val="1"/>
        </w:numPr>
        <w:rPr/>
      </w:pPr>
      <w:bookmarkStart w:id="555" w:name="__RefHeading___Toc5261578_581953129"/>
      <w:bookmarkStart w:id="556" w:name="_Toc217"/>
      <w:bookmarkEnd w:id="555"/>
      <w:r>
        <w:rPr/>
        <w:t>2</w:t>
      </w:r>
      <w:r>
        <w:rPr>
          <w:rtl w:val="true"/>
        </w:rPr>
        <w:t xml:space="preserve">- </w:t>
      </w:r>
      <w:r>
        <w:rPr>
          <w:rtl w:val="true"/>
        </w:rPr>
        <w:t>انواع بیگانگان</w:t>
      </w:r>
      <w:bookmarkEnd w:id="556"/>
    </w:p>
    <w:p>
      <w:pPr>
        <w:pStyle w:val="Heading4"/>
        <w:numPr>
          <w:ilvl w:val="3"/>
          <w:numId w:val="1"/>
        </w:numPr>
        <w:rPr/>
      </w:pPr>
      <w:bookmarkStart w:id="557" w:name="__RefHeading___Toc5261580_581953129"/>
      <w:bookmarkStart w:id="558" w:name="_Toc218"/>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بیگانگان از نظر چگونگی ورود و نوع حقوقی که از آن بهره‌مند هستند، به دوازده دسته زیر تقسیم می‌شوند</w:t>
      </w:r>
      <w:r>
        <w:rPr>
          <w:rFonts w:eastAsia="IRNazanin" w:cs="IRNazanin"/>
          <w:color w:val="111111"/>
          <w:sz w:val="28"/>
          <w:szCs w:val="28"/>
          <w:rtl w:val="true"/>
          <w:lang w:bidi="fa-IR"/>
        </w:rPr>
        <w:t>:</w:t>
      </w:r>
    </w:p>
    <w:p>
      <w:pPr>
        <w:pStyle w:val="Heading4"/>
        <w:numPr>
          <w:ilvl w:val="3"/>
          <w:numId w:val="1"/>
        </w:numPr>
        <w:rPr/>
      </w:pPr>
      <w:bookmarkStart w:id="559" w:name="__RefHeading___Toc5261582_581953129"/>
      <w:bookmarkStart w:id="560" w:name="_Toc219"/>
      <w:bookmarkEnd w:id="559"/>
      <w:r>
        <w:rPr>
          <w:rtl w:val="true"/>
        </w:rPr>
        <w:t>الف</w:t>
      </w:r>
      <w:r>
        <w:rPr>
          <w:rtl w:val="true"/>
        </w:rPr>
        <w:t xml:space="preserve">) </w:t>
      </w:r>
      <w:r>
        <w:rPr>
          <w:rtl w:val="true"/>
        </w:rPr>
        <w:t>مهاجرین</w:t>
      </w:r>
      <w:bookmarkEnd w:id="56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 عمدتاً از نظر وضع جغرافیایی و جمعیت، به دو دسته مهاجرپذیر و مهاجرفرست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مهاجرپذیر، کشورهایی هستند که دارای سرزمینی وسیعند و جمعیت آنها نسبت به وسعت‌شان کم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 کانادا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کشورها برای مهاجران، تسهیلات بیشتری فراهم می‌کنند و اعطای تابعیت‌شان نیز راحت‌تر از بقیه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کشورهای مهاجرفرست، دارای سرزمین کوچک و جمعیت زیاد هستند؛ مانند</w:t>
      </w:r>
      <w:r>
        <w:rPr>
          <w:rFonts w:eastAsia="IRNazanin" w:cs="IRNazanin"/>
          <w:color w:val="111111"/>
          <w:sz w:val="28"/>
          <w:szCs w:val="28"/>
          <w:rtl w:val="true"/>
          <w:lang w:bidi="fa-IR"/>
        </w:rPr>
        <w:t>:</w:t>
      </w:r>
      <w:bookmarkStart w:id="561" w:name="pg5888_36255"/>
    </w:p>
    <w:p>
      <w:pPr>
        <w:pStyle w:val="BookText"/>
        <w:rPr/>
      </w:pPr>
      <w:bookmarkEnd w:id="561"/>
      <w:r>
        <w:rPr>
          <w:rFonts w:ascii="IRNazanin" w:hAnsi="IRNazanin" w:eastAsia="IRNazanin"/>
          <w:color w:val="111111"/>
          <w:sz w:val="28"/>
          <w:sz w:val="28"/>
          <w:szCs w:val="28"/>
          <w:rtl w:val="true"/>
          <w:lang w:bidi="fa-IR"/>
        </w:rPr>
        <w:t>لبنان و 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افراد بخواهند در همان کشور بمانند و کار کنند، به اندازه کافی اشتغال و زمینه فعالیت وجود ندارد</w:t>
      </w:r>
      <w:r>
        <w:rPr>
          <w:rFonts w:eastAsia="IRNazanin" w:cs="IRNazanin"/>
          <w:color w:val="111111"/>
          <w:sz w:val="28"/>
          <w:szCs w:val="28"/>
          <w:rtl w:val="true"/>
          <w:lang w:bidi="fa-IR"/>
        </w:rPr>
        <w:t>.</w:t>
      </w:r>
    </w:p>
    <w:p>
      <w:pPr>
        <w:pStyle w:val="Heading4"/>
        <w:numPr>
          <w:ilvl w:val="3"/>
          <w:numId w:val="1"/>
        </w:numPr>
        <w:rPr/>
      </w:pPr>
      <w:bookmarkStart w:id="562" w:name="__RefHeading___Toc5261584_581953129"/>
      <w:bookmarkStart w:id="563" w:name="_Toc220"/>
      <w:bookmarkEnd w:id="562"/>
      <w:r>
        <w:rPr>
          <w:rtl w:val="true"/>
        </w:rPr>
        <w:t>ب</w:t>
      </w:r>
      <w:r>
        <w:rPr>
          <w:rtl w:val="true"/>
        </w:rPr>
        <w:t xml:space="preserve">) </w:t>
      </w:r>
      <w:r>
        <w:rPr>
          <w:rtl w:val="true"/>
        </w:rPr>
        <w:t>جهانگردان</w:t>
      </w:r>
      <w:bookmarkEnd w:id="563"/>
    </w:p>
    <w:p>
      <w:pPr>
        <w:pStyle w:val="BookText"/>
        <w:rPr/>
      </w:pPr>
      <w:r>
        <w:rPr>
          <w:rFonts w:ascii="IRNazanin" w:hAnsi="IRNazanin" w:eastAsia="IRNazanin"/>
          <w:color w:val="111111"/>
          <w:sz w:val="28"/>
          <w:sz w:val="28"/>
          <w:szCs w:val="28"/>
          <w:rtl w:val="true"/>
          <w:lang w:bidi="fa-IR"/>
        </w:rPr>
        <w:t>مدّت اقامت جهانگردان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کشورها برای کسب درآمد، تسهیلاتی برای جهانگردان فراهم می‌آورند</w:t>
      </w:r>
      <w:r>
        <w:rPr>
          <w:rFonts w:eastAsia="IRNazanin" w:cs="IRNazanin"/>
          <w:color w:val="111111"/>
          <w:sz w:val="28"/>
          <w:szCs w:val="28"/>
          <w:rtl w:val="true"/>
          <w:lang w:bidi="fa-IR"/>
        </w:rPr>
        <w:t>.</w:t>
      </w:r>
    </w:p>
    <w:p>
      <w:pPr>
        <w:pStyle w:val="Heading4"/>
        <w:numPr>
          <w:ilvl w:val="3"/>
          <w:numId w:val="1"/>
        </w:numPr>
        <w:rPr/>
      </w:pPr>
      <w:bookmarkStart w:id="564" w:name="__RefHeading___Toc5261586_581953129"/>
      <w:bookmarkStart w:id="565" w:name="_Toc221"/>
      <w:bookmarkEnd w:id="564"/>
      <w:r>
        <w:rPr>
          <w:rtl w:val="true"/>
        </w:rPr>
        <w:t>ج</w:t>
      </w:r>
      <w:r>
        <w:rPr>
          <w:rtl w:val="true"/>
        </w:rPr>
        <w:t xml:space="preserve">) </w:t>
      </w:r>
      <w:r>
        <w:rPr>
          <w:rtl w:val="true"/>
        </w:rPr>
        <w:t>دانشجویان</w:t>
      </w:r>
      <w:bookmarkEnd w:id="565"/>
    </w:p>
    <w:p>
      <w:pPr>
        <w:pStyle w:val="BookText"/>
        <w:rPr/>
      </w:pPr>
      <w:r>
        <w:rPr>
          <w:rFonts w:ascii="IRNazanin" w:hAnsi="IRNazanin" w:eastAsia="IRNazanin"/>
          <w:color w:val="111111"/>
          <w:sz w:val="28"/>
          <w:sz w:val="28"/>
          <w:szCs w:val="28"/>
          <w:rtl w:val="true"/>
          <w:lang w:bidi="fa-IR"/>
        </w:rPr>
        <w:t>معمولاً در فعالیت‌های فرهنگی و علمی، بین کشورها قراردادهای دو جانبه یا چند جانبه‌ای منعقد می‌شود که در آن، شرایط تحصیل یا فعالیت فرهنگی تعیین می‌گردد</w:t>
      </w:r>
      <w:r>
        <w:rPr>
          <w:rFonts w:eastAsia="IRNazanin" w:cs="IRNazanin"/>
          <w:color w:val="111111"/>
          <w:sz w:val="28"/>
          <w:szCs w:val="28"/>
          <w:rtl w:val="true"/>
          <w:lang w:bidi="fa-IR"/>
        </w:rPr>
        <w:t>.</w:t>
      </w:r>
    </w:p>
    <w:p>
      <w:pPr>
        <w:pStyle w:val="Heading4"/>
        <w:numPr>
          <w:ilvl w:val="3"/>
          <w:numId w:val="1"/>
        </w:numPr>
        <w:rPr/>
      </w:pPr>
      <w:bookmarkStart w:id="566" w:name="__RefHeading___Toc5261588_581953129"/>
      <w:bookmarkStart w:id="567" w:name="_Toc222"/>
      <w:bookmarkEnd w:id="566"/>
      <w:r>
        <w:rPr>
          <w:rtl w:val="true"/>
        </w:rPr>
        <w:t>د</w:t>
      </w:r>
      <w:r>
        <w:rPr>
          <w:rtl w:val="true"/>
        </w:rPr>
        <w:t xml:space="preserve">) </w:t>
      </w:r>
      <w:r>
        <w:rPr>
          <w:rtl w:val="true"/>
        </w:rPr>
        <w:t>بازرگانان</w:t>
      </w:r>
      <w:bookmarkEnd w:id="567"/>
    </w:p>
    <w:p>
      <w:pPr>
        <w:pStyle w:val="BookText"/>
        <w:rPr/>
      </w:pPr>
      <w:r>
        <w:rPr>
          <w:rFonts w:ascii="IRNazanin" w:hAnsi="IRNazanin" w:eastAsia="IRNazanin"/>
          <w:color w:val="111111"/>
          <w:sz w:val="28"/>
          <w:sz w:val="28"/>
          <w:szCs w:val="28"/>
          <w:rtl w:val="true"/>
          <w:lang w:bidi="fa-IR"/>
        </w:rPr>
        <w:t>ایشان برای مبادله کالا و کارهای تجاری به کشورهای دیگر سفر می‌کنند و ممکن است برای مدّتی کوتاه یا بلند در کشور دیگری ساکن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به‌وسیله قراردادها و عهدنامه‌ها، وضعیت و معافیت‌های ویژه‌ای برای بازرگانان به‌وجود می‌آورند</w:t>
      </w:r>
      <w:r>
        <w:rPr>
          <w:rFonts w:eastAsia="IRNazanin" w:cs="IRNazanin"/>
          <w:color w:val="111111"/>
          <w:sz w:val="28"/>
          <w:szCs w:val="28"/>
          <w:rtl w:val="true"/>
          <w:lang w:bidi="fa-IR"/>
        </w:rPr>
        <w:t>.</w:t>
      </w:r>
    </w:p>
    <w:p>
      <w:pPr>
        <w:pStyle w:val="Heading4"/>
        <w:numPr>
          <w:ilvl w:val="3"/>
          <w:numId w:val="1"/>
        </w:numPr>
        <w:rPr/>
      </w:pPr>
      <w:bookmarkStart w:id="568" w:name="__RefHeading___Toc5261590_581953129"/>
      <w:bookmarkStart w:id="569" w:name="_Toc223"/>
      <w:bookmarkEnd w:id="568"/>
      <w:r>
        <w:rPr>
          <w:rtl w:val="true"/>
        </w:rPr>
        <w:t>ه</w:t>
      </w:r>
      <w:r>
        <w:rPr>
          <w:rtl w:val="true"/>
        </w:rPr>
        <w:t xml:space="preserve">) </w:t>
      </w:r>
      <w:r>
        <w:rPr>
          <w:rtl w:val="true"/>
        </w:rPr>
        <w:t>کارگران</w:t>
      </w:r>
      <w:bookmarkEnd w:id="56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کشورها سعی می‌کنند فقط برای اتباع کشور خود امکان اشتغال و کار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اصل بر ممنوع بودن اشتغال اتباع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ممکن است برای اشتغال به کارهای خاصی به بیگانگان اجازه داده شود؛ برای نمونه، دولت فرانسه که در مورد فعالیت‌های کشاورزی از نیروی انسانی کافی برخوردار نیست، از کارگران کشاورز ایتالیایی یا اسپانیایی برای این</w:t>
      </w:r>
      <w:bookmarkStart w:id="570" w:name="pg5888_36256"/>
    </w:p>
    <w:p>
      <w:pPr>
        <w:pStyle w:val="BookText"/>
        <w:rPr/>
      </w:pPr>
      <w:bookmarkEnd w:id="570"/>
      <w:r>
        <w:rPr>
          <w:rFonts w:ascii="IRNazanin" w:hAnsi="IRNazanin" w:eastAsia="IRNazanin"/>
          <w:color w:val="111111"/>
          <w:sz w:val="28"/>
          <w:sz w:val="28"/>
          <w:szCs w:val="28"/>
          <w:rtl w:val="true"/>
          <w:lang w:bidi="fa-IR"/>
        </w:rPr>
        <w:t>منظور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آلمان که دارای صنعتی پیشرفته است و در بعضی بخش‌ها از نیروی انسانی کافی برخوردار نیست، از بیگانگان برای این‌چنین فعالیت‌هایی بهره می‌جوید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571" w:name="__RefHeading___Toc5261592_581953129"/>
      <w:bookmarkStart w:id="572" w:name="_Toc224"/>
      <w:bookmarkEnd w:id="571"/>
      <w:r>
        <w:rPr>
          <w:rtl w:val="true"/>
        </w:rPr>
        <w:t>و</w:t>
      </w:r>
      <w:r>
        <w:rPr>
          <w:rtl w:val="true"/>
        </w:rPr>
        <w:t xml:space="preserve">) </w:t>
      </w:r>
      <w:r>
        <w:rPr>
          <w:rtl w:val="true"/>
        </w:rPr>
        <w:t>افراد مقیم عادی</w:t>
      </w:r>
      <w:bookmarkEnd w:id="572"/>
    </w:p>
    <w:p>
      <w:pPr>
        <w:pStyle w:val="BookText"/>
        <w:rPr/>
      </w:pPr>
      <w:r>
        <w:rPr>
          <w:rFonts w:ascii="IRNazanin" w:hAnsi="IRNazanin" w:eastAsia="IRNazanin"/>
          <w:color w:val="111111"/>
          <w:sz w:val="28"/>
          <w:sz w:val="28"/>
          <w:szCs w:val="28"/>
          <w:rtl w:val="true"/>
          <w:lang w:bidi="fa-IR"/>
        </w:rPr>
        <w:t>برخی از بیگانگان، بدون کار یا شغل معین در کشوری مقیم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لحاظ مقررات، مانند جهانگردان هستند؛ ولی ازآنجاکه مدّت اقامت آنها نسبت به جهانگردان طولانی‌تر است، باید اجازه اقامت مخصوص بگیرند و از درآمد یا سرمایه کافی برای تأمین معاش برخوردار باشند</w:t>
      </w:r>
      <w:r>
        <w:rPr>
          <w:rFonts w:eastAsia="IRNazanin" w:cs="IRNazanin"/>
          <w:color w:val="111111"/>
          <w:sz w:val="28"/>
          <w:szCs w:val="28"/>
          <w:rtl w:val="true"/>
          <w:lang w:bidi="fa-IR"/>
        </w:rPr>
        <w:t>.</w:t>
      </w:r>
    </w:p>
    <w:p>
      <w:pPr>
        <w:pStyle w:val="Heading4"/>
        <w:numPr>
          <w:ilvl w:val="3"/>
          <w:numId w:val="1"/>
        </w:numPr>
        <w:rPr/>
      </w:pPr>
      <w:bookmarkStart w:id="573" w:name="__RefHeading___Toc5261594_581953129"/>
      <w:bookmarkStart w:id="574" w:name="_Toc225"/>
      <w:bookmarkEnd w:id="573"/>
      <w:r>
        <w:rPr>
          <w:rtl w:val="true"/>
        </w:rPr>
        <w:t>ز</w:t>
      </w:r>
      <w:r>
        <w:rPr>
          <w:rtl w:val="true"/>
        </w:rPr>
        <w:t xml:space="preserve">) </w:t>
      </w:r>
      <w:r>
        <w:rPr>
          <w:rtl w:val="true"/>
        </w:rPr>
        <w:t>مجرم فراری</w:t>
      </w:r>
      <w:bookmarkEnd w:id="574"/>
    </w:p>
    <w:p>
      <w:pPr>
        <w:pStyle w:val="BookText"/>
        <w:rPr/>
      </w:pPr>
      <w:r>
        <w:rPr>
          <w:rFonts w:ascii="IRNazanin" w:hAnsi="IRNazanin" w:eastAsia="IRNazanin"/>
          <w:color w:val="111111"/>
          <w:sz w:val="28"/>
          <w:sz w:val="28"/>
          <w:szCs w:val="28"/>
          <w:rtl w:val="true"/>
          <w:lang w:bidi="fa-IR"/>
        </w:rPr>
        <w:t>بیگانه مجرم، کسی است که در کشوری مرتکب جرمی شده و برای اینکه مجازات نشود به کشور دیگری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کشورها در مورد جرم سیاسی، حسابی جداگانه باز کرده‌اند و این حق را برای خود قائلند که از تحویل مجرم سیاسی خودداری ورزند؛ ولی درباره مجرمان و جنایتکاران فراری، معمولاً بر اساس آیین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استرداد 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می‌شود</w:t>
      </w:r>
      <w:r>
        <w:rPr>
          <w:rFonts w:eastAsia="IRNazanin" w:cs="IRNazanin"/>
          <w:color w:val="111111"/>
          <w:sz w:val="28"/>
          <w:szCs w:val="28"/>
          <w:rtl w:val="true"/>
          <w:lang w:bidi="fa-IR"/>
        </w:rPr>
        <w:t>.</w:t>
      </w:r>
    </w:p>
    <w:p>
      <w:pPr>
        <w:pStyle w:val="Heading4"/>
        <w:numPr>
          <w:ilvl w:val="3"/>
          <w:numId w:val="1"/>
        </w:numPr>
        <w:rPr/>
      </w:pPr>
      <w:bookmarkStart w:id="575" w:name="__RefHeading___Toc5261596_581953129"/>
      <w:bookmarkStart w:id="576" w:name="_Toc226"/>
      <w:bookmarkEnd w:id="575"/>
      <w:r>
        <w:rPr>
          <w:rtl w:val="true"/>
        </w:rPr>
        <w:t>ح</w:t>
      </w:r>
      <w:r>
        <w:rPr>
          <w:rtl w:val="true"/>
        </w:rPr>
        <w:t xml:space="preserve">) </w:t>
      </w:r>
      <w:r>
        <w:rPr>
          <w:rtl w:val="true"/>
        </w:rPr>
        <w:t>پناهنده</w:t>
      </w:r>
      <w:bookmarkEnd w:id="576"/>
    </w:p>
    <w:p>
      <w:pPr>
        <w:pStyle w:val="BookText"/>
        <w:rPr/>
      </w:pPr>
      <w:r>
        <w:rPr>
          <w:rFonts w:ascii="IRNazanin" w:hAnsi="IRNazanin" w:eastAsia="IRNazanin"/>
          <w:color w:val="111111"/>
          <w:sz w:val="28"/>
          <w:sz w:val="28"/>
          <w:szCs w:val="28"/>
          <w:rtl w:val="true"/>
          <w:lang w:bidi="fa-IR"/>
        </w:rPr>
        <w:t xml:space="preserve">دائرة‌المعارف حقوق بین‌الملل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این‌چنین تعریف کرده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علت ترس موجهی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داشته یا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به سبب نژاد، مذهب، ملیت، تابعیت، عضویت در دسته اجتماعی و بخصوص داشتن عقیده سیاسی تحت تعقیب و آزار قرار گیرد، از کشور متبوع خود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تابعیتی ندارد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قبلاً ساکن آن بوده، خارج شده باشد و به علت ترس</w:t>
      </w:r>
      <w:bookmarkStart w:id="577" w:name="pg5888_36257"/>
    </w:p>
    <w:p>
      <w:pPr>
        <w:pStyle w:val="BookText"/>
        <w:rPr/>
      </w:pPr>
      <w:bookmarkEnd w:id="577"/>
      <w:r>
        <w:rPr>
          <w:rFonts w:ascii="IRNazanin" w:hAnsi="IRNazanin" w:eastAsia="IRNazanin"/>
          <w:color w:val="111111"/>
          <w:sz w:val="28"/>
          <w:sz w:val="28"/>
          <w:szCs w:val="28"/>
          <w:rtl w:val="true"/>
          <w:lang w:bidi="fa-IR"/>
        </w:rPr>
        <w:t>فوق نتواند یا نخواهد که از حمایت کشور متبوع برخوردار شود و اگر فاقد تابعیت است، نخواهد به کشوری که قبلاً در آنجا ساکن بوده است، برگردد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578" w:name="__RefHeading___Toc5261598_581953129"/>
      <w:bookmarkStart w:id="579" w:name="_Toc227"/>
      <w:bookmarkEnd w:id="578"/>
      <w:r>
        <w:rPr>
          <w:rtl w:val="true"/>
        </w:rPr>
        <w:t xml:space="preserve">ط </w:t>
      </w:r>
      <w:r>
        <w:rPr>
          <w:rtl w:val="true"/>
        </w:rPr>
        <w:t xml:space="preserve">) </w:t>
      </w:r>
      <w:r>
        <w:rPr>
          <w:rtl w:val="true"/>
        </w:rPr>
        <w:t>مأمور</w:t>
      </w:r>
      <w:bookmarkEnd w:id="579"/>
    </w:p>
    <w:p>
      <w:pPr>
        <w:pStyle w:val="BookText"/>
        <w:rPr/>
      </w:pPr>
      <w:r>
        <w:rPr>
          <w:rFonts w:ascii="IRNazanin" w:hAnsi="IRNazanin" w:eastAsia="IRNazanin"/>
          <w:color w:val="111111"/>
          <w:sz w:val="28"/>
          <w:sz w:val="28"/>
          <w:szCs w:val="28"/>
          <w:rtl w:val="true"/>
          <w:lang w:bidi="fa-IR"/>
        </w:rPr>
        <w:t>بیگانه مأمور شخصی است که از طرف دولت متبوع خود برای انجام دادن مأموریت، به کشور دیگری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مأمور را می‌توان به دو دسته سیاسی و غیرسیاسی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سیاسی به کسی گفته می‌شود که در حرفه دیپلماسی است و شغل او اجرای اموری از سیاست خارجی کشور خود در کشور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مصونیت برخوردار است و نمی‌توان او را به هیچ عنوان توقیف یا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غیرسیاسی شخصی است که برای اجرای مأموریت غیرسیاسی، مانند امور اقتصادی و فرهنگی، از سوی دولت مورد تابعیت خود به کشور دیگری فرستاده شده است</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580" w:name="__RefHeading___Toc5261600_581953129"/>
      <w:bookmarkStart w:id="581" w:name="_Toc228"/>
      <w:bookmarkEnd w:id="580"/>
      <w:r>
        <w:rPr>
          <w:rtl w:val="true"/>
        </w:rPr>
        <w:t xml:space="preserve">ی </w:t>
      </w:r>
      <w:r>
        <w:rPr>
          <w:rtl w:val="true"/>
        </w:rPr>
        <w:t xml:space="preserve">) </w:t>
      </w:r>
      <w:r>
        <w:rPr>
          <w:rtl w:val="true"/>
        </w:rPr>
        <w:t>آوارگان</w:t>
      </w:r>
      <w:bookmarkEnd w:id="58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هستند که بر اثر جنگ یا حوادث طبیعی، مانند سیل و زلزله، به کشور دیگری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حفظ جان خویش ناگزیر از مهاجرت به کشور دیگری هستند؛ وگرنه در صورتی که امکان تداوم حیات انسانی و فعالیت عادی اجتماعی برای آنها فراهم باشد، کشورشان را ترک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آوارگان را می‌توان به دو دسته آوارگان جنگی و آوارگان بلایای طبیعی تقسیم کرد</w:t>
      </w:r>
      <w:r>
        <w:rPr>
          <w:rFonts w:eastAsia="IRNazanin" w:cs="IRNazanin"/>
          <w:color w:val="111111"/>
          <w:sz w:val="28"/>
          <w:szCs w:val="28"/>
          <w:rtl w:val="true"/>
          <w:lang w:bidi="fa-IR"/>
        </w:rPr>
        <w:t>.</w:t>
      </w:r>
      <w:r>
        <w:rPr>
          <w:rStyle w:val="FootnoteAnchor"/>
          <w:rtl w:val="true"/>
        </w:rPr>
        <w:footnoteReference w:id="323"/>
      </w:r>
      <w:bookmarkStart w:id="582" w:name="pg5888_36258"/>
    </w:p>
    <w:p>
      <w:pPr>
        <w:pStyle w:val="Heading4"/>
        <w:numPr>
          <w:ilvl w:val="3"/>
          <w:numId w:val="1"/>
        </w:numPr>
        <w:rPr/>
      </w:pPr>
      <w:bookmarkStart w:id="583" w:name="__RefHeading___Toc5261602_581953129"/>
      <w:bookmarkStart w:id="584" w:name="_Toc229"/>
      <w:bookmarkEnd w:id="582"/>
      <w:bookmarkEnd w:id="583"/>
      <w:r>
        <w:rPr>
          <w:rtl w:val="true"/>
        </w:rPr>
        <w:t>ک</w:t>
      </w:r>
      <w:r>
        <w:rPr>
          <w:rtl w:val="true"/>
        </w:rPr>
        <w:t xml:space="preserve">) </w:t>
      </w:r>
      <w:r>
        <w:rPr>
          <w:rtl w:val="true"/>
        </w:rPr>
        <w:t>خبرنگاران، عکاسان و دست اندرکاران مطبوعات</w:t>
      </w:r>
      <w:bookmarkEnd w:id="584"/>
    </w:p>
    <w:p>
      <w:pPr>
        <w:pStyle w:val="BookText"/>
        <w:rPr/>
      </w:pPr>
      <w:r>
        <w:rPr>
          <w:rFonts w:ascii="IRNazanin" w:hAnsi="IRNazanin" w:eastAsia="IRNazanin"/>
          <w:color w:val="111111"/>
          <w:sz w:val="28"/>
          <w:sz w:val="28"/>
          <w:szCs w:val="28"/>
          <w:rtl w:val="true"/>
          <w:lang w:bidi="fa-IR"/>
        </w:rPr>
        <w:t>این دسته از افراد به منظور فعالیت‌های خبرنگاری، عکاسی و یا مطبوعاتی در زمینه‌های متفاوت فرهنگی، سیاسی، اقتصادی و یا اجتماعی، با دریافت روادید مطبوعاتی یا خبرنگاری وارد کشور دیگری می‌شوند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585" w:name="__RefHeading___Toc5261604_581953129"/>
      <w:bookmarkStart w:id="586" w:name="_Toc230"/>
      <w:bookmarkEnd w:id="585"/>
      <w:r>
        <w:rPr>
          <w:rtl w:val="true"/>
        </w:rPr>
        <w:t>ل</w:t>
      </w:r>
      <w:r>
        <w:rPr>
          <w:rtl w:val="true"/>
        </w:rPr>
        <w:t xml:space="preserve">) </w:t>
      </w:r>
      <w:r>
        <w:rPr>
          <w:rtl w:val="true"/>
        </w:rPr>
        <w:t>جویندگان کار</w:t>
      </w:r>
      <w:bookmarkEnd w:id="586"/>
    </w:p>
    <w:p>
      <w:pPr>
        <w:pStyle w:val="BookText"/>
        <w:rPr/>
      </w:pPr>
      <w:r>
        <w:rPr>
          <w:rFonts w:ascii="IRNazanin" w:hAnsi="IRNazanin" w:eastAsia="IRNazanin"/>
          <w:color w:val="111111"/>
          <w:sz w:val="28"/>
          <w:sz w:val="28"/>
          <w:szCs w:val="28"/>
          <w:rtl w:val="true"/>
          <w:lang w:bidi="fa-IR"/>
        </w:rPr>
        <w:t>منظور از این بیگانگان، کسانی است که دارای تجربه یا تخصص در یک حرفه یا شغل معین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این گروه، شامل کارگران ساده‌ای باشد که به قصد امرار معاش به کشور بیگانه سفر کرده و در مقابل دریافت حقوق یا مزد اندک به کار مشغول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کشورها با در نظر گرفتن وضع اقتصادی خود به بیگانگان اجازه اشتغال در مشاغل مورد درخواست را می‌دهند</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587" w:name="__RefHeading___Toc5261606_581953129"/>
      <w:bookmarkStart w:id="588" w:name="_Toc231"/>
      <w:bookmarkEnd w:id="587"/>
      <w:r>
        <w:rPr/>
        <w:t>3</w:t>
      </w:r>
      <w:r>
        <w:rPr>
          <w:rtl w:val="true"/>
        </w:rPr>
        <w:t xml:space="preserve">- </w:t>
      </w:r>
      <w:r>
        <w:rPr>
          <w:rtl w:val="true"/>
        </w:rPr>
        <w:t>اصول و مبانی حقوق بیگانگان</w:t>
      </w:r>
      <w:bookmarkEnd w:id="588"/>
    </w:p>
    <w:p>
      <w:pPr>
        <w:pStyle w:val="Heading4"/>
        <w:numPr>
          <w:ilvl w:val="3"/>
          <w:numId w:val="1"/>
        </w:numPr>
        <w:rPr/>
      </w:pPr>
      <w:bookmarkStart w:id="589" w:name="__RefHeading___Toc5261608_581953129"/>
      <w:bookmarkStart w:id="590" w:name="_Toc232"/>
      <w:bookmarkEnd w:id="589"/>
      <w:r>
        <w:rPr>
          <w:rtl w:val="true"/>
        </w:rPr>
        <w:t>اشاره</w:t>
      </w:r>
      <w:bookmarkEnd w:id="590"/>
    </w:p>
    <w:p>
      <w:pPr>
        <w:pStyle w:val="BookText"/>
        <w:rPr/>
      </w:pPr>
      <w:r>
        <w:rPr>
          <w:rFonts w:ascii="IRNazanin" w:hAnsi="IRNazanin" w:eastAsia="IRNazanin"/>
          <w:color w:val="111111"/>
          <w:sz w:val="28"/>
          <w:sz w:val="28"/>
          <w:szCs w:val="28"/>
          <w:rtl w:val="true"/>
          <w:lang w:bidi="fa-IR"/>
        </w:rPr>
        <w:t>بیشتر صاحب‌نظران پذیرفته‌اند که بیگانگان باید از کمترین حقوق و آزادی‌ها بهره‌مند باشند؛ ولی در مورد مبنا و دلیل این امر اتفاق‌نظری وجود ندارد و هر کسی به اقتضای علایق و عقاید خویش، دیدگاه خاصی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مهم‌ترین دیدگاه‌ها دراین‌باره اشاره می‌شود</w:t>
      </w:r>
      <w:r>
        <w:rPr>
          <w:rFonts w:eastAsia="IRNazanin" w:cs="IRNazanin"/>
          <w:color w:val="111111"/>
          <w:sz w:val="28"/>
          <w:szCs w:val="28"/>
          <w:rtl w:val="true"/>
          <w:lang w:bidi="fa-IR"/>
        </w:rPr>
        <w:t>:</w:t>
      </w:r>
    </w:p>
    <w:p>
      <w:pPr>
        <w:pStyle w:val="Heading4"/>
        <w:numPr>
          <w:ilvl w:val="3"/>
          <w:numId w:val="1"/>
        </w:numPr>
        <w:rPr/>
      </w:pPr>
      <w:bookmarkStart w:id="591" w:name="__RefHeading___Toc5261610_581953129"/>
      <w:bookmarkStart w:id="592" w:name="_Toc233"/>
      <w:bookmarkEnd w:id="591"/>
      <w:r>
        <w:rPr>
          <w:rtl w:val="true"/>
        </w:rPr>
        <w:t>الف</w:t>
      </w:r>
      <w:r>
        <w:rPr>
          <w:rtl w:val="true"/>
        </w:rPr>
        <w:t xml:space="preserve">) </w:t>
      </w:r>
      <w:r>
        <w:rPr>
          <w:rtl w:val="true"/>
        </w:rPr>
        <w:t>اصل شناسایی حداقل حقوق برای بیگانگان</w:t>
      </w:r>
      <w:bookmarkEnd w:id="59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برای ورود بیگانگان به قلمرو خود، شرایطی را در نظر می‌گیرد؛ ولی</w:t>
      </w:r>
    </w:p>
    <w:p>
      <w:pPr>
        <w:pStyle w:val="BookText"/>
        <w:rPr/>
      </w:pPr>
      <w:r>
        <w:rPr>
          <w:rFonts w:ascii="IRNazanin" w:hAnsi="IRNazanin" w:eastAsia="IRNazanin"/>
          <w:color w:val="111111"/>
          <w:sz w:val="28"/>
          <w:sz w:val="28"/>
          <w:szCs w:val="28"/>
          <w:rtl w:val="true"/>
          <w:lang w:bidi="fa-IR"/>
        </w:rPr>
        <w:t>به محض اینکه با احراز این شرایط، فرد بیگانه را به کشور خود پذیرفت، باید حداقل حقوقی را برای او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این حقوق، همگام با پیشرفت تمدن کشورها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مشکل می‌توان برای آن ملاک مشخصی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حقوق‌دانان سعی کرده‌اند میزان آن را در ضمن فرمولی بیان کنند؛ از جمله وردروس</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حقوق‌دانان اتریشی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پنج ماده‌ای زیر را پیشنهاد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 باید حقوق خصوصی را که برای ادامه زندگی هر فردی لازم وضروری است، به اتباع بیگانه اعطا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 باید حقوق کسب‌شده‌ای را که بیگانگان طبق قوانین موضوعه کشور خود یا کشور دیگری به دست آورده‌اند، معتبر و محترم بشمارند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 باید حقوقی را که لازمه احترام به شخصیت افراد است، از جمله آزادی شخصی، احترام، مسکن و آزادی رفت‌وآمد، برای بیگانگان معتبر بشناسند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اتباع بیگانه باید حق مراجعه به دادگاه‌های کشوری را که در آنجا سکونت دارند،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حراست بیگانگان از کارهایی که زیان مالی و جانی برای آنها به دنبال دارد، به عهده دولتی است که در خاک آن سکونت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از لحاظ نظری، هر دولتی حداقل حقوقی را برای بیانگان قائل است که میزان آن به طرز فکر دولت‌ها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دو نوع اندیشه وجود دارد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تفکّر فلسفی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نوع تفکر، بیگانگان و اتباع داخلی،</w:t>
      </w:r>
      <w:bookmarkStart w:id="593" w:name="pg5888_36260"/>
    </w:p>
    <w:p>
      <w:pPr>
        <w:pStyle w:val="BookText"/>
        <w:rPr/>
      </w:pPr>
      <w:bookmarkEnd w:id="593"/>
      <w:r>
        <w:rPr>
          <w:rFonts w:ascii="IRNazanin" w:hAnsi="IRNazanin" w:eastAsia="IRNazanin"/>
          <w:color w:val="111111"/>
          <w:sz w:val="28"/>
          <w:sz w:val="28"/>
          <w:szCs w:val="28"/>
          <w:rtl w:val="true"/>
          <w:lang w:bidi="fa-IR"/>
        </w:rPr>
        <w:t>از حقوق یکسانی برخوردارند و از نظر حقوق انسانی میان انسان‌ها تفاوتی وجود ندارد در نتیجه، نباید هیچ تبعیضی میان آنها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سوارز</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حقوق‌دان اسپانیایی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انسانی بیگانه، صرف‌نظر از تابعیت او ایجاب می‌کند که در خارجه، از مزایای حقوقی که لازمه زندگی بشر است، استفاده کند و چنانچه دولتی بیگانه‌ای را که در خاک آن سکنی دارد از این مزایا محروم کند، بی‌گمان برخلاف اخلاق رفتار کرده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طرز تفکّر سیاسی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تفکر، منافع و مصالح دولت به‌طور خاص و جامعه به‌طور عام، بر منافع و مصالح افراد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دولت‌ها باید با ملاحظه مسائلی نظیر میزان جمعیت، آسایش، امنیت ملّی و اوضاع سیاسی، اجتماعی، اقتصادی و فرهنگی خود، مقررات منصفانه‌ای را درباره بیگانگان تنظیم کنند و حداقل حقوق متناسب با وضعیت آنها را تأمین و تضمین کنند</w:t>
      </w:r>
      <w:r>
        <w:rPr>
          <w:rFonts w:eastAsia="IRNazanin" w:cs="IRNazanin"/>
          <w:color w:val="111111"/>
          <w:sz w:val="28"/>
          <w:szCs w:val="28"/>
          <w:rtl w:val="true"/>
          <w:lang w:bidi="fa-IR"/>
        </w:rPr>
        <w:t>.</w:t>
      </w:r>
    </w:p>
    <w:p>
      <w:pPr>
        <w:pStyle w:val="Heading4"/>
        <w:numPr>
          <w:ilvl w:val="3"/>
          <w:numId w:val="1"/>
        </w:numPr>
        <w:rPr/>
      </w:pPr>
      <w:bookmarkStart w:id="594" w:name="__RefHeading___Toc5261612_581953129"/>
      <w:bookmarkStart w:id="595" w:name="_Toc234"/>
      <w:bookmarkEnd w:id="594"/>
      <w:r>
        <w:rPr>
          <w:rtl w:val="true"/>
        </w:rPr>
        <w:t>ب</w:t>
      </w:r>
      <w:r>
        <w:rPr>
          <w:rtl w:val="true"/>
        </w:rPr>
        <w:t xml:space="preserve">) </w:t>
      </w:r>
      <w:r>
        <w:rPr>
          <w:rtl w:val="true"/>
        </w:rPr>
        <w:t>اصل رفتار متقابل بین دولت ها</w:t>
      </w:r>
      <w:bookmarkEnd w:id="595"/>
    </w:p>
    <w:p>
      <w:pPr>
        <w:pStyle w:val="BookText"/>
        <w:rPr/>
      </w:pPr>
      <w:r>
        <w:rPr>
          <w:rFonts w:ascii="IRNazanin" w:hAnsi="IRNazanin" w:eastAsia="IRNazanin"/>
          <w:color w:val="111111"/>
          <w:sz w:val="28"/>
          <w:sz w:val="28"/>
          <w:szCs w:val="28"/>
          <w:rtl w:val="true"/>
          <w:lang w:bidi="fa-IR"/>
        </w:rPr>
        <w:t>گاهی ممکن است برخی از کشورها بهره‌مندی اتباع بیگانه از حق خاصی را در مقابل بهره‌مندی اتباع خود از همان حق در کشور مورد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متقابل</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رفتار متقابل نمی‌تواند برای دولت، یک تکلیف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بدین‌معنا که یک دولت وظیفه ندارد تا هرگونه حقوقی را که دولت دیگری برای اتباع او می‌شناسد، برای اتباع آن دولت در خاک خود قائل شود؛ زیرا</w:t>
      </w:r>
    </w:p>
    <w:p>
      <w:pPr>
        <w:pStyle w:val="BookText"/>
        <w:rPr/>
      </w:pPr>
      <w:r>
        <w:rPr>
          <w:rFonts w:ascii="IRNazanin" w:hAnsi="IRNazanin" w:eastAsia="IRNazanin"/>
          <w:color w:val="111111"/>
          <w:sz w:val="28"/>
          <w:sz w:val="28"/>
          <w:szCs w:val="28"/>
          <w:rtl w:val="true"/>
          <w:lang w:bidi="fa-IR"/>
        </w:rPr>
        <w:t>اصل رفتار متقابل به هیچ عنوان ایجاد حق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این اصل در حقیقت، شرط وجود حق است، نه منشأ و ایجادکننده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رفتار متقابل ممکن است به‌صورتِ‌های زیر جلوه‌گر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متقابل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متقابل سیاسی با بستن یک معاهده و قرارداد سیاسی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اتباع هریک از دو کشور طرف معاهده در کشور دیگر، از حقوقی که در معاهده آمده است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ممکن است در سطوح مختلف، معاهده‌های دو جانبه یا معاهده‌ها منطقه‌ای و بین‌المللی منعقد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متقابل قانون‌گذاری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به انعقاد معاهده سیاسی نیازی نیست؛ بلکه قانون‌گذار هر کشوری بهره‌مندی از حقوقی معین را برای اتباع بیگانه، به شناختن همان حقوق در قانون کشور اتباع بیگانه مشروط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از دوام و استمرار بیشتری برخوردار است؛ برای نمونه، قانون‌گذار ایرانی در بند سوّم ماده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 ایران به اسناد تنظیم شده در کشورهای خارجه، همان اعتباری را خواهند داد که اسناد مطابق قوانین کشوری که در آنجا تنظیم شده، به موجب قوانین خود یا عهود، اسناد تنظیم شده در ایران را نیز معتبر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ماده، قانون‌گذار ایرانی هر دو صورت رفتار متقابل سیاسی و قانونی را مورد ملاحظه قرار داده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متقابل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عرف، عادت و رویه قضایی یا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خارجه به موجب عرف، عادت و رویه قضایی یک کشور، در صورتی از بعضی حقوق برخوردار می‌شوند که در کشور خارجی نیز اتباع این کشور عملاً برابر عرف، عادت و رویه قضایی، از همان حقوق برخوردار باشند</w:t>
      </w:r>
      <w:r>
        <w:rPr>
          <w:rFonts w:eastAsia="IRNazanin" w:cs="IRNazanin"/>
          <w:color w:val="111111"/>
          <w:sz w:val="28"/>
          <w:szCs w:val="28"/>
          <w:rtl w:val="true"/>
          <w:lang w:bidi="fa-IR"/>
        </w:rPr>
        <w:t>.</w:t>
      </w:r>
      <w:bookmarkStart w:id="596" w:name="pg5888_36262"/>
    </w:p>
    <w:p>
      <w:pPr>
        <w:pStyle w:val="BookText"/>
        <w:rPr/>
      </w:pPr>
      <w:bookmarkEnd w:id="596"/>
      <w:r>
        <w:rPr>
          <w:rFonts w:ascii="IRNazanin" w:hAnsi="IRNazanin" w:eastAsia="IRNazanin"/>
          <w:color w:val="111111"/>
          <w:sz w:val="28"/>
          <w:sz w:val="28"/>
          <w:szCs w:val="28"/>
          <w:rtl w:val="true"/>
          <w:lang w:bidi="fa-IR"/>
        </w:rPr>
        <w:t>رفتار متقابل بر اساس شرط دولت کاملة‌الوداد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دولتی در برابر دولت هم‌پیمان دیگر تعهد کند که بیشترین حقوقی را که آن دولت در موردی معین برای اتباع دولت‌های سوّم، از پیش شناخته یا پس از آن خواهد شناخت، برای اتباع آن دولت متعاهد نیز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دولت کاملة‌الوداد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بدین‌صورت که وقتی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معاهده‌ای منعقد می‌کند، در آن قید می‌شود که چنانچه در هریک از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معاهداتی برای اتباع دولت سوّم، حقوقی بیش از میزان مقرر در این معاهده پیش‌بینی شده باشد، اتباع دولت‌های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یکدیگر، از همان حقوقی که برای سایر بیگانگان در نظر گرفته شده است، بهره‌مند خواهند شد</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597" w:name="__RefHeading___Toc5261614_581953129"/>
      <w:bookmarkStart w:id="598" w:name="_Toc235"/>
      <w:bookmarkEnd w:id="597"/>
      <w:r>
        <w:rPr>
          <w:rtl w:val="true"/>
        </w:rPr>
        <w:t>ج</w:t>
      </w:r>
      <w:r>
        <w:rPr>
          <w:rtl w:val="true"/>
        </w:rPr>
        <w:t xml:space="preserve">) </w:t>
      </w:r>
      <w:r>
        <w:rPr>
          <w:rtl w:val="true"/>
        </w:rPr>
        <w:t>اصل آزادی ورود، عبور و اقامت بیگانگان</w:t>
      </w:r>
      <w:bookmarkEnd w:id="59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اصل، دولت‌ها نباید در این مورد هیچ محدودیتی برای افراد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دو دیدگاه دراین‌باره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پذیرش بیگانه و محدودیت آن</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آنچه در عمل مشاهده می‌شود پذیرش دیدگاه دوّم است؛ یعنی کشورها برای حفظ مصالح اتباع و مقتضیات نظام سیاسی، اقتصادی، اجتماعی و امنیتی خود، شرایط ویژه و یا محدودیت‌هایی را برای ورود و خروج و اقامت بیگانگان به اجرا می‌گذارند؛ برای نمونه، کشورها برای کنترل و نظارت در رفت‌وآمد بیگانگان، افزون بر گذرنامه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وسیله تشخیص هویت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روادید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اجازه ورود به کشور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می‌دانند؛ همچنین</w:t>
      </w:r>
      <w:bookmarkStart w:id="599" w:name="pg5888_36263"/>
    </w:p>
    <w:p>
      <w:pPr>
        <w:pStyle w:val="BookText"/>
        <w:rPr/>
      </w:pPr>
      <w:bookmarkEnd w:id="599"/>
      <w:r>
        <w:rPr>
          <w:rFonts w:ascii="IRNazanin" w:hAnsi="IRNazanin" w:eastAsia="IRNazanin"/>
          <w:color w:val="111111"/>
          <w:sz w:val="28"/>
          <w:sz w:val="28"/>
          <w:szCs w:val="28"/>
          <w:rtl w:val="true"/>
          <w:lang w:bidi="fa-IR"/>
        </w:rPr>
        <w:t>در صورتی که حضور بیگانه‌ای را در کشور خود موجب اختلال در نظم عمومی تشخیص دهند، او را اخراج می‌کنند و در این مورد به ارائه دلیل نیازی ندارند؛ مگر آنکه دعوایی دراین‌باره در یکی از مراجع بین‌المللی طرح شود که دراین‌صورت، باید دلایل کافی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موجب محکومیت دولت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اخراج، هرگاه بیگانه‌ای در کشور دیگری مرتکب جرم یا جنایتی شود، در صورت تقاضای آن کشور و وجود معاهده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استرداد مجرمان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مجرم یادشده به کشور محل جرم بازگردانده می‌شود</w:t>
      </w:r>
      <w:r>
        <w:rPr>
          <w:rFonts w:eastAsia="IRNazanin" w:cs="IRNazanin"/>
          <w:color w:val="111111"/>
          <w:sz w:val="28"/>
          <w:szCs w:val="28"/>
          <w:rtl w:val="true"/>
          <w:lang w:bidi="fa-IR"/>
        </w:rPr>
        <w:t>.</w:t>
      </w:r>
    </w:p>
    <w:p>
      <w:pPr>
        <w:pStyle w:val="Heading4"/>
        <w:numPr>
          <w:ilvl w:val="3"/>
          <w:numId w:val="1"/>
        </w:numPr>
        <w:rPr/>
      </w:pPr>
      <w:bookmarkStart w:id="600" w:name="__RefHeading___Toc5261616_581953129"/>
      <w:bookmarkStart w:id="601" w:name="_Toc236"/>
      <w:bookmarkEnd w:id="600"/>
      <w:r>
        <w:rPr>
          <w:rtl w:val="true"/>
        </w:rPr>
        <w:t>د</w:t>
      </w:r>
      <w:r>
        <w:rPr>
          <w:rtl w:val="true"/>
        </w:rPr>
        <w:t xml:space="preserve">) </w:t>
      </w:r>
      <w:r>
        <w:rPr>
          <w:rtl w:val="true"/>
        </w:rPr>
        <w:t>اصل قوانین داخلی</w:t>
      </w:r>
      <w:bookmarkEnd w:id="601"/>
    </w:p>
    <w:p>
      <w:pPr>
        <w:pStyle w:val="BookText"/>
        <w:rPr/>
      </w:pPr>
      <w:r>
        <w:rPr>
          <w:rFonts w:ascii="IRNazanin" w:hAnsi="IRNazanin" w:eastAsia="IRNazanin"/>
          <w:color w:val="111111"/>
          <w:sz w:val="28"/>
          <w:sz w:val="28"/>
          <w:szCs w:val="28"/>
          <w:rtl w:val="true"/>
          <w:lang w:bidi="fa-IR"/>
        </w:rPr>
        <w:t>مبنای دیگری برای شناخت حقوق بیگانگان وجود دارد و آن قوانین داخلی کشور است که به‌طور رسمی و قطعی، اصول، قواعد و قوانین مهمی را پیرامون حقوق بیگانگان وضع و تدوین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نظام‌های حقوقی، اصل بر آن است که بیگانگان از همان حقوق مدنی و تجاری که اتباع دولت‌های میزبان برخوردارند، بهره‌مند می‌شوند؛ مگر آن دسته از حقوقی که به‌طور انحصاری برای اتباع مزبور وضع شده و قابل سرایت به بیگانگان نباشد؛ یا آن دسته از حقوقی که به‌طور مشخّص و صریح از اتباع بیگانه سلب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پیرامون وضع حقوقی اتباع خارجه، افزون بر اصولی که در قانون اساسی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مهم‌ترین قوانین و مقررات به شرح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هفتم قانون مدنی ایران</w:t>
      </w:r>
      <w:r>
        <w:rPr>
          <w:rFonts w:eastAsia="IRNazanin" w:cs="IRNazanin"/>
          <w:color w:val="111111"/>
          <w:sz w:val="28"/>
          <w:szCs w:val="28"/>
          <w:rtl w:val="true"/>
          <w:lang w:bidi="fa-IR"/>
        </w:rPr>
        <w:t>:</w:t>
      </w:r>
      <w:bookmarkStart w:id="602" w:name="pg5888_36264"/>
    </w:p>
    <w:p>
      <w:pPr>
        <w:pStyle w:val="BookText"/>
        <w:rPr/>
      </w:pPr>
      <w:bookmarkEnd w:id="602"/>
      <w:r>
        <w:rPr>
          <w:rFonts w:ascii="IRNazanin" w:hAnsi="IRNazanin" w:eastAsia="IRNazanin"/>
          <w:color w:val="111111"/>
          <w:sz w:val="28"/>
          <w:sz w:val="28"/>
          <w:szCs w:val="28"/>
          <w:rtl w:val="true"/>
          <w:lang w:bidi="fa-IR"/>
        </w:rPr>
        <w:t>اتباع خارجه مقیم در خاک ایران از حیث مسائل مربوط به احوال شخصیه و اهلیت خود و همچنین از حیث حقوق ارثیه در حدود معاهدات، مطیع قوانین و مقررات دولت متبوع خود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در موارد ذیل، اتباع خارجه نیز از حقوق مدنی متمتع خواهند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حقوقی که قانون، آن را صراحتاً منحصر به اتباع ایران کرده و یا آن را صراحتاً از اتباع خارجه سلب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مربوط به احوال شخصی که قانون دولت متبوع تبعه خارجه، آن را قبول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حقوق مخصوصه که صرفاً از نقطه‌نظر جامعه ایرانی ایجاد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مدنی پیرامون دریافت تأمین خسارت و هزینه‌های محاکمه از اتباع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نوزدهم اردیبهشت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پیرامون ورود، اقامت و خروج اتباع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مربوط به دارایی‌های غیرمنقول اتباع بیگانه، تصویب شده در شانزدهم خرداد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تصویب شده در سیزدهم اردیبهشت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ش مربوط به تابعیت شرکت‌ها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مربوط به ترکه اتباع بیگانه، تصویب شده در بیستم اردیبهشت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جلب و حمایت سرمایه‌های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مالکیت اتباع بیگانه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آیین‌نامه اشتغال اتباع بیگانه</w:t>
      </w:r>
      <w:r>
        <w:rPr>
          <w:rFonts w:eastAsia="IRNazanin" w:cs="IRNazanin"/>
          <w:color w:val="111111"/>
          <w:sz w:val="28"/>
          <w:szCs w:val="28"/>
          <w:rtl w:val="true"/>
          <w:lang w:bidi="fa-IR"/>
        </w:rPr>
        <w:t>.</w:t>
      </w:r>
    </w:p>
    <w:p>
      <w:pPr>
        <w:pStyle w:val="Heading3"/>
        <w:numPr>
          <w:ilvl w:val="2"/>
          <w:numId w:val="1"/>
        </w:numPr>
        <w:rPr/>
      </w:pPr>
      <w:bookmarkStart w:id="603" w:name="__RefHeading___Toc5261618_581953129"/>
      <w:bookmarkStart w:id="604" w:name="_Toc237"/>
      <w:bookmarkEnd w:id="603"/>
      <w:r>
        <w:rPr/>
        <w:t>4</w:t>
      </w:r>
      <w:r>
        <w:rPr>
          <w:rtl w:val="true"/>
        </w:rPr>
        <w:t xml:space="preserve">- </w:t>
      </w:r>
      <w:r>
        <w:rPr>
          <w:rtl w:val="true"/>
        </w:rPr>
        <w:t>وضعیت ورود، خروج و اقامت بیگانه در قوانین ایران</w:t>
      </w:r>
      <w:bookmarkEnd w:id="604"/>
    </w:p>
    <w:p>
      <w:pPr>
        <w:pStyle w:val="Heading4"/>
        <w:numPr>
          <w:ilvl w:val="3"/>
          <w:numId w:val="1"/>
        </w:numPr>
        <w:rPr/>
      </w:pPr>
      <w:bookmarkStart w:id="605" w:name="__RefHeading___Toc5261620_581953129"/>
      <w:bookmarkStart w:id="606" w:name="_Toc238"/>
      <w:bookmarkEnd w:id="605"/>
      <w:r>
        <w:rPr>
          <w:rtl w:val="true"/>
        </w:rPr>
        <w:t>اشاره</w:t>
      </w:r>
      <w:bookmarkEnd w:id="60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بررسی قوانین و مقررات حقوقی بیگانگان از نگاه شرایط ورود،</w:t>
      </w:r>
      <w:bookmarkStart w:id="607" w:name="pg5888_36265"/>
    </w:p>
    <w:p>
      <w:pPr>
        <w:pStyle w:val="BookText"/>
        <w:rPr/>
      </w:pPr>
      <w:bookmarkEnd w:id="607"/>
      <w:r>
        <w:rPr>
          <w:rFonts w:ascii="IRNazanin" w:hAnsi="IRNazanin" w:eastAsia="IRNazanin"/>
          <w:color w:val="111111"/>
          <w:sz w:val="28"/>
          <w:sz w:val="28"/>
          <w:szCs w:val="28"/>
          <w:rtl w:val="true"/>
          <w:lang w:bidi="fa-IR"/>
        </w:rPr>
        <w:t>خروج و اقامت آنان که در قانون اساسی،</w:t>
      </w:r>
      <w:r>
        <w:rPr>
          <w:rStyle w:val="FootnoteAnchor"/>
          <w:rtl w:val="true"/>
        </w:rPr>
        <w:footnoteReference w:id="333"/>
      </w:r>
      <w:r>
        <w:rPr>
          <w:rFonts w:ascii="IRNazanin" w:hAnsi="IRNazanin" w:eastAsia="IRNazanin"/>
          <w:color w:val="111111"/>
          <w:sz w:val="28"/>
          <w:sz w:val="28"/>
          <w:szCs w:val="28"/>
          <w:rtl w:val="true"/>
          <w:lang w:bidi="fa-IR"/>
        </w:rPr>
        <w:t>قانون مدنی،</w:t>
      </w:r>
      <w:r>
        <w:rPr>
          <w:rStyle w:val="FootnoteAnchor"/>
          <w:rtl w:val="true"/>
        </w:rPr>
        <w:footnoteReference w:id="334"/>
      </w:r>
      <w:r>
        <w:rPr>
          <w:rFonts w:ascii="IRNazanin" w:hAnsi="IRNazanin" w:eastAsia="IRNazanin"/>
          <w:color w:val="111111"/>
          <w:sz w:val="28"/>
          <w:sz w:val="28"/>
          <w:szCs w:val="28"/>
          <w:rtl w:val="true"/>
          <w:lang w:bidi="fa-IR"/>
        </w:rPr>
        <w:t>قانون آیین دادرسی مدنی</w:t>
      </w:r>
      <w:r>
        <w:rPr>
          <w:rStyle w:val="FootnoteAnchor"/>
          <w:rtl w:val="true"/>
        </w:rPr>
        <w:footnoteReference w:id="335"/>
      </w:r>
      <w:r>
        <w:rPr>
          <w:rFonts w:ascii="IRNazanin" w:hAnsi="IRNazanin" w:eastAsia="IRNazanin"/>
          <w:color w:val="111111"/>
          <w:sz w:val="28"/>
          <w:sz w:val="28"/>
          <w:szCs w:val="28"/>
          <w:rtl w:val="true"/>
          <w:lang w:bidi="fa-IR"/>
        </w:rPr>
        <w:t>و یا معاهده‌ها و قراردادهای دو جانبه آمده است، می‌پردازیم</w:t>
      </w:r>
      <w:r>
        <w:rPr>
          <w:rFonts w:eastAsia="IRNazanin" w:cs="IRNazanin"/>
          <w:color w:val="111111"/>
          <w:sz w:val="28"/>
          <w:szCs w:val="28"/>
          <w:rtl w:val="true"/>
          <w:lang w:bidi="fa-IR"/>
        </w:rPr>
        <w:t>:</w:t>
      </w:r>
    </w:p>
    <w:p>
      <w:pPr>
        <w:pStyle w:val="Heading4"/>
        <w:numPr>
          <w:ilvl w:val="3"/>
          <w:numId w:val="1"/>
        </w:numPr>
        <w:rPr/>
      </w:pPr>
      <w:bookmarkStart w:id="608" w:name="__RefHeading___Toc5261622_581953129"/>
      <w:bookmarkStart w:id="609" w:name="_Toc239"/>
      <w:bookmarkEnd w:id="608"/>
      <w:r>
        <w:rPr>
          <w:rtl w:val="true"/>
        </w:rPr>
        <w:t>الف</w:t>
      </w:r>
      <w:r>
        <w:rPr>
          <w:rtl w:val="true"/>
        </w:rPr>
        <w:t xml:space="preserve">) </w:t>
      </w:r>
      <w:r>
        <w:rPr>
          <w:rtl w:val="true"/>
        </w:rPr>
        <w:t>وضعیت ورود اتباع بیگانه</w:t>
      </w:r>
      <w:bookmarkEnd w:id="609"/>
    </w:p>
    <w:p>
      <w:pPr>
        <w:pStyle w:val="Heading5"/>
        <w:numPr>
          <w:ilvl w:val="4"/>
          <w:numId w:val="1"/>
        </w:numPr>
        <w:rPr/>
      </w:pPr>
      <w:bookmarkStart w:id="610" w:name="__RefHeading___Toc5261624_581953129"/>
      <w:bookmarkStart w:id="611" w:name="_Toc240"/>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به‌طور معمول، کشورها برای ورود یا عبور بیگانگان از خاک خود، آزادی با قید و شرطی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ورود یا خروج اتباع بیگانه در یک کشور باید با دریافت گذرنامه یا پاسپورت</w:t>
      </w:r>
      <w:r>
        <w:rPr>
          <w:rStyle w:val="FootnoteAnchor"/>
          <w:rtl w:val="true"/>
        </w:rPr>
        <w:footnoteReference w:id="336"/>
      </w:r>
      <w:r>
        <w:rPr>
          <w:rFonts w:ascii="IRNazanin" w:hAnsi="IRNazanin" w:eastAsia="IRNazanin"/>
          <w:color w:val="111111"/>
          <w:sz w:val="28"/>
          <w:sz w:val="28"/>
          <w:szCs w:val="28"/>
          <w:rtl w:val="true"/>
          <w:lang w:bidi="fa-IR"/>
        </w:rPr>
        <w:t>و نیز روادید</w:t>
      </w:r>
      <w:r>
        <w:rPr>
          <w:rStyle w:val="FootnoteAnchor"/>
          <w:rtl w:val="true"/>
        </w:rPr>
        <w:footnoteReference w:id="337"/>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سندی است که از سوی مأموران صلاحیت‌دار دولت یادشده در این قانون، برای مسافرت اتباع ایران به خارج و یا اقامت در خارج و یا مسافرت از خارج به ایران داده می‌شود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گذرنامه مهم‌ترین سند برای رفت‌وآمد بین کشورهاست؛ به‌طوری‌که بدون آن نمی‌توان از کشوری خارج و یا به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برای متخلفان مجازات‌هایی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گذرنامه دارای انواعی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گذرنامه سیاسی</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این نوع گذرنامه را وزارت امور خارجه به کسانی می‌دهد که در کشور خود دارای مشاغل سیاسی بوده و مسافرت آنان به کشورهای دیگر برای انجام مأموریت‌های سیاسی از سوی دولت متبوع خود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فرستاده، رایزن، کاردار، دبیر اول، دبیر دوم، دبیر سوم، وابسته، عهده‌دار مأموریت</w:t>
      </w:r>
    </w:p>
    <w:p>
      <w:pPr>
        <w:pStyle w:val="BookText"/>
        <w:rPr/>
      </w:pPr>
      <w:r>
        <w:rPr>
          <w:rFonts w:ascii="IRNazanin" w:hAnsi="IRNazanin" w:eastAsia="IRNazanin"/>
          <w:color w:val="111111"/>
          <w:sz w:val="28"/>
          <w:sz w:val="28"/>
          <w:szCs w:val="28"/>
          <w:rtl w:val="true"/>
          <w:lang w:bidi="fa-IR"/>
        </w:rPr>
        <w:t>و پیک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گذرنامه از نظر رنگ با گذرنامه‌های دیگر متفاوت بوده و دارنده آن از مصونیت سیاسی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 خدمت</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این نوع گذرنامه را نیز وزارت امور خارجه به اشخاصی می‌دهد که بیشتر به‌صورتِ کارمند اداری، کارشناس، دارندگان بورسیه‌های تحصیلی و تحقیقاتی و متخصصان و نمایندگان اقتصادی، در مأموریت‌های اداری برای دولت متبوع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اعتبار این گذرنامه یک‌سال و رنگ آنکه در حال حاضر سورمه‌ای است، متفاوت با دیگر گذرنامه‌هاست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 عادی</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این نوع گذرنامه را اداره کلّ گذرنامه وابسته به نیروی انتظامی جمهوری اسلامی و اداره‌های صدور گذرنامه نواحی انتظامی در داخل کشور و نیز مأموران کنسولی شاغل در سفارتخانه‌ها در خارج کشور، برای همه اشخاص عادی که از نظر قانون، ممنوع‌الخروج نباشند،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قانون جدید گذرنامه، مصوّب </w:t>
      </w:r>
      <w:r>
        <w:rPr>
          <w:rFonts w:eastAsia="IRNazanin" w:cs="IRNazanin"/>
          <w:color w:val="111111"/>
          <w:sz w:val="28"/>
          <w:szCs w:val="28"/>
          <w:lang w:bidi="fa-IR"/>
        </w:rPr>
        <w:t>1362/3/31</w:t>
      </w:r>
      <w:r>
        <w:rPr>
          <w:rFonts w:ascii="IRNazanin" w:hAnsi="IRNazanin" w:eastAsia="IRNazanin"/>
          <w:color w:val="111111"/>
          <w:sz w:val="28"/>
          <w:sz w:val="28"/>
          <w:szCs w:val="28"/>
          <w:rtl w:val="true"/>
          <w:lang w:bidi="fa-IR"/>
        </w:rPr>
        <w:t>، مدّت اعتبار آن پنج سال بوده و برای مدّت پنج سال دیگر قابل تمدید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رنگ این نوع گذرنامه در ایران قهوه‌ای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انتظامی می‌تواند با موافقت سازمان و تأیید وزارت امور خارجه، برای بیگانگانِ بدون تابعیت یا خارجیانی که به دلایلی قادر به دریافت گذرنامه از کشور مورد تابعیت خود نیستند، برابر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گذرنامه، برگ گذر بیگانگان صادر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گذرنامه سازمان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گذرنامه را سازمان ملل متّحد برای کارشناسان و مأموران خود که به منظور برقراری و حفاظت از صلح، امدادرسانی به مردم بلادیده و کمک‌های آموزشی، پژوهشی و بهداشتی به نقاط مختلف دنیا</w:t>
      </w:r>
    </w:p>
    <w:p>
      <w:pPr>
        <w:pStyle w:val="BookText"/>
        <w:rPr/>
      </w:pPr>
      <w:r>
        <w:rPr>
          <w:rFonts w:ascii="IRNazanin" w:hAnsi="IRNazanin" w:eastAsia="IRNazanin"/>
          <w:color w:val="111111"/>
          <w:sz w:val="28"/>
          <w:sz w:val="28"/>
          <w:szCs w:val="28"/>
          <w:rtl w:val="true"/>
          <w:lang w:bidi="fa-IR"/>
        </w:rPr>
        <w:t>اعزام می‌شوند، صادر می‌کند و دارای سه نوع متفاوت سیاسی، خدمت و عادی، به رنگ‌های قرمز، سبز و آبی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گذرنامه، برای ورود به کشور دیگر به روادید یا ویزا</w:t>
      </w:r>
      <w:r>
        <w:rPr>
          <w:rStyle w:val="FootnoteAnchor"/>
          <w:rtl w:val="true"/>
        </w:rPr>
        <w:footnoteReference w:id="343"/>
      </w:r>
      <w:r>
        <w:rPr>
          <w:rFonts w:ascii="IRNazanin" w:hAnsi="IRNazanin" w:eastAsia="IRNazanin"/>
          <w:color w:val="111111"/>
          <w:sz w:val="28"/>
          <w:sz w:val="28"/>
          <w:szCs w:val="28"/>
          <w:rtl w:val="true"/>
          <w:lang w:bidi="fa-IR"/>
        </w:rPr>
        <w:t>نیز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برگه کوچکی است که بر روی برگه‌های گذرنامه چسبانده می‌شود و نوع اجازه، علت ورود و مدّت اقامت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هیچ‌کس نمی‌تواند بدون دریافت روادید به کشور دیگری وارد شود؛ مگر آنکه قرارداد لغو روادید بین دو یا چند کشور وجود داشته باشد که دراین‌صورت می‌تواند تا مدّت معین و اشاره شده در قرارداد، بدون گرفتن روادید و فقط با داشتن گذرنامه یا هر مدرک مسافرتی دیگری به کشور طرف قرارداد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ماده دوّم قانون ورود و اقامت اتباع بیگانه در ایران،</w:t>
      </w:r>
      <w:r>
        <w:rPr>
          <w:rStyle w:val="FootnoteAnchor"/>
          <w:rtl w:val="true"/>
        </w:rPr>
        <w:footnoteReference w:id="344"/>
      </w:r>
      <w:r>
        <w:rPr>
          <w:rFonts w:ascii="IRNazanin" w:hAnsi="IRNazanin" w:eastAsia="IRNazanin"/>
          <w:color w:val="111111"/>
          <w:sz w:val="28"/>
          <w:sz w:val="28"/>
          <w:szCs w:val="28"/>
          <w:rtl w:val="true"/>
          <w:lang w:bidi="fa-IR"/>
        </w:rPr>
        <w:t>مأموران ایران در کشور بیگانه، در موارد زیر باید از دادن ویزا 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در صحیح بودن اسناد ارائه شده تردید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اشخاصی که برابر قوانین ایران، تبعه ایران به‌شمار آیند و بخواهند با برگه‌های تابعیت غیر ایرانی به ایران مسافرت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حضور خارجی در ایران بر ضد امنیت کشور یا نظم عمومی و یا به انگیزه‌های دیگر منافی با مصالح کشوری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خارجی در ایران سابقه محکومیت به جنحه مهم یا جنایت داشته و یا در کشور بیگانه به جنحه یا جنایت محکوم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شخص بیگانه پیش‌تر از ایران اخراج شده باشد</w:t>
      </w:r>
      <w:r>
        <w:rPr>
          <w:rFonts w:eastAsia="IRNazanin" w:cs="IRNazanin"/>
          <w:color w:val="111111"/>
          <w:sz w:val="28"/>
          <w:szCs w:val="28"/>
          <w:rtl w:val="true"/>
          <w:lang w:bidi="fa-IR"/>
        </w:rPr>
        <w:t>.</w:t>
      </w:r>
      <w:bookmarkStart w:id="612" w:name="pg5888_36268"/>
    </w:p>
    <w:p>
      <w:pPr>
        <w:pStyle w:val="BookText"/>
        <w:rPr/>
      </w:pPr>
      <w:bookmarkEnd w:id="6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حضور خارجی در ایران با مقررات بهداشت عمومی یا عفت عمومی مغایر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 بیگانه نتواند اثبات کند که با سرمایه و شغل مفید خود، توانایی امرار معاش خود را در ایران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ماده سوّم این قانون، هرگاه یکی از موانع بالا در هنگام دریافت ویزا بر مأموران ایران در خارج معلوم نباشد و یا بعدها مشخص شود، مأمورین می‌توانند از دادن اجازه توقف همیشگی یا موقّت خودداری کنند و یا اجازه‌های صادرشده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لغو اجازه صادرشده، نیروی انتظامی محل، شخص خارجی را از ایران اخراج خواهد کرد</w:t>
      </w:r>
      <w:r>
        <w:rPr>
          <w:rFonts w:eastAsia="IRNazanin" w:cs="IRNazanin"/>
          <w:color w:val="111111"/>
          <w:sz w:val="28"/>
          <w:szCs w:val="28"/>
          <w:rtl w:val="true"/>
          <w:lang w:bidi="fa-IR"/>
        </w:rPr>
        <w:t>.</w:t>
      </w:r>
    </w:p>
    <w:p>
      <w:pPr>
        <w:pStyle w:val="Heading5"/>
        <w:numPr>
          <w:ilvl w:val="4"/>
          <w:numId w:val="1"/>
        </w:numPr>
        <w:rPr/>
      </w:pPr>
      <w:bookmarkStart w:id="613" w:name="__RefHeading___Toc5261626_581953129"/>
      <w:bookmarkStart w:id="614" w:name="_Toc241"/>
      <w:bookmarkEnd w:id="613"/>
      <w:r>
        <w:rPr>
          <w:rtl w:val="true"/>
        </w:rPr>
        <w:t>ب</w:t>
      </w:r>
      <w:r>
        <w:rPr>
          <w:rtl w:val="true"/>
        </w:rPr>
        <w:t xml:space="preserve">) </w:t>
      </w:r>
      <w:r>
        <w:rPr>
          <w:rtl w:val="true"/>
        </w:rPr>
        <w:t>اقامت اتباع بیگانه</w:t>
      </w:r>
      <w:bookmarkEnd w:id="614"/>
    </w:p>
    <w:p>
      <w:pPr>
        <w:pStyle w:val="BookText"/>
        <w:rPr/>
      </w:pP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می‌تواند برای اقامت، شرایطی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معمول از سوی مقامات دارای صلاحیت، اجازه‌نامه‌ای صادر می‌شود که مدّت و محل اقامت در آن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اجازه‌نامه در ایران از سوی نیروی انتظامی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اتباع بیگانه بدون اجازه مزبور و بیش از مدّت تعیین‌شده در اجازه‌نامه نمی‌توانند در ایران اقامت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اقامت اتباع بیگانه ممکن است موقّت و یا دائم باشد که در ادامه توضیح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غیردائم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موقّت برای اموری نظیر سیاحت، تحصیل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ماده</w:t>
      </w:r>
    </w:p>
    <w:p>
      <w:pPr>
        <w:pStyle w:val="BookText"/>
        <w:rPr/>
      </w:pPr>
      <w:r>
        <w:rPr>
          <w:rFonts w:ascii="IRNazanin" w:hAnsi="IRNazanin" w:eastAsia="IRNazanin"/>
          <w:color w:val="111111"/>
          <w:sz w:val="28"/>
          <w:sz w:val="28"/>
          <w:szCs w:val="28"/>
          <w:rtl w:val="true"/>
          <w:lang w:bidi="fa-IR"/>
        </w:rPr>
        <w:t>هشتم اصلاحی قانون ورود و خروج اتباع بیگانه</w:t>
      </w:r>
      <w:r>
        <w:rPr>
          <w:rStyle w:val="FootnoteAnchor"/>
          <w:rtl w:val="true"/>
        </w:rPr>
        <w:footnoteReference w:id="346"/>
      </w:r>
      <w:r>
        <w:rPr>
          <w:rFonts w:ascii="IRNazanin" w:hAnsi="IRNazanin" w:eastAsia="IRNazanin"/>
          <w:color w:val="111111"/>
          <w:sz w:val="28"/>
          <w:sz w:val="28"/>
          <w:szCs w:val="28"/>
          <w:rtl w:val="true"/>
          <w:lang w:bidi="fa-IR"/>
        </w:rPr>
        <w:t>و نیز ماده چهارم آیین‌نامه اجرایی قانون ورود و اقامت اتباع بیگانه،</w:t>
      </w:r>
      <w:r>
        <w:rPr>
          <w:rStyle w:val="FootnoteAnchor"/>
          <w:rtl w:val="true"/>
        </w:rPr>
        <w:footnoteReference w:id="347"/>
      </w:r>
      <w:r>
        <w:rPr>
          <w:rFonts w:ascii="IRNazanin" w:hAnsi="IRNazanin" w:eastAsia="IRNazanin"/>
          <w:color w:val="111111"/>
          <w:sz w:val="28"/>
          <w:sz w:val="28"/>
          <w:szCs w:val="28"/>
          <w:rtl w:val="true"/>
          <w:lang w:bidi="fa-IR"/>
        </w:rPr>
        <w:t>برای اینکه تبعه بیگانه بتواند در خاک ایران توقف کند باید ظرف هشت روز پس از ورود به ایران، برگ‌های درخواست صدور پروانه اقامت را تنظیم و امضا کرده، به همراه سایر مدارک به نیروی انتظامی محلی که می‌خواهد در آنجا اقامت کند،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محل پس از رسیدگی به مدارک ارائه‌شده، پروانه موقّت را با دریافت حقوق قانونی صادر کرده، یا از صدور آن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دائم</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به اقامتی گفته می‌شود که تبعه بیگانه در پی انتخاب اقامتگاه قانونی برای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دولت‌ها با اقامت بیگانگان در کشور خود مخالفت نمی‌کنند؛ بلکه با شرایط و ضوابط خاصی با این عمل موافقت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پذیرش اتباع بیگانه دارای منافع مادی و معنوی بوده، حضورشان مغایر نظم عمومی و منافع و امنیت ملّی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ماده پنجم آیین‌نامه اجرایی قانون ورود و خروج اتباع بیگانه، در صورت احراز هریک از شرایط زیر، پس از موافقت نیروی انتظامی جمهوری اسلامی ایران، اجازه اقامت دائم صادر خواهد 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درخواست‌کننده دارای پنج سال پیشینه اقامت قانونی متوالی یا متناوب در ایران بوده، به هنگام درخواست، به هجده سال تمام رسیده باشد</w:t>
      </w:r>
      <w:r>
        <w:rPr>
          <w:rFonts w:eastAsia="IRNazanin" w:cs="IRNazanin"/>
          <w:color w:val="111111"/>
          <w:sz w:val="28"/>
          <w:szCs w:val="28"/>
          <w:rtl w:val="true"/>
          <w:lang w:bidi="fa-IR"/>
        </w:rPr>
        <w:t>.</w:t>
      </w:r>
      <w:bookmarkStart w:id="615" w:name="pg5888_36270"/>
    </w:p>
    <w:p>
      <w:pPr>
        <w:pStyle w:val="BookText"/>
        <w:rPr/>
      </w:pPr>
      <w:bookmarkEnd w:id="61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درخواست‌کننده دارای دو سال پیشینه اقامت قانونی متوالی یا متناوب در ایران باشد و مقام عالی علمی، شغل و یا تخصّص او در امور تولیدی و عمرانی، به تأیید مقامات صلاحیت‌دار کشوری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درخواست‌کننده دارای دو سال پیشینه اقامت متوالی یا متناوب در ایران بوده، خدمات شایسته و ارزنده او به امور مربوط به منافع عمومی در ایران، به تأیید مقامات صلاحیت‌دار کشوری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درخواست‌کننده دارای دو سال پیشینه اقامت قانونی متوالی یا متناوب در ایران بوده، در امور تولیدی و عمرانی ایران که به تأیید مقامات صلاحیت‌دار نیز رسیده است، سرمایه‌گذاری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درخواست‌کننده دارای دو سال پیشینه اقامت متوالی یا متناوب در ایران بوده، درآمد شخصی یا حقوق بازنشستگی او به تأیید یکی از بانک‌های مجاز ایران رسیده باشد</w:t>
      </w:r>
      <w:r>
        <w:rPr>
          <w:rFonts w:eastAsia="IRNazanin" w:cs="IRNazanin"/>
          <w:color w:val="111111"/>
          <w:sz w:val="28"/>
          <w:szCs w:val="28"/>
          <w:rtl w:val="true"/>
          <w:lang w:bidi="fa-IR"/>
        </w:rPr>
        <w:t>.</w:t>
      </w:r>
    </w:p>
    <w:p>
      <w:pPr>
        <w:pStyle w:val="Heading5"/>
        <w:numPr>
          <w:ilvl w:val="4"/>
          <w:numId w:val="1"/>
        </w:numPr>
        <w:rPr/>
      </w:pPr>
      <w:bookmarkStart w:id="616" w:name="__RefHeading___Toc5261628_581953129"/>
      <w:bookmarkStart w:id="617" w:name="_Toc242"/>
      <w:bookmarkEnd w:id="616"/>
      <w:r>
        <w:rPr>
          <w:rtl w:val="true"/>
        </w:rPr>
        <w:t>ج</w:t>
      </w:r>
      <w:r>
        <w:rPr>
          <w:rtl w:val="true"/>
        </w:rPr>
        <w:t xml:space="preserve">) </w:t>
      </w:r>
      <w:r>
        <w:rPr>
          <w:rtl w:val="true"/>
        </w:rPr>
        <w:t>عبور اتباع بیگانه</w:t>
      </w:r>
      <w:bookmarkEnd w:id="617"/>
    </w:p>
    <w:p>
      <w:pPr>
        <w:pStyle w:val="BookText"/>
        <w:rPr/>
      </w:pP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ممکن است کسی قصد اقامت در ایران را نداشته باشد و فقط بخواهد برای رسیدن به یک کشور دیگر از خاک ایران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اگر اجازه‌نامه فقط برای عبور از ایران دریافت شده باشد، شخص بیگانه باید تا مدّت تعیین‌شده، از خاک ایران عبور کند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ماده نخست آیین‌نامه اجرایی قانون ورود و اقامت اتباع بیگانه،</w:t>
      </w:r>
      <w:r>
        <w:rPr>
          <w:rStyle w:val="FootnoteAnchor"/>
          <w:rtl w:val="true"/>
        </w:rPr>
        <w:footnoteReference w:id="350"/>
      </w:r>
      <w:r>
        <w:rPr>
          <w:rFonts w:ascii="IRNazanin" w:hAnsi="IRNazanin" w:eastAsia="IRNazanin"/>
          <w:color w:val="111111"/>
          <w:sz w:val="28"/>
          <w:sz w:val="28"/>
          <w:szCs w:val="28"/>
          <w:rtl w:val="true"/>
          <w:lang w:bidi="fa-IR"/>
        </w:rPr>
        <w:t>مأموران مرزی مجاز از سوی نیروی انتظامی می‌توانند برای دارندگان</w:t>
      </w:r>
      <w:bookmarkStart w:id="618" w:name="pg5888_36271"/>
    </w:p>
    <w:p>
      <w:pPr>
        <w:pStyle w:val="BookText"/>
        <w:rPr/>
      </w:pPr>
      <w:bookmarkEnd w:id="618"/>
      <w:r>
        <w:rPr>
          <w:rFonts w:ascii="IRNazanin" w:hAnsi="IRNazanin" w:eastAsia="IRNazanin"/>
          <w:color w:val="111111"/>
          <w:sz w:val="28"/>
          <w:sz w:val="28"/>
          <w:szCs w:val="28"/>
          <w:rtl w:val="true"/>
          <w:lang w:bidi="fa-IR"/>
        </w:rPr>
        <w:t>گذرنامه‌های معتبر خارجی که قصد عبور از مرزهای مجاز ایران را دارند، با رعایت ماده دوّم قانون ورود و اقامت اتباع خارجه و برای مدّت حداکثر پانزده روز، با دریافت حق روادید، برابر تعرفه مربوطه، روادید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ماده دوّم آیین‌نامه اجرایی یادشده، صدور روادید عبور برای اشخاص زیر، به دریافت اجازه خاص از وزارت امور خارجه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بدون تابعیت و یا دارندگان برگ‌های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لسه پاسه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دولت‌هایی که از سوی وزارت امور خارجه تعیین می‌شوند</w:t>
      </w:r>
      <w:r>
        <w:rPr>
          <w:rFonts w:eastAsia="IRNazanin" w:cs="IRNazanin"/>
          <w:color w:val="111111"/>
          <w:sz w:val="28"/>
          <w:szCs w:val="28"/>
          <w:rtl w:val="true"/>
          <w:lang w:bidi="fa-IR"/>
        </w:rPr>
        <w:t>.</w:t>
      </w:r>
    </w:p>
    <w:p>
      <w:pPr>
        <w:pStyle w:val="Heading5"/>
        <w:numPr>
          <w:ilvl w:val="4"/>
          <w:numId w:val="1"/>
        </w:numPr>
        <w:rPr/>
      </w:pPr>
      <w:bookmarkStart w:id="619" w:name="__RefHeading___Toc5261630_581953129"/>
      <w:bookmarkStart w:id="620" w:name="_Toc243"/>
      <w:bookmarkEnd w:id="619"/>
      <w:r>
        <w:rPr>
          <w:rtl w:val="true"/>
        </w:rPr>
        <w:t>د</w:t>
      </w:r>
      <w:r>
        <w:rPr>
          <w:rtl w:val="true"/>
        </w:rPr>
        <w:t xml:space="preserve">) </w:t>
      </w:r>
      <w:r>
        <w:rPr>
          <w:rtl w:val="true"/>
        </w:rPr>
        <w:t>خروج اتباع بیگانه</w:t>
      </w:r>
      <w:bookmarkEnd w:id="620"/>
    </w:p>
    <w:p>
      <w:pPr>
        <w:pStyle w:val="BookText"/>
        <w:rPr/>
      </w:pP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از کشور با ارائه گذرنامه یا دیگر مدارک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قانون‌گذار از وضع این مقررات، در نظر گرفتن وضعیت بیگانه در حال خروج از ایران، از نظر ارتکاب جرایم یا پرداخت مالیات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دهم قانون ورود و اقامت اتباع خارجه در ایران، اجازه خروج اتباع بیگانه از سوی مأموران نیروی انتظامی محل اقامت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دائمی یا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تبصره این ماده آمده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بیگانگانی که به ایران وارد می‌شوند و مدّت توقف آنها از نود روز تجاوز نکند، احتیاج به روادید خروج ندارند؛ لیکن موظّف هستند برای خروج از ایران اعلامیه خروجی را تکمیل و به مأموران گمرکی مرز خروجی تسلیم کنند</w:t>
      </w:r>
      <w:r>
        <w:rPr>
          <w:rFonts w:eastAsia="IRNazanin" w:cs="IRNazanin"/>
          <w:color w:val="111111"/>
          <w:sz w:val="28"/>
          <w:szCs w:val="28"/>
          <w:rtl w:val="true"/>
          <w:lang w:bidi="fa-IR"/>
        </w:rPr>
        <w:t>.</w:t>
      </w:r>
      <w:bookmarkStart w:id="621" w:name="pg5888_36272"/>
    </w:p>
    <w:p>
      <w:pPr>
        <w:pStyle w:val="Heading5"/>
        <w:numPr>
          <w:ilvl w:val="4"/>
          <w:numId w:val="1"/>
        </w:numPr>
        <w:rPr/>
      </w:pPr>
      <w:bookmarkStart w:id="622" w:name="__RefHeading___Toc5261632_581953129"/>
      <w:bookmarkStart w:id="623" w:name="_Toc244"/>
      <w:bookmarkEnd w:id="621"/>
      <w:bookmarkEnd w:id="622"/>
      <w:r>
        <w:rPr>
          <w:rtl w:val="true"/>
        </w:rPr>
        <w:t>ه</w:t>
      </w:r>
      <w:r>
        <w:rPr>
          <w:rtl w:val="true"/>
        </w:rPr>
        <w:t xml:space="preserve">) </w:t>
      </w:r>
      <w:r>
        <w:rPr>
          <w:rtl w:val="true"/>
        </w:rPr>
        <w:t>اخراج اتباع بیگانه</w:t>
      </w:r>
      <w:bookmarkEnd w:id="623"/>
    </w:p>
    <w:p>
      <w:pPr>
        <w:pStyle w:val="BookText"/>
        <w:rPr/>
      </w:pP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دولتی در داخل مرزهای خود از حاکمیت</w:t>
      </w:r>
      <w:r>
        <w:rPr>
          <w:rStyle w:val="FootnoteAnchor"/>
          <w:rtl w:val="true"/>
        </w:rPr>
        <w:footnoteReference w:id="354"/>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حاکمیت به دولت‌ها این حق را می‌دهد تا هر بیگانه‌ای را که بخواهند و حضور او را نامطلوب می‌دانند، بدون ارائه دلیل و مدرک به مرجعی، اخراج کنند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حق اخراج، از حقوق تردیدناپذیر هر کشوری است و توسل به آن اگر بر دلایل کافی مبتنی باشد، مشروع و طبیعی است؛ ولی اخراج نباید به‌صورتِ دسته جمعی یا فقط درباره اتباع کشور خاصی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شخص خارجی باید در شرایط انسانی و با توجه به مهلت‌های متعارف برای خروج از کشور انجام گیرد و خارجی نباید به سبب اخراج، متحمل خسارت غیرعادی، ضرر و زیان مالی یا جانی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بیگانه برای مدّت طولانی در کشوری اقامت و در آنجا به کاری اشتغال داشته و زندگی خود را پایه‌گذاری کرده باشد، اخراج او، به‌ویژه در صورتی که مستند به دلیل خاصی نباشد، از موارد مسؤولیت شدید دولت اخراج‌کننده است و موجبات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بین‌المللی</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آن دولت را به همراه دارد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هر کشوری حق دارد بیگانگانی را که در قلمرو او برخلاف امنیت اقدام می‌کنند و نظام عمومی را مختل سازند و یا رویه‌ای برخلاف اخلاق و بهداشت در پیش می‌گیرند، از سرزمین خود اخراج 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عهدنامه‌هایی که بین دولت‌ها در مورد ورود و خروج اتباع یکدیگر</w:t>
      </w:r>
    </w:p>
    <w:p>
      <w:pPr>
        <w:pStyle w:val="BookText"/>
        <w:rPr/>
      </w:pPr>
      <w:r>
        <w:rPr>
          <w:rFonts w:ascii="IRNazanin" w:hAnsi="IRNazanin" w:eastAsia="IRNazanin"/>
          <w:color w:val="111111"/>
          <w:sz w:val="28"/>
          <w:sz w:val="28"/>
          <w:szCs w:val="28"/>
          <w:rtl w:val="true"/>
          <w:lang w:bidi="fa-IR"/>
        </w:rPr>
        <w:t>بسته شده، حق اخراج ذکر شده است؛</w:t>
      </w:r>
      <w:r>
        <w:rPr>
          <w:rStyle w:val="FootnoteAnchor"/>
          <w:rtl w:val="true"/>
        </w:rPr>
        <w:footnoteReference w:id="358"/>
      </w:r>
      <w:r>
        <w:rPr>
          <w:rFonts w:ascii="IRNazanin" w:hAnsi="IRNazanin" w:eastAsia="IRNazanin"/>
          <w:color w:val="111111"/>
          <w:sz w:val="28"/>
          <w:sz w:val="28"/>
          <w:szCs w:val="28"/>
          <w:rtl w:val="true"/>
          <w:lang w:bidi="fa-IR"/>
        </w:rPr>
        <w:t>برای نمونه، برابر ماده دوّم معاهده اقامت بین دولت ایران و بلژیک، هریک از دو طرف متعاهد، این حق را برای خود محفوظ می‌دانند که بر اثر تصمیم قانونی، به موجب قوانین و مقررات مربوط به نظمیه یا به انگیزه‌های امنیت داخلی و یا خارجی کشور خود، اتباع طرف متعاهد دیگر را به‌صورتِ انفرادی اخراج کنند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از نگاه حقوق بین‌المللِ عرفی، ممنوعیتی برای اخراج وجود ندارد؛ هرچند اخراج در عمل با معاهده‌ها و حقوق بشر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اخراج دسته جمعی اتباع بیگانه، بلکه اخراج همه اتباع یک کشور در یک زمان، خلاف اصول حقوق بین‌الملل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ماده یازدهم قانون ورود و اقامت اتباع خارجه در ایران می‌توان شخص بیگانه را در موارد زیر از خاک ایران اخراج و یا محل توقف او را تغییر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برخلاف مقررات و قانون رفتار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مطابق مواد سوّم و چهارم، اجازه عبور یا توقف بیگانه لغو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ماده دوازدهم قانون مزبور، اداره کل امور اتباع، تصمیم اخراج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تصمیم اخراج گرفته شود و تأخیر اجرای آن با مصلحت کشوری مغایر نباشد، از سوی نیروی انتظامی یا ادارات صلاحیت‌دار دیگر، مهلت داده شده به شخصی که باید اخراج شود اخطار خواهد 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خارجی اخراج‌شده بپذیرد در مدّتی که از سوی اداره صلاحیت‌دار تعیین شده از ایران خارج شود، آزادانه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همراهی نیروی انتظامی اخراج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نیروی انتظامی تصمیم بگیرد فردی را از کشور اخراج کند، این تصمیم ظرف پانزده روز از ابلاغ به شخص مزبور، قابل تجدیدنظر در وزارت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اعتراض، تا روشن شدن نتیجه، اجرای تصمیم اخراج به تعویق خواهد افتاد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بند پنجم ماده پانزده قانون مربوط به ورود و اقامت اتباع خارجه در ایران، اشخاصی که برای فرار از اخراج مخفی شوند یا پس از اخراج، دوباره بدون اجازه به ایران برگردند، به حبس و جریمه نقدی محکوم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بسیار اندکی از ساکنین کشور را تشکیل می‌دهند که، یا از تابعیت محل اقامت خود برخوردار نیستند و یا از اساس فاقد تابعیت هستند؛ ولی از نگاه اسلام، بیگانه کسی است که، نه اسلام را بپذیرد و نه به بستن پیمان ذمه اقدام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بیگانگان دارای گونه‌هایی هستند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جهانگردان، دانشجویان، بازرگانان، کارگران، افراد مقیم عادی، مجرم فراری، پناهنده، مأموران، آوارگان، خبرنگاران و جویندگان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بیگانگان بر مبانی و اصولی مبتنی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شناسایی کمترین حقوق برای بیگانگان؛</w:t>
      </w:r>
    </w:p>
    <w:p>
      <w:pPr>
        <w:pStyle w:val="BookText"/>
        <w:rPr/>
      </w:pPr>
      <w:r>
        <w:rPr>
          <w:rFonts w:ascii="IRNazanin" w:hAnsi="IRNazanin" w:eastAsia="IRNazanin"/>
          <w:color w:val="111111"/>
          <w:sz w:val="28"/>
          <w:sz w:val="28"/>
          <w:szCs w:val="28"/>
          <w:rtl w:val="true"/>
          <w:lang w:bidi="fa-IR"/>
        </w:rPr>
        <w:t>اصل رفتار متقابل بین دولت‌ها؛</w:t>
      </w:r>
    </w:p>
    <w:p>
      <w:pPr>
        <w:pStyle w:val="BookText"/>
        <w:rPr/>
      </w:pPr>
      <w:r>
        <w:rPr>
          <w:rFonts w:ascii="IRNazanin" w:hAnsi="IRNazanin" w:eastAsia="IRNazanin"/>
          <w:color w:val="111111"/>
          <w:sz w:val="28"/>
          <w:sz w:val="28"/>
          <w:szCs w:val="28"/>
          <w:rtl w:val="true"/>
          <w:lang w:bidi="fa-IR"/>
        </w:rPr>
        <w:t>اصل آزادی ورود، عبور و اقامت بیگانگان؛</w:t>
      </w:r>
    </w:p>
    <w:p>
      <w:pPr>
        <w:pStyle w:val="BookText"/>
        <w:rPr/>
      </w:pPr>
      <w:r>
        <w:rPr>
          <w:rFonts w:ascii="IRNazanin" w:hAnsi="IRNazanin" w:eastAsia="IRNazanin"/>
          <w:color w:val="111111"/>
          <w:sz w:val="28"/>
          <w:sz w:val="28"/>
          <w:szCs w:val="28"/>
          <w:rtl w:val="true"/>
          <w:lang w:bidi="fa-IR"/>
        </w:rPr>
        <w:t>اصل قوانین داخلی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کشورها، از جمله ایران، برای ورود یا عبور بیگانگان از خاک خود آزادی با قید و شرط اعطا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افزون بر وجود گذرنامه، دریافت روادید نیز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حقوق بین‌الملل خصوصی، بیگانه به چه کسی گفته می‌شود؟ دیدگاه اسلام را دراین‌باره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انواع بیگانگانی که ممکن است در یک کشور زندگی کنند، دست‌کم به پنج نوع آن اشاره کنید و هریک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اندیشه موجود پیرامون حداقل حقوق بیگانگان را توضیح داده، آثار و نتایج هریک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متقابل بین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انواع آن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قوانین داخلی را درباره شناخت حقوق بیگانگان توضیح داده، برخی از قوانین ایران را دراین‌باره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گذرنامه را تعریف کنید و انواع آن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روادید چیست؟ به‌طور کلّی در چه مواردی مأموران ایران در خارج از دادن روادید خودداری می‌کنند؟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صورتی از نظر قوانین ایران به شخص درخواست کننده، اقامت دائم داده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اصطلاحات زیر را به اختصار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اتباع بیگانه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اتباع بیگانه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اتباع بیگانه</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تاریخچه وضع اشخاص حقیقی و حقوقی بیگانه در ایران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برخی از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نصیری، حقوق بین‌الملل خصوصی ، ص</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بهشید ارفع‌نیا، حقوق بین‌الملل خصوصی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گذرنامه و انواع آن بررسی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شناخت گذرنامه و قوانین مربوط به آن، انواع گذرنامه و شناخت مزایا و معایب هریک از انواع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اقامت اتباع بیگانه و انواع آن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شناخت هدف، مزایا و معایب انواع اقامت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مفهوم بیگانه از نظر حقوق بین‌الملل و اسلام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برخی از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مصطفی دانش‌پژوه، اسلام و حقوق بین‌الملل خصوصی ؛</w:t>
      </w:r>
    </w:p>
    <w:p>
      <w:pPr>
        <w:pStyle w:val="BookText"/>
        <w:rPr/>
      </w:pPr>
      <w:r>
        <w:rPr>
          <w:rFonts w:ascii="IRNazanin" w:hAnsi="IRNazanin" w:eastAsia="IRNazanin"/>
          <w:color w:val="111111"/>
          <w:sz w:val="28"/>
          <w:sz w:val="28"/>
          <w:szCs w:val="28"/>
          <w:rtl w:val="true"/>
          <w:lang w:bidi="fa-IR"/>
        </w:rPr>
        <w:t>آیت‌اللّه عباس‌علی عمید زنجانی، فقه سیاسی ؛</w:t>
      </w:r>
    </w:p>
    <w:p>
      <w:pPr>
        <w:pStyle w:val="BookText"/>
        <w:rPr/>
      </w:pPr>
      <w:r>
        <w:rPr>
          <w:rFonts w:ascii="IRNazanin" w:hAnsi="IRNazanin" w:eastAsia="IRNazanin"/>
          <w:color w:val="111111"/>
          <w:sz w:val="28"/>
          <w:sz w:val="28"/>
          <w:szCs w:val="28"/>
          <w:rtl w:val="true"/>
          <w:lang w:bidi="fa-IR"/>
        </w:rPr>
        <w:t xml:space="preserve">دفتر همکاری حوزه و دانشگاه، اسلام و حقوق بین‌الملل عمومی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انواع بیگانگان از نظر حقوق بین‌الملل خصوصی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شناخت هدف، مزایا و معایب هریک از انواع بیگانگان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اصول و مبانی حقوق بیگانگان تحقیق کنید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پژوهش، بیان مبانی و اصولی است که به لحاظ تئوری بیان شده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همچنین شناخت این نکته که کدام‌یک از این اصول به لحاظ علمی دارای کاربرد عملی بیشتری است و نیز بیان مزایا و معایب هریک از این 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شناسایی حداقل حقوق برای اتباع بیگانه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ملّی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بین‌المللی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قضایی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قانون ایران، بیگانه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تابعیت ایران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خارج سکونت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تابعیت خارجی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حقوق بیگانگان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متقابل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داخلی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مقتضیات حقوق بین‌الملل عمومی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دولت‌ها حداقل حقوقی برای بیگانگان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حقوق بین‌الملل عمومی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حقوق بین‌الملل خصوصی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متقابل</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داخلی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طرز تفکّر فلسفی درباره حقوق بیگانگان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طرز تفکّر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رعایت حال عمومی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عموم، ملیت‌خواهی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ملیت‌خواهی، رعایت حال عموم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ملیت‌خواهی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نادرست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تفکّر فلسفی و اخلاقی می‌گوید بیگانگان و اتباع داخلی باید از حقوقی که لازمه زندگی بشر است، یکسان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اسپانیایی از طرفداران روش فلسفی و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سیاسی، مصالح و منافع افراد را بیش از مصالح اساسی یک ملّت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طرز تفکّر سیاسی، دولت‌ها هنگام تنظیم مقررات درباره حقوق بیگانگان باید موضوع‌های سه‌گانه امنیت، منافع اقتصادی و مصلحت زیاد شدن جمعیت را در نظر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متقابل 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قانون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 که قانون‌گذار بهره‌مندی از حقوق معینی را برای بیگانه، به شناختن همان حق در قانون مملکت متبوعه بیگانه وابسته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قابلیت انعطاف ندارد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یگانه اشکال رفتار متقابلِ عملی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انعطاف‌پذیری زیاد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قضیه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نداشتن به قانون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قابلیت انعطاف‌پذیری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ضمن شرایط اعتبار اسنادی که در خارج تنظیم می‌شود،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کشوری که اسناد در آنجا تنظیم‌شده، به موجب قوانین خود یا عهود اسناد تنظیم‌شده در ایران را نیز معتبر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کدام رفتار متقابل را مد نظر قرار داده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تقنینی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ماده پنج معاهده اقامت بین دولت ایران و بلژیک آمده است که اتباع هریک از دو طرف متعاهد در خاک طرف دیگر و در امور مربوط به حمایت قانونی و قضایی و اموالشان، از همان رفتاری که نسبت به اتباع داخلی مبذول می‌گردد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کدام رفتار متقابل را لحاظ کرده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بهره‌مندی کدام‌یک از حقوق زیر، تابعیت ایران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عمومی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خصوصی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قضایی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بیگانه در ایران از کدام‌یک از مشاغل زیر محروم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سیاسی انتخابی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اتاق بازرگانی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اصطلاحی عبارت است از معاهداتی که به موجب آن، دولتی در کشور خارجی از بعضی حقوق حاکمیت بهره‌مند می‌شود؛ به‌طوری‌که اتباع آن دولت از پاره‌ای حقوق و مزایا به‌طور اختصاصی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کاپیتولاسیون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رفتار متقابل 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اقامت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رفتار متقابل عملی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اخراج بیگانگان کدام گزینه درست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باید جنبه دسته جمعی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و قطع روابط سیاسی باید جنبه فردی داشته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و قطع رابطه سیاسی می‌تواند جنبه دسته جمعی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 همه مواقع باید جنبه فردی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فکر مکتب فلسفی و اخلاقی پیرامون حقوق بیگانگان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در اعطای حقوق به بیگانگان باید مسائل جمعیت، اقتصادی و امنیت 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و اتباع داخل باید از حقوقی که لازمه زندگی بشر است، به‌طور یکسان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باید جنبه ملیت‌خواهی و منافع کشور 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گزینه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به‌عنوان منشأ حق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شرط وجود یک حق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 منشأ و هم شرط وجود یک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نوع سیاسی، تقنینی و عملی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کدام‌یک از انواع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انعطاف‌پذیری کدام‌یک از رفتارهای متقابل به ترتیب بیشتر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قانون‌گذاری، سیاسی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سیاسی، قانون‌گذاری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سیاسی، عملی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عملی، سیاسی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دین اسلام چه کسی بیگانه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مسلمان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خارجی‌ها از کدام‌یک از حقوق زیر بهره‌مند نیستند؟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ب</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در مورد ویزا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 ویزا، روادید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دولت ایران در خارج ویزا را برای ورود به ایران اعطا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ویزا اجازه خروج از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الف و ب</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اقامت دائم بیگانگان در ایران، هر چند سال یک‌بار باید تمدید و تجدید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دسته جمعی تابعیت به کلیه بیگانگان، مخالف اصول حقوق بین‌الملل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همه اتباع کشور معین از خاک خود، مخالف اصول حقوق بین‌الملل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درباره اخراج بیگانه، قابل تجدیدنظر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 صحیح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گذرنامه چند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بیگانگان نمی‌توانند وارد ایران شوند؛ مگر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زمینی و به هر صورت که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روادید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هوایی، بدون نیاز به روادید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سیاحت و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مأمورین ایرانی از ورود بیگانه به کشور جلوگیری می‌کنند، اگر متقاضی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اقامت در ایران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باشد و بخواهد با اوراق تابعیت غیر ایرانی وارد ایران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تخصص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حداقل حقوق خارجیان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دولت‌ها الزامی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دولت‌ها الزامی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شرط دولت کامله‌الوداد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شرط رفتار متقابل</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گذرنامه، سندی است که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مسافرت اتباع ایرانی به خارج از کشور یا اقامت در خارج و یا مسافرت از خارج به ایران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مسافرت اتباع ایران به خارج از کشور و اشتغال به کار در آن کشور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اقامت یا تحصیل در خارج از کشور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شناسنامه، داشتن آن برای ایرانی‌های بالاتر از هجده سال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بیگانگان به ایران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می‌توانند بدون هیچ محدودیتی وارد ایران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می‌توانند با اطلاع مقامات مربوط، وارد ایران شوند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برای ورود به ایران باید از مأمورین ایرانی در خارج از کشور روادید دریافت کنند؛ مگر آنکه تبعه کشوری باشند که با ایران توافقنامه روادید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بیگانگانی می‌توانند وارد ایران شوند که گذرنامه خارجی داشته و کشور آنها با کشور ایران توافقنامه لغو روادید امضا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مالکیت اموال غیرمنقول توسط بیگانگان در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کامل غیرمجاز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معامله متقابل،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محل مسکونی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محل کسب مجاز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عبور از ایران برای خارجیان، مشروط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روادید ورود و اقامت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روادید عبور از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فقط سه روز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کردن کشور مقصد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اتباع بیگانه به ایران ممنوع است؛ مگر آنکه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زمینی یا دریایی وارد ایران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ایران را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منافع عمومی ایران خدمت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بستگانشان در ایران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امتیازهایی را برای ایرانیان مقیم آن کشور قائل شود، دولت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امتیازات را در ایران برای اتباع آن کشور قائل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نیست همان امتیازات را در ایران برای اتباع آن کشور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امتیازات را برای تمام اتباع بیگانه مقیم ایران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امتیازات را در ایران برای اتباع آن کشور قائل شود؛ به شرط اینکه دست‌کم پنج سال پیشینه اقامت در ایران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اتباع خارجی در صورتی می‌توانند وارد ایران شوند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روادید ورود به ایران را از نمایندگی‌های ایران در خارج از کشور دریافت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نمایندگی‌های ایران در خارج از کشور، ورود آنها را به ایران به اطلاع مأمورین شهربانی رسانده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و کشور متبوع خارجی، ورود آنها را به ایران مجاز بدانند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کشور برای آنها روادید ورود و خروج صادر کرده باشد</w:t>
      </w:r>
      <w:r>
        <w:rPr>
          <w:rFonts w:eastAsia="IRNazanin" w:cs="IRNazanin"/>
          <w:color w:val="111111"/>
          <w:sz w:val="28"/>
          <w:szCs w:val="28"/>
          <w:rtl w:val="true"/>
          <w:lang w:bidi="fa-IR"/>
        </w:rPr>
        <w:t>.</w:t>
      </w:r>
      <w:bookmarkStart w:id="624" w:name="pg5888_36290"/>
    </w:p>
    <w:p>
      <w:pPr>
        <w:pStyle w:val="Heading2"/>
        <w:numPr>
          <w:ilvl w:val="1"/>
          <w:numId w:val="1"/>
        </w:numPr>
        <w:rPr/>
      </w:pPr>
      <w:bookmarkStart w:id="625" w:name="__RefHeading___Toc5261634_581953129"/>
      <w:bookmarkStart w:id="626" w:name="_Toc245"/>
      <w:bookmarkEnd w:id="624"/>
      <w:bookmarkEnd w:id="625"/>
      <w:r>
        <w:rPr/>
        <w:t>14</w:t>
      </w:r>
      <w:r>
        <w:rPr>
          <w:rtl w:val="true"/>
        </w:rPr>
        <w:t xml:space="preserve">- </w:t>
      </w:r>
      <w:r>
        <w:rPr>
          <w:rtl w:val="true"/>
        </w:rPr>
        <w:t>وضعیت حقوق خصوصی اشخاص حقیقی بیگانه در ایران</w:t>
      </w:r>
      <w:bookmarkEnd w:id="626"/>
    </w:p>
    <w:p>
      <w:pPr>
        <w:pStyle w:val="Heading3"/>
        <w:numPr>
          <w:ilvl w:val="2"/>
          <w:numId w:val="1"/>
        </w:numPr>
        <w:rPr/>
      </w:pPr>
      <w:bookmarkStart w:id="627" w:name="__RefHeading___Toc5261636_581953129"/>
      <w:bookmarkStart w:id="628" w:name="_Toc246"/>
      <w:bookmarkEnd w:id="627"/>
      <w:r>
        <w:rPr>
          <w:rtl w:val="true"/>
        </w:rPr>
        <w:t>اشاره</w:t>
      </w:r>
      <w:bookmarkEnd w:id="628"/>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اصل برخورداری بیگانگان از تمام حقوق مدنی؛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موارد استثنایی اصل بالا؛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برخی حقوق خصوصی اشخاص حقیقی بیگانه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منظور از حقوق خصوصی در اینجا، حقوق مدنی و همه حقوق مالی و خانوادگی و احوال شخصیه‌ای است که شخص در اجتماع و در رابطه با دیگران از آن بهره‌مند است و آن را به کار می‌گیرد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بهره‌مندی بیگانگان از حقوق، فرع بر وجود اهلیت برای اقدام حقوقی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اهلیتِ بیگانه برای انجام هر نوع معامله‌ای، بر اساس قانون دولتی است که از تابعیت آن برخوردار است؛ مگر در مورد ماده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که می‌گوید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تبعه خارجه در ایران عمل حقوقی انجام دهد، در صورتی که مطابق قانون دولت متبوع خود برای انجام آن عمل، واجد اهلیت نبوده و یا اهلیت ناقص داشته باشد، آن شخص برای انجام آن عمل، واجد اهلیت شمرده</w:t>
      </w:r>
      <w:bookmarkStart w:id="629" w:name="pg5888_36291"/>
    </w:p>
    <w:p>
      <w:pPr>
        <w:pStyle w:val="BookText"/>
        <w:rPr/>
      </w:pPr>
      <w:bookmarkEnd w:id="629"/>
      <w:r>
        <w:rPr>
          <w:rFonts w:ascii="IRNazanin" w:hAnsi="IRNazanin" w:eastAsia="IRNazanin"/>
          <w:color w:val="111111"/>
          <w:sz w:val="28"/>
          <w:sz w:val="28"/>
          <w:szCs w:val="28"/>
          <w:rtl w:val="true"/>
          <w:lang w:bidi="fa-IR"/>
        </w:rPr>
        <w:t>خواهد شد؛ در صورتی که قطع نظر از تابعیت خارجی او مطابق قانون ایران نیز بتوان او را برای انجام آن عمل دارای اهلیت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قانون‌گذار ایران برای حمایت و حفاظت از منافع اتباع ایرانی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در تابعیت کشور بیگانه است، نمی‌تواند از ایفای تعهدات خود به استناد فقدان شرط اهلیت، طبق قانون دولت مورد تابعیت خویش،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از بعضی حقوق، لازمه زندگی همه افراد بشر است و در مورد این‌گونه حقوق، افراد بیگانه و اتباع داخلی نباید تفاوتی با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اصل کلّی آن است که اتباع بیگانه می‌توانند از تمام حقوق مدنی بهره‌مند شوند؛ مگر در مواردی که استثنا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در ماده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تصریح شده است؛ جز در موارد سه‌گانه مذکور در این ماده که اتباع بیگانه از آن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فرانسه به موجب ماده یازدهم قانون مدنی، حق استفاده بیگانگان را از حقوق مدنی، به عمل متقابل دولت آنها به موجب قرارداد، وابسته دانسته است؛ یعنی بیگانگان حق استفاده از همه حقوق مدنی را دارند</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630" w:name="__RefHeading___Toc5261638_581953129"/>
      <w:bookmarkStart w:id="631" w:name="_Toc247"/>
      <w:bookmarkEnd w:id="630"/>
      <w:r>
        <w:rPr/>
        <w:t>1</w:t>
      </w:r>
      <w:r>
        <w:rPr>
          <w:rtl w:val="true"/>
        </w:rPr>
        <w:t xml:space="preserve">- </w:t>
      </w:r>
      <w:r>
        <w:rPr>
          <w:rtl w:val="true"/>
        </w:rPr>
        <w:t>استثناهای اصل فوق نسبت به اصل کلّی برخورداری از حقوق خصوصی</w:t>
      </w:r>
      <w:bookmarkEnd w:id="631"/>
    </w:p>
    <w:p>
      <w:pPr>
        <w:pStyle w:val="BookText"/>
        <w:rPr/>
      </w:pPr>
      <w:r>
        <w:rPr>
          <w:rFonts w:ascii="IRNazanin" w:hAnsi="IRNazanin" w:eastAsia="IRNazanin"/>
          <w:color w:val="111111"/>
          <w:sz w:val="28"/>
          <w:sz w:val="28"/>
          <w:szCs w:val="28"/>
          <w:rtl w:val="true"/>
          <w:lang w:bidi="fa-IR"/>
        </w:rPr>
        <w:t xml:space="preserve">اجرای قوانین ایران نسبت به همه کسانی که در خاک ایران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اتباع ایرانی یا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است؛ زیرا ماده پنجم قانون مدنی دراین‌باره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سکنه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داخله و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قوانین ایران خواهند بود؛ مگر در مواردی که قانون استثنا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استثنای یادشده در این ماده، شامل مواد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همان‌طور که پیش‌تر بیان شد، قانون‌گذار ایرانی، اصل را بر</w:t>
      </w:r>
    </w:p>
    <w:p>
      <w:pPr>
        <w:pStyle w:val="BookText"/>
        <w:rPr/>
      </w:pPr>
      <w:r>
        <w:rPr>
          <w:rFonts w:ascii="IRNazanin" w:hAnsi="IRNazanin" w:eastAsia="IRNazanin"/>
          <w:color w:val="111111"/>
          <w:sz w:val="28"/>
          <w:sz w:val="28"/>
          <w:szCs w:val="28"/>
          <w:rtl w:val="true"/>
          <w:lang w:bidi="fa-IR"/>
        </w:rPr>
        <w:t xml:space="preserve">برخورداری خارجیان از همه حقوق مدنی گذاشته، در ماده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ذیل، اتباع خارجه نیز از حقوق مدنی متمتع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ویژه اتباع ایرانی می‌داند، به‌عنوان استثنا بر این اصل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موارد استثنا بدین‌ترتیب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که قانون آن را به‌طور صریح به اتباع ایران منحصر کرده و یا آن را به صراحت از اتباع خارجی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که به صراحتِ قانون، ویژه اتباع ایران است و به این مناسبت بیگانگان از آن محرومند، حق کار در برخی مشاغل است؛ چنان‌که در ماده دوازدهم قانون تأسیس بورس اوراق بهادار، تصویب شده در </w:t>
      </w:r>
      <w:r>
        <w:rPr>
          <w:rFonts w:eastAsia="IRNazanin" w:cs="IRNazanin"/>
          <w:color w:val="111111"/>
          <w:sz w:val="28"/>
          <w:szCs w:val="28"/>
          <w:lang w:bidi="fa-IR"/>
        </w:rPr>
        <w:t>1345/2/27</w:t>
      </w:r>
      <w:r>
        <w:rPr>
          <w:rFonts w:ascii="IRNazanin" w:hAnsi="IRNazanin" w:eastAsia="IRNazanin"/>
          <w:color w:val="111111"/>
          <w:sz w:val="28"/>
          <w:sz w:val="28"/>
          <w:szCs w:val="28"/>
          <w:rtl w:val="true"/>
          <w:lang w:bidi="fa-IR"/>
        </w:rPr>
        <w:t>ش، به صراحت آمده است که شرط پذیرش اشخاص حقیقی به کارگزاری بورس، افزون بر شرایط دیگر، دارا بودن تابعیت ایران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محرومیت بیگانگان از حق تشکیل شرکت و مؤسسه در امور تجاری، صنعتی، کشاورزی، معادن و خدمات، در اصل هشتادویکم قانون اساسی جمهوری اسلامی با این عبارت بازتاب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امتیاز تشکیل شرکت‌ها و مؤسسّه‌ها در امور تجارتی و صنعتی و کشاورزی و معادن و خدمات به خارجیان مطلقاً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مندرج در این اصل، مطلق است و قابل چشم‌پوشی نیست و با وضع قانون عادی نمی‌توان در هیچ‌یک از زمینه‌های قیدشده، برای بیگانه حق تشکیل شرکت و مؤسسه قائل شد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بازتاب محروم بودن بیگانگان از حقی معین در قوانین مربوط به آن، به‌طور ضمنی باشد؛ مانند محرومیت آنان از مالکیت زمین‌های کشاورزی؛ و</w:t>
      </w:r>
    </w:p>
    <w:p>
      <w:pPr>
        <w:pStyle w:val="BookText"/>
        <w:rPr/>
      </w:pPr>
      <w:r>
        <w:rPr>
          <w:rFonts w:ascii="IRNazanin" w:hAnsi="IRNazanin" w:eastAsia="IRNazanin"/>
          <w:color w:val="111111"/>
          <w:sz w:val="28"/>
          <w:sz w:val="28"/>
          <w:szCs w:val="28"/>
          <w:rtl w:val="true"/>
          <w:lang w:bidi="fa-IR"/>
        </w:rPr>
        <w:t xml:space="preserve">نیز ممکن است در مواردی قانون‌گذار به جای محروم ساختن بیگانگان از حقی معین، بهره‌مند بودن آنها را از آن حق، تابع شرایط معینی قرار داده یا محدود کرده باشد؛ چنان‌که در دو ماده چهارم و چهل‌وچهارم قانون ثبت علائم و اختراعات، تصویب شده اول تیرماه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ش، بهره‌مند شدن اتباع بیگانه از مزایای آن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ثبت علائم تجاری یا اختراع خود در ایران مبادرت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عهدنامه یا رفتار متقابل مشروط شده است و یا حق مالکیت بیگانگان نسبت به املاک واقع‌شده در ایران، افزون بر دیگر شرایط، به املاکی محدود شده که برای سکونت یا کسب و یا صنعت خود به مالکیت آنها نیاز دارند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مربوط به احوال شخصی که قانون دولت مورد تابعیت بیگانه، آن را نپذیرفته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ماده هفتم قانون مدنی، اتباع بیگانه مقیم ایران از نظر مسائل مربوط به احوال شخصیه و اهلیت خود و همچنین حقوق ارثیه، در چارچوب معاهده‌ها، از قوانین و مقررات دولت مورد تابعیت خود پیروی خواهند کرد؛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طلاق یا حقّ داشتن همسران متعدّد که ممکن است مورد پذیرش قانون دولت بیگانه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قانون مورد تابعیت بیگانه در مورد احوال شخصیه با قانون ایران یکسان باشد، حقوق بیگانگان در ایران با حقوق اتباع آن یکسان خواهد بود</w:t>
      </w:r>
      <w:r>
        <w:rPr>
          <w:rFonts w:eastAsia="IRNazanin" w:cs="IRNazanin"/>
          <w:color w:val="111111"/>
          <w:sz w:val="28"/>
          <w:szCs w:val="28"/>
          <w:rtl w:val="true"/>
          <w:lang w:bidi="fa-IR"/>
        </w:rPr>
        <w:t>.</w:t>
      </w:r>
      <w:r>
        <w:rPr>
          <w:rStyle w:val="FootnoteAnchor"/>
          <w:rtl w:val="true"/>
        </w:rPr>
        <w:footnoteReference w:id="36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بند یادشده، انگیزه قانون‌گذار ایرانی در نپذیرفتن حقوق اتباع بیگانه، بیش از حقوق شناخته‌شده در قانون دولت مورد تابعیت خودشان، نخست این است که از تقلّب احتمالی نسبت به قانون جلوگیری شود و سپس اینکه به این 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به لحاظ احوال شخصیه، تابع قانون دولت متبوع خود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w:t>
      </w:r>
    </w:p>
    <w:p>
      <w:pPr>
        <w:pStyle w:val="BookText"/>
        <w:rPr/>
      </w:pPr>
      <w:r>
        <w:rPr>
          <w:rFonts w:ascii="IRNazanin" w:hAnsi="IRNazanin" w:eastAsia="IRNazanin"/>
          <w:color w:val="111111"/>
          <w:sz w:val="28"/>
          <w:sz w:val="28"/>
          <w:szCs w:val="28"/>
          <w:rtl w:val="true"/>
          <w:lang w:bidi="fa-IR"/>
        </w:rPr>
        <w:t>کرده باشد؛ زیرا قانون‌گذار ایرانی در مواد ششم و هفتم قانون پذیرفته است که اشخاص ایرانی و اتباع خارجی از نظر احوال شخصیه، تابع قانون کشور مورد تابعیت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در صورتی که اجرای حقوق پیش‌بینی شده در قانون کشور بیگانه، در ایران با نظم عمومی یا اخلاق حسنه مخالف باشد، بیگانگان نیز از آن حقوق محروم خواهند 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ازاین‌رو، هرگاه قانون دولت بیگانه حقّ طلاق را نشناخته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حالتی که به سبب نبودن معاهده‌ای باید قانون ایران نسبت به شخص خارجی اجرا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نمی‌تواند در ایران از این حق استفاده کند و همسر خود را طلاق دهد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ویژه‌ای که فقط از نقطه‌نظر جامعه ایرانی ایجاد شده باشند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ممکن است هر جامعه‌ای برای اعضای خود، حقوق خاصی وضع کند که بیگانگان نتوانند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بند، بیگانگان از حقوق ویژه‌ای که فقط از نظر جامعه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ملاحظه اقتضای زندگی اجتماعی ایرانیان و حقوق و تکالیف آنها نسبت به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بند، چگونگی تمایز این نوع حقوق بیان نشده است؛ ولی به نظر می‌رسد تعیین این نوع حقوق به تصریح قانون‌گذار، رویه‌های قضایی و دکترین‌های حقوقی بستگی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زیر می‌تواند بخشی از حقوق مخصوص جامعه ایرانی به‌شمار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شرعی و قانونی منع پرداخت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اصل چهل‌وسوّم قانون اساسی</w:t>
      </w:r>
      <w:bookmarkStart w:id="632" w:name="pg5888_36295"/>
    </w:p>
    <w:p>
      <w:pPr>
        <w:pStyle w:val="BookText"/>
        <w:rPr/>
      </w:pPr>
      <w:bookmarkEnd w:id="632"/>
      <w:r>
        <w:rPr>
          <w:rFonts w:ascii="IRNazanin" w:hAnsi="IRNazanin" w:eastAsia="IRNazanin"/>
          <w:color w:val="111111"/>
          <w:sz w:val="28"/>
          <w:sz w:val="28"/>
          <w:szCs w:val="28"/>
          <w:rtl w:val="true"/>
          <w:lang w:bidi="fa-IR"/>
        </w:rPr>
        <w:t xml:space="preserve">جمهوری اسلامی ایران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اتباع ایرانی می‌شود و اتباع خارجی نمی‌توانند با استناد به آن از پرداخت بهره به اتباع ایرانی خودداری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قیم شدن را یک حق تلقّی کنیم، فقط فرد دارای تابعیت ایرانی می‌تواند قیم محجور ایرانی باشد و بیگانه از این حق محروم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گفته شود حق درخواست طلاق زن از دادگاه به علت خودداری یا ناتوانی شوهر از پرداخت نفقه، برای زن برخوردار از تابعیت ایران در نظر گرفته شده است و زن بیگانه از این حق محروم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دریافت شفعه موضوع مواد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از جمله حقوق اتباع ایرانی است و اتباع بیگانه از آن بهره‌مند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دسته از قوانین که امتیازهایی را برای یک قشر خاص از جامعه ایرانی قائل می‌شوند؛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که در قانون روابط موجر و مستأجر، به لحاظ مدّت اجاره و یا میزان آن برای مستأجرها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داشتن حق دریافت وام مسکن از بانک‌ها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قشر خاصی از جامعه تخصیص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از موارد حقوق ویژه جامعه ایرانی دانست</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633" w:name="__RefHeading___Toc5261640_581953129"/>
      <w:bookmarkStart w:id="634" w:name="_Toc248"/>
      <w:bookmarkEnd w:id="633"/>
      <w:r>
        <w:rPr/>
        <w:t>2</w:t>
      </w:r>
      <w:r>
        <w:rPr>
          <w:rtl w:val="true"/>
        </w:rPr>
        <w:t xml:space="preserve">- </w:t>
      </w:r>
      <w:r>
        <w:rPr>
          <w:rtl w:val="true"/>
        </w:rPr>
        <w:t>حقوق تصریح شده برای بیگانگان</w:t>
      </w:r>
      <w:bookmarkEnd w:id="634"/>
    </w:p>
    <w:p>
      <w:pPr>
        <w:pStyle w:val="BookText"/>
        <w:rPr/>
      </w:pPr>
      <w:r>
        <w:rPr>
          <w:rFonts w:ascii="IRNazanin" w:hAnsi="IRNazanin" w:eastAsia="IRNazanin"/>
          <w:color w:val="111111"/>
          <w:sz w:val="28"/>
          <w:sz w:val="28"/>
          <w:szCs w:val="28"/>
          <w:rtl w:val="true"/>
          <w:lang w:bidi="fa-IR"/>
        </w:rPr>
        <w:t xml:space="preserve">قانون‌گذار ایرانی در موارد محدود، حقوقی را به‌طور انحصاری برای بیگانگان شناخته است که از آن جمله، حق اجرای عقد ازدواج بیگانگان به‌وسیله مأموران سیاسی یا کنسولی دولت مورد تابعیت خود است؛ چنان‌که ماده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دراین‌باره می‌گوید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سیاسی یا کنسولی دول خارجه در ایران وقتی می‌توانند به اجرای</w:t>
      </w:r>
      <w:bookmarkStart w:id="635" w:name="pg5888_36296"/>
    </w:p>
    <w:p>
      <w:pPr>
        <w:pStyle w:val="BookText"/>
        <w:rPr/>
      </w:pPr>
      <w:bookmarkEnd w:id="635"/>
      <w:r>
        <w:rPr>
          <w:rFonts w:ascii="IRNazanin" w:hAnsi="IRNazanin" w:eastAsia="IRNazanin"/>
          <w:color w:val="111111"/>
          <w:sz w:val="28"/>
          <w:sz w:val="28"/>
          <w:szCs w:val="28"/>
          <w:rtl w:val="true"/>
          <w:lang w:bidi="fa-IR"/>
        </w:rPr>
        <w:t>عقد نکاح مبادرت کنند که طرفین عقد، هر دو، تبعه دولت متبوع آنها بوده و قوانین دولت مزبور نیز این اجازه را به آنها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درهرحال، نکاح باید در دفاتر سجل احوال ثبت شود</w:t>
      </w:r>
      <w:r>
        <w:rPr>
          <w:rFonts w:eastAsia="IRNazanin" w:cs="IRNazanin"/>
          <w:color w:val="111111"/>
          <w:sz w:val="28"/>
          <w:szCs w:val="28"/>
          <w:rtl w:val="true"/>
          <w:lang w:bidi="fa-IR"/>
        </w:rPr>
        <w:t>.</w:t>
      </w:r>
    </w:p>
    <w:p>
      <w:pPr>
        <w:pStyle w:val="Heading3"/>
        <w:numPr>
          <w:ilvl w:val="2"/>
          <w:numId w:val="1"/>
        </w:numPr>
        <w:rPr/>
      </w:pPr>
      <w:bookmarkStart w:id="636" w:name="__RefHeading___Toc5261642_581953129"/>
      <w:bookmarkStart w:id="637" w:name="_Toc249"/>
      <w:bookmarkEnd w:id="636"/>
      <w:r>
        <w:rPr/>
        <w:t>3</w:t>
      </w:r>
      <w:r>
        <w:rPr>
          <w:rtl w:val="true"/>
        </w:rPr>
        <w:t xml:space="preserve">- </w:t>
      </w:r>
      <w:r>
        <w:rPr>
          <w:rtl w:val="true"/>
        </w:rPr>
        <w:t>برخی دیگر از حقوق خصوصی اشخاص حقیقی بیگانه در ایران</w:t>
      </w:r>
      <w:bookmarkEnd w:id="637"/>
    </w:p>
    <w:p>
      <w:pPr>
        <w:pStyle w:val="Heading4"/>
        <w:numPr>
          <w:ilvl w:val="3"/>
          <w:numId w:val="1"/>
        </w:numPr>
        <w:rPr/>
      </w:pPr>
      <w:bookmarkStart w:id="638" w:name="__RefHeading___Toc5261644_581953129"/>
      <w:bookmarkStart w:id="639" w:name="_Toc250"/>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 xml:space="preserve">با چشم‌پوشی از سه مورد استثنایی یادشده در ماده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اتباع بیگانه از کلیه حقوق مدنی و خصوصی در ایران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یادشده، با معاهده‌های سیاسی، قانون به‌طور مطلق، در حدود معاهده‌ها و یا به شرط معامله متقابل برای آنها پیش‌بینی شده‌اند</w:t>
      </w:r>
      <w:r>
        <w:rPr>
          <w:rFonts w:eastAsia="IRNazanin" w:cs="IRNazanin"/>
          <w:color w:val="111111"/>
          <w:sz w:val="28"/>
          <w:szCs w:val="28"/>
          <w:rtl w:val="true"/>
          <w:lang w:bidi="fa-IR"/>
        </w:rPr>
        <w:t>:</w:t>
      </w:r>
    </w:p>
    <w:p>
      <w:pPr>
        <w:pStyle w:val="Heading4"/>
        <w:numPr>
          <w:ilvl w:val="3"/>
          <w:numId w:val="1"/>
        </w:numPr>
        <w:rPr/>
      </w:pPr>
      <w:bookmarkStart w:id="640" w:name="__RefHeading___Toc5261646_581953129"/>
      <w:bookmarkStart w:id="641" w:name="_Toc251"/>
      <w:bookmarkEnd w:id="640"/>
      <w:r>
        <w:rPr>
          <w:rtl w:val="true"/>
        </w:rPr>
        <w:t>الف</w:t>
      </w:r>
      <w:r>
        <w:rPr>
          <w:rtl w:val="true"/>
        </w:rPr>
        <w:t xml:space="preserve">) </w:t>
      </w:r>
      <w:r>
        <w:rPr>
          <w:rtl w:val="true"/>
        </w:rPr>
        <w:t>احترام به مالکیت های معنوی بیگانگان و حمایت از آن</w:t>
      </w:r>
      <w:bookmarkEnd w:id="641"/>
    </w:p>
    <w:p>
      <w:pPr>
        <w:pStyle w:val="BookText"/>
        <w:rPr/>
      </w:pPr>
      <w:r>
        <w:rPr>
          <w:rFonts w:ascii="IRNazanin" w:hAnsi="IRNazanin" w:eastAsia="IRNazanin"/>
          <w:color w:val="111111"/>
          <w:sz w:val="28"/>
          <w:sz w:val="28"/>
          <w:szCs w:val="28"/>
          <w:rtl w:val="true"/>
          <w:lang w:bidi="fa-IR"/>
        </w:rPr>
        <w:t>همان‌طور که باید از حق مالکیت دارایی‌های منقول و غیرمنقول بیگانگان حمایت کرد، مالکیت‌های معنوی آنها نظیر حقّ داشتن علائم تجاری و صنعتی، ثبت اختراع و اکتشاف، و مالکیت ادبی و هنری نیز باید محترم شمرده شده، مورد حمایت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قانون‌گذار ایرانی در ماده سوّم ثبت علائم و اختراعات</w:t>
      </w:r>
      <w:r>
        <w:rPr>
          <w:rStyle w:val="FootnoteAnchor"/>
          <w:rtl w:val="true"/>
        </w:rPr>
        <w:footnoteReference w:id="369"/>
      </w:r>
      <w:r>
        <w:rPr>
          <w:rFonts w:ascii="IRNazanin" w:hAnsi="IRNazanin" w:eastAsia="IRNazanin"/>
          <w:color w:val="111111"/>
          <w:sz w:val="28"/>
          <w:sz w:val="28"/>
          <w:szCs w:val="28"/>
          <w:rtl w:val="true"/>
          <w:lang w:bidi="fa-IR"/>
        </w:rPr>
        <w:t xml:space="preserve">کسانی را که در ایران دارای مؤسسّه‌های تجاری، صنعتی یا کشاورزی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اتباع داخلی یا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علائم تجاری آن مؤسسّه‌ها از شرایط زیر برخوردار باشد، از مزایای این قانون بهره‌مند خواهند شد؛ امّا کسانی که مؤسسّه‌های آنان در خارج از ایران قرار دارد، برابر ماده چهارم، با شرایط زیر می‌توانند از مزایای این قانون بهره‌مند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خود را به موجب مقررات این قانون در ایران به ثبت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کشوری که مؤسسه آنها در آنجا قرار گرفته است، با عهدنامه و یا قوانین داخلی خود از علائم تجاری ایران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قانون‌گذار ایرانی در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 علائم و اختراعات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قسم اکتشاف یا اختراع جدید در شعب مختلف صنعتی یا فلاحتی، به کاشف یا مخترع آن حق انحصاری می‌دهد که بر طبق شرایط و در مدّت مقرر در این قانون از اکتشاف یا اختراع خود استفاده کند؛ مشروط بر اینکه اکتشاف یا اختراع مزبور، مطابق مقررات این قانون در اداره ثبت اسناد تهران به ثبت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که در این مورد اداره ثبت اسناد تهران می‌دهد، ورقه اختراع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ماده سی‌ام این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مخترعی که در خارج ایران برای اختراع خود مطابق قوانین محل، تحصیل ورقه اختراع کرده، می‌تواند در صورتی که مدّت ورقه مزبور منقضی نشده باشد، در ایران نیز برای بقیه آن مدّت، تقاضای ورقه اختراع کند؛ لیکن اگر اختراع مزبور را کسی یا مؤسسه‌ای در ایران قبل از تقاضای ثبت اختراع کلاً یا جزءاً به موقع عمل یا استفاده گذارده و یا مقدمات استفاده آن را تهیه کرده باشد، مخترع نمی‌تواند از عملیات آن شخص یا مؤسسه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احترام به مالکیت ادبی و هنری بیگانگان و حمایت از آن، قانون حمایت از حقوق مؤلّفان، مصنّفان و هنرمندان</w:t>
      </w:r>
      <w:r>
        <w:rPr>
          <w:rStyle w:val="FootnoteAnchor"/>
          <w:rtl w:val="true"/>
        </w:rPr>
        <w:footnoteReference w:id="370"/>
      </w:r>
      <w:r>
        <w:rPr>
          <w:rFonts w:ascii="IRNazanin" w:hAnsi="IRNazanin" w:eastAsia="IRNazanin"/>
          <w:color w:val="111111"/>
          <w:sz w:val="28"/>
          <w:sz w:val="28"/>
          <w:szCs w:val="28"/>
          <w:rtl w:val="true"/>
          <w:lang w:bidi="fa-IR"/>
        </w:rPr>
        <w:t>بدون هیچ تفاوتی بین اتباع ایرانی و خارجی در ماده نخست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این قانون، به مؤلّف و مصنّف و هنرمند، پدیدآورنده و به آنچه از راه دانش یا هنر و یا ابتکار آن پدید می‌آید، بدون در نظر گرفتن طریقه یا روشی که در بیان و یا ظهور و یا ایجاد آن به کار رفته، اثر اطلاق می‌شود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ماده دوّم این قانون، آثار مورد حمایت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جزوه، شعر و</w:t>
      </w:r>
      <w:bookmarkStart w:id="642" w:name="pg5888_36298"/>
    </w:p>
    <w:p>
      <w:pPr>
        <w:pStyle w:val="BookText"/>
        <w:rPr/>
      </w:pPr>
      <w:bookmarkEnd w:id="642"/>
      <w:r>
        <w:rPr>
          <w:rFonts w:ascii="IRNazanin" w:hAnsi="IRNazanin" w:eastAsia="IRNazanin"/>
          <w:color w:val="111111"/>
          <w:sz w:val="28"/>
          <w:sz w:val="28"/>
          <w:szCs w:val="28"/>
          <w:rtl w:val="true"/>
          <w:lang w:bidi="fa-IR"/>
        </w:rPr>
        <w:t xml:space="preserve">سرود، موسیقی، نقاشی و پیکره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معماری، اثر عکاسی، اثر ابتکاری و اثر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ماده سوّم این قانون، حقوق پدیدآورنده شامل حق انحصاری نشر، پخش، عرضه و اجرای اثر و نیز بهره‌برداری مادی و معنوی از نام و اثر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ماده چهارم قانون یادشده، حقوق معنوی پدیدآورنده، به زمان و مکان محدود نیست، انتقال‌پذیر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حقوق معنوی پدیدآورنده در همه کشورها محترم است و مورد حمایت قانونی قرار می‌گیرد؛ خواه حقوق مزبور برای نخستین بار در آن کشور منتشر شده یا نشده باشد</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643" w:name="__RefHeading___Toc5261648_581953129"/>
      <w:bookmarkStart w:id="644" w:name="_Toc252"/>
      <w:bookmarkEnd w:id="643"/>
      <w:r>
        <w:rPr>
          <w:rtl w:val="true"/>
        </w:rPr>
        <w:t>ب</w:t>
      </w:r>
      <w:r>
        <w:rPr>
          <w:rtl w:val="true"/>
        </w:rPr>
        <w:t xml:space="preserve">) </w:t>
      </w:r>
      <w:r>
        <w:rPr>
          <w:rtl w:val="true"/>
        </w:rPr>
        <w:t>پذیرش رهن از سوی بیگانگان</w:t>
      </w:r>
      <w:bookmarkEnd w:id="644"/>
    </w:p>
    <w:p>
      <w:pPr>
        <w:pStyle w:val="BookText"/>
        <w:rPr/>
      </w:pPr>
      <w:r>
        <w:rPr>
          <w:rFonts w:ascii="IRNazanin" w:hAnsi="IRNazanin" w:eastAsia="IRNazanin"/>
          <w:color w:val="111111"/>
          <w:sz w:val="28"/>
          <w:sz w:val="28"/>
          <w:szCs w:val="28"/>
          <w:rtl w:val="true"/>
          <w:lang w:bidi="fa-IR"/>
        </w:rPr>
        <w:t xml:space="preserve">در مورد معاملات با حق استرداد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بیع شرط و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خارجی، تحصیل اجازه مخصوص از اداره ثبت محل لازم نیست و باید مثل معاملات اتباع داخلی، وضعیت ثبتی ملک، استعلام و خلاصه معامله به اداره ثبت ارسال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قانون دفاتر رسمی</w:t>
      </w:r>
      <w:r>
        <w:rPr>
          <w:rFonts w:eastAsia="IRNazanin" w:cs="IRNazanin"/>
          <w:color w:val="111111"/>
          <w:sz w:val="28"/>
          <w:szCs w:val="28"/>
          <w:rtl w:val="true"/>
          <w:lang w:bidi="fa-IR"/>
        </w:rPr>
        <w:t>).</w:t>
      </w:r>
    </w:p>
    <w:p>
      <w:pPr>
        <w:pStyle w:val="Heading4"/>
        <w:numPr>
          <w:ilvl w:val="3"/>
          <w:numId w:val="1"/>
        </w:numPr>
        <w:rPr/>
      </w:pPr>
      <w:bookmarkStart w:id="645" w:name="__RefHeading___Toc5261650_581953129"/>
      <w:bookmarkStart w:id="646" w:name="_Toc253"/>
      <w:bookmarkEnd w:id="645"/>
      <w:r>
        <w:rPr>
          <w:rtl w:val="true"/>
        </w:rPr>
        <w:t>ج</w:t>
      </w:r>
      <w:r>
        <w:rPr>
          <w:rtl w:val="true"/>
        </w:rPr>
        <w:t xml:space="preserve">) </w:t>
      </w:r>
      <w:r>
        <w:rPr>
          <w:rtl w:val="true"/>
        </w:rPr>
        <w:t>به دست آوردن و تصرف و نقل و انتقال دارایی های منقول اتباع آلمانی</w:t>
      </w:r>
      <w:bookmarkEnd w:id="64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قرارداد اقامت بین دولت ایران و آلمان، تصویب شده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اتباع هریک از دو طرف معاهده حق دارند با پیروی از قوانین و مقررات جاری در خاک طرف متعاهد دیگر، هرگونه حقوق و دارایی‌منقولی را به دست آوردند، تصرف و نقل و انتقال کنند و یا به معرض فروش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حقوق و دارایی‌های غیرمنقول نیز با آنها مانند اتباع دولت کامله‌الوداد رفتار می‌شود</w:t>
      </w:r>
      <w:r>
        <w:rPr>
          <w:rFonts w:eastAsia="IRNazanin" w:cs="IRNazanin"/>
          <w:color w:val="111111"/>
          <w:sz w:val="28"/>
          <w:szCs w:val="28"/>
          <w:rtl w:val="true"/>
          <w:lang w:bidi="fa-IR"/>
        </w:rPr>
        <w:t>.</w:t>
      </w:r>
      <w:r>
        <w:rPr>
          <w:rStyle w:val="FootnoteAnchor"/>
          <w:rtl w:val="true"/>
        </w:rPr>
        <w:footnoteReference w:id="372"/>
      </w:r>
      <w:bookmarkStart w:id="647" w:name="pg5888_36299"/>
    </w:p>
    <w:p>
      <w:pPr>
        <w:pStyle w:val="Heading4"/>
        <w:numPr>
          <w:ilvl w:val="3"/>
          <w:numId w:val="1"/>
        </w:numPr>
        <w:rPr/>
      </w:pPr>
      <w:bookmarkStart w:id="648" w:name="__RefHeading___Toc5261652_581953129"/>
      <w:bookmarkStart w:id="649" w:name="_Toc254"/>
      <w:bookmarkEnd w:id="647"/>
      <w:bookmarkEnd w:id="648"/>
      <w:r>
        <w:rPr>
          <w:rtl w:val="true"/>
        </w:rPr>
        <w:t>د</w:t>
      </w:r>
      <w:r>
        <w:rPr>
          <w:rtl w:val="true"/>
        </w:rPr>
        <w:t xml:space="preserve">) </w:t>
      </w:r>
      <w:r>
        <w:rPr>
          <w:rtl w:val="true"/>
        </w:rPr>
        <w:t>مالک شدن دارایی های غیرمنقول از سوی اتباع بیگانه</w:t>
      </w:r>
      <w:bookmarkEnd w:id="649"/>
    </w:p>
    <w:p>
      <w:pPr>
        <w:pStyle w:val="BookText"/>
        <w:rPr/>
      </w:pPr>
      <w:r>
        <w:rPr>
          <w:rFonts w:ascii="IRNazanin" w:hAnsi="IRNazanin" w:eastAsia="IRNazanin"/>
          <w:color w:val="111111"/>
          <w:sz w:val="28"/>
          <w:sz w:val="28"/>
          <w:szCs w:val="28"/>
          <w:rtl w:val="true"/>
          <w:lang w:bidi="fa-IR"/>
        </w:rPr>
        <w:t>مالک شدن دارایی‌های غیرمنقول، از حقوق خصوصی است که به شرط معامله متقابل، در قانون برای بیگانگان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مالکیت اتباع بیگانه مورخ </w:t>
      </w:r>
      <w:r>
        <w:rPr>
          <w:rFonts w:eastAsia="IRNazanin" w:cs="IRNazanin"/>
          <w:color w:val="111111"/>
          <w:sz w:val="28"/>
          <w:szCs w:val="28"/>
          <w:lang w:bidi="fa-IR"/>
        </w:rPr>
        <w:t>1328/5/25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خارجیان اجازه می‌دهد که در ایران جایی را برای سکونت، صنعت و یا کسب، به مالکیت خود درآورند و در بین شرایطی که برای این امر در نظر گرفته شده است، افزون بر بیان این نکته که تقاضا مخالف مقررات عهدی یا قوانین و نظم عمومی ایران نباشد،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متبوع متقاضی، اتباع و شرکت‌ها و مؤسسّه‌ها ایرانی هم حق مالک شدن داشته و بتوانند لااقل همان مقدار ملک را عملاً تحصیل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قانون‌گذار دراین‌باره نوعی رفتار متقابل عملی را شرط کرده است</w:t>
      </w:r>
      <w:r>
        <w:rPr>
          <w:rFonts w:eastAsia="IRNazanin" w:cs="IRNazanin"/>
          <w:color w:val="111111"/>
          <w:sz w:val="28"/>
          <w:szCs w:val="28"/>
          <w:rtl w:val="true"/>
          <w:lang w:bidi="fa-IR"/>
        </w:rPr>
        <w:t>.</w:t>
      </w:r>
      <w:r>
        <w:rPr>
          <w:rStyle w:val="FootnoteAnchor"/>
          <w:rtl w:val="true"/>
        </w:rPr>
        <w:footnoteReference w:id="373"/>
      </w:r>
    </w:p>
    <w:p>
      <w:pPr>
        <w:pStyle w:val="Heading4"/>
        <w:numPr>
          <w:ilvl w:val="3"/>
          <w:numId w:val="1"/>
        </w:numPr>
        <w:rPr/>
      </w:pPr>
      <w:bookmarkStart w:id="650" w:name="__RefHeading___Toc5261654_581953129"/>
      <w:bookmarkStart w:id="651" w:name="_Toc255"/>
      <w:bookmarkEnd w:id="650"/>
      <w:r>
        <w:rPr>
          <w:rtl w:val="true"/>
        </w:rPr>
        <w:t>ه</w:t>
      </w:r>
      <w:r>
        <w:rPr>
          <w:rtl w:val="true"/>
        </w:rPr>
        <w:t xml:space="preserve">) </w:t>
      </w:r>
      <w:r>
        <w:rPr>
          <w:rtl w:val="true"/>
        </w:rPr>
        <w:t>احوال شخصیه بیگانگان</w:t>
      </w:r>
      <w:bookmarkEnd w:id="651"/>
    </w:p>
    <w:p>
      <w:pPr>
        <w:pStyle w:val="BookText"/>
        <w:rPr/>
      </w:pPr>
      <w:r>
        <w:rPr>
          <w:rFonts w:ascii="IRNazanin" w:hAnsi="IRNazanin" w:eastAsia="IRNazanin"/>
          <w:color w:val="111111"/>
          <w:sz w:val="28"/>
          <w:sz w:val="28"/>
          <w:szCs w:val="28"/>
          <w:rtl w:val="true"/>
          <w:lang w:bidi="fa-IR"/>
        </w:rPr>
        <w:t xml:space="preserve">گاهی قانون برای بیگانگان، حقوقی خصوصی پیش‌بینی می‌کند که فقط در حدود معاهده‌ها می‌توانند از آن استفاده کنند؛ برای نمونه، در مورد احوال شخصیه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و 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ماده هفتم قانون مدنی، اتباع خارجه مقیم در خاک ایران، از حیث مسائل مربوط به احوال شخصیه و اهلیت خود و همچنین حقوق ارثیه، در حدود معاهدات، مطیع قوانین و مقررات دولت متبوع خود خواهند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قانون‌گذار ایرانی، ازآنجاکه قوانین شخصی برای حمایت از افراد وضع شده‌اند، نباید با تغییر محل شخص تغییر کنند و باید تا حد امکان، ثابت و مداوم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 ایران برخلاف بعضی از کشورهای دیگر که احوال شخصی را تابع قانون اقامتگاه می‌دانند، احوال شخصی بیگانگان را در حدود معاهده‌ها، تابع قانون دولت مورد تابعیت آنها می‌داند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تشخیص اهلیت بیگانه برای انجام معامله نیز به‌طور کلّی، قانون دولت مورد تابعیت وی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موضوع یادشده در ماده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که به موجب آن، هرگاه خارجی در ایران عمل حقوقی انجام دهد و مطابق قانون دولت متبوع خود، واجد اهلیت برای انجام آن عمل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درحالی‌که مطابق قانون ایران دارای اهلیت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اهلیت برخوردار بوده و عمل وی صحیح و نافذ تشخیص داده می‌شود، چنانچه سن قانونی برای انجام معامله، برابر قانون دولت بیگانه بیست‌ویک سال باشد و تبعه آن کشور که در ایران به انجام معامله‌ای اقدام می‌کند هجده سال داشته باشد، این معامله صحیح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حقوق بین‌الملل خصوصی، این اصل مورد تأکید قرار گرفته است که اتباع بیگانه می‌توانند از تمام حقوق مدنی بهره‌مند شوند؛ مگر در مواردی که استثنا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بیگانگان دست‌کم در سه مورد، از برخی حقوق خصوصی که برای ایرانیان وجود دارد، محرومند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حقوق خصوصی برای بیگانگان مورد تصریح و تأکید قرار گرفته است که از آن جمله، می‌توان حق اجرای عقد ازدواج بیگانگان به‌وسیله مأموران سیاسی و کنسولی دولت مورد تابعیت خود را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موردی حقوق خصوصی بیگانگان در ایران، در حدود معاهده‌های دو جانبه یا به شرط معامله متقابل برای آنها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یا قاعده‌ای را که درباره بهره‌مندی بیگانگان از حقوق خصوصی وجود دارد بیان کرده،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دست‌کم سه مورد از استثناهای اصل فوق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دست‌کم چهار مورد از مهم‌ترین حقوق خصوصی را که از نظر حقوق ایران برای بیگانگان وجود دارد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قوانین داخلی را درباره شناخت حقوق بیگانگان توضیح داده، برخی از قوانین ایران را دراین‌باره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پیرامون مالکیت بیگانگان در ایران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آگاهی از شرایط، محدودیت‌ها و دیگر ضوابط تملّک اموال غیرمنقول از سوی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در این زمینه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آیین‌نامه مالک شدن اتباع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بهشید ارفع‌نیا، حقوق بین‌الملل خصوصی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محمود سلجوقی، بایسته‌های حقوق بین‌الملل خصوصی ، ص</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تطبیقی وضعیت حقوق خصوصی اشخاص حقیقی بیگانه در ایران و دیگر کشورها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پژوهش، مقایسه تطبیقی قوانین ایران با دیگر کشورها پیرامون حقوق خصوصی اتباع خارجی است تا در نهایت روشن شود کدام‌یک از کشورها بیشترین حقوق خصوصی را برای اتباع بیگانه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کلّی این است که بیگانگان در ایران از حقوق خصوصی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هستند؛ مگر در مواردی که قانون حقوق خصوصی به آنها اعطا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دولت متبوع بیگانه، ایرانیان مقیم آن کشور را از حقوق خصوصی محروم کند، رفتار متقابل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می‌شوند؛ مگر در مواردی که قانون استثنا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ایران، بیگانه از حق شفعه محروم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شفعه از جمله حقوقی است که قانون به صراحت آن را به اتباع ایران منحصر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شفعه از جمله حقوقی است که قانون به صراحت آن را از اتباع خارجه سلب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شفعه از جمله حقوق مربوط به احوال شخصیه است که قانون دولت متبوع بیگانه، آن را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شفعه از حقوق ویژه‌ای است که فقط از نقطه‌نظر جامعه ایرانی ایجاد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ایران سلب مالکیت از بیگانگان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پرداخت غرامت عادله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رفتار متقابل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اجرای عقد ازدواج اتباع بیگانه به‌وسیله مأمورین سیاسی یا کنسولی دولت مورد تابعیت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حقوقی است که به موجب معاهده‌ها، برای اتباع بیگانه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حقوقی است که به موجب شرط رفتار متقابل، برای اتباع بیگانه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حقوقی است که به موجب شرط رفتار متقابل عملی، برای اتباع بیگانه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حقوقی است که به موجب قوانین، برای اتباع بیگانه شناخته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شناسایی اشخاص حقوقی حقوق خصوصی در ایران، بر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تکالیفشان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شرکای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آنها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انحصاری استفاده از برگه اختراع، در چه صورتی به اتباع بیگانه اعطا می‌شود؟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رفتار متقابل سیاسی</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رفتار متقابل عملی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رفتار متقابل قانون‌گذاری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از کدام حقوق فقط به اتباع ایران تخصیص داده شده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عمومی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خصوصی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بیگانگان از لحاظ بهره‌مند شدن یا نشدن از حقوق عمومی غیرسیاسی به چه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حقوق عمومی غیرسیاسی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حقوق عمومی غیرسیاسی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از حقوق عمومی غیرسیاسی بهره‌مند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حقوق عمومی غیرسیاسی بهره‌مند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بیگانگان از لحاظ بهره‌مندی از حقوق خصوصی به چه صورتی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حقوق خصوصی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حقوق خصوصی بهره‌مند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حقوق خصوصی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کلیه حقوق خصوصی بهره‌مند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مراجعه خارجیان به دادگاه‌های ایران جزء کدام حقوق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غیرسیاسی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مخصوصه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مدنی 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فقط از نقطه‌نظر جامعه ایرانی ایجاد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ازدواج با ایرانیان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اشتغال به مشاغل سیاسی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به دادگاه ایران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متقابل تقنینی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متقابل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نسبتی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هر دو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رفتار متقابل تقنینی دشوار و اثبات رفتار متقابل سیاسی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متقابل تقنینی، خاص و رفتار متقابل سیاسی،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متقابل تقنینی، عام و رفتار متقابل سیاسی،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رفتار متقابل سیاسی با رفتار متقابل عملی چه رابطه‌ای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هر دو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رفتار متقابل سیاسی، دشوار و اثبات رفتار متقابل عملی،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هر دو آسان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رفتار متقابل سیاسی، آسان و اثبات رفتار متقابل عملی، دشوار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کدام دسته از حقوق، اصل بر عدم بهره‌مندی خارجیان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غیرسیاسی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سیاسی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احوال شخصیه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معامله کردن، جزء کدام دسته از حقوق خارجیان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غیرسیاسی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احوال شخصیه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مخصوصه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موضوع وضعیت حقوقی اتباع بیگانه در ایران،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استثنایی، بیگانگان در ایران از برخی حقوق مدنی همچون حقوق مخصوصه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استثنایی، بیگانگان در ایران از حقوق مدنی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کلّی این است که بیگانگان در ایران از همه حقوق مدنی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کلّی این است که بیگانگان در ایران فقط از حقوق مخصوصه بهره‌مند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اتباع بیگانه برای کار کردن در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وزارت خارجه پروانه کار دریافت کنند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پروانه کار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وزارت کار و امور اجتماعی پروانه کار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برای مدّت پنج‌سال به پروانه کار نیاز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خروج ترک‌کننده تابعیت ایران از این کشور، وضعیت ورود دوباره او به ایران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محدودیت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پیش از ترک تابعیت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وارد ایران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ورود به ایران باید تابعیت ایران را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به‌عنوان بیگانه وارد ایران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نمی‌تواند وارد ایران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بیگانگان در ایران از لحاظ حقوق سیاسی، طبق قاعده‌ای که در همه کشورها پذیرفته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امتیازی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رفتار متقابل کشورشان با اتباع ایران، از امتیاز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مشروط و محدود از امتیازاتی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حدی که در کشور خود حقوق سیاسی دارند، از امتیازاتی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وضع حقوقی خارجیان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استیفای خارجیان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تملّک دارایی خارجیان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ماهوی</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شکلی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گزینه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خارجی در ایران می‌توانند هر ملک غیرمنقولی را که می‌خواهند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خارجی در ایران در صورت کسب اجازه مالکیت می‌توانند یک منزل مسکونی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خارجی در ایران به هیچ صورت نمی‌توانند دارایی غیرمنقول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خارجی در ایران به شرط رفتار متقابل می‌توانند یک منزل مسکونی بخرند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اتباع بیگانه در ایران برای خرید دارایی غیرمنقول،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می‌توانند یک منزل مسکونی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یک منزل مسکونی و یک محل کسب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بگیرند و اظهارنامه‌ای به اداره ثبت محل وقوع ملک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وزارت کشور و امور خارجه اجازه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 و میزان حداقل حقوق برای اتباع بیگانه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برابری انسانی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متقابل عملی دولت‌ها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دولت‌های متمدن با اتباع بیگانه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متقابل سیاسی کشورها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عبارت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خارجی در ایران نمی‌توانند زمین کشاورزی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خارجی در ایران به اندازه نیاز خود می‌توانند زمین کشاورزی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خارجی در ایران به شرط رفتار متقابل می‌توانند زمین کشاورزی بخرند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خارجی در ایران به اندازه نیاز خود، به شرط رفتار متقابل می‌توانند زمین کشاورزی بخرند</w:t>
      </w:r>
      <w:r>
        <w:rPr>
          <w:rFonts w:eastAsia="IRNazanin" w:cs="IRNazanin"/>
          <w:color w:val="111111"/>
          <w:sz w:val="28"/>
          <w:szCs w:val="28"/>
          <w:rtl w:val="true"/>
          <w:lang w:bidi="fa-IR"/>
        </w:rPr>
        <w:t>.</w:t>
      </w:r>
      <w:bookmarkStart w:id="652" w:name="pg5888_36312"/>
    </w:p>
    <w:p>
      <w:pPr>
        <w:pStyle w:val="Heading2"/>
        <w:numPr>
          <w:ilvl w:val="1"/>
          <w:numId w:val="1"/>
        </w:numPr>
        <w:rPr/>
      </w:pPr>
      <w:bookmarkStart w:id="653" w:name="__RefHeading___Toc5261656_581953129"/>
      <w:bookmarkStart w:id="654" w:name="_Toc256"/>
      <w:bookmarkEnd w:id="652"/>
      <w:bookmarkEnd w:id="653"/>
      <w:r>
        <w:rPr/>
        <w:t>15</w:t>
      </w:r>
      <w:r>
        <w:rPr>
          <w:rtl w:val="true"/>
        </w:rPr>
        <w:t xml:space="preserve">- </w:t>
      </w:r>
      <w:r>
        <w:rPr>
          <w:rtl w:val="true"/>
        </w:rPr>
        <w:t>وضعیت حقوق عمومی اشخاص حقیقی بیگانه در ایران</w:t>
      </w:r>
      <w:bookmarkEnd w:id="654"/>
    </w:p>
    <w:p>
      <w:pPr>
        <w:pStyle w:val="Heading3"/>
        <w:numPr>
          <w:ilvl w:val="2"/>
          <w:numId w:val="1"/>
        </w:numPr>
        <w:rPr/>
      </w:pPr>
      <w:bookmarkStart w:id="655" w:name="__RefHeading___Toc5261658_581953129"/>
      <w:bookmarkStart w:id="656" w:name="_Toc257"/>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اصطلاح حقوق عمومی؛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بهره‌ها و امتیازات بیگانگان در بحث حقوق عمومی؛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محرومیت‌ها، معافیت‌ها و تکالیف بیگانگان در بحث حقوق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حقوق عمومی عبارت است از مجموعه حقوقی که بهره‌مندی از آن، به سازمان‌های قانونی دولت بستگی دارد و برای احترام به شخصیت انسانی پایه‌ریزی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برای بهره‌مندی بیگانگان از حقوق عمومی، اصل‌یا قاعده‌ای وجود دارد، میان حقوق‌دانان اختلاف‌نظر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بهره‌مندی بیگانگان در حقوق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حق بهره‌مندی آنان درحقوق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محدود است که قانون‌گذار ایران اجازه داده 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ازاین‌رو، اصل، عدم حق بهره‌مندی بیگانگان از حقوق عمومی در ایران‌است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برخی نیز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این است که بیگانگان هم از این حقوق</w:t>
      </w:r>
      <w:bookmarkStart w:id="657" w:name="pg5888_36313"/>
    </w:p>
    <w:p>
      <w:pPr>
        <w:pStyle w:val="BookText"/>
        <w:rPr/>
      </w:pPr>
      <w:bookmarkEnd w:id="657"/>
      <w:r>
        <w:rPr>
          <w:rFonts w:ascii="IRNazanin" w:hAnsi="IRNazanin" w:eastAsia="IRNazanin"/>
          <w:color w:val="111111"/>
          <w:sz w:val="28"/>
          <w:sz w:val="28"/>
          <w:szCs w:val="28"/>
          <w:rtl w:val="true"/>
          <w:lang w:bidi="fa-IR"/>
        </w:rPr>
        <w:t>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معاهده‌ها نیز این قبیل حقوق را برای اتباع بیگانه در ایران شناخته‌اند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از نگاه گروه دوم، یگانه استثنای مهم، محرومیت بیگانگان از حقوق سیاسی و برخی حقوق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سیاسی، همه مقرراتی است که به قوای سه‌گانه و چگونگی کاربرد حاکمیت دولت و سازمان‌های عمومی مربوط است و روابط دولت و مأموران را با مردم تنظیم می‌کند و در زمره حقوق عمومی به‌شمار می‌آید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درباره حقوق عمومی بیگانگان، دو محور عمده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 و امتیازهای بیگانگان در بحث حقوق عمومی، و محرومیت‌ها، معافیت‌ها و تکالیف بیگانگان در بحث حقوق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آنکه، از نظر برخی، باید حقوق عمومی را به دو بخش غیرسیاسی و سیاسی تقسیم کرد؛ چون بهره‌مندی بیگانگان از این دو دسته، تابع دو اصل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حقوق عمومی غیرسیاسی، اصل بر بهره‌مندی است؛ حال آنکه در حقوق عمومی سیاسی، اصل بر بهره‌مند نشدن است</w:t>
      </w:r>
      <w:r>
        <w:rPr>
          <w:rFonts w:eastAsia="IRNazanin" w:cs="IRNazanin"/>
          <w:color w:val="111111"/>
          <w:sz w:val="28"/>
          <w:szCs w:val="28"/>
          <w:rtl w:val="true"/>
          <w:lang w:bidi="fa-IR"/>
        </w:rPr>
        <w:t>.</w:t>
      </w:r>
    </w:p>
    <w:p>
      <w:pPr>
        <w:pStyle w:val="Heading3"/>
        <w:numPr>
          <w:ilvl w:val="2"/>
          <w:numId w:val="1"/>
        </w:numPr>
        <w:rPr/>
      </w:pPr>
      <w:bookmarkStart w:id="658" w:name="__RefHeading___Toc5261660_581953129"/>
      <w:bookmarkStart w:id="659" w:name="_Toc258"/>
      <w:bookmarkEnd w:id="658"/>
      <w:r>
        <w:rPr/>
        <w:t>1</w:t>
      </w:r>
      <w:r>
        <w:rPr>
          <w:rtl w:val="true"/>
        </w:rPr>
        <w:t xml:space="preserve">- </w:t>
      </w:r>
      <w:r>
        <w:rPr>
          <w:rtl w:val="true"/>
        </w:rPr>
        <w:t>بهره ها و امتیازهای بیگانگان در بحث حقوق عمومی</w:t>
      </w:r>
      <w:bookmarkEnd w:id="659"/>
    </w:p>
    <w:p>
      <w:pPr>
        <w:pStyle w:val="Heading4"/>
        <w:numPr>
          <w:ilvl w:val="3"/>
          <w:numId w:val="1"/>
        </w:numPr>
        <w:rPr/>
      </w:pPr>
      <w:bookmarkStart w:id="660" w:name="__RefHeading___Toc5261662_581953129"/>
      <w:bookmarkStart w:id="661" w:name="_Toc259"/>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مهم‌ترین امتیازها و بهره‌مندی‌های بیگانگان در محدوده حقوق عمومی، شامل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اساسی، اقتصادی و قضایی</w:t>
      </w:r>
      <w:r>
        <w:rPr>
          <w:rFonts w:eastAsia="IRNazanin" w:cs="IRNazanin"/>
          <w:color w:val="111111"/>
          <w:sz w:val="28"/>
          <w:szCs w:val="28"/>
          <w:rtl w:val="true"/>
          <w:lang w:bidi="fa-IR"/>
        </w:rPr>
        <w:t>.</w:t>
      </w:r>
    </w:p>
    <w:p>
      <w:pPr>
        <w:pStyle w:val="Heading4"/>
        <w:numPr>
          <w:ilvl w:val="3"/>
          <w:numId w:val="1"/>
        </w:numPr>
        <w:rPr/>
      </w:pPr>
      <w:bookmarkStart w:id="662" w:name="__RefHeading___Toc5261664_581953129"/>
      <w:bookmarkStart w:id="663" w:name="_Toc260"/>
      <w:bookmarkEnd w:id="662"/>
      <w:r>
        <w:rPr>
          <w:rtl w:val="true"/>
        </w:rPr>
        <w:t>الف</w:t>
      </w:r>
      <w:r>
        <w:rPr>
          <w:rtl w:val="true"/>
        </w:rPr>
        <w:t xml:space="preserve">) </w:t>
      </w:r>
      <w:r>
        <w:rPr>
          <w:rtl w:val="true"/>
        </w:rPr>
        <w:t xml:space="preserve">حقوق اساسی </w:t>
      </w:r>
      <w:r>
        <w:rPr>
          <w:rtl w:val="true"/>
        </w:rPr>
        <w:t>(</w:t>
      </w:r>
      <w:r>
        <w:rPr>
          <w:rtl w:val="true"/>
        </w:rPr>
        <w:t>آزادی های فردی و مصونیت های شخصی</w:t>
      </w:r>
      <w:r>
        <w:rPr>
          <w:rtl w:val="true"/>
        </w:rPr>
        <w:t>)</w:t>
      </w:r>
      <w:bookmarkEnd w:id="66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و آزادی‌های عمومی که در حقوق اساسی کشورها مطرح شده است، برای</w:t>
      </w:r>
    </w:p>
    <w:p>
      <w:pPr>
        <w:pStyle w:val="BookText"/>
        <w:rPr/>
      </w:pPr>
      <w:r>
        <w:rPr>
          <w:rFonts w:ascii="IRNazanin" w:hAnsi="IRNazanin" w:eastAsia="IRNazanin"/>
          <w:color w:val="111111"/>
          <w:sz w:val="28"/>
          <w:sz w:val="28"/>
          <w:szCs w:val="28"/>
          <w:rtl w:val="true"/>
          <w:lang w:bidi="fa-IR"/>
        </w:rPr>
        <w:t>انسان با صرف‌نظر از اینکه خودی یا بیگانه باشد،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عمومی هم احترام دولت‌ها به شخص بیگانه را مطرح کرده است؛ با وجود این، ممکن است به اقتضای مصالح عمومی و منافع اتباع کشور، این حقوق و آزادی‌ها محدود شوند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به‌طور متعارف، بیگانگان در گستره حقوق عمومی، از حقوق انسانی، که اتباع آن کشور بهره‌مند هستند،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حقوقی است که برای بیگانگان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حقوق اساسی که بیگانگان از آن بهره‌مند می‌شوند،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حیثیت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به دلیل اینکه انسان است، باید از هرگونه اهانتی که حیثیت او را از بین می‌برد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نمی‌تواند بیگانه‌ای را به سبب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نژاد سیاه یا زرد است، یا رفتار دولت مورد تابعیت او در جامعه بین‌الملل نامطلوب است، مورد تعرّض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حرمت و حیثیت بیگانگان همچون اتباع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شرایطی که بنابر دلایل قانونی، دستگیر، بازداشت و زندانی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حمایت از جان، مال و مسکن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بیست‌ودوّم قانون اساسی جمهوری اسلامی ایران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حیثیت، جان، مال، حقوق، مسکن و شغل اشخاص از تعرّض مصون است؛ مگر در مواردی که قانون تجویز 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استفاده قانون‌گذار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اصل به‌طور مطلق عمومیت داشته، اتباع داخلی و بیگانگان را نیز شامل می‌شود؛ در نتیجه، هیچ‌کس حق ندارد</w:t>
      </w:r>
    </w:p>
    <w:p>
      <w:pPr>
        <w:pStyle w:val="BookText"/>
        <w:rPr/>
      </w:pPr>
      <w:r>
        <w:rPr>
          <w:rFonts w:ascii="IRNazanin" w:hAnsi="IRNazanin" w:eastAsia="IRNazanin"/>
          <w:color w:val="111111"/>
          <w:sz w:val="28"/>
          <w:sz w:val="28"/>
          <w:szCs w:val="28"/>
          <w:rtl w:val="true"/>
          <w:lang w:bidi="fa-IR"/>
        </w:rPr>
        <w:t>به جان و مال و مسکن این افراد تعرّض کند؛ برای نمونه، کسی نمی‌تواند بدون مجوّز قانونی وارد خانه بیگانه شده، به جستجو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سرپیچی‌کننده در مراجع صلاحیت‌دار قابل تعقیب و پیگرد قانونی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 کردن، سلب مالکیت و مصادره اموال بیگانگان، خلاف اصول پذیرفته‌شده بین‌المللی است و نباید صورت پذیرد؛ مگر آنکه بر مصالح عمومی، امنیت یا منافع ملّی مبتنی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باید خسارات وارد شده به مالک، با مقررات و موازین لازم‌الاجرا در کشوری که در اعمال حاکمیت خود به سلب مالکیت اقدام کرده است و نیز اصول و مقررات پذیرفته‌شده بین‌المللی، به‌صورتِ مناسبی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هرگاه دراین‌باره اختلافی رخ دهد، باید ابتدا موضوع در محاکم کشور مصادره‌کننده رسیدگی شود و در صورت موافقت دولت‌های طرف دعوا، حل اختلاف به داوری و رسیدگی قضایی بین‌المللی ارجاع خواهد 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افزون بر قوانین و مقررات داخلی، لزوم رعایت و حمایت از جان و مال و مسکن بیگانگان، در عهدنامه‌های دو یا چند جانبه بین‌المللی نیز شرط می‌شود؛ برای نمونه، در ماده نخست معاهده اقامت بین دولت ایران و بلژیک چنین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هریک از طرفین متعاهد در خاک طرف متعاهد دیگر، راجع به شخص و اموالشان بر طبق حقوق عمومی بین‌المللی، پذیرفته شده و مطابق همان ترتیب با آنها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چهارم معاهده یادشده می‌گوید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مساکن و کلّیه اموال غیرمنقول که اتباع هریک از طرفین متعاهد در خاک طرف متعاهد دیگر کسب کرده و یا تصرّف و یا اجاره کرده باشد، مورد</w:t>
      </w:r>
    </w:p>
    <w:p>
      <w:pPr>
        <w:pStyle w:val="BookText"/>
        <w:rPr/>
      </w:pPr>
      <w:r>
        <w:rPr>
          <w:rFonts w:ascii="IRNazanin" w:hAnsi="IRNazanin" w:eastAsia="IRNazanin"/>
          <w:color w:val="111111"/>
          <w:sz w:val="28"/>
          <w:sz w:val="28"/>
          <w:szCs w:val="28"/>
          <w:rtl w:val="true"/>
          <w:lang w:bidi="fa-IR"/>
        </w:rPr>
        <w:t>رسیدگی و تفتیش واقع نخواهد شد؛ مگر با همان شرایط و همان مراسمی که به موجب قوانین و احکام و نظامات برای اتباع داخله مقرّر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حق رفت‌وآمد و اقامت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در داخل کشورها، حق رفت‌وآمد آزادانه را دارا هستند و هر جا که مایل باشند می‌توانند اقامت کنند؛ مگر آنکه کشور محل اقامت، رفت‌وآمد بیگانگان را در بعضی از نقاط کشور به دلیل یا بهانه امنیتی ممنوع کند و یا به کسب اجازه قبلی از مقامات صلاحیت‌دار موکول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برخورداری از آزادی اندیشه و انتخاب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از موهبت آزادی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 اندیشه، بیان و انتخاب مذهب، از جمله مواردی است که مورد پذیرش کشورهای گوناگون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تدوین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بین‌المللی حقوق مدنی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 یادشده قانونمند بوده، تعهّد بین‌المللی دولت‌ها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هجدهم و نوزدهم اعلامیه جهانی حقوق بشر و موارد هجدهم و نوزدهم میثاق بین‌المللی حقوق مدنی و سیاسی بر آزادی بیان و اندیشه و مذهب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جهانی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حق دارد که از آزادی فکر، وجدان و مذهب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متضمّن آزادی تغییر مذهب یا عقیده و همچنین متضمّن آزادی اظهار عقیده و بیان است و نیز شامل تعلیمات مذهبی و اجرای مراسم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می‌تواند از حقوق منفرداً یا مجتمعاً به‌طور خصوصی یا به‌طور عمومی برخوردار باشد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اساس ماده نوزدهم میثاق بین‌المللی حقوق مدنی و سیاسی، آزادی‌های یادشده برای اهداف زیر محدود می‌شوند</w:t>
      </w:r>
      <w:r>
        <w:rPr>
          <w:rFonts w:eastAsia="IRNazanin" w:cs="IRNazanin"/>
          <w:color w:val="111111"/>
          <w:sz w:val="28"/>
          <w:szCs w:val="28"/>
          <w:rtl w:val="true"/>
          <w:lang w:bidi="fa-IR"/>
        </w:rPr>
        <w:t>:</w:t>
      </w:r>
      <w:bookmarkStart w:id="664" w:name="pg5888_36317"/>
    </w:p>
    <w:p>
      <w:pPr>
        <w:pStyle w:val="BookText"/>
        <w:rPr/>
      </w:pPr>
      <w:bookmarkEnd w:id="6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حقوق یا حیثیت دیگران؛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امنیت ملّی، یا نظم عمومی، یا سلامت و یا اخلاق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دولت‌هایی که ملت‌های آنان، به اعتقادات و آداب و رسوم مذهبی پایبندی بیشتری دارند، یا دین رسمی آنها، دینی اجتماعی و سیاسی است که بنیاد دولت بر آن استوار است، آزادی رفتار مذهبی پیروان سایر ادیان و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نه‌فقط از منظر تعارض با مذهب رسمی، بلکه از نگاه سیاسی و به دلیل تعارض با نظم عمومی جامعه یا کیان دولت و امنیت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بیشتری پیدا می‌کند؛ برخلاف دولت‌های لیبرال و لائیک، که ترویج اندیشه ادیان سیاسی مخالف لائیسم، به همین بهانه‌ها محدودیت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همه کشورها، بیگانگان نسبت به اتباع‌داخلی از آزادی کمتری برخوردارند و در عمل، برای بیگانگان محدودیت‌های زیادی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حقوق، تمام حقوقی نیست که بیگانگان درباره حقوق اساسی از آن بهره‌مند هستند؛ بلکه حقوقی نظیر تحصیل و بهداشت و سایر تسهیلات اجتماعی نیز برای بیگانگان در نظر گرفته می‌شود</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665" w:name="__RefHeading___Toc5261666_581953129"/>
      <w:bookmarkStart w:id="666" w:name="_Toc261"/>
      <w:bookmarkEnd w:id="665"/>
      <w:r>
        <w:rPr>
          <w:rtl w:val="true"/>
        </w:rPr>
        <w:t>ب</w:t>
      </w:r>
      <w:r>
        <w:rPr>
          <w:rtl w:val="true"/>
        </w:rPr>
        <w:t xml:space="preserve">) </w:t>
      </w:r>
      <w:r>
        <w:rPr>
          <w:rtl w:val="true"/>
        </w:rPr>
        <w:t>حقوق اقتصادی</w:t>
      </w:r>
      <w:bookmarkEnd w:id="666"/>
    </w:p>
    <w:p>
      <w:pPr>
        <w:pStyle w:val="BookText"/>
        <w:rPr/>
      </w:pPr>
      <w:r>
        <w:rPr>
          <w:rFonts w:ascii="IRNazanin" w:hAnsi="IRNazanin" w:eastAsia="IRNazanin"/>
          <w:color w:val="111111"/>
          <w:sz w:val="28"/>
          <w:sz w:val="28"/>
          <w:szCs w:val="28"/>
          <w:rtl w:val="true"/>
          <w:lang w:bidi="fa-IR"/>
        </w:rPr>
        <w:t>بیگانگان از حقوق اقتصادی بهره‌مندند؛ امّا کشورها برای حمایت از اتباع خود، محدودیت‌هایی را برای بیگانگان در نظر می‌گیرند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حاضر، به‌طور تقریبی همه کشورها حداقل حقوق اقتصادی را برای بیگانگان می‌پذیرند و آن را مورد حمایت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متعارف، بیگانه</w:t>
      </w:r>
    </w:p>
    <w:p>
      <w:pPr>
        <w:pStyle w:val="BookText"/>
        <w:rPr/>
      </w:pPr>
      <w:r>
        <w:rPr>
          <w:rFonts w:ascii="IRNazanin" w:hAnsi="IRNazanin" w:eastAsia="IRNazanin"/>
          <w:color w:val="111111"/>
          <w:sz w:val="28"/>
          <w:sz w:val="28"/>
          <w:szCs w:val="28"/>
          <w:rtl w:val="true"/>
          <w:lang w:bidi="fa-IR"/>
        </w:rPr>
        <w:t>می‌تواند از تلاش و کار خود بهره‌مند شود و از آزادی‌های اقتصادی و سرمایه‌گذاری در چارچوب قانون داخلی کشور پذیرنده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مالکیت بیگانه بر اموال و درآمدهای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دولت‌هاست؛ هرچند دولت‌ها آن را محدود می‌کنند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مهم‌ترین حقوق اقتصادی که بیگانگان از آن بهره‌مند می‌شوند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انتخاب 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بیشتر موارد، دولت‌ها اولویت‌های ویژه‌ای را برای اتباع داخلی خود به منظور تنظیم مقررات و شرایط کار و ایجاد و تأمین اشتغال در نظر می‌گیرند، امّا بر اساس نیازها و مقتضیات کشور، اتباع بیگانه را نیز در حرفه، صنعت، تجارت و یا خدمات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اشتغال بیگانگان در کشورهای مختلف، تابع مقررات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کلّی، در تنظیم مقررات اشتغال بیگانگان ابتدا اولویت تأمین کار برای اتباع داخلی در نظر گرفته می‌شود و آن‌گاه با توجه به کمبودها و نیازهای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عوامل انسانی، به‌ویژه در زمینه تخصّص‌ها و نیز انتقال دانش فنی و فنّاوری به داخل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کار بیگانگان تعیین می‌گردد</w:t>
      </w:r>
      <w:r>
        <w:rPr>
          <w:rFonts w:eastAsia="IRNazanin" w:cs="IRNazanin"/>
          <w:color w:val="111111"/>
          <w:sz w:val="28"/>
          <w:szCs w:val="28"/>
          <w:rtl w:val="true"/>
          <w:lang w:bidi="fa-IR"/>
        </w:rPr>
        <w:t>.</w:t>
      </w:r>
      <w:r>
        <w:rPr>
          <w:rStyle w:val="FootnoteAnchor"/>
          <w:rtl w:val="true"/>
        </w:rPr>
        <w:footnoteReference w:id="384"/>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استفاده از خدمات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مانند اتباع داخلی از مجموعه خدمات عمومی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نباید بین اتباع داخلی و بیگانگان تبعیضی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 از انشعاب آب، برق، تلفن، گاز، حمل‌ونقل و خدمات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با توجه به روش مالی و اقتصادی یک کشور، بهره‌مندی از این خدمات برای اتباع داخلی رایگان باشد؛ ولی در این موارد،</w:t>
      </w:r>
      <w:bookmarkStart w:id="667" w:name="pg5888_36319"/>
    </w:p>
    <w:p>
      <w:pPr>
        <w:pStyle w:val="BookText"/>
        <w:rPr/>
      </w:pPr>
      <w:bookmarkEnd w:id="667"/>
      <w:r>
        <w:rPr>
          <w:rFonts w:ascii="IRNazanin" w:hAnsi="IRNazanin" w:eastAsia="IRNazanin"/>
          <w:color w:val="111111"/>
          <w:sz w:val="28"/>
          <w:sz w:val="28"/>
          <w:szCs w:val="28"/>
          <w:rtl w:val="true"/>
          <w:lang w:bidi="fa-IR"/>
        </w:rPr>
        <w:t>دولت می‌تواند استفاده بیگانگان از این خدمات را با پرداخت‌های ویژه‌ای امکان‌پذیر سازد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668" w:name="__RefHeading___Toc5261668_581953129"/>
      <w:bookmarkStart w:id="669" w:name="_Toc262"/>
      <w:bookmarkEnd w:id="668"/>
      <w:r>
        <w:rPr>
          <w:rtl w:val="true"/>
        </w:rPr>
        <w:t>ج</w:t>
      </w:r>
      <w:r>
        <w:rPr>
          <w:rtl w:val="true"/>
        </w:rPr>
        <w:t xml:space="preserve">) </w:t>
      </w:r>
      <w:r>
        <w:rPr>
          <w:rtl w:val="true"/>
        </w:rPr>
        <w:t>حقوق قضایی</w:t>
      </w:r>
      <w:bookmarkEnd w:id="669"/>
    </w:p>
    <w:p>
      <w:pPr>
        <w:pStyle w:val="BookText"/>
        <w:rPr/>
      </w:pPr>
      <w:r>
        <w:rPr>
          <w:rFonts w:ascii="IRNazanin" w:hAnsi="IRNazanin" w:eastAsia="IRNazanin"/>
          <w:color w:val="111111"/>
          <w:sz w:val="28"/>
          <w:sz w:val="28"/>
          <w:szCs w:val="28"/>
          <w:rtl w:val="true"/>
          <w:lang w:bidi="fa-IR"/>
        </w:rPr>
        <w:t>بیگانگان از حقوق قضایی کشور پذیرنده، در حد متعارف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نمی‌توان از بیگانه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حقوق قضایی که بیگانگان از آن بهره‌مند می‌شوند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ترافع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پذیرش حق بهره‌مندی از حقوق مدنی برای بیگانه، آن است که برای او حق رجوع به مراجع قضایی به‌عنوان خواهان یا خوانده نیز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حقوق ایران، بیگانگان نیز مانند اتباع ایرانی برابر قواعد حاکم بر صلاحیت دادگاه‌ها از حق ترافع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از سوی قانون‌گذار برای آنان این محدودیت در نظر گرفته شده است که اگر بیگانه، خواهان اصلی باشد و یا به‌عنوان سوّم وارد دعوا شود و طرف ایرانی او برای رسیدگی به دادخواست وی درخواست تأمین کند، او باید به دستور دادگاه در مهلت معین به میزان تعیین‌شده از سوی دادگاه برای تأدیه خسارتی که از بابت هزینه‌های دادرسی و حق‌الوکاله ممکن است محکوم شود، تأمین بدهد تا دادخواست وی به جریان افتد</w:t>
      </w:r>
      <w:r>
        <w:rPr>
          <w:rFonts w:eastAsia="IRNazanin" w:cs="IRNazanin"/>
          <w:color w:val="111111"/>
          <w:sz w:val="28"/>
          <w:szCs w:val="28"/>
          <w:rtl w:val="true"/>
          <w:lang w:bidi="fa-IR"/>
        </w:rPr>
        <w:t>.</w:t>
      </w:r>
      <w:r>
        <w:rPr>
          <w:rStyle w:val="FootnoteAnchor"/>
          <w:rtl w:val="true"/>
        </w:rPr>
        <w:footnoteReference w:id="386"/>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مهلت مقرر، از دادن تأمین خودداری کند، به درخواست طرف، قرار ردّ دادخواست وی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تکلیف هنگامی که تابعیت</w:t>
      </w:r>
    </w:p>
    <w:p>
      <w:pPr>
        <w:pStyle w:val="BookText"/>
        <w:rPr/>
      </w:pPr>
      <w:r>
        <w:rPr>
          <w:rFonts w:ascii="IRNazanin" w:hAnsi="IRNazanin" w:eastAsia="IRNazanin"/>
          <w:color w:val="111111"/>
          <w:sz w:val="28"/>
          <w:sz w:val="28"/>
          <w:szCs w:val="28"/>
          <w:rtl w:val="true"/>
          <w:lang w:bidi="fa-IR"/>
        </w:rPr>
        <w:t>خارجی خواهان یا پژوهش‌خواه در آغاز معلوم نباشد و سپس روشن شود و یا تابعیت ایرانی او سلب شود و یا سبب معافیت از تأمین از بین برود و طرف او درخواست تأمین کند، برای او ایجاد می‌شود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مواردی قانون‌گذار، بیگانه را از دادن تأمین یادشده معاف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اتباع ایران در خاک دولت مورد تابعیت وی از دادن تأمین معاف باشند؛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دعواهای پیرامون برات، فته‌طلب</w:t>
      </w:r>
      <w:r>
        <w:rPr>
          <w:rStyle w:val="FootnoteAnchor"/>
          <w:rtl w:val="true"/>
        </w:rPr>
        <w:footnoteReference w:id="388"/>
      </w:r>
      <w:r>
        <w:rPr>
          <w:rFonts w:ascii="IRNazanin" w:hAnsi="IRNazanin" w:eastAsia="IRNazanin"/>
          <w:color w:val="111111"/>
          <w:sz w:val="28"/>
          <w:sz w:val="28"/>
          <w:szCs w:val="28"/>
          <w:rtl w:val="true"/>
          <w:lang w:bidi="fa-IR"/>
        </w:rPr>
        <w:t>و چک؛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دعاوی متقابل؛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دعاوی مستند به سند رسمی؛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دعواهایی که اقامه آنها بر اثر انتشار آگهی‌های رسمی صورت می‌گیرد؛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ثبت و دعاوی علیه متوقف</w:t>
      </w:r>
      <w:r>
        <w:rPr>
          <w:rFonts w:eastAsia="IRNazanin" w:cs="IRNazanin"/>
          <w:color w:val="111111"/>
          <w:sz w:val="28"/>
          <w:szCs w:val="28"/>
          <w:rtl w:val="true"/>
          <w:lang w:bidi="fa-IR"/>
        </w:rPr>
        <w:t>.</w:t>
      </w:r>
      <w:r>
        <w:rPr>
          <w:rStyle w:val="FootnoteAnchor"/>
          <w:rtl w:val="true"/>
        </w:rPr>
        <w:footnoteReference w:id="38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ماده دهم اعلامیه جهانی حقوق بشر و نیز ماده چهاردهم میثاق بین‌المللی حقوق مدنی و سیاسی، هر کسی حق دارد دعوای او در دادگاه صالح مورد رسیدگی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بیگانه باشد یا در تابعیت آن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مراجعه به دادگاه‌های داخلی که برای بیگانگان در نظر گرفته شده، از جمله موضوع‌هایی است که تعهدات بین‌المللی دولت‌ها را درباره حقوق بشر به همراه دارد و دولت‌ها خود را از رعایت این حق برای بیگانگان ناگزیر می‌دانند</w:t>
      </w:r>
      <w:r>
        <w:rPr>
          <w:rFonts w:eastAsia="IRNazanin" w:cs="IRNazanin"/>
          <w:color w:val="111111"/>
          <w:sz w:val="28"/>
          <w:szCs w:val="28"/>
          <w:rtl w:val="true"/>
          <w:lang w:bidi="fa-IR"/>
        </w:rPr>
        <w:t>.</w:t>
      </w:r>
      <w:bookmarkStart w:id="670" w:name="pg5888_36321"/>
    </w:p>
    <w:p>
      <w:pPr>
        <w:pStyle w:val="BookText"/>
        <w:rPr/>
      </w:pPr>
      <w:bookmarkEnd w:id="670"/>
      <w:r>
        <w:rPr>
          <w:rFonts w:ascii="IRNazanin" w:hAnsi="IRNazanin" w:eastAsia="IRNazanin"/>
          <w:color w:val="111111"/>
          <w:sz w:val="28"/>
          <w:sz w:val="28"/>
          <w:szCs w:val="28"/>
          <w:rtl w:val="true"/>
          <w:lang w:bidi="fa-IR"/>
        </w:rPr>
        <w:t>حق انتخاب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بیگانه‌ای باید بتواند در صورت لزوم، مانند اتباع داخلی وکیل بگیرد و در صورت اجازه وکالت به وکلای خارجی، از این‌گونه وکلا هم برخوردار شود و در صورتی که به زبان رسمی دادگاه آشنا نباشد، بتواند از مترجم مورد اعتماد استفاده کند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ایران حق مراجعه به محاکم قضایی برای بیگانگان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سی‌وچهارم قانون اساسی جمهوری اسلامی ایران دراین‌باره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دادخواهی، حق مسلَّم هر فرد است و هر کس می‌تواند به منظور دادخواهی به دادگاه‌های صالح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نمی‌توان از دادگاهی که به موجب قانون، حق مراجعه به آن را دارد،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دادخواهی در اصل بالا به‌صورتِ عام بیان شده است و شامل بیگانگان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اصل سی‌وپنجم قانون اساسی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دادگاه‌ها طرفین دعوا حق دارند برای خود وکیل انتخاب کنند و اگر توانایی انتخاب وکیل را نداشته باشند، باید برای آنها امکانات تعیین وکیل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نیز به‌طور عموم شامل تمام کسانی است که در قلمرو ایران هستند</w:t>
      </w:r>
      <w:r>
        <w:rPr>
          <w:rFonts w:eastAsia="IRNazanin" w:cs="IRNazanin"/>
          <w:color w:val="111111"/>
          <w:sz w:val="28"/>
          <w:szCs w:val="28"/>
          <w:rtl w:val="true"/>
          <w:lang w:bidi="fa-IR"/>
        </w:rPr>
        <w:t>.</w:t>
      </w:r>
    </w:p>
    <w:p>
      <w:pPr>
        <w:pStyle w:val="Heading3"/>
        <w:numPr>
          <w:ilvl w:val="2"/>
          <w:numId w:val="1"/>
        </w:numPr>
        <w:rPr/>
      </w:pPr>
      <w:bookmarkStart w:id="671" w:name="__RefHeading___Toc5261670_581953129"/>
      <w:bookmarkStart w:id="672" w:name="_Toc263"/>
      <w:bookmarkEnd w:id="671"/>
      <w:r>
        <w:rPr/>
        <w:t>2</w:t>
      </w:r>
      <w:r>
        <w:rPr>
          <w:rtl w:val="true"/>
        </w:rPr>
        <w:t xml:space="preserve">- </w:t>
      </w:r>
      <w:r>
        <w:rPr>
          <w:rtl w:val="true"/>
        </w:rPr>
        <w:t>محرومیت ها، معافیت ها و تکالیف</w:t>
      </w:r>
      <w:bookmarkEnd w:id="672"/>
    </w:p>
    <w:p>
      <w:pPr>
        <w:pStyle w:val="Heading4"/>
        <w:numPr>
          <w:ilvl w:val="3"/>
          <w:numId w:val="1"/>
        </w:numPr>
        <w:rPr/>
      </w:pPr>
      <w:bookmarkStart w:id="673" w:name="__RefHeading___Toc5261672_581953129"/>
      <w:bookmarkStart w:id="674" w:name="_Toc264"/>
      <w:bookmarkEnd w:id="673"/>
      <w:r>
        <w:rPr>
          <w:rtl w:val="true"/>
        </w:rPr>
        <w:t>الف</w:t>
      </w:r>
      <w:r>
        <w:rPr>
          <w:rtl w:val="true"/>
        </w:rPr>
        <w:t xml:space="preserve">) </w:t>
      </w:r>
      <w:r>
        <w:rPr>
          <w:rtl w:val="true"/>
        </w:rPr>
        <w:t>محرومیت ها</w:t>
      </w:r>
      <w:bookmarkEnd w:id="67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حقوق عمومی، برای تحقّق اهداف ملّی، اداره عمومی و ایجاد تشکیلات سیاسی و حکومتی است که اقتضای استقلال کشور، لحاظ کردن آن برای اتباع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همه کشورها بیگانگان را بازداشته،</w:t>
      </w:r>
    </w:p>
    <w:p>
      <w:pPr>
        <w:pStyle w:val="BookText"/>
        <w:rPr/>
      </w:pPr>
      <w:r>
        <w:rPr>
          <w:rFonts w:ascii="IRNazanin" w:hAnsi="IRNazanin" w:eastAsia="IRNazanin"/>
          <w:color w:val="111111"/>
          <w:sz w:val="28"/>
          <w:sz w:val="28"/>
          <w:szCs w:val="28"/>
          <w:rtl w:val="true"/>
          <w:lang w:bidi="fa-IR"/>
        </w:rPr>
        <w:t>معتقدند آنان نباید گرداننده امور داخلی و خارجی کشور باشند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مهم‌ترین حقوق عمومی که بیگانگان از آن محرومند،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از حقوق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حقوق عمومی، دسته دیگری از حقوق که همه بیگانگان از آن محرومند، حقوق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سیاسی عبارت است از حقوقی که فقط متعلق به اتباع داخلی است و بهره‌مندی از آن، لازمه وصف تابعیت است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به سخن دیگر، حقوق سیاسی، حقوقی است که شخص با اعمال آنها در تشکیل دولت شرکت می‌جوید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با این تعریف، خارجی‌ها اساساً از این حقوق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w:t>
      </w:r>
      <w:r>
        <w:rPr>
          <w:rStyle w:val="FootnoteAnchor"/>
          <w:rtl w:val="true"/>
        </w:rPr>
        <w:footnoteReference w:id="394"/>
      </w:r>
      <w:r>
        <w:rPr>
          <w:rFonts w:ascii="IRNazanin" w:hAnsi="IRNazanin" w:eastAsia="IRNazanin"/>
          <w:color w:val="111111"/>
          <w:sz w:val="28"/>
          <w:sz w:val="28"/>
          <w:szCs w:val="28"/>
          <w:rtl w:val="true"/>
          <w:lang w:bidi="fa-IR"/>
        </w:rPr>
        <w:t>حقوق‌دان فرانسوی،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بیگانگان عضو جامعه‌ای که دولتی را تشکیل می‌دهد، نیستند و ازاین‌رو، نباید از حقوقی سیاسی بهره‌مند شوند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دو دلیل دیگر برای محرومیت بیگانگان از حقوق سیاسی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حزم و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پیشگیری از زیان‌هایی که ممکن است شرکت بیگانگان در کارهای سیاسی دچار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دولت مورد تابعیت بیگانه</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بیگانه به شغل سیاسی اشتغال داشته باشد، ممکن است در مواردی ناگزیر شود بین منافع کشور متبوع خود و کشوری که حقوق سیاسی برای او شناخته است، یکی را انتخاب کند؛ این در حالی است که احترام به کشور مورد</w:t>
      </w:r>
      <w:bookmarkStart w:id="675" w:name="pg5888_36323"/>
    </w:p>
    <w:p>
      <w:pPr>
        <w:pStyle w:val="BookText"/>
        <w:rPr/>
      </w:pPr>
      <w:bookmarkEnd w:id="675"/>
      <w:r>
        <w:rPr>
          <w:rFonts w:ascii="IRNazanin" w:hAnsi="IRNazanin" w:eastAsia="IRNazanin"/>
          <w:color w:val="111111"/>
          <w:sz w:val="28"/>
          <w:sz w:val="28"/>
          <w:szCs w:val="28"/>
          <w:rtl w:val="true"/>
          <w:lang w:bidi="fa-IR"/>
        </w:rPr>
        <w:t>تابعیت بیگانه اقتضا می‌کند که از این وضع دوری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می‌توان گفت بیگانه از منافع کافی برای شرکت در مسائل سیاسی کشور محل سکونت خود بهره‌مند نیست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نتیجه آنکه شرط اصلی برای بهره‌مندی از حقوق سیاسی، دارا بودن تابعیت کشور است که بیگانگان از آن برخوردار نیستند؛ حتی دارندگان تابعیت اکتسابی نیز از این حق به‌طور کامل بهره‌مند نیستند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معمولاً در همه کشورها، بیگانگان از حق رأی دادن، انتخاب کردن و انتخاب شدن برای عهده‌داری مشاغل سیاسی محروم‌اند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بودن از استخدام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حق استخدام دولتی، جزء حقوق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خاص و دقیق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نمی‌شود، به لحاظ آثار اجتماعی مترتب بر آن و لزوم احساس مسؤولیت و خدمت به جامعه از سوی کارمند و نیز ضرورت وفاداری وی به دولت، ایجاب می‌کند که بهره‌مند بودن از آن در انحصار اتباع داخلی باشد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بیگانه معمولاً از عهده‌داری مشاغل عمومی غیردولتی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تصدّی شهرداری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عضویت در ارتش و نیروهای مسلح نیز محروم است</w:t>
      </w:r>
      <w:r>
        <w:rPr>
          <w:rFonts w:eastAsia="IRNazanin" w:cs="IRNazanin"/>
          <w:color w:val="111111"/>
          <w:sz w:val="28"/>
          <w:szCs w:val="28"/>
          <w:rtl w:val="true"/>
          <w:lang w:bidi="fa-IR"/>
        </w:rPr>
        <w:t>.</w:t>
      </w:r>
    </w:p>
    <w:p>
      <w:pPr>
        <w:pStyle w:val="Heading4"/>
        <w:numPr>
          <w:ilvl w:val="3"/>
          <w:numId w:val="1"/>
        </w:numPr>
        <w:rPr/>
      </w:pPr>
      <w:bookmarkStart w:id="676" w:name="__RefHeading___Toc5261674_581953129"/>
      <w:bookmarkStart w:id="677" w:name="_Toc265"/>
      <w:bookmarkEnd w:id="676"/>
      <w:r>
        <w:rPr>
          <w:rtl w:val="true"/>
        </w:rPr>
        <w:t>ب</w:t>
      </w:r>
      <w:r>
        <w:rPr>
          <w:rtl w:val="true"/>
        </w:rPr>
        <w:t xml:space="preserve">) </w:t>
      </w:r>
      <w:r>
        <w:rPr>
          <w:rtl w:val="true"/>
        </w:rPr>
        <w:t>معافیت ها</w:t>
      </w:r>
      <w:bookmarkEnd w:id="677"/>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بیگانه، به لحاظ بیگانه بودن، از برخی حقوق در زمینه حقوق عمومی محروم است، امّا به‌طور متقابل به همین دلیل از برخی تکالیف نیز معاف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وظایف عمومی که بیگانگان از آن معاف هستند،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معافیت از انجام خدمت 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خدمت نظام وظیفه عمومی مهم‌ترین وظیفه عمومی برای دفاع از کشور است و فقط اتباع داخلی باید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یکصدوچهل‌وپنجم قانون اساسی دراین‌باره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 خارجی به عضویت در ارتش و نیروهای انتظامی کشور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ماده نخست قانون خدمت وظیفه عمومی،</w:t>
      </w:r>
      <w:r>
        <w:rPr>
          <w:rStyle w:val="FootnoteAnchor"/>
          <w:rtl w:val="true"/>
        </w:rPr>
        <w:footnoteReference w:id="399"/>
      </w:r>
      <w:r>
        <w:rPr>
          <w:rFonts w:ascii="IRNazanin" w:hAnsi="IRNazanin" w:eastAsia="IRNazanin"/>
          <w:color w:val="111111"/>
          <w:sz w:val="28"/>
          <w:sz w:val="28"/>
          <w:szCs w:val="28"/>
          <w:rtl w:val="true"/>
          <w:lang w:bidi="fa-IR"/>
        </w:rPr>
        <w:t>کلیه اتباع ذکور دولت جمهوری اسلامی ایران مکلّف به انجام خدمت وظیفه عمومی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دوّم قانونِ یادشده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ذکور ایرانی، از اول فروردین ماه سالی که طی آن سال وارد نوزده سالگی می‌شود، مشمول مقررات خدمت وظیفه عمومی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تخصیص تکلیف انجام خدمت وظیفه عمومی، به افراد ذکور ایرانی دلالت دارد و بیگانگان مشمول خدمت وظیفه عمومی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معافیت بیگانگان از انجام خدمت نظام وظیفه عمومی که روش مورد پذیرش در میان کشورها است، انگیزه‌ها و دلایلی دارد که در زیر به مواردی از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بیگانگان در کشور خود نیز به خدمت نظام وظیفه عمومی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آنها به انجام دوباره خدمت نظام عمومی در کشور میزبان، تکلیفی مضاعف بوده و عادلانه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بیگانگان با کشور میزبان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سپردن کار</w:t>
      </w:r>
    </w:p>
    <w:p>
      <w:pPr>
        <w:pStyle w:val="BookText"/>
        <w:rPr/>
      </w:pPr>
      <w:r>
        <w:rPr>
          <w:rFonts w:ascii="IRNazanin" w:hAnsi="IRNazanin" w:eastAsia="IRNazanin"/>
          <w:color w:val="111111"/>
          <w:sz w:val="28"/>
          <w:sz w:val="28"/>
          <w:szCs w:val="28"/>
          <w:rtl w:val="true"/>
          <w:lang w:bidi="fa-IR"/>
        </w:rPr>
        <w:t>پرمخاطره دفاع از کشور و نگهداری دستاوردهای جامعه از هجوم بیگانه به خارجیان، منطقی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بیگانگان، حضوری ناپایدار و موقّتی در کشور میزبان دارند و به هنگام بروز خطر، برای حفظ منافع خویش به کشورهای مورد تابعیت خود بازمی‌گردند در نتیجه، انتظار ماندن در کشور و دفاع از هجوم دشمنان از بیگانگان، دور از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بیگانگان انگیزه کافی برای دفاع از دستاوردهای کشور میزبان را به هنگام بروز خطر جنگ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یا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کشور میزبان را به خطر اندازند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اگرچه معافیت بیگانگان از انجام خدمت نظام وظیفه عمومی به‌عنوان یک عرف بین‌المللی شناخته شده است، امّا گاه در معاهده‌های دو جانبه به آن تصریح می‌شود؛ چنانچه در ماده هشتم معاهده اقامت بین دولت ایران و بلژیک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هریک از طرفین متعاهدین در خاک متعاهد دیگر، از خدمت نظامی و خدمت اجباری معاف هستند؛ جز خدمتی که برای دفاع از بلیات طبیعی مقرّر شود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معافیت از قرضه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 اجباری هنگامی است که دولت برای کاستن از میزان نقدینگی یا ضرورت‌های جنگ و شرایطی مانند آن، اتباع خود را وادار می‌کند که وجوه موجود خود را در اختیار دولت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بیگانه از چنین پرداخت‌هایی معاف هستند؛ امّا موظفند مالیات‌های معمول و عادی را همچون</w:t>
      </w:r>
      <w:bookmarkStart w:id="678" w:name="pg5888_36326"/>
    </w:p>
    <w:p>
      <w:pPr>
        <w:pStyle w:val="BookText"/>
        <w:rPr/>
      </w:pPr>
      <w:bookmarkEnd w:id="678"/>
      <w:r>
        <w:rPr>
          <w:rFonts w:ascii="IRNazanin" w:hAnsi="IRNazanin" w:eastAsia="IRNazanin"/>
          <w:color w:val="111111"/>
          <w:sz w:val="28"/>
          <w:sz w:val="28"/>
          <w:szCs w:val="28"/>
          <w:rtl w:val="true"/>
          <w:lang w:bidi="fa-IR"/>
        </w:rPr>
        <w:t>اتباع داخلی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معاهده‌ها که بین دولت‌ها منعقد شده، ترتیب معافیت بیگانگان از قرضه الزامی پیش‌بینی شده است</w:t>
      </w:r>
      <w:r>
        <w:rPr>
          <w:rFonts w:eastAsia="IRNazanin" w:cs="IRNazanin"/>
          <w:color w:val="111111"/>
          <w:sz w:val="28"/>
          <w:szCs w:val="28"/>
          <w:rtl w:val="true"/>
          <w:lang w:bidi="fa-IR"/>
        </w:rPr>
        <w:t>.</w:t>
      </w:r>
      <w:r>
        <w:rPr>
          <w:rStyle w:val="FootnoteAnchor"/>
          <w:rtl w:val="true"/>
        </w:rPr>
        <w:footnoteReference w:id="401"/>
      </w:r>
    </w:p>
    <w:p>
      <w:pPr>
        <w:pStyle w:val="Heading4"/>
        <w:numPr>
          <w:ilvl w:val="3"/>
          <w:numId w:val="1"/>
        </w:numPr>
        <w:rPr/>
      </w:pPr>
      <w:bookmarkStart w:id="679" w:name="__RefHeading___Toc5261676_581953129"/>
      <w:bookmarkStart w:id="680" w:name="_Toc266"/>
      <w:bookmarkEnd w:id="679"/>
      <w:r>
        <w:rPr>
          <w:rtl w:val="true"/>
        </w:rPr>
        <w:t>ج</w:t>
      </w:r>
      <w:r>
        <w:rPr>
          <w:rtl w:val="true"/>
        </w:rPr>
        <w:t xml:space="preserve">) </w:t>
      </w:r>
      <w:r>
        <w:rPr>
          <w:rtl w:val="true"/>
        </w:rPr>
        <w:t>تکالیف</w:t>
      </w:r>
      <w:bookmarkEnd w:id="680"/>
    </w:p>
    <w:p>
      <w:pPr>
        <w:pStyle w:val="BookText"/>
        <w:rPr/>
      </w:pPr>
      <w:r>
        <w:rPr>
          <w:rFonts w:ascii="IRNazanin" w:hAnsi="IRNazanin" w:eastAsia="IRNazanin"/>
          <w:color w:val="111111"/>
          <w:sz w:val="28"/>
          <w:sz w:val="28"/>
          <w:szCs w:val="28"/>
          <w:rtl w:val="true"/>
          <w:lang w:bidi="fa-IR"/>
        </w:rPr>
        <w:t>بیگانگان در برابر حقوقی که از آن برخوردارند، تکالیفی را نیز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تکالیف عمومی بیگانه را چنین می‌توان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قوانین کشور محل اقامت و رعایت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مکلّف است قوانین و مقرّرات دولت محل اقامت را محترم شمرده، از آن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سرپیچی از قوانین و مقررات، مجازات یا جبران خسارت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رعایت قوانین محل اقامت برای بیگانه، مورد پذیرش همه کشورهاست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عدم دخالت در امور داخلی محل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بیگانگان حق مداخله در امور داخلی کشور محل اقامت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داخلی کشورها برای بیگانگانی که در امور داخلی کشورشان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کمک به احزاب سیاسی، دخالت در انتخابات و شرکت در توطئه علیه دولت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کنند، مجازات سختی را در نظر می‌گیرند</w:t>
      </w:r>
      <w:r>
        <w:rPr>
          <w:rFonts w:eastAsia="IRNazanin" w:cs="IRNazanin"/>
          <w:color w:val="111111"/>
          <w:sz w:val="28"/>
          <w:szCs w:val="28"/>
          <w:rtl w:val="true"/>
          <w:lang w:bidi="fa-IR"/>
        </w:rPr>
        <w:t>.</w:t>
      </w:r>
      <w:r>
        <w:rPr>
          <w:rStyle w:val="FootnoteAnchor"/>
          <w:rtl w:val="true"/>
        </w:rPr>
        <w:footnoteReference w:id="40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تکلیف پرداخت مالیات، میان اتباع داخلی و بیگانه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در هر کشوری که باشند باید مالیات بپردازند؛ مگر در</w:t>
      </w:r>
    </w:p>
    <w:p>
      <w:pPr>
        <w:pStyle w:val="BookText"/>
        <w:rPr/>
      </w:pPr>
      <w:r>
        <w:rPr>
          <w:rFonts w:ascii="IRNazanin" w:hAnsi="IRNazanin" w:eastAsia="IRNazanin"/>
          <w:color w:val="111111"/>
          <w:sz w:val="28"/>
          <w:sz w:val="28"/>
          <w:szCs w:val="28"/>
          <w:rtl w:val="true"/>
          <w:lang w:bidi="fa-IR"/>
        </w:rPr>
        <w:t>موارد خاصی که معافیت از پرداخت مالیات از تصریح قانونی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مالیات بر درآمد، مالیات حقوق، مالیات‌های اتفاقی و مالیات بر ارث، باید با بیگانه همان رفتاری انجام شود که با اتباع خودی اعمال می‌شود؛ مگر اینکه در قرارداد دو جانبه بین دولت مورد تابعیت بیگانه و دولت محل اقامت او ترتیب دیگری پیش‌بینی شده باشد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به موجب بند پنجم ماده نخست مالیات‌های مستقیم، هر شخص غیر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یا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درآمدهایی که در ایران تحصیل می‌کند و نیز درآمدهایی که برای واگذاری امتیازات یا سایر حقوق خود و یا دادن تعلیمات و کمک‌های فنی و یا واگذاری فیلم‌های سینمایی از ایران تحصیل می‌کند، مکلّف به پرداخت مالیات شده 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صدور پروانه خروج از کشور یا تمدید پروانه اقامت و یا اشتغال برای اتباع خارجه را به پرداخت مالیات مربوطه و ارائه مفاصاحساب مالیاتی موکول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عمومی عبارت است از مجموعه حقوقی که بهره‌مندی از آنها به سازمان‌های قانونی دولت بستگی دارد و به منظور احترام به شخصیت انسانی برقرار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اینکه اصل بر بهره‌مندی بیگانگان از حقوق عمومی است یا نه، بین حقوق‌دانان اختلاف‌نظر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اساسی بیگانه، برای وی از این نظر که انسان است و صرف‌نظر از اینکه خودی یا بیگانه است،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حقوق اساسی بیگانگان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حیثیت بیگانه؛ حمایت از جان، مال و مسکن بیگانه و حق رفت‌وآمد و اقامت بیگانه، و حق برخورداری از آزادی اندیشه و انتخاب مذهب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بیگانگان از حقوق اقتصادی بهره‌مندند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شغل و استفاده از خدمات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بیگانگان از حقوق قضایی کشور میزبان برخوردارند که مهم‌ترین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ترافع قضایی و حق انتخاب وکیل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محرومیت‌های بیگانه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حقوق سیاسی و محرومیت از استخدام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معافیت‌های بیگانگان در کشور میزبان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از انجام خدمت سربازی و معافیت از قرضه اجباری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تکالیف بیگانگان در کشور میزبان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رعایت قوانین کشور محل اقامت، عدم دخالت در امور داخلی محل اقامت و پرداخت مالیات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عمومی را تعریف کرده و درباره وجود یا عدم وجود اصل درباره بهره‌مندی خارجی‌ها از حقوق عمومی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بیگانگان از حقوق اساسی بهره‌مند هستند؟ مهم‌ترین حقوق اساسی را که بیگانگان از آن بهره‌مند هستند بیان کرده، هریک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حقوق اقتصادی و حقوق قضایی را که بیگانگان از آن بهره‌مند هستند، نام برده، هریک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محرومیت‌ها، معافیت‌ها و تکالیف بیگانگان در کشور میزبان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تاریخچه اشتغال بیگانگان در ایران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 دراین‌باره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کار ، از نویسندگان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بهشید ارفع‌نیا، حقوق بین‌الملل خصوصی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کار و قانون ورود و اقامت اتباع خارجه در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حقوق خاص نمایندگان سیاسی و کنسولی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پژوهش، شناخت امتیازها و حقوقی است که از نگاه حقوق بین‌الملل برای مأموران سیاسی و نمایندگان سیاسی و کنسولی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 دراین‌باره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عمومی ، از نویسندگان گوناگون؛</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جلال‌الدین مدنی، حقوق بین‌الملل خصوصی ، 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صلاحیت دادگاه‌های ایران برای رسیدگی به دعواهای به‌وجود آمده بین اتباع بیگانه به چه صورت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ایران صلاحیت ندارند؛ زیرا حق رجوع به دادگاه‌های ایران، یک حق مدنی ویژه است که فقط از نگاه جامعه ایرانی و برای حفظ منافع ایرانی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حق مراجعه به دادگاه‌های ایران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دریافت تأمین، حق مراجعه به دادگاه‌های ایران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دادگاه‌های ایران به صلاحیت دادگاه‌های دولت مورد تابعیت بیگانه نسبت به ایرانیان مقیم آن کشور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اخراج بیگانگان، 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باید جنبه دسته‌جمعی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و قطع روابط سیاسی، باید جنبه فردی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و قطع روابط سیاسی، می‌تواند جنبه دسته‌جمعی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در همه زمان‌ها باید جنبه فردی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گزینه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مقیم ایران، مکلّف به انجام خدمت نظام وظیفه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نظر پرداخت مالیات، بیگانگان مانند اتباع داخلی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به‌طور کلّی از حقوق سیاسی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از همه حقوق خصوصی در ایران برخوردارند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وضع اتباع بیگانه، حق استخدام در وزارت آموزش وپرورش جزو کدام حقوق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سراسری</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سیاسی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غیرسیاسی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مسئله وضع اتباع بیگانه عبارت است از تعیین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بهره‌مندی از حقوق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استیفا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اتباع بیگانه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سیاسی اتباع بیگانه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اشتغال به مشاغل خصوصی جزء کدام دسته از حقوق خارجیان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غیرسیاسی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مخصوصه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سیاسی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کار کردن در ایران، جزء کدام دسته از حقوق اتباع بیگانه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مخصوصه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سیاسی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غیرسیاسی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مراجعه به دادگاه‌های ایران جزء کدام دسته از حقوق اتباع بیگانه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غیرسیاسی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سیاسی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مخصوصه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ارتباط با حقوق بیگانگان در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رفتار متقابل سیاسی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رفتار متقابل قانونی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رفتار متقابل سیاسی و قانونی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شرطی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خارجی برای اقامت در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روادید رفت و برگشت به ایران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پروانه اقامت موقّت یا اقامت همیشگی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رواید عبور از ایران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پروانه یا روادیدی لازم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قوانین ایران، اگر کسی به ایران پناهنده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به‌طور کلّی او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می‌تواند به کسانی که پناهندگی سیاسی بخواهند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قیدی او را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بازداشت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 گزینه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در ایران، فقط از حقوق عمومی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در ایران، هم از حقوق عمومی و هم از حقوق مدنی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کلّی آن است که بیگانه در ایران از همه حقوق مدنی بهره‌مند است؛ مگر در مواردی که قانون استثنا کرده باشد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در ایران از هیچ حقوقی محروم نیست و قانون او را از هیچ حقی محروم نکرده است</w:t>
      </w:r>
      <w:r>
        <w:rPr>
          <w:rFonts w:eastAsia="IRNazanin" w:cs="IRNazanin"/>
          <w:color w:val="111111"/>
          <w:sz w:val="28"/>
          <w:szCs w:val="28"/>
          <w:rtl w:val="true"/>
          <w:lang w:bidi="fa-IR"/>
        </w:rPr>
        <w:t>.</w:t>
      </w:r>
      <w:bookmarkStart w:id="681" w:name="pg5888_36336"/>
    </w:p>
    <w:p>
      <w:pPr>
        <w:pStyle w:val="Heading2"/>
        <w:numPr>
          <w:ilvl w:val="1"/>
          <w:numId w:val="1"/>
        </w:numPr>
        <w:rPr/>
      </w:pPr>
      <w:bookmarkStart w:id="682" w:name="__RefHeading___Toc5261678_581953129"/>
      <w:bookmarkStart w:id="683" w:name="_Toc267"/>
      <w:bookmarkEnd w:id="681"/>
      <w:bookmarkEnd w:id="682"/>
      <w:r>
        <w:rPr/>
        <w:t>16</w:t>
      </w:r>
      <w:r>
        <w:rPr>
          <w:rtl w:val="true"/>
        </w:rPr>
        <w:t xml:space="preserve">- </w:t>
      </w:r>
      <w:r>
        <w:rPr>
          <w:rtl w:val="true"/>
        </w:rPr>
        <w:t>وضعیت اشخاص حقوقی بیگانه</w:t>
      </w:r>
      <w:bookmarkEnd w:id="683"/>
    </w:p>
    <w:p>
      <w:pPr>
        <w:pStyle w:val="Heading3"/>
        <w:numPr>
          <w:ilvl w:val="2"/>
          <w:numId w:val="1"/>
        </w:numPr>
        <w:rPr/>
      </w:pPr>
      <w:bookmarkStart w:id="684" w:name="__RefHeading___Toc5261680_581953129"/>
      <w:bookmarkStart w:id="685" w:name="_Toc268"/>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هدف‌های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دوباره به تعریف اشخاص حقوقی؛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ضرورت شناسایی اشخاص حقوقی بیگانه؛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شناسایی اشخاص حقوقی حقوق عمومی و اشخاص حقوقی حقوق خصوصی؛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شناسایی اشخاص حقوقی از راه معاهده‌ها؛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حقوق و تکالیف اشخاص حقوقی بیگانه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امروزه با پیشرفت علوم ارتباطات، فناوری و رقابت‌های فشرده تجاری و بازرگانی بین‌المللی، بیشترِ فعالیت‌ها به‌صورتِ جمعی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اشخاص حقوقی، مانند شرکت‌ها، مؤسسّه‌ها و انجمن‌ها از اهمیت بیشتری برخوردارند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دسته‌هایی از افراد انسانی، که قانون‌گذار برای امکان فعالیت و پیشرفت هدف این دسته‌ها، آنها را به‌عنوان یک وجود حقوقی مستقل مورد شناسایی قرار می‌دهد؛ یعنی برای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امکان‌پذیر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تکالیفی مانند حقوق و تکالیف انسان قائل می‌شود</w:t>
      </w:r>
      <w:r>
        <w:rPr>
          <w:rFonts w:eastAsia="IRNazanin" w:cs="IRNazanin"/>
          <w:color w:val="111111"/>
          <w:sz w:val="28"/>
          <w:szCs w:val="28"/>
          <w:rtl w:val="true"/>
          <w:lang w:bidi="fa-IR"/>
        </w:rPr>
        <w:t>.</w:t>
      </w:r>
      <w:r>
        <w:rPr>
          <w:rStyle w:val="FootnoteAnchor"/>
          <w:rtl w:val="true"/>
        </w:rPr>
        <w:footnoteReference w:id="405"/>
      </w:r>
      <w:bookmarkStart w:id="686" w:name="pg5888_36337"/>
    </w:p>
    <w:p>
      <w:pPr>
        <w:pStyle w:val="BookText"/>
        <w:rPr/>
      </w:pPr>
      <w:bookmarkEnd w:id="686"/>
      <w:r>
        <w:rPr>
          <w:rFonts w:ascii="IRNazanin" w:hAnsi="IRNazanin" w:eastAsia="IRNazanin"/>
          <w:color w:val="111111"/>
          <w:sz w:val="28"/>
          <w:sz w:val="28"/>
          <w:szCs w:val="28"/>
          <w:rtl w:val="true"/>
          <w:lang w:bidi="fa-IR"/>
        </w:rPr>
        <w:t>لازم است روشن شود که آیا اشخاص حقوقی در خارج از کشور مورد تابعیت خود نیز از چنین شخصیتی برخوردارند و به رسمیت شناخته می‌شوند؟ و در صورت شناسایی، آیا این امر برای آنها یک حق است که می‌توانند آن را مطالبه کنند و یا نوعی امتیاز است که می‌توان ایشان را از آن محروم ساخت؟</w:t>
      </w:r>
    </w:p>
    <w:p>
      <w:pPr>
        <w:pStyle w:val="Heading3"/>
        <w:numPr>
          <w:ilvl w:val="2"/>
          <w:numId w:val="1"/>
        </w:numPr>
        <w:rPr/>
      </w:pPr>
      <w:bookmarkStart w:id="687" w:name="__RefHeading___Toc5261682_581953129"/>
      <w:bookmarkStart w:id="688" w:name="_Toc269"/>
      <w:bookmarkEnd w:id="687"/>
      <w:r>
        <w:rPr/>
        <w:t>1</w:t>
      </w:r>
      <w:r>
        <w:rPr>
          <w:rtl w:val="true"/>
        </w:rPr>
        <w:t xml:space="preserve">- </w:t>
      </w:r>
      <w:r>
        <w:rPr>
          <w:rtl w:val="true"/>
        </w:rPr>
        <w:t>شناسایی اشخاص حقوقی در ایران</w:t>
      </w:r>
      <w:bookmarkEnd w:id="688"/>
    </w:p>
    <w:p>
      <w:pPr>
        <w:pStyle w:val="BookText"/>
        <w:rPr/>
      </w:pPr>
      <w:r>
        <w:rPr>
          <w:rFonts w:ascii="IRNazanin" w:hAnsi="IRNazanin" w:eastAsia="IRNazanin"/>
          <w:color w:val="111111"/>
          <w:sz w:val="28"/>
          <w:sz w:val="28"/>
          <w:szCs w:val="28"/>
          <w:rtl w:val="true"/>
          <w:lang w:bidi="fa-IR"/>
        </w:rPr>
        <w:t>اشخاص حقوقی به دو طبقه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حقوقی عمومی و اشخاص حقوقی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 حقوقی عمومی عبارت‌اند از دولت، دانشگاه و سایر مؤسسّه‌های واجد شخصیت در حقوق عمومی؛ برابر ماده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مؤسسّه‌ها و تشکیلات دولتی و بلدی، به محض ایجاد و بدون احتیاج به ثبت، دارای شخصیت حقوقی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حقوقی حقوق عمومی، به محض ایجاد، شخصیت، یعنی وجود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حقوقی حقوق خصوصی، شامل شرکت‌ها به‌طور عام است و شرکت به معنای اعم، عبارت است از تشریک مساعی بین دو یا چند نفر که مقصود از آن، رسیدن به هدفی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صورتی که منظور، یک هدف مادی و مالی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اخص تشکیل می‌شود و اگر مقصود، جلب منافع مادی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تفکیک می‌توان اشخاص حقوقی حقوق خصوصی را دو قسم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 و شرکت‌ها</w:t>
      </w:r>
      <w:r>
        <w:rPr>
          <w:rFonts w:eastAsia="IRNazanin" w:cs="IRNazanin"/>
          <w:color w:val="111111"/>
          <w:sz w:val="28"/>
          <w:szCs w:val="28"/>
          <w:rtl w:val="true"/>
          <w:lang w:bidi="fa-IR"/>
        </w:rPr>
        <w:t>.</w:t>
      </w:r>
      <w:r>
        <w:rPr>
          <w:rStyle w:val="FootnoteAnchor"/>
          <w:rtl w:val="true"/>
        </w:rPr>
        <w:footnoteReference w:id="406"/>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شخص حقوقی بیگانه برای فعالیت در خارج از کشور خود، لازم است به‌عنوان یک شخصیت حقوقی مستقل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اشخاص حقوقی</w:t>
      </w:r>
    </w:p>
    <w:p>
      <w:pPr>
        <w:pStyle w:val="BookText"/>
        <w:rPr/>
      </w:pPr>
      <w:r>
        <w:rPr>
          <w:rFonts w:ascii="IRNazanin" w:hAnsi="IRNazanin" w:eastAsia="IRNazanin"/>
          <w:color w:val="111111"/>
          <w:sz w:val="28"/>
          <w:sz w:val="28"/>
          <w:szCs w:val="28"/>
          <w:rtl w:val="true"/>
          <w:lang w:bidi="fa-IR"/>
        </w:rPr>
        <w:t>خارجی در حقوق عمومی، نیازی به شناسایی نیست؛ زیرا همه گونه‌های اشخاص حقوقی حقوق عمومی، به دولت مربوط و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شناسایی دولت، مستلزم شناسایی شخصیت حقوقی آن دولت و سایر اشخاص حقوقی وابسته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فعالیت اشخاص حقوقی حقوق خصوصی در خارج از کشور خود، به شناسایی شخصیت حقوقی آنها بستگی دارد و این شناسایی است که وضعیت بین‌المللی این اشخاص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مقررات، پیرامون شرکت‌های خارجی و شرایط ثبت آنها در ایران، در ماده سوّم به بعد قانون ثبت شرکت‌ها، مواد دوّم تا بیست‌وسوّم نظامنامه اجرای قانون ثبت شرکت‌ها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شده در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قانون اجازه ثبت شعبه یا نمایندگی شرکت‌های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شده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آیین‌نامه اجرایی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شده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تشکیل شرکت‌های خارجی، در اصل هشتادویکم قانون اساسی جمهوری اسلامی ایران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دادن امتیاز تشکیل شرکت‌ها و مؤسسّه‌ها در امور تجاری و صنعتی و کشاورزی و معادن و خدمات به خارجیان، مطلقاً ممنوع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تصویب قانون اساسی جمهوری اسلامی ایران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تصویب قانونِ اجازه ثبت شرکت‌های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شده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آیین‌نامه اجرایی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شده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اداره ثبت شرکت‌ها، در عمل از ثبت شعبه‌های شرکت‌های خارجی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وزارتخانه‌ها و مؤسسّه‌های دولتی که طرف قرارداد شرکت‌های خارجی بودند، مشکلات زیادی را به‌وجود می‌آورد</w:t>
      </w:r>
      <w:r>
        <w:rPr>
          <w:rFonts w:eastAsia="IRNazanin" w:cs="IRNazanin"/>
          <w:color w:val="111111"/>
          <w:sz w:val="28"/>
          <w:szCs w:val="28"/>
          <w:rtl w:val="true"/>
          <w:lang w:bidi="fa-IR"/>
        </w:rPr>
        <w:t>.</w:t>
      </w:r>
      <w:bookmarkStart w:id="689" w:name="pg5888_36339"/>
    </w:p>
    <w:p>
      <w:pPr>
        <w:pStyle w:val="BookText"/>
        <w:rPr/>
      </w:pPr>
      <w:bookmarkEnd w:id="689"/>
      <w:r>
        <w:rPr>
          <w:rFonts w:ascii="IRNazanin" w:hAnsi="IRNazanin" w:eastAsia="IRNazanin"/>
          <w:color w:val="111111"/>
          <w:sz w:val="28"/>
          <w:sz w:val="28"/>
          <w:szCs w:val="28"/>
          <w:rtl w:val="true"/>
          <w:lang w:bidi="fa-IR"/>
        </w:rPr>
        <w:t>شورای نگهبان در پاسخ استعلام دولت چنین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خارجی‌ای که با دستگاه‌های دولتی ایران قرارداد قانونی منعقد کرده‌اند، می‌توانند جهت انجام امور قانونی و فعالیت‌های خود در حدود قراردادهای منعقده، طبق ماده سوّم قانون ثبت شرکت‌ها، به ثبت شعب خود در ایران مبادرت کنند و این امر با اصل هشتادویکم قانون اساسی مغایرتی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نظریه شورای نگهبان تا حدودی توانست مشکلات قوه مجریه را حل کند، ولی پاسخگوی ضرورت‌های تعامل اقتصادی با شرکت‌های خارجی، برای توسعه و پیشرفت اقتصادی کشور پس از پایان جنگ تحمیلی و آغاز دوران سازندگی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قانون اجازه ثبت شعبه یا نمایندگی شرکت‌های خارجی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به تصویب مجلس شورای اسلامی رسید و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مورد تأیید شورای نگهبان قرار گرفت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ماده واحده این قانون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خارجی‌ای که در کشور محل ثبت خود، شرکت قانونی شناخته می‌شوند، مشروط به عمل متقابل از سوی کشور متبوع، می‌توانند در زمینه‌هایی که به‌وسیله دولت جمهوری اسلامی ایران تعیین می‌شود، در چهارچوب قوانین و مقررات کشور، به ثبت شعبه یا نمایندگی خود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در پی آنچه گذشت، سرانجام مجوّز ثبت شرکت‌های خارجی در ایران صادر گردید و اداره ثبت شرکت‌ها مکلف به ثبت این‌گونه شرکت‌ها شد</w:t>
      </w:r>
      <w:r>
        <w:rPr>
          <w:rFonts w:eastAsia="IRNazanin" w:cs="IRNazanin"/>
          <w:color w:val="111111"/>
          <w:sz w:val="28"/>
          <w:szCs w:val="28"/>
          <w:rtl w:val="true"/>
          <w:lang w:bidi="fa-IR"/>
        </w:rPr>
        <w:t>.</w:t>
      </w:r>
    </w:p>
    <w:p>
      <w:pPr>
        <w:pStyle w:val="Heading3"/>
        <w:numPr>
          <w:ilvl w:val="2"/>
          <w:numId w:val="1"/>
        </w:numPr>
        <w:rPr/>
      </w:pPr>
      <w:bookmarkStart w:id="690" w:name="__RefHeading___Toc5261684_581953129"/>
      <w:bookmarkStart w:id="691" w:name="_Toc270"/>
      <w:bookmarkEnd w:id="690"/>
      <w:r>
        <w:rPr/>
        <w:t>2</w:t>
      </w:r>
      <w:r>
        <w:rPr>
          <w:rtl w:val="true"/>
        </w:rPr>
        <w:t xml:space="preserve">- </w:t>
      </w:r>
      <w:r>
        <w:rPr>
          <w:rtl w:val="true"/>
        </w:rPr>
        <w:t>شناسایی اشخاص حقوقی از راه معاهده ها</w:t>
      </w:r>
      <w:bookmarkEnd w:id="69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شناسایی اشخاص حقوقی در ایران، با تصریح در معاهده‌های دو</w:t>
      </w:r>
      <w:bookmarkStart w:id="692" w:name="pg5888_36340"/>
    </w:p>
    <w:p>
      <w:pPr>
        <w:pStyle w:val="BookText"/>
        <w:rPr/>
      </w:pPr>
      <w:bookmarkEnd w:id="692"/>
      <w:r>
        <w:rPr>
          <w:rFonts w:ascii="IRNazanin" w:hAnsi="IRNazanin" w:eastAsia="IRNazanin"/>
          <w:color w:val="111111"/>
          <w:sz w:val="28"/>
          <w:sz w:val="28"/>
          <w:szCs w:val="28"/>
          <w:rtl w:val="true"/>
          <w:lang w:bidi="fa-IR"/>
        </w:rPr>
        <w:t>جانبه صورتِ پذیرد که دراین‌صورت، برابر آن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نمونه به چند مورد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نهم قرارداد اقامت ایران و بلژیک، در تاریخ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دراین‌باره چنین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شرکت‌های صنعتی و تجارتی که بر طبق قوانین یکی از طرفین متعاهدین، تأسیس و مقرّ شرکت آنها در خاک مملکت مشارالیها بوده و در آنجا قانوناً به تابعیت آن مملکت شناخته شده باشد، هویت حقوقی و اهلیت آنها در خاک طرف متعاهد دیگر شناخته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چهارم قرارداد اقامت ایران و آلمان، در تاریخ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سهامی و هر قسم شرکت‌های تجارتی، من جمله شرکت‌های مالی و صنعتی و بیمه و ارتباطات و حمل‌ونقل که مقرّ آنها در خاک یکی از طرفین متعاهدین بوده و مطابق قوانین مملکتی که مرکز شرکت در آن واقع است تأسیس و شناخته شده باشند، هویت حقوقی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93" w:name="__RefHeading___Toc5261686_581953129"/>
      <w:bookmarkStart w:id="694" w:name="_Toc271"/>
      <w:bookmarkEnd w:id="693"/>
      <w:r>
        <w:rPr/>
        <w:t>3</w:t>
      </w:r>
      <w:r>
        <w:rPr>
          <w:rtl w:val="true"/>
        </w:rPr>
        <w:t xml:space="preserve">- </w:t>
      </w:r>
      <w:r>
        <w:rPr>
          <w:rtl w:val="true"/>
        </w:rPr>
        <w:t>حقوق اشخاص حقوقی بیگانه</w:t>
      </w:r>
      <w:bookmarkEnd w:id="694"/>
    </w:p>
    <w:p>
      <w:pPr>
        <w:pStyle w:val="Heading4"/>
        <w:numPr>
          <w:ilvl w:val="3"/>
          <w:numId w:val="1"/>
        </w:numPr>
        <w:rPr/>
      </w:pPr>
      <w:bookmarkStart w:id="695" w:name="__RefHeading___Toc5261688_581953129"/>
      <w:bookmarkStart w:id="696" w:name="_Toc272"/>
      <w:bookmarkEnd w:id="695"/>
      <w:r>
        <w:rPr>
          <w:rtl w:val="true"/>
        </w:rPr>
        <w:t>الف</w:t>
      </w:r>
      <w:r>
        <w:rPr>
          <w:rtl w:val="true"/>
        </w:rPr>
        <w:t xml:space="preserve">) </w:t>
      </w:r>
      <w:r>
        <w:rPr>
          <w:rtl w:val="true"/>
        </w:rPr>
        <w:t>حق مالکیت دارایی های غیرمنقول</w:t>
      </w:r>
      <w:bookmarkEnd w:id="696"/>
    </w:p>
    <w:p>
      <w:pPr>
        <w:pStyle w:val="BookText"/>
        <w:rPr/>
      </w:pPr>
      <w:r>
        <w:rPr>
          <w:rFonts w:ascii="IRNazanin" w:hAnsi="IRNazanin" w:eastAsia="IRNazanin"/>
          <w:color w:val="111111"/>
          <w:sz w:val="28"/>
          <w:sz w:val="28"/>
          <w:szCs w:val="28"/>
          <w:rtl w:val="true"/>
          <w:lang w:bidi="fa-IR"/>
        </w:rPr>
        <w:t xml:space="preserve">به حقوق اشخاص حقوقی در زمینه حقوق خصوصی، در ماده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 نیز ماده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به مالکیت درآوردن دارایی‌ها را نیز آیین‌نامه مالک شدن اتباع بیگانه تعیین کرده است</w:t>
      </w:r>
      <w:r>
        <w:rPr>
          <w:rFonts w:eastAsia="IRNazanin" w:cs="IRNazanin"/>
          <w:color w:val="111111"/>
          <w:sz w:val="28"/>
          <w:szCs w:val="28"/>
          <w:rtl w:val="true"/>
          <w:lang w:bidi="fa-IR"/>
        </w:rPr>
        <w:t>.</w:t>
      </w:r>
    </w:p>
    <w:p>
      <w:pPr>
        <w:pStyle w:val="Heading4"/>
        <w:numPr>
          <w:ilvl w:val="3"/>
          <w:numId w:val="1"/>
        </w:numPr>
        <w:rPr/>
      </w:pPr>
      <w:bookmarkStart w:id="697" w:name="__RefHeading___Toc5261690_581953129"/>
      <w:bookmarkStart w:id="698" w:name="_Toc273"/>
      <w:bookmarkEnd w:id="697"/>
      <w:r>
        <w:rPr>
          <w:rtl w:val="true"/>
        </w:rPr>
        <w:t>ب</w:t>
      </w:r>
      <w:r>
        <w:rPr>
          <w:rtl w:val="true"/>
        </w:rPr>
        <w:t xml:space="preserve">) </w:t>
      </w:r>
      <w:r>
        <w:rPr>
          <w:rtl w:val="true"/>
        </w:rPr>
        <w:t>حق انجام معامله</w:t>
      </w:r>
      <w:bookmarkEnd w:id="69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حقوقی بیگانه، نظیر اشخاص حقیقی بیگانه، حق انجام هرگونه معامله</w:t>
      </w:r>
      <w:bookmarkStart w:id="699" w:name="pg5888_36341"/>
    </w:p>
    <w:p>
      <w:pPr>
        <w:pStyle w:val="BookText"/>
        <w:rPr/>
      </w:pPr>
      <w:bookmarkEnd w:id="699"/>
      <w:r>
        <w:rPr>
          <w:rFonts w:ascii="IRNazanin" w:hAnsi="IRNazanin" w:eastAsia="IRNazanin"/>
          <w:color w:val="111111"/>
          <w:sz w:val="28"/>
          <w:sz w:val="28"/>
          <w:szCs w:val="28"/>
          <w:rtl w:val="true"/>
          <w:lang w:bidi="fa-IR"/>
        </w:rPr>
        <w:t xml:space="preserve">پیش‌بینی‌شده در اساسنامه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معاملات ممنوع برای اتباع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دوّم قانون ثبت شرکت‌ها، به شرکت‌هایی که برابر قوانین ایران به رسمیت شناخته می‌شوند، اجازه داده است که از زمان ثبت، در ایران به فعالیت بپردازند و به عملیات تجارتی، صنعتی و یا مالی مبادرت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معاهده‌های دو جانبه، به حق انجام معامله و ابراز فعالیت تصریح شود</w:t>
      </w:r>
      <w:r>
        <w:rPr>
          <w:rFonts w:eastAsia="IRNazanin" w:cs="IRNazanin"/>
          <w:color w:val="111111"/>
          <w:sz w:val="28"/>
          <w:szCs w:val="28"/>
          <w:rtl w:val="true"/>
          <w:lang w:bidi="fa-IR"/>
        </w:rPr>
        <w:t>.</w:t>
      </w:r>
    </w:p>
    <w:p>
      <w:pPr>
        <w:pStyle w:val="Heading4"/>
        <w:numPr>
          <w:ilvl w:val="3"/>
          <w:numId w:val="1"/>
        </w:numPr>
        <w:rPr/>
      </w:pPr>
      <w:bookmarkStart w:id="700" w:name="__RefHeading___Toc5261692_581953129"/>
      <w:bookmarkStart w:id="701" w:name="_Toc274"/>
      <w:bookmarkEnd w:id="700"/>
      <w:r>
        <w:rPr>
          <w:rtl w:val="true"/>
        </w:rPr>
        <w:t>ج</w:t>
      </w:r>
      <w:r>
        <w:rPr>
          <w:rtl w:val="true"/>
        </w:rPr>
        <w:t xml:space="preserve">) </w:t>
      </w:r>
      <w:r>
        <w:rPr>
          <w:rtl w:val="true"/>
        </w:rPr>
        <w:t>مصونیت محل شرکت و دفاتر و اوراق حسابداری آن</w:t>
      </w:r>
      <w:bookmarkEnd w:id="701"/>
    </w:p>
    <w:p>
      <w:pPr>
        <w:pStyle w:val="BookText"/>
        <w:rPr/>
      </w:pPr>
      <w:r>
        <w:rPr>
          <w:rFonts w:ascii="IRNazanin" w:hAnsi="IRNazanin" w:eastAsia="IRNazanin"/>
          <w:color w:val="111111"/>
          <w:sz w:val="28"/>
          <w:sz w:val="28"/>
          <w:szCs w:val="28"/>
          <w:rtl w:val="true"/>
          <w:lang w:bidi="fa-IR"/>
        </w:rPr>
        <w:t>ازآنجاکه شعبه‌های اشخاص حقوقی بیگانه به‌طور رسمی ثبت و شناسایی شده‌اند و دارای مجوّز قانونی فعالیت در کشور مقر هستند، محل و یا همه دفترها و مدارک آنها، از هر تعرّضی مصون بوده، بدون ضوابط و مقررات قانونی، قابل رسیدگی و تفتیش نیستند</w:t>
      </w:r>
      <w:r>
        <w:rPr>
          <w:rFonts w:eastAsia="IRNazanin" w:cs="IRNazanin"/>
          <w:color w:val="111111"/>
          <w:sz w:val="28"/>
          <w:szCs w:val="28"/>
          <w:rtl w:val="true"/>
          <w:lang w:bidi="fa-IR"/>
        </w:rPr>
        <w:t>.</w:t>
      </w:r>
    </w:p>
    <w:p>
      <w:pPr>
        <w:pStyle w:val="Heading4"/>
        <w:numPr>
          <w:ilvl w:val="3"/>
          <w:numId w:val="1"/>
        </w:numPr>
        <w:rPr/>
      </w:pPr>
      <w:bookmarkStart w:id="702" w:name="__RefHeading___Toc5261694_581953129"/>
      <w:bookmarkStart w:id="703" w:name="_Toc275"/>
      <w:bookmarkEnd w:id="702"/>
      <w:r>
        <w:rPr>
          <w:rtl w:val="true"/>
        </w:rPr>
        <w:t>د</w:t>
      </w:r>
      <w:r>
        <w:rPr>
          <w:rtl w:val="true"/>
        </w:rPr>
        <w:t xml:space="preserve">) </w:t>
      </w:r>
      <w:r>
        <w:rPr>
          <w:rtl w:val="true"/>
        </w:rPr>
        <w:t>حق ترافع قضایی و مراجعه به دادگاه ها</w:t>
      </w:r>
      <w:bookmarkEnd w:id="703"/>
    </w:p>
    <w:p>
      <w:pPr>
        <w:pStyle w:val="BookText"/>
        <w:rPr/>
      </w:pPr>
      <w:r>
        <w:rPr>
          <w:rFonts w:ascii="IRNazanin" w:hAnsi="IRNazanin" w:eastAsia="IRNazanin"/>
          <w:color w:val="111111"/>
          <w:sz w:val="28"/>
          <w:sz w:val="28"/>
          <w:szCs w:val="28"/>
          <w:rtl w:val="true"/>
          <w:lang w:bidi="fa-IR"/>
        </w:rPr>
        <w:t xml:space="preserve">اشخاص حقوقی بیگانه حق دارند به‌صورتِ مدّعی یا مدّعی‌علیه، اقامه دعوا کرده، به مراجع برخوردار از صلاحیت قضایی مراجعه کنند؛ امّا برابر ماده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آیین دادرسی امور مدنی، چنانچه اشخاص حقوقی بخواهند به‌عنوان خواهان اصلی اقامه دعوا کنند و یا به‌عنوان شخص ثالث وارد دعوا شوند، باید برای هزینه دادرسی و حق‌الوکاله، وجه‌الضمان و تأمین بسپارند؛ مگر آنکه برابر معاهده‌های دو جانبه از معافیت‌های قانونی برخوردار باشند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704" w:name="__RefHeading___Toc5261696_581953129"/>
      <w:bookmarkStart w:id="705" w:name="_Toc276"/>
      <w:bookmarkEnd w:id="704"/>
      <w:r>
        <w:rPr/>
        <w:t>4</w:t>
      </w:r>
      <w:r>
        <w:rPr>
          <w:rtl w:val="true"/>
        </w:rPr>
        <w:t xml:space="preserve">- </w:t>
      </w:r>
      <w:r>
        <w:rPr>
          <w:rtl w:val="true"/>
        </w:rPr>
        <w:t>تکالیف اشخاص حقوقی بیگانه</w:t>
      </w:r>
      <w:bookmarkEnd w:id="705"/>
    </w:p>
    <w:p>
      <w:pPr>
        <w:pStyle w:val="Heading4"/>
        <w:numPr>
          <w:ilvl w:val="3"/>
          <w:numId w:val="1"/>
        </w:numPr>
        <w:rPr/>
      </w:pPr>
      <w:bookmarkStart w:id="706" w:name="__RefHeading___Toc5261698_581953129"/>
      <w:bookmarkStart w:id="707" w:name="_Toc277"/>
      <w:bookmarkEnd w:id="706"/>
      <w:r>
        <w:rPr>
          <w:rtl w:val="true"/>
        </w:rPr>
        <w:t>اشاره</w:t>
      </w:r>
      <w:bookmarkEnd w:id="70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تکالیف اشخاص حقوقی بیگانه عبارت‌اند از</w:t>
      </w:r>
      <w:r>
        <w:rPr>
          <w:rFonts w:eastAsia="IRNazanin" w:cs="IRNazanin"/>
          <w:color w:val="111111"/>
          <w:sz w:val="28"/>
          <w:szCs w:val="28"/>
          <w:rtl w:val="true"/>
          <w:lang w:bidi="fa-IR"/>
        </w:rPr>
        <w:t>:</w:t>
      </w:r>
      <w:bookmarkStart w:id="708" w:name="pg5888_36342"/>
    </w:p>
    <w:p>
      <w:pPr>
        <w:pStyle w:val="Heading4"/>
        <w:numPr>
          <w:ilvl w:val="3"/>
          <w:numId w:val="1"/>
        </w:numPr>
        <w:rPr/>
      </w:pPr>
      <w:bookmarkStart w:id="709" w:name="__RefHeading___Toc5261700_581953129"/>
      <w:bookmarkStart w:id="710" w:name="_Toc278"/>
      <w:bookmarkEnd w:id="708"/>
      <w:bookmarkEnd w:id="709"/>
      <w:r>
        <w:rPr>
          <w:rtl w:val="true"/>
        </w:rPr>
        <w:t>الف</w:t>
      </w:r>
      <w:r>
        <w:rPr>
          <w:rtl w:val="true"/>
        </w:rPr>
        <w:t xml:space="preserve">) </w:t>
      </w:r>
      <w:r>
        <w:rPr>
          <w:rtl w:val="true"/>
        </w:rPr>
        <w:t>تکلیف به ارائه گزارش دوره ای فعالیت به مراجع داخلی</w:t>
      </w:r>
      <w:bookmarkEnd w:id="710"/>
    </w:p>
    <w:p>
      <w:pPr>
        <w:pStyle w:val="BookText"/>
        <w:rPr/>
      </w:pPr>
      <w:r>
        <w:rPr>
          <w:rFonts w:ascii="IRNazanin" w:hAnsi="IRNazanin" w:eastAsia="IRNazanin"/>
          <w:color w:val="111111"/>
          <w:sz w:val="28"/>
          <w:sz w:val="28"/>
          <w:szCs w:val="28"/>
          <w:rtl w:val="true"/>
          <w:lang w:bidi="fa-IR"/>
        </w:rPr>
        <w:t xml:space="preserve">ماده هفتم آیین‌نامه اجرایی قانون اجازه ثبت شعبه یا نمایندگی شرکت‌های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شده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شعبه‌های شرکت‌های خارجی ثبت‌شده در ایران را موظف کرده است تا هر ساله، گزارش‌های مالی حسابرسی‌شده شرکت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به‌وسیله حسابرسان مستقل مقیم آن کشور تهیه شده است، به اداره ثبت شرکت‌ها ارائه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ضروری است شعبه‌های شرکت‌های خارجی افزون بر گزارش فعالیت و صورت‌های مالی حسابرسی‌شده خود، نسبت به تهیه و ارائه مدارک مزبور در مورد شرکت مادرِ خود نیز اقدام کنند؛ این در حالی است که در مورد شخص حقوقی نماینده شرکت خارجی، تهیه و ارائه مدرک، به‌تنهایی کافی خواهد بود</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711" w:name="__RefHeading___Toc5261702_581953129"/>
      <w:bookmarkStart w:id="712" w:name="_Toc279"/>
      <w:bookmarkEnd w:id="711"/>
      <w:r>
        <w:rPr>
          <w:rtl w:val="true"/>
        </w:rPr>
        <w:t>ب</w:t>
      </w:r>
      <w:r>
        <w:rPr>
          <w:rtl w:val="true"/>
        </w:rPr>
        <w:t xml:space="preserve">) </w:t>
      </w:r>
      <w:r>
        <w:rPr>
          <w:rtl w:val="true"/>
        </w:rPr>
        <w:t>تکلیف به پرداخت مالیات و عوارض</w:t>
      </w:r>
      <w:bookmarkEnd w:id="71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حقوقی بیگانه همچون اشخاص حقیقی بیگانه، برابر قوانین و مقررات دولت مقر، به پرداخت مالیات و عوارض گمرکی مکلف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حقوقی، مانند شرکت‌ها و مؤسّسه‌ها، گاه در خارج از کشور متبوع خود به فعالیت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بدین‌منظور، لازم است شخصیت حقوقی آنها از سوی کشور میزبان به رسمیت 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حقوقی حقوق عمومی برای فعالیت در خارج از کشور، نیازمند شناسایی مستقل نیستند؛ زیرا آنها به دولت وابسته‌اند و با شناسایی دولت، اشخاص حقوقی وابسته به آن نیز به‌طور غیرمستقیم مورد شناسایی قرار خواهند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اشخاص حقوقی حقوق خصوصی برای فعالیت در خارج از کشور نیازمند شناسایی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شرکت خصوصی که در کشور خود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در صورتی که در ایران به ثبت برسد، می‌تواند در ایران به فعالیت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دولت‌ها از راه بستن معاهده‌ها و عهدنامه‌ها، شرکت‌های صنعتی و تجاری یکدیگر را به رسمیت 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اشخاص حقوقی بیگانه در ایران به رسمیت شناخته شوند، از حقوق و تکالیفی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حقوق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دارایی‌های غیرمنقول، انجام معامله و ترافع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تکالیف آنها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گزارش دوره‌ای فعالیت به مراجع داخلی و پرداخت عوارض و مالیات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شناسایی اشخاص حقوقی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فعالیت در خارج از کشور، اشخاص حقوقی حقوق عمومی چگونه مورد شناسایی قرار می‌گیرند؟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اشخاص حقوقی حقوق خصوصی بیگانه در ایران مورد شناسایی قرار می‌گیرند؟ دراین‌باره دیدگاه قانون اساسی جمهوری اسلامی ایران و تفسیر شورای نگهبان را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و تکالیف اشخاص حقوقی بیگانه در ایران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تفسیر شورای نگهبان قانون اساسی از اصل هشتاد و یکم 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برخی از منابع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محمود سلجوقی، بایسته‌های حقوق بین‌الملل خصوصی ؛</w:t>
      </w:r>
    </w:p>
    <w:p>
      <w:pPr>
        <w:pStyle w:val="BookText"/>
        <w:rPr/>
      </w:pPr>
      <w:r>
        <w:rPr>
          <w:rFonts w:ascii="IRNazanin" w:hAnsi="IRNazanin" w:eastAsia="IRNazanin"/>
          <w:color w:val="111111"/>
          <w:sz w:val="28"/>
          <w:sz w:val="28"/>
          <w:szCs w:val="28"/>
          <w:rtl w:val="true"/>
          <w:lang w:bidi="fa-IR"/>
        </w:rPr>
        <w:t>دکتر محمد نصیری، حقوق بین‌الملل خصوصی ؛</w:t>
      </w:r>
    </w:p>
    <w:p>
      <w:pPr>
        <w:pStyle w:val="BookText"/>
        <w:rPr/>
      </w:pPr>
      <w:r>
        <w:rPr>
          <w:rFonts w:ascii="IRNazanin" w:hAnsi="IRNazanin" w:eastAsia="IRNazanin"/>
          <w:color w:val="111111"/>
          <w:sz w:val="28"/>
          <w:sz w:val="28"/>
          <w:szCs w:val="28"/>
          <w:rtl w:val="true"/>
          <w:lang w:bidi="fa-IR"/>
        </w:rPr>
        <w:t xml:space="preserve">دکتر سید نصراللّه ابراهیمی، حقوق بین‌الملل خصوصی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اسلوب‌های تعیین تابعیت شخص حقوقی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تستی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حقوقی انجمن‌ها در ایران از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قیمت سهام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اساسنامه شرکت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مسئله تابعیت شرکت‌ها، کدام نظریه مورد قبول قانون ایران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شرکا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تشکیلات شرکت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تعهد پرداخت قیمت سهام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ایراد به روش اقامتگاه اداری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 پیوسته مرکز فعالیت خود را از کشوری به کشور دیگر منتقل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یا تقلّب نسبت به قانون را تسهیل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شرکت ممکن است چندین اقامتگاه اداری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می‌افتد که شرکای یک شرکت تجاری، همگی تابعیت واحدی ندارند و در چنین مواردی تکلیف تابعیت شرکت، نامعلوم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کنترل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زمان جنگ بین‌الملل اول ظاهر شد، عبارت است از اینکه </w:t>
      </w:r>
      <w:r>
        <w:rPr>
          <w:rFonts w:eastAsia="IRNazanin" w:cs="IRNazanin"/>
          <w:color w:val="111111"/>
          <w:sz w:val="28"/>
          <w:szCs w:val="28"/>
          <w:rtl w:val="true"/>
          <w:lang w:bidi="fa-IR"/>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تابعیت شرکت باید تابعیت شریکان به‌طور دقیق نظارت و کنترل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تابعیت شرکت باید معلوم شود که گردش شرکت به نفع اتباع چه دولتی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تابعیت شرکت باید مرکز فعالیت شرکت به‌طور دقیق کنترل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تابعیت شرکت باید به اقامتگاه اداری شرکت یا مرکز اصلی آن توجه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شرکت‌های خارجی در ایران از کدام‌یک از حقوق زیر برخوردارند؟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عمومی، حقوق سیاسی، حقوق 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احترام محل شرکت‌ها و دفاتر، حق رجوع به محاکم، حق ابراز فعالیت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سیاسی، حق ابراز فعالیت، حق رجوع به محاکم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به محاکم، حق ابراز فعالیت، حقوق سیاسی، حقوق خصوصی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تشریک‌مساعی داوطلبانه بین دو یا چند نفر بدون قصد جلب منافع مادی را چه می‌گویند؟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تجاری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مدنی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قهری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شرکت‌های تجاری از چه زمانی واجد شخصیت حقوقی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ثبت در اداره ثبت شرکت‌ها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ایجاد و تشکیل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فعالیت</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یک‌سال از فعالیت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 از حق تشکیل شرکت و مؤسسه تجاری و صنعتی در ایران محرومند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بالا صحیح نیست و بیگانگان می‌توانند در ایران شرکت و مؤسسه تجاری و صنعتی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بالا صحیح است و از اصول قانون اساسی جمهوری اسلامی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می‌توانند به موجب قوانین عادی در ایران، شرکت و مؤسسه تجاری و صنعتی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به شرط رفتار متقابل می‌توانند در ایران شرکت تشکیل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شعبه‌ها یا نمایندگی‌های شرکت‌های خارجی در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سراسری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عمل متقابل و رعایت مقررات، حق ثبت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ثبت می‌توانند فعالیت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داشتن قرارداد با دولت ایران، حق ثبت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ثبت و فعالیت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اتباع خارجی در ایران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شرکت در انتخابات ریاست جمهوری و مجلس شورای اسلامی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استخدام مؤسسه‌های دولتی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ترافع قضایی برخوردارند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می‌توانند به مشاغل آموزشی اشتغال داشته باشند</w:t>
      </w:r>
      <w:r>
        <w:rPr>
          <w:rFonts w:eastAsia="IRNazanin" w:cs="IRNazanin"/>
          <w:color w:val="111111"/>
          <w:sz w:val="28"/>
          <w:szCs w:val="28"/>
          <w:rtl w:val="true"/>
          <w:lang w:bidi="fa-IR"/>
        </w:rPr>
        <w:t>.</w:t>
      </w:r>
      <w:bookmarkStart w:id="713" w:name="pg5888_3635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14" w:name="__RefHeading___Toc5261704_581953129"/>
      <w:bookmarkStart w:id="715" w:name="_Toc280"/>
      <w:bookmarkEnd w:id="713"/>
      <w:bookmarkEnd w:id="714"/>
      <w:r>
        <w:rPr>
          <w:rtl w:val="true"/>
        </w:rPr>
        <w:t>پیوست ها</w:t>
      </w:r>
      <w:bookmarkEnd w:id="715"/>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اظهاریه بقا به تابعیت پدر</w:t>
      </w:r>
    </w:p>
    <w:p>
      <w:pPr>
        <w:pStyle w:val="BookText"/>
        <w:rPr/>
      </w:pPr>
      <w:r>
        <w:rPr>
          <w:rFonts w:ascii="IRNazanin" w:hAnsi="IRNazanin" w:eastAsia="IRNazanin"/>
          <w:color w:val="111111"/>
          <w:sz w:val="28"/>
          <w:sz w:val="28"/>
          <w:szCs w:val="28"/>
          <w:rtl w:val="true"/>
          <w:lang w:bidi="fa-IR"/>
        </w:rPr>
        <w:t>امضاکننده ذیل، صاحب ورقه هویت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منضمه مورخه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متولدین ایران و مشمول فقره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می‌باشد، هویت خود را به عرض وزارت امور خارجه جمهوری اسلامی ایران 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اسناد و مدارک تابعیت اصلی پدر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و مدارک تابعیت اصلی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طبق قانون مزبور، درخواست بقا به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امضا</w:t>
      </w:r>
    </w:p>
    <w:p>
      <w:pPr>
        <w:pStyle w:val="BookText"/>
        <w:rPr/>
      </w:pP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امضا و هویت شخص فوق‌الذکر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امضا و مهر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الصاق پنج ریال تمبر</w:t>
      </w:r>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بقا به تابعیت پدر</w:t>
      </w:r>
    </w:p>
    <w:p>
      <w:pPr>
        <w:pStyle w:val="BookText"/>
        <w:rPr/>
      </w:pPr>
      <w:r>
        <w:rPr>
          <w:rFonts w:ascii="IRNazanin" w:hAnsi="IRNazanin" w:eastAsia="IRNazanin"/>
          <w:color w:val="111111"/>
          <w:sz w:val="28"/>
          <w:sz w:val="28"/>
          <w:szCs w:val="28"/>
          <w:rtl w:val="true"/>
          <w:lang w:bidi="fa-IR"/>
        </w:rPr>
        <w:t xml:space="preserve">نظر به ماده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کتاب تابعیت مصوّب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و نظر به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تابعیت خود قبول خواهد کرد، با درخواست مشارالیها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بر بقای تابعیت، موافقت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امور خارجه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الصاق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تمبر</w:t>
      </w:r>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اظهاریه تحصیل تابعیت دولت جمهوری اسلامی ایران</w:t>
      </w:r>
    </w:p>
    <w:p>
      <w:pPr>
        <w:pStyle w:val="BookText"/>
        <w:rPr/>
      </w:pPr>
      <w:r>
        <w:rPr>
          <w:rFonts w:ascii="IRNazanin" w:hAnsi="IRNazanin" w:eastAsia="IRNazanin"/>
          <w:color w:val="111111"/>
          <w:sz w:val="28"/>
          <w:sz w:val="28"/>
          <w:szCs w:val="28"/>
          <w:rtl w:val="true"/>
          <w:lang w:bidi="fa-IR"/>
        </w:rPr>
        <w:t>امضاکننده ذیل، هویت خود را به عرض وزارت امور خارجه جمهوری اسلامی ایران رسانده، استدعای اجازه ورود به تابعیت ایران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متقاضی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اصلی یا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اصلی یا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اصلی یا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مشخّصات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اصلی یا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اولاد و اسامی و تاریخ تولّد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و مدارک تابعیت فعلی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موجهات و دلایل ترک تابعیت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راجعه به انجام خدمت وظیفه در کشور اصلی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رونوشت اسناد مقرر در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منضماً تقدیم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امضا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الصاق تمبر</w:t>
      </w:r>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تابعیت</w:t>
      </w:r>
    </w:p>
    <w:p>
      <w:pPr>
        <w:pStyle w:val="BookText"/>
        <w:rPr/>
      </w:pPr>
      <w:r>
        <w:rPr>
          <w:rFonts w:ascii="IRNazanin" w:hAnsi="IRNazanin" w:eastAsia="IRNazanin"/>
          <w:color w:val="111111"/>
          <w:sz w:val="28"/>
          <w:sz w:val="28"/>
          <w:szCs w:val="28"/>
          <w:rtl w:val="true"/>
          <w:lang w:bidi="fa-IR"/>
        </w:rPr>
        <w:t>نظر به اینکه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مدارک لازم دائر به درخواست تحصیل تابعیت دولت جمهوری اسلامی ایران را طبق ماده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کتاب تابعیت مصوّب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آیین‌نامه‌های مربوط، تهیه و به وزارت امور خارجه تقدیم کرده است و مطابق تحقیقات مقامات صلاحیت‌دار، واجد شرایط مندرج در ماده</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می‌باشد؛ ازاین‌رو، وزارت امور خارجه به استناد اختیار حاصله از تصویب‌نامه شماره</w:t>
      </w:r>
      <w:r>
        <w:rPr>
          <w:rFonts w:eastAsia="IRNazanin" w:cs="IRNazanin"/>
          <w:color w:val="111111"/>
          <w:sz w:val="28"/>
          <w:szCs w:val="28"/>
          <w:lang w:bidi="fa-IR"/>
        </w:rPr>
        <w:t>46970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1346/10/13</w:t>
      </w:r>
      <w:r>
        <w:rPr>
          <w:rFonts w:ascii="IRNazanin" w:hAnsi="IRNazanin" w:eastAsia="IRNazanin"/>
          <w:color w:val="111111"/>
          <w:sz w:val="28"/>
          <w:sz w:val="28"/>
          <w:szCs w:val="28"/>
          <w:rtl w:val="true"/>
          <w:lang w:bidi="fa-IR"/>
        </w:rPr>
        <w:t>ش هیئت وزیران، با اعطای تابعیت دولت جمهوری اسلامی ایران به نامبرده موافقت می‌کند تا از مزایای حقوقی که در ماده</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فوق‌الذکر مقرر گردیده،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امور خارجه</w:t>
      </w:r>
    </w:p>
    <w:p>
      <w:pPr>
        <w:pStyle w:val="BookText"/>
        <w:rPr/>
      </w:pPr>
      <w:r>
        <w:rPr>
          <w:rFonts w:ascii="IRNazanin" w:hAnsi="IRNazanin" w:eastAsia="IRNazanin"/>
          <w:color w:val="111111"/>
          <w:sz w:val="28"/>
          <w:sz w:val="28"/>
          <w:szCs w:val="28"/>
          <w:rtl w:val="true"/>
          <w:lang w:bidi="fa-IR"/>
        </w:rPr>
        <w:t>محل الصاق دویست و پنجاه ریال تمبر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امضا</w:t>
      </w:r>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درخواست‌نامه رجوع به تابعیت اصلی</w:t>
      </w:r>
    </w:p>
    <w:p>
      <w:pPr>
        <w:pStyle w:val="BookText"/>
        <w:rPr/>
      </w:pPr>
      <w:r>
        <w:rPr>
          <w:rFonts w:ascii="IRNazanin" w:hAnsi="IRNazanin" w:eastAsia="IRNazanin"/>
          <w:color w:val="111111"/>
          <w:sz w:val="28"/>
          <w:sz w:val="28"/>
          <w:szCs w:val="28"/>
          <w:rtl w:val="true"/>
          <w:lang w:bidi="fa-IR"/>
        </w:rPr>
        <w:t xml:space="preserve">امضاکننده ذیل که مشمول ماده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کتاب تابعیت می‌باشد، هویت خود را به عرض وزارت امور خارجه جمهوری اسلامی ایران 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نام‌خانوادگی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فوت یا طلاق شوهر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سوادعین مصدّق اسناد و مدارک زناشویی و مدرک فوت طلاق شوهر</w:t>
      </w:r>
    </w:p>
    <w:p>
      <w:pPr>
        <w:pStyle w:val="BookText"/>
        <w:rPr/>
      </w:pPr>
      <w:r>
        <w:rPr>
          <w:rFonts w:ascii="IRNazanin" w:hAnsi="IRNazanin" w:eastAsia="IRNazanin"/>
          <w:color w:val="111111"/>
          <w:sz w:val="28"/>
          <w:sz w:val="28"/>
          <w:szCs w:val="28"/>
          <w:rtl w:val="true"/>
          <w:lang w:bidi="fa-IR"/>
        </w:rPr>
        <w:t xml:space="preserve">نمره و تاریخ و محل صدور ورقه هویت شوهر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غیرمنقول، نوع و محل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اسامی اولاد و سن و نمره ورقه هویت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اجازه رجوع به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امضا</w:t>
      </w:r>
    </w:p>
    <w:p>
      <w:pPr>
        <w:pStyle w:val="BookText"/>
        <w:rPr/>
      </w:pP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امضای مندرجات فوق و امضای درخواست‌کننده را تصدیق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مهر و امضا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الصاق پنج ریال تمبر</w:t>
      </w:r>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موافقت‌نامه رجوع به تابعیت اصلی</w:t>
      </w:r>
    </w:p>
    <w:p>
      <w:pPr>
        <w:pStyle w:val="BookText"/>
        <w:rPr/>
      </w:pPr>
      <w:r>
        <w:rPr>
          <w:rFonts w:ascii="IRNazanin" w:hAnsi="IRNazanin" w:eastAsia="IRNazanin"/>
          <w:color w:val="111111"/>
          <w:sz w:val="28"/>
          <w:sz w:val="28"/>
          <w:szCs w:val="28"/>
          <w:rtl w:val="true"/>
          <w:lang w:bidi="fa-IR"/>
        </w:rPr>
        <w:t xml:space="preserve">وزارت امور خارجه جمهوری اسلامی ایران در اجرای ماده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کتاب تابعیت با درخواست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سابق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ایران، مبنی بر رجوع به تابعیت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موافقت می‌کند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امور خارجه</w:t>
      </w:r>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شماره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تقاضانامه خروج از تابعیت</w:t>
      </w:r>
    </w:p>
    <w:p>
      <w:pPr>
        <w:pStyle w:val="BookText"/>
        <w:rPr/>
      </w:pPr>
      <w:r>
        <w:rPr>
          <w:rFonts w:ascii="IRNazanin" w:hAnsi="IRNazanin" w:eastAsia="IRNazanin"/>
          <w:color w:val="111111"/>
          <w:sz w:val="28"/>
          <w:sz w:val="28"/>
          <w:szCs w:val="28"/>
          <w:rtl w:val="true"/>
          <w:lang w:bidi="fa-IR"/>
        </w:rPr>
        <w:t>امضاکننده ذیل که از اتباع مسلَّم ایران می‌باشد، هویت خود را ذیلاً به عرض وزارت امور خارجه دولت جمهوری اسلامی ایران رسانده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تاریخ و محل صدور ورقه هویت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تاریخ و محل صدور ورقه هویت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تاریخ و محل صدور ورقه هویت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اولاد و تاریخ تولّد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و موجبات تقاضای ترک تابعیت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تصدیق انجام خدمت نظام وظیفه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تابعیت دولتی را که می‌خواهد قبول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اقامت فعلی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اجازه خروج از تابعیت ایران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تعهد می‌کند از تاریخ تصویب قبول ترک تابعیت الی مدّت یکسال، کلیه حقوق خود را بر اموال غیرمنقولی که در ایران دارا هستم و یا ممکن است بالوارثه دارا شوم، ولو قوانین ایران اجازه تملک آن را به اتباع خارجه بدهد، به هر نحوی از انحاء به اتباع ایران انتقال دهم و نیز متعهد می‌شوم که در ظرف مدّت مزبور از خاک ایران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w:t>
      </w:r>
    </w:p>
    <w:p>
      <w:pPr>
        <w:pStyle w:val="BookText"/>
        <w:rPr/>
      </w:pPr>
      <w:r>
        <w:rPr>
          <w:rFonts w:ascii="IRNazanin" w:hAnsi="IRNazanin" w:eastAsia="IRNazanin"/>
          <w:color w:val="111111"/>
          <w:sz w:val="28"/>
          <w:sz w:val="28"/>
          <w:szCs w:val="28"/>
          <w:rtl w:val="true"/>
          <w:lang w:bidi="fa-IR"/>
        </w:rPr>
        <w:t>صحّت امضا و هویت شخص فوق‌الذکر و صحّت مندرجات فوق را تصدیق می‌کند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الصاق پنج ریال تمبر</w:t>
      </w:r>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شماره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خروج از تابعیت</w:t>
      </w:r>
    </w:p>
    <w:p>
      <w:pPr>
        <w:pStyle w:val="BookText"/>
        <w:rPr/>
      </w:pPr>
      <w:r>
        <w:rPr>
          <w:rFonts w:ascii="IRNazanin" w:hAnsi="IRNazanin" w:eastAsia="IRNazanin"/>
          <w:color w:val="111111"/>
          <w:sz w:val="28"/>
          <w:sz w:val="28"/>
          <w:szCs w:val="28"/>
          <w:rtl w:val="true"/>
          <w:lang w:bidi="fa-IR"/>
        </w:rPr>
        <w:t>وزارت امور خارجه جمهوری اسلامی ایران در پاسخ درخواست‌نامه 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اتّفاق همسرش،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به اسامی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 طبق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کتاب تابعیت تقاضای خروج از تابعیت ایران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اختیار حاصله از تصویب‌نامه شماره</w:t>
      </w:r>
      <w:r>
        <w:rPr>
          <w:rFonts w:eastAsia="IRNazanin" w:cs="IRNazanin"/>
          <w:color w:val="111111"/>
          <w:sz w:val="28"/>
          <w:szCs w:val="28"/>
          <w:lang w:bidi="fa-IR"/>
        </w:rPr>
        <w:t>46970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r>
        <w:rPr>
          <w:rFonts w:eastAsia="IRNazanin" w:cs="IRNazanin"/>
          <w:color w:val="111111"/>
          <w:sz w:val="28"/>
          <w:szCs w:val="28"/>
          <w:lang w:bidi="fa-IR"/>
        </w:rPr>
        <w:t>1346/10/13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وزیران، با خروج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از تابعیت دولت جمهوری اسلامی ایران موافقت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ملزم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ملزمند تعهداتی را که بر طبق فقره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ماده مزبور کرده‌اند،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امور خارجه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الصاق بیست هزار ریال تمبر</w:t>
      </w:r>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شماره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درخواست‌نامه برگشت به تابعیت دولت جمهوری اسلامی ایران</w:t>
      </w:r>
    </w:p>
    <w:p>
      <w:pPr>
        <w:pStyle w:val="BookText"/>
        <w:rPr/>
      </w:pPr>
      <w:r>
        <w:rPr>
          <w:rFonts w:ascii="IRNazanin" w:hAnsi="IRNazanin" w:eastAsia="IRNazanin"/>
          <w:color w:val="111111"/>
          <w:sz w:val="28"/>
          <w:sz w:val="28"/>
          <w:szCs w:val="28"/>
          <w:rtl w:val="true"/>
          <w:lang w:bidi="fa-IR"/>
        </w:rPr>
        <w:t>امضاکننده ذیل، تبعه سابق ایران که به موجب سند خروج نمره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منضماً تقدیم می‌شود، از تابعیت ایران خارج گردیده است و بر طبق ماده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کتاب تابعیت، تقاضای برگشت به تابعیت ایران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امضا و هویت شخص مزبور را تصدیق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امضا</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الصاق پنج ریال تمبر</w:t>
      </w:r>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موافقت‌نامه بازگشت به تابعیت اصلی</w:t>
      </w:r>
    </w:p>
    <w:p>
      <w:pPr>
        <w:pStyle w:val="BookText"/>
        <w:rPr/>
      </w:pPr>
      <w:r>
        <w:rPr>
          <w:rFonts w:ascii="IRNazanin" w:hAnsi="IRNazanin" w:eastAsia="IRNazanin"/>
          <w:color w:val="111111"/>
          <w:sz w:val="28"/>
          <w:sz w:val="28"/>
          <w:szCs w:val="28"/>
          <w:rtl w:val="true"/>
          <w:lang w:bidi="fa-IR"/>
        </w:rPr>
        <w:t>وزارت امور خارجه جمهوری اسلامی ایران در اجرای ماده</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کتاب تابعیت، با درخواست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بازگشت به تابعیت اصلی ایرانی خود موافقت می‌کند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امور خارجه</w:t>
      </w:r>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موافقت‌نامه اختیار تابعیت زوج</w:t>
      </w:r>
    </w:p>
    <w:p>
      <w:pPr>
        <w:pStyle w:val="BookText"/>
        <w:rPr/>
      </w:pPr>
      <w:r>
        <w:rPr>
          <w:rFonts w:ascii="IRNazanin" w:hAnsi="IRNazanin" w:eastAsia="IRNazanin"/>
          <w:color w:val="111111"/>
          <w:sz w:val="28"/>
          <w:sz w:val="28"/>
          <w:szCs w:val="28"/>
          <w:rtl w:val="true"/>
          <w:lang w:bidi="fa-IR"/>
        </w:rPr>
        <w:t xml:space="preserve">وزارت امور خارجه جمهوری اسلامی ایران در اجرای تبصره یک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کتاب تابعیت، با درخواست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اختیار تابعیت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خود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می‌کند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امور خارجه</w:t>
      </w:r>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شماره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شناسایی تابعیت خارجی</w:t>
      </w:r>
    </w:p>
    <w:p>
      <w:pPr>
        <w:pStyle w:val="BookText"/>
        <w:rPr/>
      </w:pPr>
      <w:r>
        <w:rPr>
          <w:rFonts w:ascii="IRNazanin" w:hAnsi="IRNazanin" w:eastAsia="IRNazanin"/>
          <w:color w:val="111111"/>
          <w:sz w:val="28"/>
          <w:sz w:val="28"/>
          <w:szCs w:val="28"/>
          <w:rtl w:val="true"/>
          <w:lang w:bidi="fa-IR"/>
        </w:rPr>
        <w:t>وزارت امور خارجه جمهوری اسلامی ایران، مطابق تبصره الحاقی ماده</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کتاب تابعیت و به استناد اختیار حاصله از تصویب‌نامه شماره</w:t>
      </w:r>
      <w:r>
        <w:rPr>
          <w:rFonts w:eastAsia="IRNazanin" w:cs="IRNazanin"/>
          <w:color w:val="111111"/>
          <w:sz w:val="28"/>
          <w:szCs w:val="28"/>
          <w:lang w:bidi="fa-IR"/>
        </w:rPr>
        <w:t>45734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r>
        <w:rPr>
          <w:rFonts w:eastAsia="IRNazanin" w:cs="IRNazanin"/>
          <w:color w:val="111111"/>
          <w:sz w:val="28"/>
          <w:szCs w:val="28"/>
          <w:lang w:bidi="fa-IR"/>
        </w:rPr>
        <w:t>1346/9/22</w:t>
      </w:r>
      <w:r>
        <w:rPr>
          <w:rFonts w:ascii="IRNazanin" w:hAnsi="IRNazanin" w:eastAsia="IRNazanin"/>
          <w:color w:val="111111"/>
          <w:sz w:val="28"/>
          <w:sz w:val="28"/>
          <w:szCs w:val="28"/>
          <w:rtl w:val="true"/>
          <w:lang w:bidi="fa-IR"/>
        </w:rPr>
        <w:t>ش هیئت وزیران، تابعیت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به 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نامبردگان ملزمند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ملزم است بر طبق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 تبصره آن عمل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امور خارجه</w:t>
      </w:r>
    </w:p>
    <w:p>
      <w:pPr>
        <w:pStyle w:val="BookText"/>
        <w:rPr/>
      </w:pPr>
      <w:r>
        <w:rPr>
          <w:rFonts w:ascii="IRNazanin" w:hAnsi="IRNazanin" w:eastAsia="IRNazanin"/>
          <w:color w:val="111111"/>
          <w:sz w:val="28"/>
          <w:sz w:val="28"/>
          <w:szCs w:val="28"/>
          <w:rtl w:val="true"/>
          <w:lang w:bidi="fa-IR"/>
        </w:rPr>
        <w:t>محل الصاق عکس</w:t>
      </w:r>
    </w:p>
    <w:p>
      <w:pPr>
        <w:pStyle w:val="BookText"/>
        <w:rPr/>
      </w:pPr>
      <w:r>
        <w:rPr>
          <w:rFonts w:ascii="IRNazanin" w:hAnsi="IRNazanin" w:eastAsia="IRNazanin"/>
          <w:color w:val="111111"/>
          <w:sz w:val="28"/>
          <w:sz w:val="28"/>
          <w:szCs w:val="28"/>
          <w:rtl w:val="true"/>
          <w:lang w:bidi="fa-IR"/>
        </w:rPr>
        <w:t>اداره تابعیت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برگه شماره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اظهاریه پذیرش تابعیت زوج</w:t>
      </w:r>
    </w:p>
    <w:p>
      <w:pPr>
        <w:pStyle w:val="BookText"/>
        <w:rPr/>
      </w:pPr>
      <w:r>
        <w:rPr>
          <w:rFonts w:ascii="IRNazanin" w:hAnsi="IRNazanin" w:eastAsia="IRNazanin"/>
          <w:color w:val="111111"/>
          <w:sz w:val="28"/>
          <w:sz w:val="28"/>
          <w:szCs w:val="28"/>
          <w:rtl w:val="true"/>
          <w:lang w:bidi="fa-IR"/>
        </w:rPr>
        <w:t>امضاکننده ذیل که با 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کرده‌ام، هویت خود را به شرح زیر به استحضار وزارت امور خارجه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و تاریخ محل صدور شناسنامه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رونوشت مدارک ازدواج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 زناشوئی و سند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پیوست تسلیم می‌دارم و از لحاظ وحدت تابعیت خانواده، مطابق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کتاب تابعیت، تقاضا دارم مقرر فرمایند سند موافقت با اختیار تابعیت زوج، جهت اینجانب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امضا</w:t>
      </w:r>
    </w:p>
    <w:p>
      <w:pPr>
        <w:pStyle w:val="BookText"/>
        <w:rPr/>
      </w:pPr>
      <w:r>
        <w:rPr>
          <w:rFonts w:ascii="IRNazanin" w:hAnsi="IRNazanin" w:eastAsia="IRNazanin"/>
          <w:color w:val="111111"/>
          <w:sz w:val="28"/>
          <w:sz w:val="28"/>
          <w:szCs w:val="28"/>
          <w:rtl w:val="true"/>
          <w:lang w:bidi="fa-IR"/>
        </w:rPr>
        <w:t xml:space="preserve">سفارت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سرکنسولگری جمهوری اسلامی ایران در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گواهی می‌کند</w:t>
      </w:r>
      <w:r>
        <w:rPr>
          <w:rFonts w:eastAsia="IRNazanin" w:cs="IRNazanin"/>
          <w:color w:val="111111"/>
          <w:sz w:val="28"/>
          <w:szCs w:val="28"/>
          <w:rtl w:val="true"/>
          <w:lang w:bidi="fa-IR"/>
        </w:rPr>
        <w:t>.</w:t>
      </w:r>
      <w:bookmarkStart w:id="716" w:name="pg5888_36366"/>
    </w:p>
    <w:p>
      <w:pPr>
        <w:pStyle w:val="Heading2"/>
        <w:numPr>
          <w:ilvl w:val="1"/>
          <w:numId w:val="1"/>
        </w:numPr>
        <w:rPr/>
      </w:pPr>
      <w:bookmarkStart w:id="717" w:name="__RefHeading___Toc5261706_581953129"/>
      <w:bookmarkStart w:id="718" w:name="_Toc281"/>
      <w:bookmarkEnd w:id="716"/>
      <w:bookmarkEnd w:id="717"/>
      <w:r>
        <w:rPr>
          <w:rtl w:val="true"/>
        </w:rPr>
        <w:t>پاسخ نامه پرسش های تستی</w:t>
      </w:r>
      <w:bookmarkEnd w:id="718"/>
    </w:p>
    <w:p>
      <w:pPr>
        <w:pStyle w:val="BookText"/>
        <w:rPr/>
      </w:pPr>
      <w:r>
        <w:rPr>
          <w:rFonts w:ascii="IRNazanin" w:hAnsi="IRNazanin" w:eastAsia="IRNazanin"/>
          <w:color w:val="111111"/>
          <w:sz w:val="28"/>
          <w:sz w:val="28"/>
          <w:szCs w:val="28"/>
          <w:rtl w:val="true"/>
          <w:lang w:bidi="fa-IR"/>
        </w:rPr>
        <w:t>درس اول</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مسائل نقل و انتقال اشیا از کشوری به کشور دیگر، از فواید عملی حقوق بین‌الملل خصوصی است، نه فواید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عبارت است از رشته‌ای از علم حقوق که از روابط افراد در زندگی بین‌المللی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رشته‌ای مستقل بوده، قواعد و احکام خاص خود را دارد و از درآمیختن با دیگر رشته‌های حقوق به‌وجود نیامده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اصلی آن دو از لحاظ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منابع، این دو رشته، هم دارای منابع مشترک و هم دارای منابع متفاوت و مجزا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 بین‌الملل خصوصی هر کشور، جزئی از حقوق داخلی همان 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یا اشتراک آن دو در حقوق بین‌الملل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بین‌الملل خصوصی، هم منابع داخلی و هم منابع بین‌الملل وجود دارد؛ ولی در حقوق خصوصی داخلی فقط منابع داخلی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حقوق خصوصی داخلی، عنصر خارجی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بین‌المللی و جنبه بین‌المللی داشتن، وجه تشابه آن دو است و نه وجه افتراق؛ ازاین‌رو،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زیرا حقوق بین‌الملل خصوصی هر کشور، مانند حقوق کیفری بین‌المللی آن کشور، از سوی قانون‌گذار داخلی تنظیم می‌شود و حقوق بین‌المللی عمومی نیز مانند حقوق کیفری دارای منبع بین‌المللی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حقوق بین‌الملل خصوصی هر کشور، بخشی از مجموع قوانین داخلی همان کشور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بین‌الملل خصوصی هر کشور، جزئی از قانون داخلی همان کشور هستند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بین‌الملل خصوصی هر کشور، از سوی قانون‌گذار همان کشور وضع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دوم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که ممکن است داخلی یا بین‌المللی باشد، به‌صورت غیرمستقیم در حقوق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منبع رشته حقوق بین‌الملل خصوصی در بسیاری از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قضایی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ماده نه 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عهودی که طبق قانون اساسی بین دولت ایران و سایر دول منعقد شده باشد، در حکم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 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عهدنامه‌ها، مقاوله‌نامه‌ها، قراردادها و موافقت‌نامه‌های بین‌المللی باید به تصویب مجلس شورای اسلامی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کیفیت، عهدنامه را باید از منابع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عهدنامه‌ها، مقاوله‌نامه‌ها و قراردادهای بین‌المللی باید به تصویب مجلس شورای اسلامی برسد، می‌توان عهدنامه را منبع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بین‌المللی حقوق بین‌الملل خصوصی ایران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کشوری مانند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کشوری مانند فرانسه و یا کشورهای کامن‌لا،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حقوق بین‌الملل خصوصی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جزا و در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بین‌الملل عمومی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دارای دو نوع منابع داخلی و بین‌المللی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یک منشأ مستقیم حقوقی نیست؛ ولی غیرمستقیم در ایجاد تفسیر و اعمال قواعد حقوقی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در عمل، به‌وسیله آموزش یا تفسیر و گزارشات کتبی و یا تحقیقات و جستجوهای انجمن‌های علمی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از علم حقوق که از روابط افراد در زندگی بین‌المللی بحث می‌کند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بازتابی از حقوق داخلی در گستره بین‌المللی است که مقررات آن توسط قانون‌گذار داخلی کشورها به تصویب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سوم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بین‌الملل خصوصی عبارت است از رشته‌ای از علم حقوق که از روابط افراد در زندگی بین‌المللی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دارای سه اصل مذکور در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محقق نمی‌شود، مگر بین یک دولت و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نخست تابعیت، وجود دولت و شرط دوّم آن، وجود تبعه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و حاکمیت دولت است که فردی را تبعه خود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رابطه تابعیت میان فرد و دولت، رابطه‌ای قانونی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حقوقی است؛ چون منشأ حقوق و تکالیف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سیاسی است؛ زیرا تصمیم‌گیری در مورد آن، امری حاکمیتی و مربوط به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معنوی است؛ زیرا به مکانی که شخص در آن زندگی می‌کند بستگی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امری زوال‌ناپذیر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چهارم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اشخاص در اثر مهاجرت، مجازات، قانون خاص و یا با اختیار خودشان، بی‌تابعیت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ایرانی آنها همچنان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روش نژادی اهمیت دارد، نژاد پدر و مادر است، امّا در روش خون، تابعیت پدر و مادر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خون از آنچه مفهوم نژادی تابعیت نامیده می‌شود به‌طور کلّی متمایز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گوبینو بنیان‌گذار تئوری نژادی است و آلمان‌ها تئوری خود را از او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زیرا شخص مذکور در خاک ترکیه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اصل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باید تابعیتی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نتیجه به دست می‌آید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فردی در هنگام تولّد، تبعه دولت معینی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w:t>
      </w:r>
    </w:p>
    <w:p>
      <w:pPr>
        <w:pStyle w:val="BookText"/>
        <w:rPr/>
      </w:pPr>
      <w:r>
        <w:rPr>
          <w:rFonts w:ascii="IRNazanin" w:hAnsi="IRNazanin" w:eastAsia="IRNazanin"/>
          <w:color w:val="111111"/>
          <w:sz w:val="28"/>
          <w:sz w:val="28"/>
          <w:szCs w:val="28"/>
          <w:rtl w:val="true"/>
          <w:lang w:bidi="fa-IR"/>
        </w:rPr>
        <w:t>نمی‌تواند بدون آنکه تابعیت دولت دیگری را بپذیرد ترک تابعیت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خون را روش نَسَبی نیز می‌نامند، که متفاوت از روش نژادی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روش خون را به‌عنوان اصل و روش خاک را به‌عنوان فرع و مشروط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اگر تابعیت یکی از پدر و مادر کودک در لحظه به دنیا آمدن، فرانسوی باشد، کودک یادشده تبعه فرانسه شناخته می‌شود؛ امّا در ایران، تابعیت ناشی از روش خون فقط از راه تابعیت پدر به رسمیت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احوال شخصیه را تابع اقامتگاه افراد قرار داده‌اند، در مورد تابعیت نیز روش خاک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یادشده دارای تابعیت مضاعف با سه تابعیت است؛ زیرا از یک سو به استناد بند دوّم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ایرانی شمرده می‌شود و از سوی دیگر، مادر او فرانسوی است و فرانسه او را تبعه خود می‌داند و افزون بر این موارد، در کشور انگلیس به دنیا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ازآنجاکه انگلیس روش خاک را اصل می‌داند، شخص یادشده انگلیسی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ایران، روش خون، اصل و روش خاک،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مضاعف تولدی، یا معلول تعارض دو روش خون و یا معلول تعارض دو روش خون و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پرجمعیت و مهاجرفرست، به‌طور معمول روش خون را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مهاجرفرست در مورد احوال شخصیه، قانون متبوع شخص و در مورد تابعیت، روش خون را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اصلی از راه اعمال روش خون یا خاک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خاک و خون قابل جمع نیستند؛ از سوی دیگر، ایران روش خون را به‌طور مطلق و روش خاک را به‌طور مشروط و مقید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روش خون و هم روش خاک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زیرا هر فردی در خاک کشوری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پنجم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بر طبق اصل خاک، آنها را ایرانی می‌شناسد، در بندهای سه، چهار و پنج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روش خون مبتنی است و بند اول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روش اقامتگاه مبتنی است و بندهای ششم و هفتم بیانگر تابعیت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نژادی دارای دو جنبه دفاعی و تعرّضی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بند چهارم و پنجم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 ماده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خاک ایران با روش خون ایران قابل جمع نیست؛ یعنی کسی نمی‌تواند، هم بر اساس روش خون، ایرانی باشد و هم بر اساس روش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تابعیت بر مبنای خاک، در بندهای سوم، چهارم و پنجم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پیش‌بینی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خون اشاره دارد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حقوقی ایران، روش خون، اصل و روش خاک،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ایران، روش خون، اصل و روش خاک،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ایران روش خون را به‌طور مطلق پذیرفته است؛ امّا روش خاک را بندهای سوم، چهارم و پنجم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که همگی مشروط و مقید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خاک و خون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ایران روش خون را به‌طور مطلق و روش خاک را مشروط و مقید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نَسَبی بر اعمال روش خون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بی‌گمان در خاک کشوری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گزینه دوم، به‌دست‌آوردن تابعیت در اثر ازدواج و در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سرزمینی، ارادی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ششم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ایران، اقامتگاه دارای نقش دومین نیست و در هر جا که قانون صلاحیت‌داری وجود نداشته باشد، یا قابل کاربرد نباشد، دادگاه، قانون ایران را به‌عنوان قانون مقرّ دادگاه به کار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فقط در درخواست تغییر تابعیت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از تابعیت تولدی برخوردار است، آن را در اثر قرارداد به دست نیاورده است؛ بلکه فقط یک تصمیم فراگیر قانونی است که تابعیت را بر او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چهار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پنج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با رعایت تبصره همان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دوّم ماده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به تابعیت ایران، ماهیت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اولاد صغیر کسانی که بر طبق این قانون تابعیت ایران را تحصیل می‌کنند، تبعه ایران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تابعیت ایرانی پدر به‌هیچ‌وجه درباره اولاد او که در تاریخ تقاضامه به سن هجده سال تمام رسیده‌اند، مؤثّر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خون ایران، تابعیت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راه نَسَب پدری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تابعیت پدر برای اعمال روش خون، در هنگام تولّد کودک ملاک است، نه هنگام انعقاد نطفه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یادشده از تمام حقوق خصوصی بهره‌مند بوده و فقط به استناد ماده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حقوق سیاسی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مواد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زیرا در چارچوب هیچ‌یک از بندهای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سوّم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زیرا بی‌تابعیتی نیز به منزله نامعلوم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یادشده در ایران متولّد شود، با تحقّق شرط موجود در ماده </w:t>
      </w:r>
      <w:r>
        <w:rPr>
          <w:rFonts w:eastAsia="IRNazanin" w:cs="IRNazanin"/>
          <w:color w:val="111111"/>
          <w:sz w:val="28"/>
          <w:szCs w:val="28"/>
          <w:lang w:bidi="fa-IR"/>
        </w:rPr>
        <w:t>976</w:t>
      </w:r>
      <w:r>
        <w:rPr>
          <w:rFonts w:ascii="IRNazanin" w:hAnsi="IRNazanin" w:eastAsia="IRNazanin"/>
          <w:color w:val="111111"/>
          <w:sz w:val="28"/>
          <w:sz w:val="28"/>
          <w:szCs w:val="28"/>
          <w:rtl w:val="true"/>
          <w:lang w:bidi="fa-IR"/>
        </w:rPr>
        <w:t>، محصول روش خاک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روش خون ایران فقط از راه نَسَب مشروع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چهارم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دوّم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چهارم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روش خون در ایران نسبت به نَسَب مشروع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هفتم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نصیری، حقوق بین‌الملل خصوصی ،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زیرا در چارچوب هیچ‌یک از بندهای ماده</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روش خاک یا خون تابعیت ایران را به دست آورده‌اند، تابعیت اصلی ایرانی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تابعیت اصلی، تابعیت اکتسابی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تابعیت اصلی را نباید با مسئله ایرانی‌الاصل بودن که فقط از راه نَسَب پدری منتقل می‌شود، اشتباه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راه اولی نسبت به بند چهارم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خدمت نظام وظیفه شرط نیست؛ بلکه فراری نبودن از خدمت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استناد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می‌توان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صحیح دانست؛ زیرا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بااین‌حال، در پاسخ‌نامه انتشار یافته از سوی سازمان سنجش،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آثار پذیرش به تابعیت ایران از تاریخ صدور سند تابعیت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زیرا این زن ترک تابعیت کرده و مشمول ماده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پنجم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بخش آخر ماده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می‌تواند رأی بدهد؛ امّا نمی‌تواند به مقامات سیاسی یادشده در ماده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هشتم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یکم ماده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 یکم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هیئت وزیران بیانگر لزوم شرط رعایت کمّیت در ترک تابعیت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نصیری، حقوق بین‌الملل خصوصی ،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ترک تابعیت ایران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سنّ تحصیل تابعیت و ردّ تابعیت، هجده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شخص در تغییر تابعیت، به درخواست او محدود می‌شود و اراده شخص در ترک و تحصیل تابعیت، تأثیری بیش از درخواست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تابعیت مزیتی است که دولت ایران به هرکسی که بخواهد می‌دهد و این عمل حاکمیتی قابل شکایت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تابعیت ایران در سه حالت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شخصی که تابعیت ایران را دریافت کرده‌اند به پیروی از پدر، ایرانی به‌شمار آیند و فرزند یادشده پس از رسیدن به سن هجده سال می‌تواند ظرف یک‌سال به تابعیت پیشین پدر خود بازگردد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شخصی که تابعیت ایران را دریافت کرده است می‌تواند تا یک‌سال از تاریخ صدور سند تابعیت شوهر، درخواست کتبی خود را به وزارت امور</w:t>
      </w:r>
    </w:p>
    <w:p>
      <w:pPr>
        <w:pStyle w:val="BookText"/>
        <w:rPr/>
      </w:pPr>
      <w:r>
        <w:rPr>
          <w:rFonts w:ascii="IRNazanin" w:hAnsi="IRNazanin" w:eastAsia="IRNazanin"/>
          <w:color w:val="111111"/>
          <w:sz w:val="28"/>
          <w:sz w:val="28"/>
          <w:szCs w:val="28"/>
          <w:rtl w:val="true"/>
          <w:lang w:bidi="fa-IR"/>
        </w:rPr>
        <w:t>خارجه ارائه داده و تابعیت ایران را رد کرده، به تابعیت سابق خود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ماده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بند چهارم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ردّ تابعیت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نصیری، حقوق بین‌الملل خصوصی ،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سوّم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تبصره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استناد اصل چهل‌ویکم قانون اساسی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نمی‌تواند از هیچ ایرانی سلب تابعیت کند؛ مگر به درخواست خود او یا در صورتی که به تابعیت کشور دیگری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ایران، اخراج اتباع ایرانی از ایران پیش‌بینی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زیرا ماده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ایران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اراده شخص است و هیچ‌کدام قهری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استناد اصل چهل‌ویکم 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به استناد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ماده،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 اعراض از تابعیت ایران، همان ردّ تابعیت ایران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اصل چهل‌ویکم قانون اساسی، ممکن است دولت از او سلب تابعیت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سلب تابعیت پیش‌بینی شده در ماده </w:t>
      </w:r>
      <w:r>
        <w:rPr>
          <w:rFonts w:eastAsia="IRNazanin" w:cs="IRNazanin"/>
          <w:color w:val="111111"/>
          <w:sz w:val="28"/>
          <w:szCs w:val="28"/>
          <w:lang w:bidi="fa-IR"/>
        </w:rPr>
        <w:t>981</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می‌تواند درخواست ترک تابعیت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استناد اصل چهل‌ودوّم قانون اساسی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سلب تابعیت این‌گونه اشخاص در صورتی ممکن است که دولت دیگری تابعیت آنها را بپذیرد، یا خود آنها درخواست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استناد اصل چهل‌ویکم 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استناد اصل چهل‌ویکم قانون اساسی</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سوّم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نهم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محمد نصیری، حقوق بین‌الملل خصوصی ،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زمان، ناظر بر اهلیت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شخص در تغییر تابعیت، به درخواست او محدود می‌شود و اراده شخص در ترک و تحصیل تابعیت، تأثیری بیش از درخواست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دیگر افراد تفاوتی ندارد و باید ترک تابعیت را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مطابق مقررات به تابعیت ایران بازمی‌گردد، از همه حقوق بهره‌مند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بند سوّم ماده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ترک تابعیت ایران برخلاف تحصیل تابعیت ایران، فاقد اثر تبعی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استناد بند سوم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سوّم ماده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سؤال این است که شخص مذکور تابعیت ایرانی خود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استناد اصل چهل‌ودوّم 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استناد اصل چهل‌ویکم قانون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دهم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در قانون ایران از اقامتگاه بین‌المللی تعریفی مطرح نشده است، از همین تعریف اقامتگاه داخلی، برای امور بین‌المللی 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بین‌المللی نیز از همین تعریف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ششم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نصیری، حقوق بین‌الملل خصوصی ،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زیرا فقط، زنی که شوهر او فوت شده و دارای فرزند زیر هجده سال است، نمی‌تواند از حق یادشده در ماده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ولی در فرض سؤال، خاتمه یافتن ازدواج به دلیل جدایی بوده است، نه فوت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زیرا داشتن فرزند به‌تنهایی مانع نیست؛ بلکه داشتن فرزند زیر هجده سال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تابعیت بر اثر ازدواج، اثر قهری تأسیس ازدواج است و تغییر تابعیت زن بر اثر تغییر تابعیت شوهر، اثر تبعی تغییر تابعیت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تابعیت زن در اثر ازدواج، اثر قهری تأسیس عقد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تبصره دوّم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است که حق داشتن دارایی‌های غیرمنقول را دارند؛ مگر آنکه موجب برتری اقتصادی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یازدهم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محمدنصیری، حقوق بین‌الملل خصوصی ، ص</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پاورقی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اقامتگاه جزئی از وضعیت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بدون اقامتگاه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اقامتگاه افراد، محل سکونت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 زیرا فرض سؤال، اشخاص حقیقی است، نه اشخاص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حل تعارض ایران، اقامتگاه به‌عنوان عامل ارتباط شناخته نشده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سیستم‌های حقوقی مانند آنگلوساکسون، اهلیت اشخاص، تابع قانون اقامتگاه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آن است که باید دعاوی در دادگاه محل اقامتگاهِ خوانده اقامه شود و از سویی، در برخی از سیستم‌های حقوقی، قانون حاکم بر احوال شخصیه افراد، قانون اقامتگاه آنان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از لحاظ تعیین دادگاه صالح و همچنین در بعضی از نظام‌های حقوقی، برای تعیین قانون حاکم بر احوال شخصیه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دوازدهم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قانون کشور مورد تابعیت شخص، بر احوال شخصیه او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مواردی مانند طلاق و نَسَب، هنگامی که دو طرف تابعیت واحدی ندارند،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ترکه منقول،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 شخص 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نصیری، حقوق بین‌الملل خصوصی ،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صفایی، حقوق اشخاص و محجورین ، گفتار انواع اقامتگاه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اقامتگاه وجود دارد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اجباری و قراردادی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نباید با کارمندان دولت اشتباه گرفت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برابر ماده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مادر، سرپرست و ولی کودک به‌شمار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سیزدهم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نصیری، حقوق بین‌الملل خصوصی ، ص</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 ایران، بیگانه کسی است که تابعیت ایران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متقابل عملی، احتیاجی به قانون ندارد و از انعطاف بیشتری نسبت به رفتار متقابل سیاسی و تقنینی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رفتار متقابل عملی این است که اثبات آن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یا 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رفتار متقابل سیاسی و تقنینی را مورد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زیرا شرط متقابل مذکور به موجب معاهده مقرر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مذکور، تعریف کاپیتولاسیون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دسته جمعی بیگانگان برخلاف اصول</w:t>
      </w:r>
    </w:p>
    <w:p>
      <w:pPr>
        <w:pStyle w:val="BookText"/>
        <w:rPr/>
      </w:pPr>
      <w:r>
        <w:rPr>
          <w:rFonts w:ascii="IRNazanin" w:hAnsi="IRNazanin" w:eastAsia="IRNazanin"/>
          <w:color w:val="111111"/>
          <w:sz w:val="28"/>
          <w:sz w:val="28"/>
          <w:szCs w:val="28"/>
          <w:rtl w:val="true"/>
          <w:lang w:bidi="fa-IR"/>
        </w:rPr>
        <w:t>حقوق بین‌الملل عمومی است؛ مگر در موارد جنگ و قطع روابط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رفتار متقابل، ممکن است سیاسی، قانون‌گذاری و یا عملی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متقابلِ عملی بیشترین انعطاف را دارد و بعد از آن، رفتار متقابل قانون‌گذاری نسبت به رفتار متقابل سیاسی انعطاف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بیگانه کسی است که مسلمان نباشد و به سه دسته مستأمن، اهل کتاب و بت‌پرست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نصیری، حقوق بین‌الملل خصوصی ،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جواز اقامت دائم باید هر سال تجدید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ماده قانون گذرنامه تصویب شده در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گذرنامه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خدمت و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ماده یک قانون گذرنامه تصویب شده در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هشتم قانون مدنی و آیین‌نامه مالک شدن اتباع بیگانه تصویب شده در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به شرط رفتار متقابل و یک دسته از شرایط دیگر، مالک شدن اتباع بیگانه را برای محل سکونت، صنعت و کسب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برای عبور از ایران باید روادید عبور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متقابل نمی‌تواند منشأ وجود حق باشد؛ بلکه ممکن است شرط برخورداری از یک حق به‌شمار آید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چهاردهم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از حقوق خصوصی بهره‌مند هستند؛ مگر در مواردی که قانون استثنا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نصیری، حقوق بین‌الملل خصوصی ،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استناد ماده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بعضی از حقوق‌دانان، حق شفعه مصداق ماده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استناد ماده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شناسایی اشخاص حقوقی حقوق خصوصی در ایران، بر حسب نوع آنها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سیاسی عبارت است از حقوقی که فقط به اتباع داخلی تخصیص داده شده و بهره‌مندی از آن لازمه وصف تبعیت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خارجی‌ها به‌طور اساسی از این حقوق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از حقوق عمومی غیرسیاسی برخوردارند؛ مگر در برخی از حقوق عمومی که از آن محروم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در ایران از حقوق خصوصی بهره‌مند هستند؛ مگر در پاره‌ای حقوق که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بند سوّم ماده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متقابل تقنینی درباره همه اتباع خارجی است؛ امّا رفتار متقابل سیاسی درباره اتباع دولت یا دولت‌های طرف معاهده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اوّلی عام و دوّمی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خارجی‌ها از حقوق سیاسی بهره‌مند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معامله کردن، از حقوق خصوصی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ماده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وزارت کار و امور اجتماعی، مرجع صدور این پروانه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ورود او به ایران با شرایطی که برای ورود بیگانگان در نظر گرفته شده است امکان دارد؛ زیرا او نیز پس از ترک تابعیت، بیگانه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بیگانگان از حقوق سیاسی محروم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زیرا به‌طور مستقیم از حقوق و تکالیف بیگانگان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به استناد ماده یک آیین‌نامه مالک شدن اتباع</w:t>
      </w:r>
    </w:p>
    <w:p>
      <w:pPr>
        <w:pStyle w:val="BookText"/>
        <w:rPr/>
      </w:pPr>
      <w:r>
        <w:rPr>
          <w:rFonts w:ascii="IRNazanin" w:hAnsi="IRNazanin" w:eastAsia="IRNazanin"/>
          <w:color w:val="111111"/>
          <w:sz w:val="28"/>
          <w:sz w:val="28"/>
          <w:szCs w:val="28"/>
          <w:rtl w:val="true"/>
          <w:lang w:bidi="fa-IR"/>
        </w:rPr>
        <w:t xml:space="preserve">خارجه تصویب شده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پانزدهم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ایران، ایرانی‌بودن، شرط مراجعه به محاکم ایران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دسته جمعی بیگانگان، برخلاف اصول حقوق بین‌الملل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موظّف به انجام خدمت نظام وظیفه در ایران نیستند و از نظر پرداخت مالیات باید مانند ایرانیان مالیات بپردازند؛ مگر در دو مورد که از پرداخت مالیات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قرضه‌های اجباری، و مالیاتی که برای هزینه‌های جنگی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نصیری، حقوق بین‌الملل خصوصی ،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وضع اتباع بیگانه، در حقیقت بررسی می‌شود که بیگانگان از چه حقوقی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عمومی غیرسیاسی، حقوقی است که لازمه احترام به شخصیت انسانی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حقوق بیگانگان به شرط رفتار متقابل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بعضی از موارد، رفتار متقابل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سیاسی و یا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خارجی برای اقامت در ایران باید پروانه</w:t>
      </w:r>
    </w:p>
    <w:p>
      <w:pPr>
        <w:pStyle w:val="BookText"/>
        <w:rPr/>
      </w:pPr>
      <w:r>
        <w:rPr>
          <w:rFonts w:ascii="IRNazanin" w:hAnsi="IRNazanin" w:eastAsia="IRNazanin"/>
          <w:color w:val="111111"/>
          <w:sz w:val="28"/>
          <w:sz w:val="28"/>
          <w:szCs w:val="28"/>
          <w:rtl w:val="true"/>
          <w:lang w:bidi="fa-IR"/>
        </w:rPr>
        <w:t>اقامت موقّت یا همیشگی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اصل صد و پنجاه و پنجم قانون اساسی جمهوری اسلامی ایران، دولت جمهوری اسلامی می‌تواند به کسانی که پناهندگی سیاسی بخواهند پناه بدهد؛ مگر اینکه بر طبق قوانین ایران، خائن و تبهکار شناخته شوند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شانزدهم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نصیری، حقوق بین‌الملل خصوصی ، ص</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به استناد ماده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ص</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ص</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 برای سود بردن تشکیل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تجاری و همچنین مؤسسه‌ها و تشکیلات دولتی و شهری به محض ایجاد و بدون احتیاج به ثبت، دارای شخصیت حقوقی هستند؛ امّا انجمن‌ها و تشکیلاتی که برای مقاصد غیرتجاری تأسیس می‌شوند، از لحظه ثبت در دفتر مخصوصی که وزارت دادگستری معین خواهد کرد، شخصیت حقوقی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اجازه ثبت شعبه یا نمایندگی شرکت‌های خارجی، تصویب شده در</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با جمع شرایطی، اجازه مذکور را به بیگانگان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به استناد ماده واحده قانون اجازه ثبت شعبه یا نمایندگی شرکت‌های خارجی، تصویب شده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ص</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w:t>
      </w:r>
      <w:bookmarkStart w:id="719" w:name="pg5888_36402"/>
    </w:p>
    <w:p>
      <w:pPr>
        <w:pStyle w:val="Heading2"/>
        <w:numPr>
          <w:ilvl w:val="1"/>
          <w:numId w:val="1"/>
        </w:numPr>
        <w:rPr/>
      </w:pPr>
      <w:bookmarkStart w:id="720" w:name="__RefHeading___Toc5261708_581953129"/>
      <w:bookmarkStart w:id="721" w:name="_Toc282"/>
      <w:bookmarkEnd w:id="719"/>
      <w:bookmarkEnd w:id="720"/>
      <w:r>
        <w:rPr>
          <w:rtl w:val="true"/>
        </w:rPr>
        <w:t>کتابنامه</w:t>
      </w:r>
      <w:bookmarkEnd w:id="7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سید نصراللّه، حقوق بین‌الملل خصوصی، تهران، سمت،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ارفع‌نیا، بهشید، حقوق بین‌الملل خصوصی، تهران، عقیق،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سید حسن، حقوق مدنی،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تهران، اسلامیه،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خلعتبری، ارسلان، حقوق بین‌الملل خصوصی و تعارض قوانین، تهران،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دانش‌پژوه، مصطفی، اسلام و حقوق بین‌الملل خصوصی، تهران، سمت،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سلجوقی، محمود، حقوق بین‌الملل خصوصی،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دادگستر،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سلجوقی، محمود، بایسته‌های حقوق بین‌الملل خصوصی، تهران، گنج دانش،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ضیائی بیگدلی، محمدرضا، حقوق بین‌الملل عمومی، تهران، گنج دانش،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عامری، جواد، حقوق بین‌الملل خصوصی، تهران، آگاه،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زنجانی، عباسعلی،حقوق اقلیت‌ها، تهران، دفتر نشر فرهنگ اسلامی،</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قانون مدنی در نظم حقوقی کنونی، تهران، دادگستر،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کریمی‌نیا، محمد مهدی، همزیستی مسالمت‌آمیز در اسلام و حقوق بین‌الملل، چ دوم، قم، مؤسسه امام خمینی قدس سره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کریمی‌نیا، محمد مهدی، حقوق بشر و قانون اساسی جمهوری اسلامی ایران، قم، جلوه کمال،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جلال‌الدین، حقوق بین‌الملل خصوصی، تهران،گنج دانش،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معظمی، عبداللّه، حقوق بین‌الملل خصوصی، تهران، دانشگاه تهران،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مکرمی، علی محمد، حقوق بین‌الملل خصوصی، جزوه کپی،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نصیری، محمد، حقوق بین‌الملل خصوصی، تهران، آگاه،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Joseph story</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سید نصرالله ابراهیمی، حقوق بین‌الملل خصوصی،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محمد نصیری، حقوق بین‌الملل خصوصی،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مکرّمی، حقوق بین‌الملل خصوصی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 درسی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J.P. Niboyet</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بهشید ارفع‌نیا، حقوق بین‌الملل خصوصی،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Malibran</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سیدحسین صفایی، مباحثی از حقوق بین‌الملل خصوصی،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Conflict of Laws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Common Law</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Dicey</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Civil Law</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Joseph story</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Commentaries on the conflict of Laws</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Private international Law</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صفایی، 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Westlake</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oot</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Valery</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صفایی، 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ارتباط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اموری مانند تحصیل، تجارت، معالجه و جهانگردی است که موجب رفت و آمد اتباع کشورهای گوناگون با یکدیگر می‌شود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J.P.Niboyet</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عناصر ارتباطی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پیشین توضیح داده 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قواعد حل تعارض، قواعدی است که در تعارض قوانین دو یا چند کشور، در مسئله واحد از مسائل حقوق بین‌الملل خصوصی به کار می‌رود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Sources of private international Law</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Jurisprudence</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صفایی، همان،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سید جلال‌الدین مدنی، مبانی و کلیات علم حقوق،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حقوق بین‌الملل خصوصی،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Doctrine</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محمود سلجوقی، حقوق بین‌الملل خصوصی،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Bilateral Treaties</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همان،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Multilateral Treaties</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صفایی، همان،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کاتوزیان، مقدّمه علم حقوق،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Batiffol</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Conseil constitutionnel</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صفایی، 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صفایی، 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حقوق بین‌الملل خصوصی،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Material alteration in circumstances</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مقداد، کنزالعرفان؛ مقدس اردبیلی، زبدة‌البیان؛ باقر ایروانی، دروس تمهیدیة فی آیات‌الأحکام؛ آیت‌اللّه عمید زنجانی، آیات‌الاحکام؛ دکتر ابوالقاسم گرجی، آیات‌الاحکام؛ کاظم مدیر شانه‌چی، آیات‌الاحکام؛ محمدمهدی کریمی‌نیا، آیات‌الاحکام جزایی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جعفری لنگرودی، حقوق اسلام،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مبانی و کلیات علم حقوق،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انصاری، فرائد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آخوند خراسانی، کفایة الاصول،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مؤسسه آل‌البیت علیهم السلام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عمید زنجانی، فقه سیاسی،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کاتوزیان، فلسفه حقوق،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مؤسسه آموزشی پژوهشی امام خمینی قدس سره ، فلسفه حقوق،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اعتقاد شیعه،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منطقة‌الفراغ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خلأ برای قانون‌های جزئی و اجرایی است که به تناسب تغییر موضوع‌ها و شرایط زمانی و مکانی به وجود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دین کاملی است و خلأ قواعد اصلی و کلی در آن راه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محمدباقر صدر، اقتصادنا، ص</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محمدحسین طباطبایی، بررسی‌های اسلامی، به کوشش هادی خسروشاهی،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به نقل از عبدالحکیم سلیمی، نقش اسلام در توسعه حقوق بین‌الملل،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عبدالحکیم سلیمی، نقش اسلام در توسعه حقوق بین‌الملل،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معارج،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ملاحظه معاهده‌ها پیامبر صلی الله علیه و آله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احمد میانجی، مکاتیب‌الرسول صلی الله علیه و آله ؛ محمد حمیداللّه حیدرآبادی، الوثائق السیاسیة؛ محمدمهدی کریمی‌نیا، همزیستی مسالمت‌آمیز در اسلام و حقوق بین‌الملل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رضی، نهج‌البلاغه، عهدنامه مالک اشتر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Nationality</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حقوق بین‌الملل خصوصی،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مصطفی دانش‌پژوه، همان،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سلجوقی،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اسلام و حقوق بین‌الملل خصوصی،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حقوق بین‌الملل خصوصی،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همان،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ایران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اتباع ایران نمی‌توانند تبعیت خود را ترک کنند؛ مگر به شرایط 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تمام رسیده باشند؛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وزرا خروج از تابعیت آنان را اجازه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ایران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تبعه ایرانی که بدون رعایت مقررات قانونی، بعد از تاریخ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تابعیت خارجی تحصیل کرده باشد، تبعیت خارجی او کأن‌لم‌یکن بوده و تبعه ایران شناخته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 وزیران می‌تواند بنا به مصالحی، به پیشنهاد وزارت امور خارجه، تابعیت خارجی مشمولین این ماده را به رسمیت بشناسد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چهل‌ویکم قانون اساسی جمهوری اسلامی ایران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تابعیت کشور ایران حق مسلّم هر فرد ایرانی است و دولت نمی‌تواند از هیچ ایرانی سلب تابعیت کند؛ مگر به درخواست خود او یا در صورتی که به تابعیت کشور دیگری درآید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چهل‌ودوم قانون اساسی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اتباع خارجه می‌توانند در حدود قوانین به تابعیت ایران درآیند و سلب تابعیت این‌گونه اشخاص در صورتی ممکن است که دولت دیگری تابعیت آنها را بپذیرد، یا خود آنها درخواست کنند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Apatrid</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سلجوقی، حقوق بین‌الملل خصوصی،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نصیری، همان،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حقوق بین‌الملل خصوصی،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حقوق بین‌الملل خصوصی،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Nansen Passport</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Dual nationality</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ابراهیمی، همان،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مکرّمی، 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Orginal nationality</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آپاترید، یعنی شخصی که فاقد تابعیت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کشورهای کامن لو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Common law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کشورهای انگلیس، امریکا، کانادا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ایالت کبک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ایرلندشمالی، استرالیا و جزایر آنتیل انگلستان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کشورها، متن قانون، احترام و قدرت گذشته را از دست داده است؛ در عوض، منبع اصلی حقوق، قواعدی است که قضات دادگاه‌ها اعمال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آنان حقوقی عرفی است؛ البته نه به معنایی که ما از عرف و عادت می‌فهمیم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عرف، رویه‌ای است که دادگاه‌ها بین خود مرسوم کرده‌اند و اصولا نیز پای‌بند به آن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گروه، اصول حقوقی از قانون ناشی نمی‌شود؛ قانون استثناهای وارد بر عرف محاکم را تعیین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ازاین‌رو، برای مطالعه حقوق انگلیس و امریکا، به جای مراجعه به مجموعه‌های قوانین، باید رویه دادگاه‌ها را بررسی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ناشی از آراء را در اصطلاح حقوق انگلیس، کامن 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common law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کاتوزیان، مقدّمه علم حقوق،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کشورهای رومی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ژرمن شامل کشورهای اروپایی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انگلستان و گروه کشورهای کمونیست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امریکای لاتین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مبنای حقوق این دسته را قواعد حقوق روم و تعلیم‌های اخلاقی مذهب مسیح و افکار آزادی‌خواهانه حکیمان قرن هجدهم تشکیل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مالکیت خصوصی و اصل آزادی قراردادها محترم است و عادات و رسوم محلی به حقوق هر یک از این کشورها رنگ خاصی بخشیده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این کشورها قانون مهم‌ترین منبع حقوق است و اصول کلّی حقوق را باید در متون قوانین جستجو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بااین‌وجود، در میان اعضای همین گروه، در شیوه قانون‌نویسی و استنباط احکام اختلاف فراوان است که نباید از نظر دور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کاتوزیان، 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حقوق بین‌الملل خصوصی،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ابراهیمی، 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دانش‌پژوه، 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ابراهیمی، همان،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Institution</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سید حسن امامی، حقوق مدنی،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ارفع‌نیا، 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سلجوقی، 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نصیری، همان،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Treaty of peace</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Acquisition of nationality by marriage</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Institution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تأسیس یا سبب حقوقی را گویند که در اثر آن، منافع طرفین عقد آنچنان با هم آمیخته می‌شود که از منافع فردی هر کدام جداست؛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شخصیت‌های حقوقی، و این قانون‌گذار است که شروط و آثار آن را تعیین می‌کند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ارفع‌نیا، همان،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علاءالدین مرعشی، تابعیت در ایران،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ارفع‌نیا، همان،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تفریق اعم از طلاق است و شامل فسخ نکاح، بذل مدت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عقد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انقضای مدت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عقد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جدایی در اثر لعان و مانند آن نیز می‌شود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سید مصطفی محقق‌داماد، حقوق خانواده،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جعفری لنگرودی، مجموعه محشی قانون مدنی،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Acquisition of nationality by voluntary naturalization</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جُنحه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جرم ساده و سبک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قانون مجازات عمومی پیشین، حبس جنحه‌ای مجازاتی شامل دست کم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و حداکثر سه سال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جنایت نیز به موجب ماده هفتم همان قانون، به جرمی گفته می‌شده که مجازات آن اعدام، حبس ابد، حبس جنایی درجه یک برای دست کم سه سال و حداکثر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حبس جنایی درجه دو برای دست کم دو سال و حداکثر ده سال بوده است؛ امّا در حال حاضر، به موجب قانون مجازات اسلامی، مجازات‌هایی که برای جرایم پیش‌بینی شده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قصاص، دیات، تعزیرات و مجازات‌های بازدارنده، که به جز حبس ابد، سایر حبس‌ها همه تعزیری هستند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استثنای جرایم سیاسی به دلیل آن است که اولاً به علت ماهیت متبوع حاکمیت‌ها، تعریف واحد و هماهنگی ندارد تا بتوان آن را معین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محکومیت به جرایم سیاسی، همیشه به معنای نفی حقانیت پیام و شعار یک مجرم سیاسی نیست؛ بلکه این امر می‌باید تحت اوضاع و احوال خاص هر موضوعی بررسی و مطالعه شود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ابراهیمی، 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مکرّمی، همان،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مدنی، همان،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Loss of nationality by expatriation</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مدنی، حقوق بین‌الملل خصوصی،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تبصره الف ماده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Nicola Bar</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تابعیت اکتسابی تبعی، مانند تابعیت اکتسابی فرزندان خردسال، به تبع از پدر، یا اکتسابی زن به تبع از شوهر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تابعیت اکتسابی تحققی، تابعیتی است که بر اثر ازدواج، تابعیت شوهر به زن تحمیل می‌شود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دانش‌پژوه، اسلام و حقوق بین‌الملل خصوصی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حقوق بین‌الملل خصوصی،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حقوق بین‌الملل خصوصی،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منصور صقری، حقوق تجارت،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نصیری، همان،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مکرّمی، همان،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فرهاد امام، حقوق سرمایه‌گذاری خارجی در ایران،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1351/4/18</w:t>
      </w:r>
      <w:r>
        <w:rPr>
          <w:rFonts w:ascii="IRNazanin" w:hAnsi="IRNazanin" w:eastAsia="IRNazanin"/>
          <w:b w:val="false"/>
          <w:b w:val="false"/>
          <w:bCs w:val="false"/>
          <w:i w:val="false"/>
          <w:i w:val="false"/>
          <w:iCs w:val="false"/>
          <w:color w:val="333333"/>
          <w:sz w:val="20"/>
          <w:sz w:val="20"/>
          <w:szCs w:val="20"/>
          <w:rtl w:val="true"/>
        </w:rPr>
        <w:t xml:space="preserve">ش و اصلاح شده در تاریخ </w:t>
      </w:r>
      <w:r>
        <w:rPr>
          <w:rFonts w:eastAsia="IRNazanin" w:cs="IRNazanin"/>
          <w:b w:val="false"/>
          <w:bCs w:val="false"/>
          <w:i w:val="false"/>
          <w:iCs w:val="false"/>
          <w:color w:val="333333"/>
          <w:sz w:val="20"/>
          <w:szCs w:val="20"/>
        </w:rPr>
        <w:t>1354/4/25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از ژان شاپیرا، حقوق بین‌الملل بازرگانی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دکتر ربیعا اسکینی، شرکت‌های تجاری،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امامی، 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نصیری، 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آیین دادرسی دادگاه‌های عمومی و انقلاب در امور مدنی مقرر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مدیر دفتر دادگاه ظرف دو روز، نقایص دادخواست را به‌طور کتبی و مفصّل به خواهان اطلاع داده و از تاریخ ابلاغ، به مدت ده روز به او مهلت می‌دهد تا نقایص را رفع کند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مقرر 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ضمن معامله یا قراردادی، طرفین معامله یا یکی از آنها برای اجرای تعهدات حاصله از آن معامله، محلی غیر از اقامتگاه حقیقی خود را انتخاب کرده باشد، نسبت به دعاوی راجعه به آن معامله، همان محلی که انتخاب شده است، اقامتگاه او شمرده خواهد شد، و همچنین است در صورتی که برای ابلاغ اوراق دعوی و احضار اخطار، محلی را غیر از اقامتگاه حقیقی خود معین کند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ش؛ لازم‌الاجرا از آغاز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Adomide</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Apatride</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اقامت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صفحه‌های آینده خواهد آمد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ابراهیمی، همان،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کاتوزیان، قانون مدنی در نظم حقوقی کنونی،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Domicile of choice</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Domicile of operation of law</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بایسته‌های حقوق بین‌الملل خصوصی،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امامی، همان،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Contractual domicile</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امامی، 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بایسته‌های حقوق بین‌الملل خصوصی،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اسکینی، همان،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بایسته‌های حقوق بین‌الملل خصوصی،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دکتر مصطفی دانش‌پژوه، همان،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دکتر مصطفی دانش‌پژوه، همان،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The minimum stndard for foreign nationals</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Werdross</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Suarez</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Reciprocity</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نصیری، همان،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درباره دو نظریه فوق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ایران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مواد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دادرسی مدنی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Passport</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Visa</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گذرنامه تصویب شده </w:t>
      </w:r>
      <w:r>
        <w:rPr>
          <w:rFonts w:eastAsia="IRNazanin" w:cs="IRNazanin"/>
          <w:b w:val="false"/>
          <w:bCs w:val="false"/>
          <w:i w:val="false"/>
          <w:iCs w:val="false"/>
          <w:color w:val="333333"/>
          <w:sz w:val="20"/>
          <w:szCs w:val="20"/>
        </w:rPr>
        <w:t>51/2/10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ماده اول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Doplomatic Passport</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Service Passport</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Ordinary Passport</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Visa</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1310/12/19</w:t>
      </w:r>
      <w:r>
        <w:rPr>
          <w:rFonts w:ascii="IRNazanin" w:hAnsi="IRNazanin" w:eastAsia="IRNazanin"/>
          <w:b w:val="false"/>
          <w:b w:val="false"/>
          <w:bCs w:val="false"/>
          <w:i w:val="false"/>
          <w:i w:val="false"/>
          <w:iCs w:val="false"/>
          <w:color w:val="333333"/>
          <w:sz w:val="20"/>
          <w:sz w:val="20"/>
          <w:szCs w:val="20"/>
          <w:rtl w:val="true"/>
        </w:rPr>
        <w:t>ش، با اصلاحات بعدی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Residence of foreign nationals</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1352/3/12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Permanet Residence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Domicile</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Transit of foreign nationals</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1310/2/19</w:t>
      </w:r>
      <w:r>
        <w:rPr>
          <w:rFonts w:ascii="IRNazanin" w:hAnsi="IRNazanin" w:eastAsia="IRNazanin"/>
          <w:b w:val="false"/>
          <w:b w:val="false"/>
          <w:bCs w:val="false"/>
          <w:i w:val="false"/>
          <w:i w:val="false"/>
          <w:iCs w:val="false"/>
          <w:color w:val="333333"/>
          <w:sz w:val="20"/>
          <w:sz w:val="20"/>
          <w:szCs w:val="20"/>
          <w:rtl w:val="true"/>
        </w:rPr>
        <w:t>ش، با اصلاحات بعدی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لسه پاسه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 عبوری است که به دارنده آن اجازه می‌دهد بدون رعایت تشریفات بازرسی و عوارض گمرکی، از مرز یک کشور عبور کند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Departure of foreign nationals</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Deportation or Expulsion of foreign nationals</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Sovereignty</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State Responsibility</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بایسته‌های حقوق بین‌الملل خصوصی،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مدنی ایران، ماده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سلجوقی، بایسته‌های حقوق بین‌الملل خصوصی ،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امامی، همان،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نصیری، همان،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قانون مدنی ایران، ماده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نصیری، همان،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سلجوقی، همان،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1310/10/1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1348/10/11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ارفع‌نیا،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بایسته‌های حقوق بین‌الملل خصوصی،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کاتوزیان، مبانی حقوق عمومی،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صفائی، همان،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حقوق بین‌الملل خصوصی،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آیین دادرسی مدنی پیشین و ماده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آیین دادرسی کنونی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سلجوقی، بایسته‌های حقوق بین‌الملل خصوصی،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فته‌طلب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سفته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مدنی، همان،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مدنی، همان،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Domat</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به نقل از دکتر سید حسین صفائی، همان،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به نقل از دکتر محمود سلجوقی، حقوق بین‌الملل خصوصی،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تصویب شده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مدنی، همان،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نصیری، همان،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ابراهیمی، همان،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دانش‌پژوه، همان،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ابراهیمی، همان،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نصیری، همان،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ابراهیمی، همان،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66831</Words>
  <Characters>285680</Characters>
  <CharactersWithSpaces>348474</CharactersWithSpaces>
  <Paragraphs>4038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2026-08-19T05:58:29Z</dcterms:created>
  <dc:creator>ghaemiyeh.com</dc:creator>
  <dc:description/>
  <dc:language>en-US</dc:language>
  <cp:lastModifiedBy/>
  <dcterms:modified xsi:type="dcterms:W3CDTF">2026-08-19T09:28:44Z</dcterms:modified>
  <cp:revision>1</cp:revision>
  <dc:subject/>
  <dc:title>حقوق بین الملل خصوصی کلیات تابعیت اقامتگاه و وضعیت بیگانگان</dc:title>
</cp:coreProperties>
</file>

<file path=docProps/custom.xml><?xml version="1.0" encoding="utf-8"?>
<Properties xmlns="http://schemas.openxmlformats.org/officeDocument/2006/custom-properties" xmlns:vt="http://schemas.openxmlformats.org/officeDocument/2006/docPropsVTypes"/>
</file>