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بحوث فی قاعده الفراغ و التجاوز</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82246_58195312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082248_58195312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082250_581953129">
            <w:r>
              <w:rPr>
                <w:webHidden/>
                <w:rStyle w:val="IndexLink"/>
                <w:rtl w:val="true"/>
              </w:rPr>
              <w:t>المدخل</w:t>
            </w:r>
            <w:r>
              <w:rPr>
                <w:rStyle w:val="IndexLink"/>
                <w:rtl w:val="true"/>
              </w:rPr>
              <w:tab/>
            </w:r>
            <w:r>
              <w:rPr>
                <w:rStyle w:val="IndexLink"/>
              </w:rPr>
              <w:t>9</w:t>
            </w:r>
          </w:hyperlink>
        </w:p>
        <w:p>
          <w:pPr>
            <w:pStyle w:val="Contents2"/>
            <w:tabs>
              <w:tab w:val="clear" w:pos="8743"/>
              <w:tab w:val="right" w:pos="9026" w:leader="dot"/>
            </w:tabs>
            <w:rPr/>
          </w:pPr>
          <w:hyperlink w:anchor="__RefHeading___Toc2082252_581953129">
            <w:r>
              <w:rPr>
                <w:webHidden/>
                <w:rStyle w:val="IndexLink"/>
                <w:rtl w:val="true"/>
              </w:rPr>
              <w:t>تاریخ کتابة القواعد الفقهیة</w:t>
            </w:r>
            <w:r>
              <w:rPr>
                <w:rStyle w:val="IndexLink"/>
                <w:rtl w:val="true"/>
              </w:rPr>
              <w:tab/>
            </w:r>
            <w:r>
              <w:rPr>
                <w:rStyle w:val="IndexLink"/>
              </w:rPr>
              <w:t>10</w:t>
            </w:r>
          </w:hyperlink>
        </w:p>
        <w:p>
          <w:pPr>
            <w:pStyle w:val="Contents2"/>
            <w:tabs>
              <w:tab w:val="clear" w:pos="8743"/>
              <w:tab w:val="right" w:pos="9026" w:leader="dot"/>
            </w:tabs>
            <w:rPr/>
          </w:pPr>
          <w:hyperlink w:anchor="__RefHeading___Toc2082254_581953129">
            <w:r>
              <w:rPr>
                <w:webHidden/>
                <w:rStyle w:val="IndexLink"/>
                <w:rtl w:val="true"/>
              </w:rPr>
              <w:t>نبذة عن کتابة القواعد الفقهیة عند أهل السنة</w:t>
            </w:r>
            <w:r>
              <w:rPr>
                <w:rStyle w:val="IndexLink"/>
                <w:rtl w:val="true"/>
              </w:rPr>
              <w:tab/>
            </w:r>
            <w:r>
              <w:rPr>
                <w:rStyle w:val="IndexLink"/>
              </w:rPr>
              <w:t>14</w:t>
            </w:r>
          </w:hyperlink>
        </w:p>
        <w:p>
          <w:pPr>
            <w:pStyle w:val="Contents2"/>
            <w:tabs>
              <w:tab w:val="clear" w:pos="8743"/>
              <w:tab w:val="right" w:pos="9026" w:leader="dot"/>
            </w:tabs>
            <w:rPr/>
          </w:pPr>
          <w:hyperlink w:anchor="__RefHeading___Toc2082256_581953129">
            <w:r>
              <w:rPr>
                <w:webHidden/>
                <w:rStyle w:val="IndexLink"/>
                <w:rtl w:val="true"/>
              </w:rPr>
              <w:t>الکتب المؤلّفة فی القواعد الفقهیة</w:t>
            </w:r>
            <w:r>
              <w:rPr>
                <w:rStyle w:val="IndexLink"/>
                <w:rtl w:val="true"/>
              </w:rPr>
              <w:tab/>
            </w:r>
            <w:r>
              <w:rPr>
                <w:rStyle w:val="IndexLink"/>
              </w:rPr>
              <w:t>15</w:t>
            </w:r>
          </w:hyperlink>
        </w:p>
        <w:p>
          <w:pPr>
            <w:pStyle w:val="Contents2"/>
            <w:tabs>
              <w:tab w:val="clear" w:pos="8743"/>
              <w:tab w:val="right" w:pos="9026" w:leader="dot"/>
            </w:tabs>
            <w:rPr/>
          </w:pPr>
          <w:hyperlink w:anchor="__RefHeading___Toc2082258_581953129">
            <w:r>
              <w:rPr>
                <w:webHidden/>
                <w:rStyle w:val="IndexLink"/>
                <w:rtl w:val="true"/>
              </w:rPr>
              <w:t>مؤلفو القواعد الفقهیة فی الفقه المالکی</w:t>
            </w:r>
            <w:r>
              <w:rPr>
                <w:rStyle w:val="IndexLink"/>
                <w:rtl w:val="true"/>
              </w:rPr>
              <w:tab/>
            </w:r>
            <w:r>
              <w:rPr>
                <w:rStyle w:val="IndexLink"/>
              </w:rPr>
              <w:t>17</w:t>
            </w:r>
          </w:hyperlink>
        </w:p>
        <w:p>
          <w:pPr>
            <w:pStyle w:val="Contents2"/>
            <w:tabs>
              <w:tab w:val="clear" w:pos="8743"/>
              <w:tab w:val="right" w:pos="9026" w:leader="dot"/>
            </w:tabs>
            <w:rPr/>
          </w:pPr>
          <w:hyperlink w:anchor="__RefHeading___Toc2082260_581953129">
            <w:r>
              <w:rPr>
                <w:webHidden/>
                <w:rStyle w:val="IndexLink"/>
                <w:rtl w:val="true"/>
              </w:rPr>
              <w:t>مؤلفو القواعد الفقهیة فی الفقه الشافعی</w:t>
            </w:r>
            <w:r>
              <w:rPr>
                <w:rStyle w:val="IndexLink"/>
                <w:rtl w:val="true"/>
              </w:rPr>
              <w:tab/>
            </w:r>
            <w:r>
              <w:rPr>
                <w:rStyle w:val="IndexLink"/>
              </w:rPr>
              <w:t>18</w:t>
            </w:r>
          </w:hyperlink>
        </w:p>
        <w:p>
          <w:pPr>
            <w:pStyle w:val="Contents2"/>
            <w:tabs>
              <w:tab w:val="clear" w:pos="8743"/>
              <w:tab w:val="right" w:pos="9026" w:leader="dot"/>
            </w:tabs>
            <w:rPr/>
          </w:pPr>
          <w:hyperlink w:anchor="__RefHeading___Toc2082262_581953129">
            <w:r>
              <w:rPr>
                <w:webHidden/>
                <w:rStyle w:val="IndexLink"/>
                <w:rtl w:val="true"/>
              </w:rPr>
              <w:t>مؤلفو القواعد الفقهیة فی الفقه الحنبلی</w:t>
            </w:r>
            <w:r>
              <w:rPr>
                <w:rStyle w:val="IndexLink"/>
                <w:rtl w:val="true"/>
              </w:rPr>
              <w:tab/>
            </w:r>
            <w:r>
              <w:rPr>
                <w:rStyle w:val="IndexLink"/>
              </w:rPr>
              <w:t>19</w:t>
            </w:r>
          </w:hyperlink>
        </w:p>
        <w:p>
          <w:pPr>
            <w:pStyle w:val="Contents2"/>
            <w:tabs>
              <w:tab w:val="clear" w:pos="8743"/>
              <w:tab w:val="right" w:pos="9026" w:leader="dot"/>
            </w:tabs>
            <w:rPr/>
          </w:pPr>
          <w:hyperlink w:anchor="__RefHeading___Toc2082264_581953129">
            <w:r>
              <w:rPr>
                <w:webHidden/>
                <w:rStyle w:val="IndexLink"/>
                <w:rtl w:val="true"/>
              </w:rPr>
              <w:t>مقدمة المترجم</w:t>
            </w:r>
            <w:r>
              <w:rPr>
                <w:rStyle w:val="IndexLink"/>
                <w:rtl w:val="true"/>
              </w:rPr>
              <w:tab/>
            </w:r>
            <w:r>
              <w:rPr>
                <w:rStyle w:val="IndexLink"/>
              </w:rPr>
              <w:t>21</w:t>
            </w:r>
          </w:hyperlink>
        </w:p>
        <w:p>
          <w:pPr>
            <w:pStyle w:val="Contents2"/>
            <w:tabs>
              <w:tab w:val="clear" w:pos="8743"/>
              <w:tab w:val="right" w:pos="9026" w:leader="dot"/>
            </w:tabs>
            <w:rPr/>
          </w:pPr>
          <w:hyperlink w:anchor="__RefHeading___Toc2082266_581953129">
            <w:r>
              <w:rPr>
                <w:webHidden/>
                <w:rStyle w:val="IndexLink"/>
                <w:rtl w:val="true"/>
              </w:rPr>
              <w:t>التعریف الإجمالی للقاعدتین</w:t>
            </w:r>
            <w:r>
              <w:rPr>
                <w:rStyle w:val="IndexLink"/>
                <w:rtl w:val="true"/>
              </w:rPr>
              <w:tab/>
            </w:r>
            <w:r>
              <w:rPr>
                <w:rStyle w:val="IndexLink"/>
              </w:rPr>
              <w:t>25</w:t>
            </w:r>
          </w:hyperlink>
        </w:p>
        <w:p>
          <w:pPr>
            <w:pStyle w:val="Contents2"/>
            <w:tabs>
              <w:tab w:val="clear" w:pos="8743"/>
              <w:tab w:val="right" w:pos="9026" w:leader="dot"/>
            </w:tabs>
            <w:rPr/>
          </w:pPr>
          <w:hyperlink w:anchor="__RefHeading___Toc2082268_581953129">
            <w:r>
              <w:rPr>
                <w:webHidden/>
                <w:rStyle w:val="IndexLink"/>
                <w:rtl w:val="true"/>
              </w:rPr>
              <w:t>قاعدة التجاوز</w:t>
            </w:r>
            <w:r>
              <w:rPr>
                <w:rStyle w:val="IndexLink"/>
                <w:rtl w:val="true"/>
              </w:rPr>
              <w:tab/>
            </w:r>
            <w:r>
              <w:rPr>
                <w:rStyle w:val="IndexLink"/>
              </w:rPr>
              <w:t>25</w:t>
            </w:r>
          </w:hyperlink>
        </w:p>
        <w:p>
          <w:pPr>
            <w:pStyle w:val="Contents2"/>
            <w:tabs>
              <w:tab w:val="clear" w:pos="8743"/>
              <w:tab w:val="right" w:pos="9026" w:leader="dot"/>
            </w:tabs>
            <w:rPr/>
          </w:pPr>
          <w:hyperlink w:anchor="__RefHeading___Toc2082270_581953129">
            <w:r>
              <w:rPr>
                <w:webHidden/>
                <w:rStyle w:val="IndexLink"/>
                <w:rtl w:val="true"/>
              </w:rPr>
              <w:t>أدلّة قاعدة الفراغ والتجاوز</w:t>
            </w:r>
            <w:r>
              <w:rPr>
                <w:rStyle w:val="IndexLink"/>
                <w:rtl w:val="true"/>
              </w:rPr>
              <w:tab/>
            </w:r>
            <w:r>
              <w:rPr>
                <w:rStyle w:val="IndexLink"/>
              </w:rPr>
              <w:t>26</w:t>
            </w:r>
          </w:hyperlink>
        </w:p>
        <w:p>
          <w:pPr>
            <w:pStyle w:val="Contents3"/>
            <w:tabs>
              <w:tab w:val="clear" w:pos="8459"/>
              <w:tab w:val="right" w:pos="9026" w:leader="dot"/>
            </w:tabs>
            <w:rPr/>
          </w:pPr>
          <w:hyperlink w:anchor="__RefHeading___Toc2082272_581953129">
            <w:r>
              <w:rPr>
                <w:webHidden/>
                <w:rStyle w:val="IndexLink"/>
                <w:rtl w:val="true"/>
              </w:rPr>
              <w:t>اشارة</w:t>
            </w:r>
            <w:r>
              <w:rPr>
                <w:rStyle w:val="IndexLink"/>
                <w:rtl w:val="true"/>
              </w:rPr>
              <w:tab/>
            </w:r>
            <w:r>
              <w:rPr>
                <w:rStyle w:val="IndexLink"/>
              </w:rPr>
              <w:t>26</w:t>
            </w:r>
          </w:hyperlink>
        </w:p>
        <w:p>
          <w:pPr>
            <w:pStyle w:val="Contents3"/>
            <w:tabs>
              <w:tab w:val="clear" w:pos="8459"/>
              <w:tab w:val="right" w:pos="9026" w:leader="dot"/>
            </w:tabs>
            <w:rPr/>
          </w:pPr>
          <w:hyperlink w:anchor="__RefHeading___Toc2082274_581953129">
            <w:r>
              <w:rPr>
                <w:webHidden/>
                <w:rStyle w:val="IndexLink"/>
              </w:rPr>
              <w:t>1</w:t>
            </w:r>
            <w:r>
              <w:rPr>
                <w:rStyle w:val="IndexLink"/>
                <w:rtl w:val="true"/>
              </w:rPr>
              <w:t xml:space="preserve"> - </w:t>
            </w:r>
            <w:r>
              <w:rPr>
                <w:rStyle w:val="IndexLink"/>
                <w:rtl w:val="true"/>
              </w:rPr>
              <w:t>الإجماع العملی</w:t>
            </w:r>
            <w:r>
              <w:rPr>
                <w:rStyle w:val="IndexLink"/>
                <w:rtl w:val="true"/>
              </w:rPr>
              <w:t>:</w:t>
              <w:tab/>
            </w:r>
            <w:r>
              <w:rPr>
                <w:rStyle w:val="IndexLink"/>
              </w:rPr>
              <w:t>26</w:t>
            </w:r>
          </w:hyperlink>
        </w:p>
        <w:p>
          <w:pPr>
            <w:pStyle w:val="Contents4"/>
            <w:tabs>
              <w:tab w:val="clear" w:pos="8176"/>
              <w:tab w:val="right" w:pos="9026" w:leader="dot"/>
            </w:tabs>
            <w:rPr/>
          </w:pPr>
          <w:hyperlink w:anchor="__RefHeading___Toc2082276_581953129">
            <w:r>
              <w:rPr>
                <w:webHidden/>
                <w:rStyle w:val="IndexLink"/>
                <w:rtl w:val="true"/>
              </w:rPr>
              <w:t>اشارة</w:t>
            </w:r>
            <w:r>
              <w:rPr>
                <w:rStyle w:val="IndexLink"/>
                <w:rtl w:val="true"/>
              </w:rPr>
              <w:tab/>
            </w:r>
            <w:r>
              <w:rPr>
                <w:rStyle w:val="IndexLink"/>
              </w:rPr>
              <w:t>26</w:t>
            </w:r>
          </w:hyperlink>
        </w:p>
        <w:p>
          <w:pPr>
            <w:pStyle w:val="Contents4"/>
            <w:tabs>
              <w:tab w:val="clear" w:pos="8176"/>
              <w:tab w:val="right" w:pos="9026" w:leader="dot"/>
            </w:tabs>
            <w:rPr/>
          </w:pPr>
          <w:hyperlink w:anchor="__RefHeading___Toc2082278_581953129">
            <w:r>
              <w:rPr>
                <w:webHidden/>
                <w:rStyle w:val="IndexLink"/>
                <w:rtl w:val="true"/>
              </w:rPr>
              <w:t>المناقشة فی دلیلیت الإجماع العملی</w:t>
            </w:r>
            <w:r>
              <w:rPr>
                <w:rStyle w:val="IndexLink"/>
                <w:rtl w:val="true"/>
              </w:rPr>
              <w:t>:</w:t>
              <w:tab/>
            </w:r>
            <w:r>
              <w:rPr>
                <w:rStyle w:val="IndexLink"/>
              </w:rPr>
              <w:t>26</w:t>
            </w:r>
          </w:hyperlink>
        </w:p>
        <w:p>
          <w:pPr>
            <w:pStyle w:val="Contents3"/>
            <w:tabs>
              <w:tab w:val="clear" w:pos="8459"/>
              <w:tab w:val="right" w:pos="9026" w:leader="dot"/>
            </w:tabs>
            <w:rPr/>
          </w:pPr>
          <w:hyperlink w:anchor="__RefHeading___Toc2082280_581953129">
            <w:r>
              <w:rPr>
                <w:webHidden/>
                <w:rStyle w:val="IndexLink"/>
              </w:rPr>
              <w:t>2</w:t>
            </w:r>
            <w:r>
              <w:rPr>
                <w:rStyle w:val="IndexLink"/>
                <w:rtl w:val="true"/>
              </w:rPr>
              <w:t xml:space="preserve"> - </w:t>
            </w:r>
            <w:r>
              <w:rPr>
                <w:rStyle w:val="IndexLink"/>
                <w:rtl w:val="true"/>
              </w:rPr>
              <w:t>السیرة المتشرّعة</w:t>
            </w:r>
            <w:r>
              <w:rPr>
                <w:rStyle w:val="IndexLink"/>
                <w:rtl w:val="true"/>
              </w:rPr>
              <w:t>:</w:t>
              <w:tab/>
            </w:r>
            <w:r>
              <w:rPr>
                <w:rStyle w:val="IndexLink"/>
              </w:rPr>
              <w:t>27</w:t>
            </w:r>
          </w:hyperlink>
        </w:p>
        <w:p>
          <w:pPr>
            <w:pStyle w:val="Contents4"/>
            <w:tabs>
              <w:tab w:val="clear" w:pos="8176"/>
              <w:tab w:val="right" w:pos="9026" w:leader="dot"/>
            </w:tabs>
            <w:rPr/>
          </w:pPr>
          <w:hyperlink w:anchor="__RefHeading___Toc2082282_581953129">
            <w:r>
              <w:rPr>
                <w:webHidden/>
                <w:rStyle w:val="IndexLink"/>
                <w:rtl w:val="true"/>
              </w:rPr>
              <w:t>اشارة</w:t>
            </w:r>
            <w:r>
              <w:rPr>
                <w:rStyle w:val="IndexLink"/>
                <w:rtl w:val="true"/>
              </w:rPr>
              <w:tab/>
            </w:r>
            <w:r>
              <w:rPr>
                <w:rStyle w:val="IndexLink"/>
              </w:rPr>
              <w:t>27</w:t>
            </w:r>
          </w:hyperlink>
        </w:p>
        <w:p>
          <w:pPr>
            <w:pStyle w:val="Contents4"/>
            <w:tabs>
              <w:tab w:val="clear" w:pos="8176"/>
              <w:tab w:val="right" w:pos="9026" w:leader="dot"/>
            </w:tabs>
            <w:rPr/>
          </w:pPr>
          <w:hyperlink w:anchor="__RefHeading___Toc2082284_581953129">
            <w:r>
              <w:rPr>
                <w:webHidden/>
                <w:rStyle w:val="IndexLink"/>
                <w:rtl w:val="true"/>
              </w:rPr>
              <w:t>مناقشة هذا الدلیل</w:t>
            </w:r>
            <w:r>
              <w:rPr>
                <w:rStyle w:val="IndexLink"/>
                <w:rtl w:val="true"/>
              </w:rPr>
              <w:t>:</w:t>
              <w:tab/>
            </w:r>
            <w:r>
              <w:rPr>
                <w:rStyle w:val="IndexLink"/>
              </w:rPr>
              <w:t>27</w:t>
            </w:r>
          </w:hyperlink>
        </w:p>
        <w:p>
          <w:pPr>
            <w:pStyle w:val="Contents3"/>
            <w:tabs>
              <w:tab w:val="clear" w:pos="8459"/>
              <w:tab w:val="right" w:pos="9026" w:leader="dot"/>
            </w:tabs>
            <w:rPr/>
          </w:pPr>
          <w:hyperlink w:anchor="__RefHeading___Toc2082286_581953129">
            <w:r>
              <w:rPr>
                <w:webHidden/>
                <w:rStyle w:val="IndexLink"/>
              </w:rPr>
              <w:t>3</w:t>
            </w:r>
            <w:r>
              <w:rPr>
                <w:rStyle w:val="IndexLink"/>
                <w:rtl w:val="true"/>
              </w:rPr>
              <w:t xml:space="preserve"> - </w:t>
            </w:r>
            <w:r>
              <w:rPr>
                <w:rStyle w:val="IndexLink"/>
                <w:rtl w:val="true"/>
              </w:rPr>
              <w:t>سیرة العقلاء</w:t>
            </w:r>
            <w:r>
              <w:rPr>
                <w:rStyle w:val="IndexLink"/>
                <w:rtl w:val="true"/>
              </w:rPr>
              <w:t>:</w:t>
              <w:tab/>
            </w:r>
            <w:r>
              <w:rPr>
                <w:rStyle w:val="IndexLink"/>
              </w:rPr>
              <w:t>27</w:t>
            </w:r>
          </w:hyperlink>
        </w:p>
        <w:p>
          <w:pPr>
            <w:pStyle w:val="Contents4"/>
            <w:tabs>
              <w:tab w:val="clear" w:pos="8176"/>
              <w:tab w:val="right" w:pos="9026" w:leader="dot"/>
            </w:tabs>
            <w:rPr/>
          </w:pPr>
          <w:hyperlink w:anchor="__RefHeading___Toc2082288_581953129">
            <w:r>
              <w:rPr>
                <w:webHidden/>
                <w:rStyle w:val="IndexLink"/>
                <w:rtl w:val="true"/>
              </w:rPr>
              <w:t>اشارة</w:t>
            </w:r>
            <w:r>
              <w:rPr>
                <w:rStyle w:val="IndexLink"/>
                <w:rtl w:val="true"/>
              </w:rPr>
              <w:tab/>
            </w:r>
            <w:r>
              <w:rPr>
                <w:rStyle w:val="IndexLink"/>
              </w:rPr>
              <w:t>27</w:t>
            </w:r>
          </w:hyperlink>
        </w:p>
        <w:p>
          <w:pPr>
            <w:pStyle w:val="Contents4"/>
            <w:tabs>
              <w:tab w:val="clear" w:pos="8176"/>
              <w:tab w:val="right" w:pos="9026" w:leader="dot"/>
            </w:tabs>
            <w:rPr/>
          </w:pPr>
          <w:hyperlink w:anchor="__RefHeading___Toc2082290_581953129">
            <w:r>
              <w:rPr>
                <w:webHidden/>
                <w:rStyle w:val="IndexLink"/>
                <w:rtl w:val="true"/>
              </w:rPr>
              <w:t>مناقشة الاستدلال بالسیرة العقلائیة</w:t>
            </w:r>
            <w:r>
              <w:rPr>
                <w:rStyle w:val="IndexLink"/>
                <w:rtl w:val="true"/>
              </w:rPr>
              <w:t>:</w:t>
              <w:tab/>
            </w:r>
            <w:r>
              <w:rPr>
                <w:rStyle w:val="IndexLink"/>
              </w:rPr>
              <w:t>28</w:t>
            </w:r>
          </w:hyperlink>
        </w:p>
        <w:p>
          <w:pPr>
            <w:pStyle w:val="Contents3"/>
            <w:tabs>
              <w:tab w:val="clear" w:pos="8459"/>
              <w:tab w:val="right" w:pos="9026" w:leader="dot"/>
            </w:tabs>
            <w:rPr/>
          </w:pPr>
          <w:hyperlink w:anchor="__RefHeading___Toc2082292_581953129">
            <w:r>
              <w:rPr>
                <w:webHidden/>
                <w:rStyle w:val="IndexLink"/>
              </w:rPr>
              <w:t>4</w:t>
            </w:r>
            <w:r>
              <w:rPr>
                <w:rStyle w:val="IndexLink"/>
                <w:rtl w:val="true"/>
              </w:rPr>
              <w:t xml:space="preserve"> - </w:t>
            </w:r>
            <w:r>
              <w:rPr>
                <w:rStyle w:val="IndexLink"/>
                <w:rtl w:val="true"/>
              </w:rPr>
              <w:t>إثبات حجیة القاعدة بأصالة الصحة</w:t>
            </w:r>
            <w:r>
              <w:rPr>
                <w:rStyle w:val="IndexLink"/>
                <w:rtl w:val="true"/>
              </w:rPr>
              <w:t>:</w:t>
              <w:tab/>
            </w:r>
            <w:r>
              <w:rPr>
                <w:rStyle w:val="IndexLink"/>
              </w:rPr>
              <w:t>30</w:t>
            </w:r>
          </w:hyperlink>
        </w:p>
        <w:p>
          <w:pPr>
            <w:pStyle w:val="Contents4"/>
            <w:tabs>
              <w:tab w:val="clear" w:pos="8176"/>
              <w:tab w:val="right" w:pos="9026" w:leader="dot"/>
            </w:tabs>
            <w:rPr/>
          </w:pPr>
          <w:hyperlink w:anchor="__RefHeading___Toc2082294_581953129">
            <w:r>
              <w:rPr>
                <w:webHidden/>
                <w:rStyle w:val="IndexLink"/>
                <w:rtl w:val="true"/>
              </w:rPr>
              <w:t>اشارة</w:t>
            </w:r>
            <w:r>
              <w:rPr>
                <w:rStyle w:val="IndexLink"/>
                <w:rtl w:val="true"/>
              </w:rPr>
              <w:tab/>
            </w:r>
            <w:r>
              <w:rPr>
                <w:rStyle w:val="IndexLink"/>
              </w:rPr>
              <w:t>30</w:t>
            </w:r>
          </w:hyperlink>
        </w:p>
        <w:p>
          <w:pPr>
            <w:pStyle w:val="Contents4"/>
            <w:tabs>
              <w:tab w:val="clear" w:pos="8176"/>
              <w:tab w:val="right" w:pos="9026" w:leader="dot"/>
            </w:tabs>
            <w:rPr/>
          </w:pPr>
          <w:hyperlink w:anchor="__RefHeading___Toc2082296_581953129">
            <w:r>
              <w:rPr>
                <w:webHidden/>
                <w:rStyle w:val="IndexLink"/>
                <w:rtl w:val="true"/>
              </w:rPr>
              <w:t>تحقیق الکلام فی الفرق بین قاعدة الفراغ وأصالة الصحة</w:t>
            </w:r>
            <w:r>
              <w:rPr>
                <w:rStyle w:val="IndexLink"/>
                <w:rtl w:val="true"/>
              </w:rPr>
              <w:t>:</w:t>
              <w:tab/>
            </w:r>
            <w:r>
              <w:rPr>
                <w:rStyle w:val="IndexLink"/>
              </w:rPr>
              <w:t>34</w:t>
            </w:r>
          </w:hyperlink>
        </w:p>
        <w:p>
          <w:pPr>
            <w:pStyle w:val="Contents3"/>
            <w:tabs>
              <w:tab w:val="clear" w:pos="8459"/>
              <w:tab w:val="right" w:pos="9026" w:leader="dot"/>
            </w:tabs>
            <w:rPr/>
          </w:pPr>
          <w:hyperlink w:anchor="__RefHeading___Toc2082298_581953129">
            <w:r>
              <w:rPr>
                <w:webHidden/>
                <w:rStyle w:val="IndexLink"/>
              </w:rPr>
              <w:t>5</w:t>
            </w:r>
            <w:r>
              <w:rPr>
                <w:rStyle w:val="IndexLink"/>
                <w:rtl w:val="true"/>
              </w:rPr>
              <w:t xml:space="preserve"> - </w:t>
            </w:r>
            <w:r>
              <w:rPr>
                <w:rStyle w:val="IndexLink"/>
                <w:rtl w:val="true"/>
              </w:rPr>
              <w:t>أدلة المحقق الهمدانی</w:t>
            </w:r>
            <w:r>
              <w:rPr>
                <w:rStyle w:val="IndexLink"/>
                <w:rtl w:val="true"/>
              </w:rPr>
              <w:t>:</w:t>
              <w:tab/>
            </w:r>
            <w:r>
              <w:rPr>
                <w:rStyle w:val="IndexLink"/>
              </w:rPr>
              <w:t>34</w:t>
            </w:r>
          </w:hyperlink>
        </w:p>
        <w:p>
          <w:pPr>
            <w:pStyle w:val="Contents4"/>
            <w:tabs>
              <w:tab w:val="clear" w:pos="8176"/>
              <w:tab w:val="right" w:pos="9026" w:leader="dot"/>
            </w:tabs>
            <w:rPr/>
          </w:pPr>
          <w:hyperlink w:anchor="__RefHeading___Toc2082300_581953129">
            <w:r>
              <w:rPr>
                <w:webHidden/>
                <w:rStyle w:val="IndexLink"/>
                <w:rtl w:val="true"/>
              </w:rPr>
              <w:t>اشارة</w:t>
            </w:r>
            <w:r>
              <w:rPr>
                <w:rStyle w:val="IndexLink"/>
                <w:rtl w:val="true"/>
              </w:rPr>
              <w:tab/>
            </w:r>
            <w:r>
              <w:rPr>
                <w:rStyle w:val="IndexLink"/>
              </w:rPr>
              <w:t>34</w:t>
            </w:r>
          </w:hyperlink>
        </w:p>
        <w:p>
          <w:pPr>
            <w:pStyle w:val="Contents4"/>
            <w:tabs>
              <w:tab w:val="clear" w:pos="8176"/>
              <w:tab w:val="right" w:pos="9026" w:leader="dot"/>
            </w:tabs>
            <w:rPr/>
          </w:pPr>
          <w:hyperlink w:anchor="__RefHeading___Toc2082302_581953129">
            <w:r>
              <w:rPr>
                <w:webHidden/>
                <w:rStyle w:val="IndexLink"/>
                <w:rtl w:val="true"/>
              </w:rPr>
              <w:t>الدلیل الأوّل قاعدة لا حرج</w:t>
            </w:r>
            <w:r>
              <w:rPr>
                <w:rStyle w:val="IndexLink"/>
                <w:rtl w:val="true"/>
              </w:rPr>
              <w:t>:</w:t>
              <w:tab/>
            </w:r>
            <w:r>
              <w:rPr>
                <w:rStyle w:val="IndexLink"/>
              </w:rPr>
              <w:t>35</w:t>
            </w:r>
          </w:hyperlink>
        </w:p>
        <w:p>
          <w:pPr>
            <w:pStyle w:val="Contents4"/>
            <w:tabs>
              <w:tab w:val="clear" w:pos="8176"/>
              <w:tab w:val="right" w:pos="9026" w:leader="dot"/>
            </w:tabs>
            <w:rPr/>
          </w:pPr>
          <w:hyperlink w:anchor="__RefHeading___Toc2082304_581953129">
            <w:r>
              <w:rPr>
                <w:webHidden/>
                <w:rStyle w:val="IndexLink"/>
                <w:rtl w:val="true"/>
              </w:rPr>
              <w:t>الدلیل الثانی</w:t>
            </w:r>
            <w:r>
              <w:rPr>
                <w:rStyle w:val="IndexLink"/>
                <w:rtl w:val="true"/>
              </w:rPr>
              <w:t>:</w:t>
              <w:tab/>
            </w:r>
            <w:r>
              <w:rPr>
                <w:rStyle w:val="IndexLink"/>
              </w:rPr>
              <w:t>36</w:t>
            </w:r>
          </w:hyperlink>
        </w:p>
        <w:p>
          <w:pPr>
            <w:pStyle w:val="Contents4"/>
            <w:tabs>
              <w:tab w:val="clear" w:pos="8176"/>
              <w:tab w:val="right" w:pos="9026" w:leader="dot"/>
            </w:tabs>
            <w:rPr/>
          </w:pPr>
          <w:hyperlink w:anchor="__RefHeading___Toc2082306_581953129">
            <w:r>
              <w:rPr>
                <w:webHidden/>
                <w:rStyle w:val="IndexLink"/>
                <w:rtl w:val="true"/>
              </w:rPr>
              <w:t>الدلیل الثالث اختلال النظام</w:t>
            </w:r>
            <w:r>
              <w:rPr>
                <w:rStyle w:val="IndexLink"/>
                <w:rtl w:val="true"/>
              </w:rPr>
              <w:t>:</w:t>
              <w:tab/>
            </w:r>
            <w:r>
              <w:rPr>
                <w:rStyle w:val="IndexLink"/>
              </w:rPr>
              <w:t>36</w:t>
            </w:r>
          </w:hyperlink>
        </w:p>
        <w:p>
          <w:pPr>
            <w:pStyle w:val="Contents4"/>
            <w:tabs>
              <w:tab w:val="clear" w:pos="8176"/>
              <w:tab w:val="right" w:pos="9026" w:leader="dot"/>
            </w:tabs>
            <w:rPr/>
          </w:pPr>
          <w:hyperlink w:anchor="__RefHeading___Toc2082308_581953129">
            <w:r>
              <w:rPr>
                <w:webHidden/>
                <w:rStyle w:val="IndexLink"/>
                <w:rtl w:val="true"/>
              </w:rPr>
              <w:t>الرد علی أدلّة المرحوم الهمدانی</w:t>
            </w:r>
            <w:r>
              <w:rPr>
                <w:rStyle w:val="IndexLink"/>
                <w:rtl w:val="true"/>
              </w:rPr>
              <w:t>:</w:t>
              <w:tab/>
            </w:r>
            <w:r>
              <w:rPr>
                <w:rStyle w:val="IndexLink"/>
              </w:rPr>
              <w:t>36</w:t>
            </w:r>
          </w:hyperlink>
        </w:p>
        <w:p>
          <w:pPr>
            <w:pStyle w:val="Contents5"/>
            <w:tabs>
              <w:tab w:val="clear" w:pos="7892"/>
              <w:tab w:val="right" w:pos="9026" w:leader="dot"/>
            </w:tabs>
            <w:rPr/>
          </w:pPr>
          <w:hyperlink w:anchor="__RefHeading___Toc2082310_581953129">
            <w:r>
              <w:rPr>
                <w:webHidden/>
                <w:rStyle w:val="IndexLink"/>
                <w:rtl w:val="true"/>
              </w:rPr>
              <w:t>اشارة</w:t>
            </w:r>
            <w:r>
              <w:rPr>
                <w:rStyle w:val="IndexLink"/>
                <w:rtl w:val="true"/>
              </w:rPr>
              <w:tab/>
            </w:r>
            <w:r>
              <w:rPr>
                <w:rStyle w:val="IndexLink"/>
              </w:rPr>
              <w:t>36</w:t>
            </w:r>
          </w:hyperlink>
        </w:p>
        <w:p>
          <w:pPr>
            <w:pStyle w:val="Contents5"/>
            <w:tabs>
              <w:tab w:val="clear" w:pos="7892"/>
              <w:tab w:val="right" w:pos="9026" w:leader="dot"/>
            </w:tabs>
            <w:rPr/>
          </w:pPr>
          <w:hyperlink w:anchor="__RefHeading___Toc2082312_581953129">
            <w:r>
              <w:rPr>
                <w:webHidden/>
                <w:rStyle w:val="IndexLink"/>
                <w:rtl w:val="true"/>
              </w:rPr>
              <w:t xml:space="preserve">أ </w:t>
            </w:r>
            <w:r>
              <w:rPr>
                <w:rStyle w:val="IndexLink"/>
                <w:rtl w:val="true"/>
              </w:rPr>
              <w:t xml:space="preserve">- </w:t>
            </w:r>
            <w:r>
              <w:rPr>
                <w:rStyle w:val="IndexLink"/>
                <w:rtl w:val="true"/>
              </w:rPr>
              <w:t>الرد الکلّی المتعلّق بجمیع الأدلّة الثلاثة</w:t>
            </w:r>
            <w:r>
              <w:rPr>
                <w:rStyle w:val="IndexLink"/>
                <w:rtl w:val="true"/>
              </w:rPr>
              <w:t>:</w:t>
              <w:tab/>
            </w:r>
            <w:r>
              <w:rPr>
                <w:rStyle w:val="IndexLink"/>
              </w:rPr>
              <w:t>36</w:t>
            </w:r>
          </w:hyperlink>
        </w:p>
        <w:p>
          <w:pPr>
            <w:pStyle w:val="Contents5"/>
            <w:tabs>
              <w:tab w:val="clear" w:pos="7892"/>
              <w:tab w:val="right" w:pos="9026" w:leader="dot"/>
            </w:tabs>
            <w:rPr/>
          </w:pPr>
          <w:hyperlink w:anchor="__RefHeading___Toc2082314_581953129">
            <w:r>
              <w:rPr>
                <w:webHidden/>
                <w:rStyle w:val="IndexLink"/>
                <w:rtl w:val="true"/>
              </w:rPr>
              <w:t xml:space="preserve">ب </w:t>
            </w:r>
            <w:r>
              <w:rPr>
                <w:rStyle w:val="IndexLink"/>
                <w:rtl w:val="true"/>
              </w:rPr>
              <w:t xml:space="preserve">- </w:t>
            </w:r>
            <w:r>
              <w:rPr>
                <w:rStyle w:val="IndexLink"/>
                <w:rtl w:val="true"/>
              </w:rPr>
              <w:t xml:space="preserve">الرد الخاص بدلیلیة </w:t>
            </w:r>
            <w:r>
              <w:rPr>
                <w:rStyle w:val="IndexLink"/>
                <w:rtl w:val="true"/>
              </w:rPr>
              <w:t>(</w:t>
            </w:r>
            <w:r>
              <w:rPr>
                <w:rStyle w:val="IndexLink"/>
                <w:rtl w:val="true"/>
              </w:rPr>
              <w:t>لاحرج</w:t>
            </w:r>
            <w:r>
              <w:rPr>
                <w:rStyle w:val="IndexLink"/>
                <w:rtl w:val="true"/>
              </w:rPr>
              <w:t>):</w:t>
              <w:tab/>
            </w:r>
            <w:r>
              <w:rPr>
                <w:rStyle w:val="IndexLink"/>
              </w:rPr>
              <w:t>37</w:t>
            </w:r>
          </w:hyperlink>
        </w:p>
        <w:p>
          <w:pPr>
            <w:pStyle w:val="Contents5"/>
            <w:tabs>
              <w:tab w:val="clear" w:pos="7892"/>
              <w:tab w:val="right" w:pos="9026" w:leader="dot"/>
            </w:tabs>
            <w:rPr/>
          </w:pPr>
          <w:hyperlink w:anchor="__RefHeading___Toc2082316_581953129">
            <w:r>
              <w:rPr>
                <w:webHidden/>
                <w:rStyle w:val="IndexLink"/>
                <w:rtl w:val="true"/>
              </w:rPr>
              <w:t xml:space="preserve">ج </w:t>
            </w:r>
            <w:r>
              <w:rPr>
                <w:rStyle w:val="IndexLink"/>
                <w:rtl w:val="true"/>
              </w:rPr>
              <w:t xml:space="preserve">- </w:t>
            </w:r>
            <w:r>
              <w:rPr>
                <w:rStyle w:val="IndexLink"/>
                <w:rtl w:val="true"/>
              </w:rPr>
              <w:t>الرد الخاص بالتعلیل بقاعدة الید واختلال النظام</w:t>
            </w:r>
            <w:r>
              <w:rPr>
                <w:rStyle w:val="IndexLink"/>
                <w:rtl w:val="true"/>
              </w:rPr>
              <w:t>:</w:t>
              <w:tab/>
            </w:r>
            <w:r>
              <w:rPr>
                <w:rStyle w:val="IndexLink"/>
              </w:rPr>
              <w:t>38</w:t>
            </w:r>
          </w:hyperlink>
        </w:p>
        <w:p>
          <w:pPr>
            <w:pStyle w:val="Contents3"/>
            <w:tabs>
              <w:tab w:val="clear" w:pos="8459"/>
              <w:tab w:val="right" w:pos="9026" w:leader="dot"/>
            </w:tabs>
            <w:rPr/>
          </w:pPr>
          <w:hyperlink w:anchor="__RefHeading___Toc2082318_581953129">
            <w:r>
              <w:rPr>
                <w:webHidden/>
                <w:rStyle w:val="IndexLink"/>
              </w:rPr>
              <w:t>6</w:t>
            </w:r>
            <w:r>
              <w:rPr>
                <w:rStyle w:val="IndexLink"/>
                <w:rtl w:val="true"/>
              </w:rPr>
              <w:t xml:space="preserve"> - </w:t>
            </w:r>
            <w:r>
              <w:rPr>
                <w:rStyle w:val="IndexLink"/>
                <w:rtl w:val="true"/>
              </w:rPr>
              <w:t>الأخبار والروایات</w:t>
            </w:r>
            <w:r>
              <w:rPr>
                <w:rStyle w:val="IndexLink"/>
                <w:rtl w:val="true"/>
              </w:rPr>
              <w:t>:</w:t>
              <w:tab/>
            </w:r>
            <w:r>
              <w:rPr>
                <w:rStyle w:val="IndexLink"/>
              </w:rPr>
              <w:t>38</w:t>
            </w:r>
          </w:hyperlink>
        </w:p>
        <w:p>
          <w:pPr>
            <w:pStyle w:val="Contents2"/>
            <w:tabs>
              <w:tab w:val="clear" w:pos="8743"/>
              <w:tab w:val="right" w:pos="9026" w:leader="dot"/>
            </w:tabs>
            <w:rPr/>
          </w:pPr>
          <w:hyperlink w:anchor="__RefHeading___Toc2082320_581953129">
            <w:r>
              <w:rPr>
                <w:webHidden/>
                <w:rStyle w:val="IndexLink"/>
                <w:rtl w:val="true"/>
              </w:rPr>
              <w:t xml:space="preserve">حول دلالة هذه الروایة علی قاعدة الفراغ یقول صاحب الوسائل </w:t>
            </w:r>
            <w:r>
              <w:rPr>
                <w:rStyle w:val="IndexLink"/>
                <w:rtl w:val="true"/>
              </w:rPr>
              <w:t>(</w:t>
            </w:r>
            <w:r>
              <w:rPr>
                <w:rStyle w:val="IndexLink"/>
                <w:rtl w:val="true"/>
              </w:rPr>
              <w:t>رحمه الله</w:t>
            </w:r>
            <w:r>
              <w:rPr>
                <w:rStyle w:val="IndexLink"/>
                <w:rtl w:val="true"/>
              </w:rPr>
              <w:t>):</w:t>
              <w:tab/>
            </w:r>
            <w:r>
              <w:rPr>
                <w:rStyle w:val="IndexLink"/>
              </w:rPr>
              <w:t>59</w:t>
            </w:r>
          </w:hyperlink>
        </w:p>
        <w:p>
          <w:pPr>
            <w:pStyle w:val="Contents2"/>
            <w:tabs>
              <w:tab w:val="clear" w:pos="8743"/>
              <w:tab w:val="right" w:pos="9026" w:leader="dot"/>
            </w:tabs>
            <w:rPr/>
          </w:pPr>
          <w:hyperlink w:anchor="__RefHeading___Toc2082322_581953129">
            <w:r>
              <w:rPr>
                <w:webHidden/>
                <w:rStyle w:val="IndexLink"/>
                <w:rtl w:val="true"/>
              </w:rPr>
              <w:t>کما لا شکّ فی دلالة هذه الروایات علی الأمور التالیة</w:t>
            </w:r>
            <w:r>
              <w:rPr>
                <w:rStyle w:val="IndexLink"/>
                <w:rtl w:val="true"/>
              </w:rPr>
              <w:t>:</w:t>
              <w:tab/>
            </w:r>
            <w:r>
              <w:rPr>
                <w:rStyle w:val="IndexLink"/>
              </w:rPr>
              <w:t>69</w:t>
            </w:r>
          </w:hyperlink>
        </w:p>
        <w:p>
          <w:pPr>
            <w:pStyle w:val="Contents2"/>
            <w:tabs>
              <w:tab w:val="clear" w:pos="8743"/>
              <w:tab w:val="right" w:pos="9026" w:leader="dot"/>
            </w:tabs>
            <w:rPr/>
          </w:pPr>
          <w:hyperlink w:anchor="__RefHeading___Toc2082324_581953129">
            <w:r>
              <w:rPr>
                <w:webHidden/>
                <w:rStyle w:val="IndexLink"/>
                <w:rtl w:val="true"/>
              </w:rPr>
              <w:t>ما المراد من الشکّ فی الشیء؟</w:t>
            </w:r>
            <w:r>
              <w:rPr>
                <w:rStyle w:val="IndexLink"/>
                <w:rtl w:val="true"/>
              </w:rPr>
              <w:tab/>
            </w:r>
            <w:r>
              <w:rPr>
                <w:rStyle w:val="IndexLink"/>
              </w:rPr>
              <w:t>69</w:t>
            </w:r>
          </w:hyperlink>
        </w:p>
        <w:p>
          <w:pPr>
            <w:pStyle w:val="Contents2"/>
            <w:tabs>
              <w:tab w:val="clear" w:pos="8743"/>
              <w:tab w:val="right" w:pos="9026" w:leader="dot"/>
            </w:tabs>
            <w:rPr/>
          </w:pPr>
          <w:hyperlink w:anchor="__RefHeading___Toc2082326_581953129">
            <w:r>
              <w:rPr>
                <w:webHidden/>
                <w:rStyle w:val="IndexLink"/>
                <w:rtl w:val="true"/>
              </w:rPr>
              <w:t>مقام الثبوت</w:t>
            </w:r>
            <w:r>
              <w:rPr>
                <w:rStyle w:val="IndexLink"/>
                <w:rtl w:val="true"/>
              </w:rPr>
              <w:t>:</w:t>
              <w:tab/>
            </w:r>
            <w:r>
              <w:rPr>
                <w:rStyle w:val="IndexLink"/>
              </w:rPr>
              <w:t>73</w:t>
            </w:r>
          </w:hyperlink>
        </w:p>
        <w:p>
          <w:pPr>
            <w:pStyle w:val="Contents3"/>
            <w:tabs>
              <w:tab w:val="clear" w:pos="8459"/>
              <w:tab w:val="right" w:pos="9026" w:leader="dot"/>
            </w:tabs>
            <w:rPr/>
          </w:pPr>
          <w:hyperlink w:anchor="__RefHeading___Toc2082328_581953129">
            <w:r>
              <w:rPr>
                <w:webHidden/>
                <w:rStyle w:val="IndexLink"/>
                <w:rtl w:val="true"/>
              </w:rPr>
              <w:t>أدلّة القائلین بتغایر القاعدتین</w:t>
            </w:r>
            <w:r>
              <w:rPr>
                <w:rStyle w:val="IndexLink"/>
                <w:rtl w:val="true"/>
              </w:rPr>
              <w:t>:</w:t>
              <w:tab/>
            </w:r>
            <w:r>
              <w:rPr>
                <w:rStyle w:val="IndexLink"/>
              </w:rPr>
              <w:t>73</w:t>
            </w:r>
          </w:hyperlink>
        </w:p>
        <w:p>
          <w:pPr>
            <w:pStyle w:val="Contents4"/>
            <w:tabs>
              <w:tab w:val="clear" w:pos="8176"/>
              <w:tab w:val="right" w:pos="9026" w:leader="dot"/>
            </w:tabs>
            <w:rPr/>
          </w:pPr>
          <w:hyperlink w:anchor="__RefHeading___Toc2082330_581953129">
            <w:r>
              <w:rPr>
                <w:webHidden/>
                <w:rStyle w:val="IndexLink"/>
                <w:rtl w:val="true"/>
              </w:rPr>
              <w:t>اشارة</w:t>
            </w:r>
            <w:r>
              <w:rPr>
                <w:rStyle w:val="IndexLink"/>
                <w:rtl w:val="true"/>
              </w:rPr>
              <w:tab/>
            </w:r>
            <w:r>
              <w:rPr>
                <w:rStyle w:val="IndexLink"/>
              </w:rPr>
              <w:t>73</w:t>
            </w:r>
          </w:hyperlink>
        </w:p>
        <w:p>
          <w:pPr>
            <w:pStyle w:val="Contents4"/>
            <w:tabs>
              <w:tab w:val="clear" w:pos="8176"/>
              <w:tab w:val="right" w:pos="9026" w:leader="dot"/>
            </w:tabs>
            <w:rPr/>
          </w:pPr>
          <w:hyperlink w:anchor="__RefHeading___Toc2082332_581953129">
            <w:r>
              <w:rPr>
                <w:webHidden/>
                <w:rStyle w:val="IndexLink"/>
                <w:rtl w:val="true"/>
              </w:rPr>
              <w:t>الدلیل الأوّل</w:t>
            </w:r>
            <w:r>
              <w:rPr>
                <w:rStyle w:val="IndexLink"/>
                <w:rtl w:val="true"/>
              </w:rPr>
              <w:t xml:space="preserve">: </w:t>
            </w:r>
            <w:r>
              <w:rPr>
                <w:rStyle w:val="IndexLink"/>
                <w:rtl w:val="true"/>
              </w:rPr>
              <w:t>عدم وجود القدر الجامع بین القاعدتین</w:t>
            </w:r>
            <w:r>
              <w:rPr>
                <w:rStyle w:val="IndexLink"/>
                <w:rtl w:val="true"/>
              </w:rPr>
              <w:t>:</w:t>
              <w:tab/>
            </w:r>
            <w:r>
              <w:rPr>
                <w:rStyle w:val="IndexLink"/>
              </w:rPr>
              <w:t>74</w:t>
            </w:r>
          </w:hyperlink>
        </w:p>
        <w:p>
          <w:pPr>
            <w:pStyle w:val="Contents5"/>
            <w:tabs>
              <w:tab w:val="clear" w:pos="7892"/>
              <w:tab w:val="right" w:pos="9026" w:leader="dot"/>
            </w:tabs>
            <w:rPr/>
          </w:pPr>
          <w:hyperlink w:anchor="__RefHeading___Toc2082334_581953129">
            <w:r>
              <w:rPr>
                <w:webHidden/>
                <w:rStyle w:val="IndexLink"/>
                <w:rtl w:val="true"/>
              </w:rPr>
              <w:t>اشارة</w:t>
            </w:r>
            <w:r>
              <w:rPr>
                <w:rStyle w:val="IndexLink"/>
                <w:rtl w:val="true"/>
              </w:rPr>
              <w:tab/>
            </w:r>
            <w:r>
              <w:rPr>
                <w:rStyle w:val="IndexLink"/>
              </w:rPr>
              <w:t>74</w:t>
            </w:r>
          </w:hyperlink>
        </w:p>
        <w:p>
          <w:pPr>
            <w:pStyle w:val="Contents5"/>
            <w:tabs>
              <w:tab w:val="clear" w:pos="7892"/>
              <w:tab w:val="right" w:pos="9026" w:leader="dot"/>
            </w:tabs>
            <w:rPr/>
          </w:pPr>
          <w:hyperlink w:anchor="__RefHeading___Toc2082336_581953129">
            <w:r>
              <w:rPr>
                <w:webHidden/>
                <w:rStyle w:val="IndexLink"/>
                <w:rtl w:val="true"/>
              </w:rPr>
              <w:t>البیان الأوّل للمحقق النائینی</w:t>
            </w:r>
            <w:r>
              <w:rPr>
                <w:rStyle w:val="IndexLink"/>
                <w:rtl w:val="true"/>
              </w:rPr>
              <w:t>:</w:t>
              <w:tab/>
            </w:r>
            <w:r>
              <w:rPr>
                <w:rStyle w:val="IndexLink"/>
              </w:rPr>
              <w:t>74</w:t>
            </w:r>
          </w:hyperlink>
        </w:p>
        <w:p>
          <w:pPr>
            <w:pStyle w:val="Contents6"/>
            <w:tabs>
              <w:tab w:val="clear" w:pos="7609"/>
              <w:tab w:val="right" w:pos="9026" w:leader="dot"/>
            </w:tabs>
            <w:rPr/>
          </w:pPr>
          <w:hyperlink w:anchor="__RefHeading___Toc2082338_581953129">
            <w:r>
              <w:rPr>
                <w:webHidden/>
                <w:rStyle w:val="IndexLink"/>
                <w:rtl w:val="true"/>
              </w:rPr>
              <w:t>اشارة</w:t>
            </w:r>
            <w:r>
              <w:rPr>
                <w:rStyle w:val="IndexLink"/>
                <w:rtl w:val="true"/>
              </w:rPr>
              <w:tab/>
            </w:r>
            <w:r>
              <w:rPr>
                <w:rStyle w:val="IndexLink"/>
              </w:rPr>
              <w:t>74</w:t>
            </w:r>
          </w:hyperlink>
        </w:p>
        <w:p>
          <w:pPr>
            <w:pStyle w:val="Contents6"/>
            <w:tabs>
              <w:tab w:val="clear" w:pos="7609"/>
              <w:tab w:val="right" w:pos="9026" w:leader="dot"/>
            </w:tabs>
            <w:rPr/>
          </w:pPr>
          <w:hyperlink w:anchor="__RefHeading___Toc2082340_581953129">
            <w:r>
              <w:rPr>
                <w:webHidden/>
                <w:rStyle w:val="IndexLink"/>
                <w:rtl w:val="true"/>
              </w:rPr>
              <w:t>کلام الشیخ الأنصاری</w:t>
            </w:r>
            <w:r>
              <w:rPr>
                <w:rStyle w:val="IndexLink"/>
                <w:rtl w:val="true"/>
              </w:rPr>
              <w:t>:</w:t>
              <w:tab/>
            </w:r>
            <w:r>
              <w:rPr>
                <w:rStyle w:val="IndexLink"/>
              </w:rPr>
              <w:t>74</w:t>
            </w:r>
          </w:hyperlink>
        </w:p>
        <w:p>
          <w:pPr>
            <w:pStyle w:val="Contents6"/>
            <w:tabs>
              <w:tab w:val="clear" w:pos="7609"/>
              <w:tab w:val="right" w:pos="9026" w:leader="dot"/>
            </w:tabs>
            <w:rPr/>
          </w:pPr>
          <w:hyperlink w:anchor="__RefHeading___Toc2082342_581953129">
            <w:r>
              <w:rPr>
                <w:webHidden/>
                <w:rStyle w:val="IndexLink"/>
                <w:rtl w:val="true"/>
              </w:rPr>
              <w:t xml:space="preserve">الإشکالات الواردة علی کلام الشیخ الأنصاری </w:t>
            </w:r>
            <w:r>
              <w:rPr>
                <w:rStyle w:val="IndexLink"/>
                <w:rtl w:val="true"/>
              </w:rPr>
              <w:t>(</w:t>
            </w:r>
            <w:r>
              <w:rPr>
                <w:rStyle w:val="IndexLink"/>
                <w:rtl w:val="true"/>
              </w:rPr>
              <w:t>رحمه الله</w:t>
            </w:r>
            <w:r>
              <w:rPr>
                <w:rStyle w:val="IndexLink"/>
                <w:rtl w:val="true"/>
              </w:rPr>
              <w:t>):</w:t>
              <w:tab/>
            </w:r>
            <w:r>
              <w:rPr>
                <w:rStyle w:val="IndexLink"/>
              </w:rPr>
              <w:t>75</w:t>
            </w:r>
          </w:hyperlink>
        </w:p>
        <w:p>
          <w:pPr>
            <w:pStyle w:val="Contents6"/>
            <w:tabs>
              <w:tab w:val="clear" w:pos="7609"/>
              <w:tab w:val="right" w:pos="9026" w:leader="dot"/>
            </w:tabs>
            <w:rPr/>
          </w:pPr>
          <w:hyperlink w:anchor="__RefHeading___Toc2082344_581953129">
            <w:r>
              <w:rPr>
                <w:webHidden/>
                <w:rStyle w:val="IndexLink"/>
                <w:rtl w:val="true"/>
              </w:rPr>
              <w:t>اشارة</w:t>
            </w:r>
            <w:r>
              <w:rPr>
                <w:rStyle w:val="IndexLink"/>
                <w:rtl w:val="true"/>
              </w:rPr>
              <w:tab/>
            </w:r>
            <w:r>
              <w:rPr>
                <w:rStyle w:val="IndexLink"/>
              </w:rPr>
              <w:t>75</w:t>
            </w:r>
          </w:hyperlink>
        </w:p>
        <w:p>
          <w:pPr>
            <w:pStyle w:val="Contents6"/>
            <w:tabs>
              <w:tab w:val="clear" w:pos="7609"/>
              <w:tab w:val="right" w:pos="9026" w:leader="dot"/>
            </w:tabs>
            <w:rPr/>
          </w:pPr>
          <w:hyperlink w:anchor="__RefHeading___Toc2082346_581953129">
            <w:r>
              <w:rPr>
                <w:webHidden/>
                <w:rStyle w:val="IndexLink"/>
              </w:rPr>
              <w:t>1</w:t>
            </w:r>
            <w:r>
              <w:rPr>
                <w:rStyle w:val="IndexLink"/>
                <w:rtl w:val="true"/>
              </w:rPr>
              <w:t xml:space="preserve"> - </w:t>
            </w:r>
            <w:r>
              <w:rPr>
                <w:rStyle w:val="IndexLink"/>
                <w:rtl w:val="true"/>
              </w:rPr>
              <w:t xml:space="preserve">إشکالات المیرزا النائینی </w:t>
            </w:r>
            <w:r>
              <w:rPr>
                <w:rStyle w:val="IndexLink"/>
                <w:rtl w:val="true"/>
              </w:rPr>
              <w:t>(</w:t>
            </w:r>
            <w:r>
              <w:rPr>
                <w:rStyle w:val="IndexLink"/>
                <w:rtl w:val="true"/>
              </w:rPr>
              <w:t>رحمه الله</w:t>
            </w:r>
            <w:r>
              <w:rPr>
                <w:rStyle w:val="IndexLink"/>
                <w:rtl w:val="true"/>
              </w:rPr>
              <w:t>):</w:t>
              <w:tab/>
            </w:r>
            <w:r>
              <w:rPr>
                <w:rStyle w:val="IndexLink"/>
              </w:rPr>
              <w:t>75</w:t>
            </w:r>
          </w:hyperlink>
        </w:p>
        <w:p>
          <w:pPr>
            <w:pStyle w:val="Contents6"/>
            <w:tabs>
              <w:tab w:val="clear" w:pos="7609"/>
              <w:tab w:val="right" w:pos="9026" w:leader="dot"/>
            </w:tabs>
            <w:rPr/>
          </w:pPr>
          <w:hyperlink w:anchor="__RefHeading___Toc2082348_581953129">
            <w:r>
              <w:rPr>
                <w:webHidden/>
                <w:rStyle w:val="IndexLink"/>
                <w:rtl w:val="true"/>
              </w:rPr>
              <w:t xml:space="preserve">إشکال المحقق الخوئی </w:t>
            </w:r>
            <w:r>
              <w:rPr>
                <w:rStyle w:val="IndexLink"/>
                <w:rtl w:val="true"/>
              </w:rPr>
              <w:t>(</w:t>
            </w:r>
            <w:r>
              <w:rPr>
                <w:rStyle w:val="IndexLink"/>
                <w:rtl w:val="true"/>
              </w:rPr>
              <w:t>رحمه الله</w:t>
            </w:r>
            <w:r>
              <w:rPr>
                <w:rStyle w:val="IndexLink"/>
                <w:rtl w:val="true"/>
              </w:rPr>
              <w:t xml:space="preserve">) </w:t>
            </w:r>
            <w:r>
              <w:rPr>
                <w:rStyle w:val="IndexLink"/>
                <w:rtl w:val="true"/>
              </w:rPr>
              <w:t xml:space="preserve">علی رأی المحقق النائینی </w:t>
            </w:r>
            <w:r>
              <w:rPr>
                <w:rStyle w:val="IndexLink"/>
                <w:rtl w:val="true"/>
              </w:rPr>
              <w:t>(</w:t>
            </w:r>
            <w:r>
              <w:rPr>
                <w:rStyle w:val="IndexLink"/>
                <w:rtl w:val="true"/>
              </w:rPr>
              <w:t>رحمه الله</w:t>
            </w:r>
            <w:r>
              <w:rPr>
                <w:rStyle w:val="IndexLink"/>
                <w:rtl w:val="true"/>
              </w:rPr>
              <w:t>):</w:t>
              <w:tab/>
            </w:r>
            <w:r>
              <w:rPr>
                <w:rStyle w:val="IndexLink"/>
              </w:rPr>
              <w:t>76</w:t>
            </w:r>
          </w:hyperlink>
        </w:p>
        <w:p>
          <w:pPr>
            <w:pStyle w:val="Contents6"/>
            <w:tabs>
              <w:tab w:val="clear" w:pos="7609"/>
              <w:tab w:val="right" w:pos="9026" w:leader="dot"/>
            </w:tabs>
            <w:rPr/>
          </w:pPr>
          <w:hyperlink w:anchor="__RefHeading___Toc2082350_581953129">
            <w:r>
              <w:rPr>
                <w:webHidden/>
                <w:rStyle w:val="IndexLink"/>
                <w:rtl w:val="true"/>
              </w:rPr>
              <w:t xml:space="preserve">إشکال المحقق العراقی </w:t>
            </w:r>
            <w:r>
              <w:rPr>
                <w:rStyle w:val="IndexLink"/>
                <w:rtl w:val="true"/>
              </w:rPr>
              <w:t>(</w:t>
            </w:r>
            <w:r>
              <w:rPr>
                <w:rStyle w:val="IndexLink"/>
                <w:rtl w:val="true"/>
              </w:rPr>
              <w:t>رحمه الله</w:t>
            </w:r>
            <w:r>
              <w:rPr>
                <w:rStyle w:val="IndexLink"/>
                <w:rtl w:val="true"/>
              </w:rPr>
              <w:t xml:space="preserve">) </w:t>
            </w:r>
            <w:r>
              <w:rPr>
                <w:rStyle w:val="IndexLink"/>
                <w:rtl w:val="true"/>
              </w:rPr>
              <w:t xml:space="preserve">علی رأی المحقق النائینی </w:t>
            </w:r>
            <w:r>
              <w:rPr>
                <w:rStyle w:val="IndexLink"/>
                <w:rtl w:val="true"/>
              </w:rPr>
              <w:t>(</w:t>
            </w:r>
            <w:r>
              <w:rPr>
                <w:rStyle w:val="IndexLink"/>
                <w:rtl w:val="true"/>
              </w:rPr>
              <w:t>رحمه الله</w:t>
            </w:r>
            <w:r>
              <w:rPr>
                <w:rStyle w:val="IndexLink"/>
                <w:rtl w:val="true"/>
              </w:rPr>
              <w:t>):</w:t>
              <w:tab/>
            </w:r>
            <w:r>
              <w:rPr>
                <w:rStyle w:val="IndexLink"/>
              </w:rPr>
              <w:t>77</w:t>
            </w:r>
          </w:hyperlink>
        </w:p>
        <w:p>
          <w:pPr>
            <w:pStyle w:val="Contents6"/>
            <w:tabs>
              <w:tab w:val="clear" w:pos="7609"/>
              <w:tab w:val="right" w:pos="9026" w:leader="dot"/>
            </w:tabs>
            <w:rPr/>
          </w:pPr>
          <w:hyperlink w:anchor="__RefHeading___Toc2082352_581953129">
            <w:r>
              <w:rPr>
                <w:webHidden/>
                <w:rStyle w:val="IndexLink"/>
                <w:rtl w:val="true"/>
              </w:rPr>
              <w:t>نتیجة البحث والاحتمالات الموجودة</w:t>
            </w:r>
            <w:r>
              <w:rPr>
                <w:rStyle w:val="IndexLink"/>
                <w:rtl w:val="true"/>
              </w:rPr>
              <w:t>:</w:t>
              <w:tab/>
            </w:r>
            <w:r>
              <w:rPr>
                <w:rStyle w:val="IndexLink"/>
              </w:rPr>
              <w:t>79</w:t>
            </w:r>
          </w:hyperlink>
        </w:p>
        <w:p>
          <w:pPr>
            <w:pStyle w:val="Contents6"/>
            <w:tabs>
              <w:tab w:val="clear" w:pos="7609"/>
              <w:tab w:val="right" w:pos="9026" w:leader="dot"/>
            </w:tabs>
            <w:rPr/>
          </w:pPr>
          <w:hyperlink w:anchor="__RefHeading___Toc2082354_581953129">
            <w:r>
              <w:rPr>
                <w:webHidden/>
                <w:rStyle w:val="IndexLink"/>
                <w:rtl w:val="true"/>
              </w:rPr>
              <w:t>تحقیق المسألة</w:t>
            </w:r>
            <w:r>
              <w:rPr>
                <w:rStyle w:val="IndexLink"/>
                <w:rtl w:val="true"/>
              </w:rPr>
              <w:t>:</w:t>
              <w:tab/>
            </w:r>
            <w:r>
              <w:rPr>
                <w:rStyle w:val="IndexLink"/>
              </w:rPr>
              <w:t>79</w:t>
            </w:r>
          </w:hyperlink>
        </w:p>
        <w:p>
          <w:pPr>
            <w:pStyle w:val="Contents6"/>
            <w:tabs>
              <w:tab w:val="clear" w:pos="7609"/>
              <w:tab w:val="right" w:pos="9026" w:leader="dot"/>
            </w:tabs>
            <w:rPr/>
          </w:pPr>
          <w:hyperlink w:anchor="__RefHeading___Toc2082356_581953129">
            <w:r>
              <w:rPr>
                <w:webHidden/>
                <w:rStyle w:val="IndexLink"/>
              </w:rPr>
              <w:t>2</w:t>
            </w:r>
            <w:r>
              <w:rPr>
                <w:rStyle w:val="IndexLink"/>
                <w:rtl w:val="true"/>
              </w:rPr>
              <w:t xml:space="preserve"> - </w:t>
            </w:r>
            <w:r>
              <w:rPr>
                <w:rStyle w:val="IndexLink"/>
                <w:rtl w:val="true"/>
              </w:rPr>
              <w:t>إشکال المحقق العراقی علی رأی الشیخ الأنصاری</w:t>
            </w:r>
            <w:r>
              <w:rPr>
                <w:rStyle w:val="IndexLink"/>
                <w:rtl w:val="true"/>
              </w:rPr>
              <w:t>:</w:t>
              <w:tab/>
            </w:r>
            <w:r>
              <w:rPr>
                <w:rStyle w:val="IndexLink"/>
              </w:rPr>
              <w:t>81</w:t>
            </w:r>
          </w:hyperlink>
        </w:p>
        <w:p>
          <w:pPr>
            <w:pStyle w:val="Contents6"/>
            <w:tabs>
              <w:tab w:val="clear" w:pos="7609"/>
              <w:tab w:val="right" w:pos="9026" w:leader="dot"/>
            </w:tabs>
            <w:rPr/>
          </w:pPr>
          <w:hyperlink w:anchor="__RefHeading___Toc2082358_581953129">
            <w:r>
              <w:rPr>
                <w:webHidden/>
                <w:rStyle w:val="IndexLink"/>
              </w:rPr>
              <w:t>3</w:t>
            </w:r>
            <w:r>
              <w:rPr>
                <w:rStyle w:val="IndexLink"/>
                <w:rtl w:val="true"/>
              </w:rPr>
              <w:t xml:space="preserve"> - </w:t>
            </w:r>
            <w:r>
              <w:rPr>
                <w:rStyle w:val="IndexLink"/>
                <w:rtl w:val="true"/>
              </w:rPr>
              <w:t>إشکال المحقق الأصفهانی علی رأی الشیخ الأنصاری</w:t>
            </w:r>
            <w:r>
              <w:rPr>
                <w:rStyle w:val="IndexLink"/>
                <w:rtl w:val="true"/>
              </w:rPr>
              <w:t>:</w:t>
              <w:tab/>
            </w:r>
            <w:r>
              <w:rPr>
                <w:rStyle w:val="IndexLink"/>
              </w:rPr>
              <w:t>82</w:t>
            </w:r>
          </w:hyperlink>
        </w:p>
        <w:p>
          <w:pPr>
            <w:pStyle w:val="Contents6"/>
            <w:tabs>
              <w:tab w:val="clear" w:pos="7609"/>
              <w:tab w:val="right" w:pos="9026" w:leader="dot"/>
            </w:tabs>
            <w:rPr/>
          </w:pPr>
          <w:hyperlink w:anchor="__RefHeading___Toc2082360_581953129">
            <w:r>
              <w:rPr>
                <w:webHidden/>
                <w:rStyle w:val="IndexLink"/>
                <w:rtl w:val="true"/>
              </w:rPr>
              <w:t>تحقیق البحث فی الوجه الأوّل</w:t>
            </w:r>
            <w:r>
              <w:rPr>
                <w:rStyle w:val="IndexLink"/>
                <w:rtl w:val="true"/>
              </w:rPr>
              <w:t>:</w:t>
              <w:tab/>
            </w:r>
            <w:r>
              <w:rPr>
                <w:rStyle w:val="IndexLink"/>
              </w:rPr>
              <w:t>83</w:t>
            </w:r>
          </w:hyperlink>
        </w:p>
        <w:p>
          <w:pPr>
            <w:pStyle w:val="Contents5"/>
            <w:tabs>
              <w:tab w:val="clear" w:pos="7892"/>
              <w:tab w:val="right" w:pos="9026" w:leader="dot"/>
            </w:tabs>
            <w:rPr/>
          </w:pPr>
          <w:hyperlink w:anchor="__RefHeading___Toc2082362_581953129">
            <w:r>
              <w:rPr>
                <w:webHidden/>
                <w:rStyle w:val="IndexLink"/>
                <w:rtl w:val="true"/>
              </w:rPr>
              <w:t>البیان الثانی فی الدلیل الأوّل</w:t>
            </w:r>
            <w:r>
              <w:rPr>
                <w:rStyle w:val="IndexLink"/>
                <w:rtl w:val="true"/>
              </w:rPr>
              <w:t>:</w:t>
              <w:tab/>
            </w:r>
            <w:r>
              <w:rPr>
                <w:rStyle w:val="IndexLink"/>
              </w:rPr>
              <w:t>86</w:t>
            </w:r>
          </w:hyperlink>
        </w:p>
        <w:p>
          <w:pPr>
            <w:pStyle w:val="Contents5"/>
            <w:tabs>
              <w:tab w:val="clear" w:pos="7892"/>
              <w:tab w:val="right" w:pos="9026" w:leader="dot"/>
            </w:tabs>
            <w:rPr/>
          </w:pPr>
          <w:hyperlink w:anchor="__RefHeading___Toc2082364_581953129">
            <w:r>
              <w:rPr>
                <w:webHidden/>
                <w:rStyle w:val="IndexLink"/>
                <w:rtl w:val="true"/>
              </w:rPr>
              <w:t>البیان الثالث فی الدلیل الأوّل</w:t>
            </w:r>
            <w:r>
              <w:rPr>
                <w:rStyle w:val="IndexLink"/>
                <w:rtl w:val="true"/>
              </w:rPr>
              <w:t>:</w:t>
              <w:tab/>
            </w:r>
            <w:r>
              <w:rPr>
                <w:rStyle w:val="IndexLink"/>
              </w:rPr>
              <w:t>87</w:t>
            </w:r>
          </w:hyperlink>
        </w:p>
        <w:p>
          <w:pPr>
            <w:pStyle w:val="Contents6"/>
            <w:tabs>
              <w:tab w:val="clear" w:pos="7609"/>
              <w:tab w:val="right" w:pos="9026" w:leader="dot"/>
            </w:tabs>
            <w:rPr/>
          </w:pPr>
          <w:hyperlink w:anchor="__RefHeading___Toc2082366_581953129">
            <w:r>
              <w:rPr>
                <w:webHidden/>
                <w:rStyle w:val="IndexLink"/>
                <w:rtl w:val="true"/>
              </w:rPr>
              <w:t>اشارة</w:t>
            </w:r>
            <w:r>
              <w:rPr>
                <w:rStyle w:val="IndexLink"/>
                <w:rtl w:val="true"/>
              </w:rPr>
              <w:tab/>
            </w:r>
            <w:r>
              <w:rPr>
                <w:rStyle w:val="IndexLink"/>
              </w:rPr>
              <w:t>87</w:t>
            </w:r>
          </w:hyperlink>
        </w:p>
        <w:p>
          <w:pPr>
            <w:pStyle w:val="Contents6"/>
            <w:tabs>
              <w:tab w:val="clear" w:pos="7609"/>
              <w:tab w:val="right" w:pos="9026" w:leader="dot"/>
            </w:tabs>
            <w:rPr/>
          </w:pPr>
          <w:hyperlink w:anchor="__RefHeading___Toc2082368_581953129">
            <w:r>
              <w:rPr>
                <w:webHidden/>
                <w:rStyle w:val="IndexLink"/>
                <w:rtl w:val="true"/>
              </w:rPr>
              <w:t>وقد ذکر هذا المطلب فی کلمات السید الخوئی أیضاً کما أسلفنا فهو یقول</w:t>
            </w:r>
            <w:r>
              <w:rPr>
                <w:rStyle w:val="IndexLink"/>
                <w:rtl w:val="true"/>
              </w:rPr>
              <w:t>:</w:t>
              <w:tab/>
            </w:r>
            <w:r>
              <w:rPr>
                <w:rStyle w:val="IndexLink"/>
              </w:rPr>
              <w:t>89</w:t>
            </w:r>
          </w:hyperlink>
        </w:p>
        <w:p>
          <w:pPr>
            <w:pStyle w:val="Contents6"/>
            <w:tabs>
              <w:tab w:val="clear" w:pos="7609"/>
              <w:tab w:val="right" w:pos="9026" w:leader="dot"/>
            </w:tabs>
            <w:rPr/>
          </w:pPr>
          <w:hyperlink w:anchor="__RefHeading___Toc2082370_581953129">
            <w:r>
              <w:rPr>
                <w:webHidden/>
                <w:rStyle w:val="IndexLink"/>
                <w:rtl w:val="true"/>
              </w:rPr>
              <w:t>إشکالات هذه النظریة</w:t>
            </w:r>
            <w:r>
              <w:rPr>
                <w:rStyle w:val="IndexLink"/>
                <w:rtl w:val="true"/>
              </w:rPr>
              <w:t>:</w:t>
              <w:tab/>
            </w:r>
            <w:r>
              <w:rPr>
                <w:rStyle w:val="IndexLink"/>
              </w:rPr>
              <w:t>91</w:t>
            </w:r>
          </w:hyperlink>
        </w:p>
        <w:p>
          <w:pPr>
            <w:pStyle w:val="Contents6"/>
            <w:tabs>
              <w:tab w:val="clear" w:pos="7609"/>
              <w:tab w:val="right" w:pos="9026" w:leader="dot"/>
            </w:tabs>
            <w:rPr/>
          </w:pPr>
          <w:hyperlink w:anchor="__RefHeading___Toc2082372_581953129">
            <w:r>
              <w:rPr>
                <w:webHidden/>
                <w:rStyle w:val="IndexLink"/>
                <w:rtl w:val="true"/>
              </w:rPr>
              <w:t>نتیجة الدلیل الأوّل</w:t>
            </w:r>
            <w:r>
              <w:rPr>
                <w:rStyle w:val="IndexLink"/>
                <w:rtl w:val="true"/>
              </w:rPr>
              <w:t>:</w:t>
              <w:tab/>
            </w:r>
            <w:r>
              <w:rPr>
                <w:rStyle w:val="IndexLink"/>
              </w:rPr>
              <w:t>92</w:t>
            </w:r>
          </w:hyperlink>
        </w:p>
        <w:p>
          <w:pPr>
            <w:pStyle w:val="Contents4"/>
            <w:tabs>
              <w:tab w:val="clear" w:pos="8176"/>
              <w:tab w:val="right" w:pos="9026" w:leader="dot"/>
            </w:tabs>
            <w:rPr/>
          </w:pPr>
          <w:hyperlink w:anchor="__RefHeading___Toc2082374_581953129">
            <w:r>
              <w:rPr>
                <w:webHidden/>
                <w:rStyle w:val="IndexLink"/>
                <w:rtl w:val="true"/>
              </w:rPr>
              <w:t>الدلیل الثانی</w:t>
            </w:r>
            <w:r>
              <w:rPr>
                <w:rStyle w:val="IndexLink"/>
                <w:rtl w:val="true"/>
              </w:rPr>
              <w:t xml:space="preserve">: </w:t>
            </w:r>
            <w:r>
              <w:rPr>
                <w:rStyle w:val="IndexLink"/>
                <w:rtl w:val="true"/>
              </w:rPr>
              <w:t>اجتماع لحاظی الآلیة والاستقلالیة فی الشیء الواحد</w:t>
            </w:r>
            <w:r>
              <w:rPr>
                <w:rStyle w:val="IndexLink"/>
                <w:rtl w:val="true"/>
              </w:rPr>
              <w:t>:</w:t>
              <w:tab/>
            </w:r>
            <w:r>
              <w:rPr>
                <w:rStyle w:val="IndexLink"/>
              </w:rPr>
              <w:t>92</w:t>
            </w:r>
          </w:hyperlink>
        </w:p>
        <w:p>
          <w:pPr>
            <w:pStyle w:val="Contents5"/>
            <w:tabs>
              <w:tab w:val="clear" w:pos="7892"/>
              <w:tab w:val="right" w:pos="9026" w:leader="dot"/>
            </w:tabs>
            <w:rPr/>
          </w:pPr>
          <w:hyperlink w:anchor="__RefHeading___Toc2082376_581953129">
            <w:r>
              <w:rPr>
                <w:webHidden/>
                <w:rStyle w:val="IndexLink"/>
                <w:rtl w:val="true"/>
              </w:rPr>
              <w:t>اشارة</w:t>
            </w:r>
            <w:r>
              <w:rPr>
                <w:rStyle w:val="IndexLink"/>
                <w:rtl w:val="true"/>
              </w:rPr>
              <w:tab/>
            </w:r>
            <w:r>
              <w:rPr>
                <w:rStyle w:val="IndexLink"/>
              </w:rPr>
              <w:t>92</w:t>
            </w:r>
          </w:hyperlink>
        </w:p>
        <w:p>
          <w:pPr>
            <w:pStyle w:val="Contents5"/>
            <w:tabs>
              <w:tab w:val="clear" w:pos="7892"/>
              <w:tab w:val="right" w:pos="9026" w:leader="dot"/>
            </w:tabs>
            <w:rPr/>
          </w:pPr>
          <w:hyperlink w:anchor="__RefHeading___Toc2082378_581953129">
            <w:r>
              <w:rPr>
                <w:webHidden/>
                <w:rStyle w:val="IndexLink"/>
                <w:rtl w:val="true"/>
              </w:rPr>
              <w:t>یقول المحقق النائینی فی هذا السیاق</w:t>
            </w:r>
            <w:r>
              <w:rPr>
                <w:rStyle w:val="IndexLink"/>
                <w:rtl w:val="true"/>
              </w:rPr>
              <w:t>:</w:t>
              <w:tab/>
            </w:r>
            <w:r>
              <w:rPr>
                <w:rStyle w:val="IndexLink"/>
              </w:rPr>
              <w:t>93</w:t>
            </w:r>
          </w:hyperlink>
        </w:p>
        <w:p>
          <w:pPr>
            <w:pStyle w:val="Contents5"/>
            <w:tabs>
              <w:tab w:val="clear" w:pos="7892"/>
              <w:tab w:val="right" w:pos="9026" w:leader="dot"/>
            </w:tabs>
            <w:rPr/>
          </w:pPr>
          <w:hyperlink w:anchor="__RefHeading___Toc2082380_581953129">
            <w:r>
              <w:rPr>
                <w:webHidden/>
                <w:rStyle w:val="IndexLink"/>
                <w:rtl w:val="true"/>
              </w:rPr>
              <w:t>الإشکالات الواردة علی الدلیل الثانی</w:t>
            </w:r>
            <w:r>
              <w:rPr>
                <w:rStyle w:val="IndexLink"/>
                <w:rtl w:val="true"/>
              </w:rPr>
              <w:t>:</w:t>
              <w:tab/>
            </w:r>
            <w:r>
              <w:rPr>
                <w:rStyle w:val="IndexLink"/>
              </w:rPr>
              <w:t>93</w:t>
            </w:r>
          </w:hyperlink>
        </w:p>
        <w:p>
          <w:pPr>
            <w:pStyle w:val="Contents6"/>
            <w:tabs>
              <w:tab w:val="clear" w:pos="7609"/>
              <w:tab w:val="right" w:pos="9026" w:leader="dot"/>
            </w:tabs>
            <w:rPr/>
          </w:pPr>
          <w:hyperlink w:anchor="__RefHeading___Toc2082382_581953129">
            <w:r>
              <w:rPr>
                <w:webHidden/>
                <w:rStyle w:val="IndexLink"/>
              </w:rPr>
              <w:t>1</w:t>
            </w:r>
            <w:r>
              <w:rPr>
                <w:rStyle w:val="IndexLink"/>
                <w:rtl w:val="true"/>
              </w:rPr>
              <w:t xml:space="preserve"> - </w:t>
            </w:r>
            <w:r>
              <w:rPr>
                <w:rStyle w:val="IndexLink"/>
                <w:rtl w:val="true"/>
              </w:rPr>
              <w:t>نظریة المحقق النائینی</w:t>
            </w:r>
            <w:r>
              <w:rPr>
                <w:rStyle w:val="IndexLink"/>
                <w:rtl w:val="true"/>
              </w:rPr>
              <w:t>:</w:t>
              <w:tab/>
            </w:r>
            <w:r>
              <w:rPr>
                <w:rStyle w:val="IndexLink"/>
              </w:rPr>
              <w:t>93</w:t>
            </w:r>
          </w:hyperlink>
        </w:p>
        <w:p>
          <w:pPr>
            <w:pStyle w:val="Contents6"/>
            <w:tabs>
              <w:tab w:val="clear" w:pos="7609"/>
              <w:tab w:val="right" w:pos="9026" w:leader="dot"/>
            </w:tabs>
            <w:rPr/>
          </w:pPr>
          <w:hyperlink w:anchor="__RefHeading___Toc2082384_581953129">
            <w:r>
              <w:rPr>
                <w:webHidden/>
                <w:rStyle w:val="IndexLink"/>
                <w:rtl w:val="true"/>
              </w:rPr>
              <w:t>اشارة</w:t>
            </w:r>
            <w:r>
              <w:rPr>
                <w:rStyle w:val="IndexLink"/>
                <w:rtl w:val="true"/>
              </w:rPr>
              <w:tab/>
            </w:r>
            <w:r>
              <w:rPr>
                <w:rStyle w:val="IndexLink"/>
              </w:rPr>
              <w:t>93</w:t>
            </w:r>
          </w:hyperlink>
        </w:p>
        <w:p>
          <w:pPr>
            <w:pStyle w:val="Contents6"/>
            <w:tabs>
              <w:tab w:val="clear" w:pos="7609"/>
              <w:tab w:val="right" w:pos="9026" w:leader="dot"/>
            </w:tabs>
            <w:rPr/>
          </w:pPr>
          <w:hyperlink w:anchor="__RefHeading___Toc2082386_581953129">
            <w:r>
              <w:rPr>
                <w:webHidden/>
                <w:rStyle w:val="IndexLink"/>
                <w:rtl w:val="true"/>
              </w:rPr>
              <w:t>الإشکال علی نظریة المحقق النائینی</w:t>
            </w:r>
            <w:r>
              <w:rPr>
                <w:rStyle w:val="IndexLink"/>
                <w:rtl w:val="true"/>
              </w:rPr>
              <w:t>:</w:t>
              <w:tab/>
            </w:r>
            <w:r>
              <w:rPr>
                <w:rStyle w:val="IndexLink"/>
              </w:rPr>
              <w:t>95</w:t>
            </w:r>
          </w:hyperlink>
        </w:p>
        <w:p>
          <w:pPr>
            <w:pStyle w:val="Contents6"/>
            <w:tabs>
              <w:tab w:val="clear" w:pos="7609"/>
              <w:tab w:val="right" w:pos="9026" w:leader="dot"/>
            </w:tabs>
            <w:rPr/>
          </w:pPr>
          <w:hyperlink w:anchor="__RefHeading___Toc2082388_581953129">
            <w:r>
              <w:rPr>
                <w:webHidden/>
                <w:rStyle w:val="IndexLink"/>
              </w:rPr>
              <w:t>2</w:t>
            </w:r>
            <w:r>
              <w:rPr>
                <w:rStyle w:val="IndexLink"/>
                <w:rtl w:val="true"/>
              </w:rPr>
              <w:t xml:space="preserve"> - </w:t>
            </w:r>
            <w:r>
              <w:rPr>
                <w:rStyle w:val="IndexLink"/>
                <w:rtl w:val="true"/>
              </w:rPr>
              <w:t>نظریة المحقق الخوئی</w:t>
            </w:r>
            <w:r>
              <w:rPr>
                <w:rStyle w:val="IndexLink"/>
                <w:rtl w:val="true"/>
              </w:rPr>
              <w:t>:</w:t>
              <w:tab/>
            </w:r>
            <w:r>
              <w:rPr>
                <w:rStyle w:val="IndexLink"/>
              </w:rPr>
              <w:t>95</w:t>
            </w:r>
          </w:hyperlink>
        </w:p>
        <w:p>
          <w:pPr>
            <w:pStyle w:val="Contents5"/>
            <w:tabs>
              <w:tab w:val="clear" w:pos="7892"/>
              <w:tab w:val="right" w:pos="9026" w:leader="dot"/>
            </w:tabs>
            <w:rPr/>
          </w:pPr>
          <w:hyperlink w:anchor="__RefHeading___Toc2082390_581953129">
            <w:r>
              <w:rPr>
                <w:webHidden/>
                <w:rStyle w:val="IndexLink"/>
                <w:rtl w:val="true"/>
              </w:rPr>
              <w:t>الإشکال علی جواب السید الخوئی الأوّل</w:t>
            </w:r>
            <w:r>
              <w:rPr>
                <w:rStyle w:val="IndexLink"/>
                <w:rtl w:val="true"/>
              </w:rPr>
              <w:t>:</w:t>
              <w:tab/>
            </w:r>
            <w:r>
              <w:rPr>
                <w:rStyle w:val="IndexLink"/>
              </w:rPr>
              <w:t>96</w:t>
            </w:r>
          </w:hyperlink>
        </w:p>
        <w:p>
          <w:pPr>
            <w:pStyle w:val="Contents4"/>
            <w:tabs>
              <w:tab w:val="clear" w:pos="8176"/>
              <w:tab w:val="right" w:pos="9026" w:leader="dot"/>
            </w:tabs>
            <w:rPr/>
          </w:pPr>
          <w:hyperlink w:anchor="__RefHeading___Toc2082392_581953129">
            <w:r>
              <w:rPr>
                <w:webHidden/>
                <w:rStyle w:val="IndexLink"/>
                <w:rtl w:val="true"/>
              </w:rPr>
              <w:t>الدلیل الثالث</w:t>
            </w:r>
            <w:r>
              <w:rPr>
                <w:rStyle w:val="IndexLink"/>
                <w:rtl w:val="true"/>
              </w:rPr>
              <w:t xml:space="preserve">: </w:t>
            </w:r>
            <w:r>
              <w:rPr>
                <w:rStyle w:val="IndexLink"/>
                <w:rtl w:val="true"/>
              </w:rPr>
              <w:t>محذور الجمع بین المعنی الحقیقی والمعنی المجازی</w:t>
            </w:r>
            <w:r>
              <w:rPr>
                <w:rStyle w:val="IndexLink"/>
                <w:rtl w:val="true"/>
              </w:rPr>
              <w:t>:</w:t>
              <w:tab/>
            </w:r>
            <w:r>
              <w:rPr>
                <w:rStyle w:val="IndexLink"/>
              </w:rPr>
              <w:t>98</w:t>
            </w:r>
          </w:hyperlink>
        </w:p>
        <w:p>
          <w:pPr>
            <w:pStyle w:val="Contents5"/>
            <w:tabs>
              <w:tab w:val="clear" w:pos="7892"/>
              <w:tab w:val="right" w:pos="9026" w:leader="dot"/>
            </w:tabs>
            <w:rPr/>
          </w:pPr>
          <w:hyperlink w:anchor="__RefHeading___Toc2082394_581953129">
            <w:r>
              <w:rPr>
                <w:webHidden/>
                <w:rStyle w:val="IndexLink"/>
                <w:rtl w:val="true"/>
              </w:rPr>
              <w:t>اشارة</w:t>
            </w:r>
            <w:r>
              <w:rPr>
                <w:rStyle w:val="IndexLink"/>
                <w:rtl w:val="true"/>
              </w:rPr>
              <w:tab/>
            </w:r>
            <w:r>
              <w:rPr>
                <w:rStyle w:val="IndexLink"/>
              </w:rPr>
              <w:t>98</w:t>
            </w:r>
          </w:hyperlink>
        </w:p>
        <w:p>
          <w:pPr>
            <w:pStyle w:val="Contents5"/>
            <w:tabs>
              <w:tab w:val="clear" w:pos="7892"/>
              <w:tab w:val="right" w:pos="9026" w:leader="dot"/>
            </w:tabs>
            <w:rPr/>
          </w:pPr>
          <w:hyperlink w:anchor="__RefHeading___Toc2082396_581953129">
            <w:r>
              <w:rPr>
                <w:webHidden/>
                <w:rStyle w:val="IndexLink"/>
                <w:rtl w:val="true"/>
              </w:rPr>
              <w:t>یقول المحقق السید الخوئی فی توضیح هذا الدلیل</w:t>
            </w:r>
            <w:r>
              <w:rPr>
                <w:rStyle w:val="IndexLink"/>
                <w:rtl w:val="true"/>
              </w:rPr>
              <w:t>:</w:t>
              <w:tab/>
            </w:r>
            <w:r>
              <w:rPr>
                <w:rStyle w:val="IndexLink"/>
              </w:rPr>
              <w:t>99</w:t>
            </w:r>
          </w:hyperlink>
        </w:p>
        <w:p>
          <w:pPr>
            <w:pStyle w:val="Contents5"/>
            <w:tabs>
              <w:tab w:val="clear" w:pos="7892"/>
              <w:tab w:val="right" w:pos="9026" w:leader="dot"/>
            </w:tabs>
            <w:rPr/>
          </w:pPr>
          <w:hyperlink w:anchor="__RefHeading___Toc2082398_581953129">
            <w:r>
              <w:rPr>
                <w:webHidden/>
                <w:rStyle w:val="IndexLink"/>
                <w:rtl w:val="true"/>
              </w:rPr>
              <w:t>الإشکالات علی الدلیل الثالث</w:t>
            </w:r>
            <w:r>
              <w:rPr>
                <w:rStyle w:val="IndexLink"/>
                <w:rtl w:val="true"/>
              </w:rPr>
              <w:t>:</w:t>
              <w:tab/>
            </w:r>
            <w:r>
              <w:rPr>
                <w:rStyle w:val="IndexLink"/>
              </w:rPr>
              <w:t>99</w:t>
            </w:r>
          </w:hyperlink>
        </w:p>
        <w:p>
          <w:pPr>
            <w:pStyle w:val="Contents6"/>
            <w:tabs>
              <w:tab w:val="clear" w:pos="7609"/>
              <w:tab w:val="right" w:pos="9026" w:leader="dot"/>
            </w:tabs>
            <w:rPr/>
          </w:pPr>
          <w:hyperlink w:anchor="__RefHeading___Toc2082400_581953129">
            <w:r>
              <w:rPr>
                <w:webHidden/>
                <w:rStyle w:val="IndexLink"/>
                <w:rtl w:val="true"/>
              </w:rPr>
              <w:t>اشارة</w:t>
            </w:r>
            <w:r>
              <w:rPr>
                <w:rStyle w:val="IndexLink"/>
                <w:rtl w:val="true"/>
              </w:rPr>
              <w:tab/>
            </w:r>
            <w:r>
              <w:rPr>
                <w:rStyle w:val="IndexLink"/>
              </w:rPr>
              <w:t>99</w:t>
            </w:r>
          </w:hyperlink>
        </w:p>
        <w:p>
          <w:pPr>
            <w:pStyle w:val="Contents6"/>
            <w:tabs>
              <w:tab w:val="clear" w:pos="7609"/>
              <w:tab w:val="right" w:pos="9026" w:leader="dot"/>
            </w:tabs>
            <w:rPr/>
          </w:pPr>
          <w:hyperlink w:anchor="__RefHeading___Toc2082402_581953129">
            <w:r>
              <w:rPr>
                <w:webHidden/>
                <w:rStyle w:val="IndexLink"/>
              </w:rPr>
              <w:t>1</w:t>
            </w:r>
            <w:r>
              <w:rPr>
                <w:rStyle w:val="IndexLink"/>
                <w:rtl w:val="true"/>
              </w:rPr>
              <w:t xml:space="preserve"> - </w:t>
            </w:r>
            <w:r>
              <w:rPr>
                <w:rStyle w:val="IndexLink"/>
                <w:rtl w:val="true"/>
              </w:rPr>
              <w:t>نظریة المحقق النائینی</w:t>
            </w:r>
            <w:r>
              <w:rPr>
                <w:rStyle w:val="IndexLink"/>
                <w:rtl w:val="true"/>
              </w:rPr>
              <w:t>:</w:t>
              <w:tab/>
            </w:r>
            <w:r>
              <w:rPr>
                <w:rStyle w:val="IndexLink"/>
              </w:rPr>
              <w:t>99</w:t>
            </w:r>
          </w:hyperlink>
        </w:p>
        <w:p>
          <w:pPr>
            <w:pStyle w:val="Contents6"/>
            <w:tabs>
              <w:tab w:val="clear" w:pos="7609"/>
              <w:tab w:val="right" w:pos="9026" w:leader="dot"/>
            </w:tabs>
            <w:rPr/>
          </w:pPr>
          <w:hyperlink w:anchor="__RefHeading___Toc2082404_581953129">
            <w:r>
              <w:rPr>
                <w:webHidden/>
                <w:rStyle w:val="IndexLink"/>
              </w:rPr>
              <w:t>2</w:t>
            </w:r>
            <w:r>
              <w:rPr>
                <w:rStyle w:val="IndexLink"/>
                <w:rtl w:val="true"/>
              </w:rPr>
              <w:t xml:space="preserve"> - </w:t>
            </w:r>
            <w:r>
              <w:rPr>
                <w:rStyle w:val="IndexLink"/>
                <w:rtl w:val="true"/>
              </w:rPr>
              <w:t>نظریة المحقق الخوئی</w:t>
            </w:r>
            <w:r>
              <w:rPr>
                <w:rStyle w:val="IndexLink"/>
                <w:rtl w:val="true"/>
              </w:rPr>
              <w:t>:</w:t>
              <w:tab/>
            </w:r>
            <w:r>
              <w:rPr>
                <w:rStyle w:val="IndexLink"/>
              </w:rPr>
              <w:t>100</w:t>
            </w:r>
          </w:hyperlink>
        </w:p>
        <w:p>
          <w:pPr>
            <w:pStyle w:val="Contents4"/>
            <w:tabs>
              <w:tab w:val="clear" w:pos="8176"/>
              <w:tab w:val="right" w:pos="9026" w:leader="dot"/>
            </w:tabs>
            <w:rPr/>
          </w:pPr>
          <w:hyperlink w:anchor="__RefHeading___Toc2082406_581953129">
            <w:r>
              <w:rPr>
                <w:webHidden/>
                <w:rStyle w:val="IndexLink"/>
                <w:rtl w:val="true"/>
              </w:rPr>
              <w:t>الدلیل الرابع محذور التدافع</w:t>
            </w:r>
            <w:r>
              <w:rPr>
                <w:rStyle w:val="IndexLink"/>
                <w:rtl w:val="true"/>
              </w:rPr>
              <w:t>:</w:t>
              <w:tab/>
            </w:r>
            <w:r>
              <w:rPr>
                <w:rStyle w:val="IndexLink"/>
              </w:rPr>
              <w:t>100</w:t>
            </w:r>
          </w:hyperlink>
        </w:p>
        <w:p>
          <w:pPr>
            <w:pStyle w:val="Contents5"/>
            <w:tabs>
              <w:tab w:val="clear" w:pos="7892"/>
              <w:tab w:val="right" w:pos="9026" w:leader="dot"/>
            </w:tabs>
            <w:rPr/>
          </w:pPr>
          <w:hyperlink w:anchor="__RefHeading___Toc2082408_581953129">
            <w:r>
              <w:rPr>
                <w:webHidden/>
                <w:rStyle w:val="IndexLink"/>
                <w:rtl w:val="true"/>
              </w:rPr>
              <w:t>اشارة</w:t>
            </w:r>
            <w:r>
              <w:rPr>
                <w:rStyle w:val="IndexLink"/>
                <w:rtl w:val="true"/>
              </w:rPr>
              <w:tab/>
            </w:r>
            <w:r>
              <w:rPr>
                <w:rStyle w:val="IndexLink"/>
              </w:rPr>
              <w:t>100</w:t>
            </w:r>
          </w:hyperlink>
        </w:p>
        <w:p>
          <w:pPr>
            <w:pStyle w:val="Contents5"/>
            <w:tabs>
              <w:tab w:val="clear" w:pos="7892"/>
              <w:tab w:val="right" w:pos="9026" w:leader="dot"/>
            </w:tabs>
            <w:rPr/>
          </w:pPr>
          <w:hyperlink w:anchor="__RefHeading___Toc2082410_581953129">
            <w:r>
              <w:rPr>
                <w:webHidden/>
                <w:rStyle w:val="IndexLink"/>
                <w:rtl w:val="true"/>
              </w:rPr>
              <w:t>الإشکالات علی الدلیل الرابع</w:t>
            </w:r>
            <w:r>
              <w:rPr>
                <w:rStyle w:val="IndexLink"/>
                <w:rtl w:val="true"/>
              </w:rPr>
              <w:t>:</w:t>
              <w:tab/>
            </w:r>
            <w:r>
              <w:rPr>
                <w:rStyle w:val="IndexLink"/>
              </w:rPr>
              <w:t>101</w:t>
            </w:r>
          </w:hyperlink>
        </w:p>
        <w:p>
          <w:pPr>
            <w:pStyle w:val="Contents5"/>
            <w:tabs>
              <w:tab w:val="clear" w:pos="7892"/>
              <w:tab w:val="right" w:pos="9026" w:leader="dot"/>
            </w:tabs>
            <w:rPr/>
          </w:pPr>
          <w:hyperlink w:anchor="__RefHeading___Toc2082412_581953129">
            <w:r>
              <w:rPr>
                <w:webHidden/>
                <w:rStyle w:val="IndexLink"/>
                <w:rtl w:val="true"/>
              </w:rPr>
              <w:t>نظریة المحقق النائینی</w:t>
            </w:r>
            <w:r>
              <w:rPr>
                <w:rStyle w:val="IndexLink"/>
                <w:rtl w:val="true"/>
              </w:rPr>
              <w:t>:</w:t>
              <w:tab/>
            </w:r>
            <w:r>
              <w:rPr>
                <w:rStyle w:val="IndexLink"/>
              </w:rPr>
              <w:t>102</w:t>
            </w:r>
          </w:hyperlink>
        </w:p>
        <w:p>
          <w:pPr>
            <w:pStyle w:val="Contents5"/>
            <w:tabs>
              <w:tab w:val="clear" w:pos="7892"/>
              <w:tab w:val="right" w:pos="9026" w:leader="dot"/>
            </w:tabs>
            <w:rPr/>
          </w:pPr>
          <w:hyperlink w:anchor="__RefHeading___Toc2082414_581953129">
            <w:r>
              <w:rPr>
                <w:webHidden/>
                <w:rStyle w:val="IndexLink"/>
                <w:rtl w:val="true"/>
              </w:rPr>
              <w:t>جواب المحقق النائینی عن محذور التدافع</w:t>
            </w:r>
            <w:r>
              <w:rPr>
                <w:rStyle w:val="IndexLink"/>
                <w:rtl w:val="true"/>
              </w:rPr>
              <w:t>:</w:t>
              <w:tab/>
            </w:r>
            <w:r>
              <w:rPr>
                <w:rStyle w:val="IndexLink"/>
              </w:rPr>
              <w:t>105</w:t>
            </w:r>
          </w:hyperlink>
        </w:p>
        <w:p>
          <w:pPr>
            <w:pStyle w:val="Contents5"/>
            <w:tabs>
              <w:tab w:val="clear" w:pos="7892"/>
              <w:tab w:val="right" w:pos="9026" w:leader="dot"/>
            </w:tabs>
            <w:rPr/>
          </w:pPr>
          <w:hyperlink w:anchor="__RefHeading___Toc2082416_581953129">
            <w:r>
              <w:rPr>
                <w:webHidden/>
                <w:rStyle w:val="IndexLink"/>
                <w:rtl w:val="true"/>
              </w:rPr>
              <w:t>نظریة المحقق الخوئی</w:t>
            </w:r>
            <w:r>
              <w:rPr>
                <w:rStyle w:val="IndexLink"/>
                <w:rtl w:val="true"/>
              </w:rPr>
              <w:t>:</w:t>
              <w:tab/>
            </w:r>
            <w:r>
              <w:rPr>
                <w:rStyle w:val="IndexLink"/>
              </w:rPr>
              <w:t>105</w:t>
            </w:r>
          </w:hyperlink>
        </w:p>
        <w:p>
          <w:pPr>
            <w:pStyle w:val="Contents5"/>
            <w:tabs>
              <w:tab w:val="clear" w:pos="7892"/>
              <w:tab w:val="right" w:pos="9026" w:leader="dot"/>
            </w:tabs>
            <w:rPr/>
          </w:pPr>
          <w:hyperlink w:anchor="__RefHeading___Toc2082418_581953129">
            <w:r>
              <w:rPr>
                <w:webHidden/>
                <w:rStyle w:val="IndexLink"/>
                <w:rtl w:val="true"/>
              </w:rPr>
              <w:t>مناقشة نظریة المحقق الخوئی</w:t>
            </w:r>
            <w:r>
              <w:rPr>
                <w:rStyle w:val="IndexLink"/>
                <w:rtl w:val="true"/>
              </w:rPr>
              <w:t>:</w:t>
              <w:tab/>
            </w:r>
            <w:r>
              <w:rPr>
                <w:rStyle w:val="IndexLink"/>
              </w:rPr>
              <w:t>106</w:t>
            </w:r>
          </w:hyperlink>
        </w:p>
        <w:p>
          <w:pPr>
            <w:pStyle w:val="Contents5"/>
            <w:tabs>
              <w:tab w:val="clear" w:pos="7892"/>
              <w:tab w:val="right" w:pos="9026" w:leader="dot"/>
            </w:tabs>
            <w:rPr/>
          </w:pPr>
          <w:hyperlink w:anchor="__RefHeading___Toc2082420_581953129">
            <w:r>
              <w:rPr>
                <w:webHidden/>
                <w:rStyle w:val="IndexLink"/>
                <w:rtl w:val="true"/>
              </w:rPr>
              <w:t>الرأی المختار فی الدلیل الرابع</w:t>
            </w:r>
            <w:r>
              <w:rPr>
                <w:rStyle w:val="IndexLink"/>
                <w:rtl w:val="true"/>
              </w:rPr>
              <w:t>:</w:t>
              <w:tab/>
            </w:r>
            <w:r>
              <w:rPr>
                <w:rStyle w:val="IndexLink"/>
              </w:rPr>
              <w:t>106</w:t>
            </w:r>
          </w:hyperlink>
        </w:p>
        <w:p>
          <w:pPr>
            <w:pStyle w:val="Contents5"/>
            <w:tabs>
              <w:tab w:val="clear" w:pos="7892"/>
              <w:tab w:val="right" w:pos="9026" w:leader="dot"/>
            </w:tabs>
            <w:rPr/>
          </w:pPr>
          <w:hyperlink w:anchor="__RefHeading___Toc2082422_581953129">
            <w:r>
              <w:rPr>
                <w:webHidden/>
                <w:rStyle w:val="IndexLink"/>
                <w:rtl w:val="true"/>
              </w:rPr>
              <w:t>نتیجة البحث فی مقام الثبوت</w:t>
            </w:r>
            <w:r>
              <w:rPr>
                <w:rStyle w:val="IndexLink"/>
                <w:rtl w:val="true"/>
              </w:rPr>
              <w:t>:</w:t>
              <w:tab/>
            </w:r>
            <w:r>
              <w:rPr>
                <w:rStyle w:val="IndexLink"/>
              </w:rPr>
              <w:t>107</w:t>
            </w:r>
          </w:hyperlink>
        </w:p>
        <w:p>
          <w:pPr>
            <w:pStyle w:val="Contents5"/>
            <w:tabs>
              <w:tab w:val="clear" w:pos="7892"/>
              <w:tab w:val="right" w:pos="9026" w:leader="dot"/>
            </w:tabs>
            <w:rPr/>
          </w:pPr>
          <w:hyperlink w:anchor="__RefHeading___Toc2082424_581953129">
            <w:r>
              <w:rPr>
                <w:webHidden/>
                <w:rStyle w:val="IndexLink"/>
                <w:rtl w:val="true"/>
              </w:rPr>
              <w:t>تحلیل نظریة رجوع الشک فی الصحة إلی الشک فی الوجود</w:t>
            </w:r>
            <w:r>
              <w:rPr>
                <w:rStyle w:val="IndexLink"/>
                <w:rtl w:val="true"/>
              </w:rPr>
              <w:t>:</w:t>
              <w:tab/>
            </w:r>
            <w:r>
              <w:rPr>
                <w:rStyle w:val="IndexLink"/>
              </w:rPr>
              <w:t>107</w:t>
            </w:r>
          </w:hyperlink>
        </w:p>
        <w:p>
          <w:pPr>
            <w:pStyle w:val="Contents2"/>
            <w:tabs>
              <w:tab w:val="clear" w:pos="8743"/>
              <w:tab w:val="right" w:pos="9026" w:leader="dot"/>
            </w:tabs>
            <w:rPr/>
          </w:pPr>
          <w:hyperlink w:anchor="__RefHeading___Toc2082426_581953129">
            <w:r>
              <w:rPr>
                <w:webHidden/>
                <w:rStyle w:val="IndexLink"/>
                <w:rtl w:val="true"/>
              </w:rPr>
              <w:t>مقام الإثبات</w:t>
            </w:r>
            <w:r>
              <w:rPr>
                <w:rStyle w:val="IndexLink"/>
                <w:rtl w:val="true"/>
              </w:rPr>
              <w:tab/>
            </w:r>
            <w:r>
              <w:rPr>
                <w:rStyle w:val="IndexLink"/>
              </w:rPr>
              <w:t>110</w:t>
            </w:r>
          </w:hyperlink>
        </w:p>
        <w:p>
          <w:pPr>
            <w:pStyle w:val="Contents3"/>
            <w:tabs>
              <w:tab w:val="clear" w:pos="8459"/>
              <w:tab w:val="right" w:pos="9026" w:leader="dot"/>
            </w:tabs>
            <w:rPr/>
          </w:pPr>
          <w:hyperlink w:anchor="__RefHeading___Toc2082428_581953129">
            <w:r>
              <w:rPr>
                <w:webHidden/>
                <w:rStyle w:val="IndexLink"/>
                <w:rtl w:val="true"/>
              </w:rPr>
              <w:t>البحث فی مقام الإثبات فی تعدّد قاعدتی الفراغ والتجاوز</w:t>
            </w:r>
            <w:r>
              <w:rPr>
                <w:rStyle w:val="IndexLink"/>
                <w:rtl w:val="true"/>
              </w:rPr>
              <w:tab/>
            </w:r>
            <w:r>
              <w:rPr>
                <w:rStyle w:val="IndexLink"/>
              </w:rPr>
              <w:t>110</w:t>
            </w:r>
          </w:hyperlink>
        </w:p>
        <w:p>
          <w:pPr>
            <w:pStyle w:val="Contents3"/>
            <w:tabs>
              <w:tab w:val="clear" w:pos="8459"/>
              <w:tab w:val="right" w:pos="9026" w:leader="dot"/>
            </w:tabs>
            <w:rPr/>
          </w:pPr>
          <w:hyperlink w:anchor="__RefHeading___Toc2082430_581953129">
            <w:r>
              <w:rPr>
                <w:webHidden/>
                <w:rStyle w:val="IndexLink"/>
                <w:rtl w:val="true"/>
              </w:rPr>
              <w:t>نظریة المحقق النائینی فی جعل قاعدة الفراغ والتجاوز</w:t>
            </w:r>
            <w:r>
              <w:rPr>
                <w:rStyle w:val="IndexLink"/>
                <w:rtl w:val="true"/>
              </w:rPr>
              <w:t>:</w:t>
              <w:tab/>
            </w:r>
            <w:r>
              <w:rPr>
                <w:rStyle w:val="IndexLink"/>
              </w:rPr>
              <w:t>110</w:t>
            </w:r>
          </w:hyperlink>
        </w:p>
        <w:p>
          <w:pPr>
            <w:pStyle w:val="Contents3"/>
            <w:tabs>
              <w:tab w:val="clear" w:pos="8459"/>
              <w:tab w:val="right" w:pos="9026" w:leader="dot"/>
            </w:tabs>
            <w:rPr/>
          </w:pPr>
          <w:hyperlink w:anchor="__RefHeading___Toc2082432_581953129">
            <w:r>
              <w:rPr>
                <w:webHidden/>
                <w:rStyle w:val="IndexLink"/>
                <w:rtl w:val="true"/>
              </w:rPr>
              <w:t>الإشکالات علی نظریة المحقق النائینی</w:t>
            </w:r>
            <w:r>
              <w:rPr>
                <w:rStyle w:val="IndexLink"/>
                <w:rtl w:val="true"/>
              </w:rPr>
              <w:t>:</w:t>
              <w:tab/>
            </w:r>
            <w:r>
              <w:rPr>
                <w:rStyle w:val="IndexLink"/>
              </w:rPr>
              <w:t>111</w:t>
            </w:r>
          </w:hyperlink>
        </w:p>
        <w:p>
          <w:pPr>
            <w:pStyle w:val="Contents3"/>
            <w:tabs>
              <w:tab w:val="clear" w:pos="8459"/>
              <w:tab w:val="right" w:pos="9026" w:leader="dot"/>
            </w:tabs>
            <w:rPr/>
          </w:pPr>
          <w:hyperlink w:anchor="__RefHeading___Toc2082434_581953129">
            <w:r>
              <w:rPr>
                <w:webHidden/>
                <w:rStyle w:val="IndexLink"/>
                <w:rtl w:val="true"/>
              </w:rPr>
              <w:t>مقدمات بحث مقام الإثبات</w:t>
            </w:r>
            <w:r>
              <w:rPr>
                <w:rStyle w:val="IndexLink"/>
                <w:rtl w:val="true"/>
              </w:rPr>
              <w:t>:</w:t>
              <w:tab/>
            </w:r>
            <w:r>
              <w:rPr>
                <w:rStyle w:val="IndexLink"/>
              </w:rPr>
              <w:t>112</w:t>
            </w:r>
          </w:hyperlink>
        </w:p>
        <w:p>
          <w:pPr>
            <w:pStyle w:val="Contents3"/>
            <w:tabs>
              <w:tab w:val="clear" w:pos="8459"/>
              <w:tab w:val="right" w:pos="9026" w:leader="dot"/>
            </w:tabs>
            <w:rPr/>
          </w:pPr>
          <w:hyperlink w:anchor="__RefHeading___Toc2082436_581953129">
            <w:r>
              <w:rPr>
                <w:webHidden/>
                <w:rStyle w:val="IndexLink"/>
                <w:rtl w:val="true"/>
              </w:rPr>
              <w:t>نقد مبنی الإمام الخمینی فی تعدد القاعدتین</w:t>
            </w:r>
            <w:r>
              <w:rPr>
                <w:rStyle w:val="IndexLink"/>
                <w:rtl w:val="true"/>
              </w:rPr>
              <w:tab/>
            </w:r>
            <w:r>
              <w:rPr>
                <w:rStyle w:val="IndexLink"/>
              </w:rPr>
              <w:t>120</w:t>
            </w:r>
          </w:hyperlink>
        </w:p>
        <w:p>
          <w:pPr>
            <w:pStyle w:val="Contents3"/>
            <w:tabs>
              <w:tab w:val="clear" w:pos="8459"/>
              <w:tab w:val="right" w:pos="9026" w:leader="dot"/>
            </w:tabs>
            <w:rPr/>
          </w:pPr>
          <w:hyperlink w:anchor="__RefHeading___Toc2082438_581953129">
            <w:r>
              <w:rPr>
                <w:webHidden/>
                <w:rStyle w:val="IndexLink"/>
                <w:rtl w:val="true"/>
              </w:rPr>
              <w:t>الفرق بین قاعدتی الفراغ والتجاوز</w:t>
            </w:r>
            <w:r>
              <w:rPr>
                <w:rStyle w:val="IndexLink"/>
                <w:rtl w:val="true"/>
              </w:rPr>
              <w:t>:</w:t>
              <w:tab/>
            </w:r>
            <w:r>
              <w:rPr>
                <w:rStyle w:val="IndexLink"/>
              </w:rPr>
              <w:t>121</w:t>
            </w:r>
          </w:hyperlink>
        </w:p>
        <w:p>
          <w:pPr>
            <w:pStyle w:val="Contents2"/>
            <w:tabs>
              <w:tab w:val="clear" w:pos="8743"/>
              <w:tab w:val="right" w:pos="9026" w:leader="dot"/>
            </w:tabs>
            <w:rPr/>
          </w:pPr>
          <w:hyperlink w:anchor="__RefHeading___Toc2082440_581953129">
            <w:r>
              <w:rPr>
                <w:webHidden/>
                <w:rStyle w:val="IndexLink"/>
                <w:rtl w:val="true"/>
              </w:rPr>
              <w:t xml:space="preserve">دراسة وتحلیل رأی الإمام الخمینی </w:t>
            </w:r>
            <w:r>
              <w:rPr>
                <w:rStyle w:val="IndexLink"/>
                <w:rtl w:val="true"/>
              </w:rPr>
              <w:t>(</w:t>
            </w:r>
            <w:r>
              <w:rPr>
                <w:rStyle w:val="IndexLink"/>
                <w:rtl w:val="true"/>
              </w:rPr>
              <w:t>رحمه الله</w:t>
            </w:r>
            <w:r>
              <w:rPr>
                <w:rStyle w:val="IndexLink"/>
                <w:rtl w:val="true"/>
              </w:rPr>
              <w:t xml:space="preserve">) </w:t>
            </w:r>
            <w:r>
              <w:rPr>
                <w:rStyle w:val="IndexLink"/>
                <w:rtl w:val="true"/>
              </w:rPr>
              <w:t>فی استفادة قاعدة التجاوز من الروایات</w:t>
            </w:r>
            <w:r>
              <w:rPr>
                <w:rStyle w:val="IndexLink"/>
                <w:rtl w:val="true"/>
              </w:rPr>
              <w:tab/>
            </w:r>
            <w:r>
              <w:rPr>
                <w:rStyle w:val="IndexLink"/>
              </w:rPr>
              <w:t>124</w:t>
            </w:r>
          </w:hyperlink>
        </w:p>
        <w:p>
          <w:pPr>
            <w:pStyle w:val="Contents3"/>
            <w:tabs>
              <w:tab w:val="clear" w:pos="8459"/>
              <w:tab w:val="right" w:pos="9026" w:leader="dot"/>
            </w:tabs>
            <w:rPr/>
          </w:pPr>
          <w:hyperlink w:anchor="__RefHeading___Toc2082442_581953129">
            <w:r>
              <w:rPr>
                <w:webHidden/>
                <w:rStyle w:val="IndexLink"/>
                <w:rtl w:val="true"/>
              </w:rPr>
              <w:t>اشارة</w:t>
            </w:r>
            <w:r>
              <w:rPr>
                <w:rStyle w:val="IndexLink"/>
                <w:rtl w:val="true"/>
              </w:rPr>
              <w:tab/>
            </w:r>
            <w:r>
              <w:rPr>
                <w:rStyle w:val="IndexLink"/>
              </w:rPr>
              <w:t>124</w:t>
            </w:r>
          </w:hyperlink>
        </w:p>
        <w:p>
          <w:pPr>
            <w:pStyle w:val="Contents3"/>
            <w:tabs>
              <w:tab w:val="clear" w:pos="8459"/>
              <w:tab w:val="right" w:pos="9026" w:leader="dot"/>
            </w:tabs>
            <w:rPr/>
          </w:pPr>
          <w:hyperlink w:anchor="__RefHeading___Toc2082444_581953129">
            <w:r>
              <w:rPr>
                <w:webHidden/>
                <w:rStyle w:val="IndexLink"/>
                <w:rtl w:val="true"/>
              </w:rPr>
              <w:t xml:space="preserve">مناقشة نظریة الإمام الخمینی </w:t>
            </w:r>
            <w:r>
              <w:rPr>
                <w:rStyle w:val="IndexLink"/>
                <w:rtl w:val="true"/>
              </w:rPr>
              <w:t>(</w:t>
            </w:r>
            <w:r>
              <w:rPr>
                <w:rStyle w:val="IndexLink"/>
                <w:rtl w:val="true"/>
              </w:rPr>
              <w:t>رحمه الله</w:t>
            </w:r>
            <w:r>
              <w:rPr>
                <w:rStyle w:val="IndexLink"/>
                <w:rtl w:val="true"/>
              </w:rPr>
              <w:t>):</w:t>
              <w:tab/>
            </w:r>
            <w:r>
              <w:rPr>
                <w:rStyle w:val="IndexLink"/>
              </w:rPr>
              <w:t>125</w:t>
            </w:r>
          </w:hyperlink>
        </w:p>
        <w:p>
          <w:pPr>
            <w:pStyle w:val="Contents3"/>
            <w:tabs>
              <w:tab w:val="clear" w:pos="8459"/>
              <w:tab w:val="right" w:pos="9026" w:leader="dot"/>
            </w:tabs>
            <w:rPr/>
          </w:pPr>
          <w:hyperlink w:anchor="__RefHeading___Toc2082446_581953129">
            <w:r>
              <w:rPr>
                <w:webHidden/>
                <w:rStyle w:val="IndexLink"/>
                <w:rtl w:val="true"/>
              </w:rPr>
              <w:t xml:space="preserve">مناقشة رأی الإمام الخمینی </w:t>
            </w:r>
            <w:r>
              <w:rPr>
                <w:rStyle w:val="IndexLink"/>
                <w:rtl w:val="true"/>
              </w:rPr>
              <w:t>(</w:t>
            </w:r>
            <w:r>
              <w:rPr>
                <w:rStyle w:val="IndexLink"/>
                <w:rtl w:val="true"/>
              </w:rPr>
              <w:t>رحمه الله</w:t>
            </w:r>
            <w:r>
              <w:rPr>
                <w:rStyle w:val="IndexLink"/>
                <w:rtl w:val="true"/>
              </w:rPr>
              <w:t>):</w:t>
              <w:tab/>
            </w:r>
            <w:r>
              <w:rPr>
                <w:rStyle w:val="IndexLink"/>
              </w:rPr>
              <w:t>126</w:t>
            </w:r>
          </w:hyperlink>
        </w:p>
        <w:p>
          <w:pPr>
            <w:pStyle w:val="Contents2"/>
            <w:tabs>
              <w:tab w:val="clear" w:pos="8743"/>
              <w:tab w:val="right" w:pos="9026" w:leader="dot"/>
            </w:tabs>
            <w:rPr/>
          </w:pPr>
          <w:hyperlink w:anchor="__RefHeading___Toc2082448_581953129">
            <w:r>
              <w:rPr>
                <w:webHidden/>
                <w:rStyle w:val="IndexLink"/>
                <w:rtl w:val="true"/>
              </w:rPr>
              <w:t>دراسة روایة موثقة بکیر بن أعین</w:t>
            </w:r>
            <w:r>
              <w:rPr>
                <w:rStyle w:val="IndexLink"/>
                <w:rtl w:val="true"/>
              </w:rPr>
              <w:t>:</w:t>
              <w:tab/>
            </w:r>
            <w:r>
              <w:rPr>
                <w:rStyle w:val="IndexLink"/>
              </w:rPr>
              <w:t>131</w:t>
            </w:r>
          </w:hyperlink>
        </w:p>
        <w:p>
          <w:pPr>
            <w:pStyle w:val="Contents2"/>
            <w:tabs>
              <w:tab w:val="clear" w:pos="8743"/>
              <w:tab w:val="right" w:pos="9026" w:leader="dot"/>
            </w:tabs>
            <w:rPr/>
          </w:pPr>
          <w:hyperlink w:anchor="__RefHeading___Toc2082450_581953129">
            <w:r>
              <w:rPr>
                <w:webHidden/>
                <w:rStyle w:val="IndexLink"/>
                <w:rtl w:val="true"/>
              </w:rPr>
              <w:t>ثمرة بحث تعدّد القاعدتین أو وحدتهما</w:t>
            </w:r>
            <w:r>
              <w:rPr>
                <w:rStyle w:val="IndexLink"/>
                <w:rtl w:val="true"/>
              </w:rPr>
              <w:t>:</w:t>
              <w:tab/>
            </w:r>
            <w:r>
              <w:rPr>
                <w:rStyle w:val="IndexLink"/>
              </w:rPr>
              <w:t>136</w:t>
            </w:r>
          </w:hyperlink>
        </w:p>
        <w:p>
          <w:pPr>
            <w:pStyle w:val="Contents2"/>
            <w:tabs>
              <w:tab w:val="clear" w:pos="8743"/>
              <w:tab w:val="right" w:pos="9026" w:leader="dot"/>
            </w:tabs>
            <w:rPr/>
          </w:pPr>
          <w:hyperlink w:anchor="__RefHeading___Toc2082452_581953129">
            <w:r>
              <w:rPr>
                <w:webHidden/>
                <w:rStyle w:val="IndexLink"/>
                <w:rtl w:val="true"/>
              </w:rPr>
              <w:t>جریان قاعدة الفراغ والتجاوز فی جمیع أبواب الفقه</w:t>
            </w:r>
            <w:r>
              <w:rPr>
                <w:rStyle w:val="IndexLink"/>
                <w:rtl w:val="true"/>
              </w:rPr>
              <w:t>:</w:t>
              <w:tab/>
            </w:r>
            <w:r>
              <w:rPr>
                <w:rStyle w:val="IndexLink"/>
              </w:rPr>
              <w:t>139</w:t>
            </w:r>
          </w:hyperlink>
        </w:p>
        <w:p>
          <w:pPr>
            <w:pStyle w:val="Contents2"/>
            <w:tabs>
              <w:tab w:val="clear" w:pos="8743"/>
              <w:tab w:val="right" w:pos="9026" w:leader="dot"/>
            </w:tabs>
            <w:rPr/>
          </w:pPr>
          <w:hyperlink w:anchor="__RefHeading___Toc2082454_581953129">
            <w:r>
              <w:rPr>
                <w:webHidden/>
                <w:rStyle w:val="IndexLink"/>
                <w:rtl w:val="true"/>
              </w:rPr>
              <w:t>دراسة عموم قاعدة التجاوز</w:t>
            </w:r>
            <w:r>
              <w:rPr>
                <w:rStyle w:val="IndexLink"/>
                <w:rtl w:val="true"/>
              </w:rPr>
              <w:t>:</w:t>
              <w:tab/>
            </w:r>
            <w:r>
              <w:rPr>
                <w:rStyle w:val="IndexLink"/>
              </w:rPr>
              <w:t>146</w:t>
            </w:r>
          </w:hyperlink>
        </w:p>
        <w:p>
          <w:pPr>
            <w:pStyle w:val="Contents2"/>
            <w:tabs>
              <w:tab w:val="clear" w:pos="8743"/>
              <w:tab w:val="right" w:pos="9026" w:leader="dot"/>
            </w:tabs>
            <w:rPr/>
          </w:pPr>
          <w:hyperlink w:anchor="__RefHeading___Toc2082456_581953129">
            <w:r>
              <w:rPr>
                <w:webHidden/>
                <w:rStyle w:val="IndexLink"/>
                <w:rtl w:val="true"/>
              </w:rPr>
              <w:t>البحث فی جریان قاعدة التجاوز فی الطهارات الثلاث</w:t>
            </w:r>
            <w:r>
              <w:rPr>
                <w:rStyle w:val="IndexLink"/>
                <w:rtl w:val="true"/>
              </w:rPr>
              <w:t>:</w:t>
              <w:tab/>
            </w:r>
            <w:r>
              <w:rPr>
                <w:rStyle w:val="IndexLink"/>
              </w:rPr>
              <w:t>149</w:t>
            </w:r>
          </w:hyperlink>
        </w:p>
        <w:p>
          <w:pPr>
            <w:pStyle w:val="Contents2"/>
            <w:tabs>
              <w:tab w:val="clear" w:pos="8743"/>
              <w:tab w:val="right" w:pos="9026" w:leader="dot"/>
            </w:tabs>
            <w:rPr/>
          </w:pPr>
          <w:hyperlink w:anchor="__RefHeading___Toc2082458_581953129">
            <w:r>
              <w:rPr>
                <w:webHidden/>
                <w:rStyle w:val="IndexLink"/>
                <w:rtl w:val="true"/>
              </w:rPr>
              <w:t>عدم جریان قاعدة التجاوز فی الوضوء</w:t>
            </w:r>
            <w:r>
              <w:rPr>
                <w:rStyle w:val="IndexLink"/>
                <w:rtl w:val="true"/>
              </w:rPr>
              <w:t>:</w:t>
              <w:tab/>
            </w:r>
            <w:r>
              <w:rPr>
                <w:rStyle w:val="IndexLink"/>
              </w:rPr>
              <w:t>150</w:t>
            </w:r>
          </w:hyperlink>
        </w:p>
        <w:p>
          <w:pPr>
            <w:pStyle w:val="Contents3"/>
            <w:tabs>
              <w:tab w:val="clear" w:pos="8459"/>
              <w:tab w:val="right" w:pos="9026" w:leader="dot"/>
            </w:tabs>
            <w:rPr/>
          </w:pPr>
          <w:hyperlink w:anchor="__RefHeading___Toc2082460_581953129">
            <w:r>
              <w:rPr>
                <w:webHidden/>
                <w:rStyle w:val="IndexLink"/>
                <w:rtl w:val="true"/>
              </w:rPr>
              <w:t>اشارة</w:t>
            </w:r>
            <w:r>
              <w:rPr>
                <w:rStyle w:val="IndexLink"/>
                <w:rtl w:val="true"/>
              </w:rPr>
              <w:tab/>
            </w:r>
            <w:r>
              <w:rPr>
                <w:rStyle w:val="IndexLink"/>
              </w:rPr>
              <w:t>150</w:t>
            </w:r>
          </w:hyperlink>
        </w:p>
        <w:p>
          <w:pPr>
            <w:pStyle w:val="Contents3"/>
            <w:tabs>
              <w:tab w:val="clear" w:pos="8459"/>
              <w:tab w:val="right" w:pos="9026" w:leader="dot"/>
            </w:tabs>
            <w:rPr/>
          </w:pPr>
          <w:hyperlink w:anchor="__RefHeading___Toc2082462_581953129">
            <w:r>
              <w:rPr>
                <w:webHidden/>
                <w:rStyle w:val="IndexLink"/>
                <w:rtl w:val="true"/>
              </w:rPr>
              <w:t>إشکالات المحقق العراقی علی مسلک الشیخ الأنصاری</w:t>
            </w:r>
            <w:r>
              <w:rPr>
                <w:rStyle w:val="IndexLink"/>
                <w:rtl w:val="true"/>
              </w:rPr>
              <w:t>:</w:t>
              <w:tab/>
            </w:r>
            <w:r>
              <w:rPr>
                <w:rStyle w:val="IndexLink"/>
              </w:rPr>
              <w:t>153</w:t>
            </w:r>
          </w:hyperlink>
        </w:p>
        <w:p>
          <w:pPr>
            <w:pStyle w:val="Contents3"/>
            <w:tabs>
              <w:tab w:val="clear" w:pos="8459"/>
              <w:tab w:val="right" w:pos="9026" w:leader="dot"/>
            </w:tabs>
            <w:rPr/>
          </w:pPr>
          <w:hyperlink w:anchor="__RefHeading___Toc2082464_581953129">
            <w:r>
              <w:rPr>
                <w:webHidden/>
                <w:rStyle w:val="IndexLink"/>
                <w:rtl w:val="true"/>
              </w:rPr>
              <w:t>إشکالات نظریة المحقق العراقی</w:t>
            </w:r>
            <w:r>
              <w:rPr>
                <w:rStyle w:val="IndexLink"/>
                <w:rtl w:val="true"/>
              </w:rPr>
              <w:t>:</w:t>
              <w:tab/>
            </w:r>
            <w:r>
              <w:rPr>
                <w:rStyle w:val="IndexLink"/>
              </w:rPr>
              <w:t>154</w:t>
            </w:r>
          </w:hyperlink>
        </w:p>
        <w:p>
          <w:pPr>
            <w:pStyle w:val="Contents2"/>
            <w:tabs>
              <w:tab w:val="clear" w:pos="8743"/>
              <w:tab w:val="right" w:pos="9026" w:leader="dot"/>
            </w:tabs>
            <w:rPr/>
          </w:pPr>
          <w:hyperlink w:anchor="__RefHeading___Toc2082466_581953129">
            <w:r>
              <w:rPr>
                <w:webHidden/>
                <w:rStyle w:val="IndexLink"/>
                <w:rtl w:val="true"/>
              </w:rPr>
              <w:t>دراسة الوجوه الأخری للجمع بین الصحیحة والموثّقة</w:t>
            </w:r>
            <w:r>
              <w:rPr>
                <w:rStyle w:val="IndexLink"/>
                <w:rtl w:val="true"/>
              </w:rPr>
              <w:t>:</w:t>
              <w:tab/>
            </w:r>
            <w:r>
              <w:rPr>
                <w:rStyle w:val="IndexLink"/>
              </w:rPr>
              <w:t>155</w:t>
            </w:r>
          </w:hyperlink>
        </w:p>
        <w:p>
          <w:pPr>
            <w:pStyle w:val="Contents2"/>
            <w:tabs>
              <w:tab w:val="clear" w:pos="8743"/>
              <w:tab w:val="right" w:pos="9026" w:leader="dot"/>
            </w:tabs>
            <w:rPr/>
          </w:pPr>
          <w:hyperlink w:anchor="__RefHeading___Toc2082468_581953129">
            <w:r>
              <w:rPr>
                <w:webHidden/>
                <w:rStyle w:val="IndexLink"/>
                <w:rtl w:val="true"/>
              </w:rPr>
              <w:t>الإشکالات علی الوجه الخامس</w:t>
            </w:r>
            <w:r>
              <w:rPr>
                <w:rStyle w:val="IndexLink"/>
                <w:rtl w:val="true"/>
              </w:rPr>
              <w:tab/>
            </w:r>
            <w:r>
              <w:rPr>
                <w:rStyle w:val="IndexLink"/>
              </w:rPr>
              <w:t>159</w:t>
            </w:r>
          </w:hyperlink>
        </w:p>
        <w:p>
          <w:pPr>
            <w:pStyle w:val="Contents2"/>
            <w:tabs>
              <w:tab w:val="clear" w:pos="8743"/>
              <w:tab w:val="right" w:pos="9026" w:leader="dot"/>
            </w:tabs>
            <w:rPr/>
          </w:pPr>
          <w:hyperlink w:anchor="__RefHeading___Toc2082470_581953129">
            <w:r>
              <w:rPr>
                <w:webHidden/>
                <w:rStyle w:val="IndexLink"/>
                <w:rtl w:val="true"/>
              </w:rPr>
              <w:t>بحث حول جریان قاعدة التجاوز فی الغُسل والتیمّم</w:t>
            </w:r>
            <w:r>
              <w:rPr>
                <w:rStyle w:val="IndexLink"/>
                <w:rtl w:val="true"/>
              </w:rPr>
              <w:t>:</w:t>
              <w:tab/>
            </w:r>
            <w:r>
              <w:rPr>
                <w:rStyle w:val="IndexLink"/>
              </w:rPr>
              <w:t>162</w:t>
            </w:r>
          </w:hyperlink>
        </w:p>
        <w:p>
          <w:pPr>
            <w:pStyle w:val="Contents2"/>
            <w:tabs>
              <w:tab w:val="clear" w:pos="8743"/>
              <w:tab w:val="right" w:pos="9026" w:leader="dot"/>
            </w:tabs>
            <w:rPr/>
          </w:pPr>
          <w:hyperlink w:anchor="__RefHeading___Toc2082472_581953129">
            <w:r>
              <w:rPr>
                <w:webHidden/>
                <w:rStyle w:val="IndexLink"/>
                <w:rtl w:val="true"/>
              </w:rPr>
              <w:t>المؤیّد لجریان قاعدة التجاوز فی الغُسل</w:t>
            </w:r>
            <w:r>
              <w:rPr>
                <w:rStyle w:val="IndexLink"/>
                <w:rtl w:val="true"/>
              </w:rPr>
              <w:t>:</w:t>
              <w:tab/>
            </w:r>
            <w:r>
              <w:rPr>
                <w:rStyle w:val="IndexLink"/>
              </w:rPr>
              <w:t>167</w:t>
            </w:r>
          </w:hyperlink>
        </w:p>
        <w:p>
          <w:pPr>
            <w:pStyle w:val="Contents2"/>
            <w:tabs>
              <w:tab w:val="clear" w:pos="8743"/>
              <w:tab w:val="right" w:pos="9026" w:leader="dot"/>
            </w:tabs>
            <w:rPr/>
          </w:pPr>
          <w:hyperlink w:anchor="__RefHeading___Toc2082474_581953129">
            <w:r>
              <w:rPr>
                <w:webHidden/>
                <w:rStyle w:val="IndexLink"/>
                <w:rtl w:val="true"/>
              </w:rPr>
              <w:t>بحث جریان قاعدة التجاوز فی جزء الجزء</w:t>
            </w:r>
            <w:r>
              <w:rPr>
                <w:rStyle w:val="IndexLink"/>
                <w:rtl w:val="true"/>
              </w:rPr>
              <w:t>:</w:t>
              <w:tab/>
            </w:r>
            <w:r>
              <w:rPr>
                <w:rStyle w:val="IndexLink"/>
              </w:rPr>
              <w:t>168</w:t>
            </w:r>
          </w:hyperlink>
        </w:p>
        <w:p>
          <w:pPr>
            <w:pStyle w:val="Contents3"/>
            <w:tabs>
              <w:tab w:val="clear" w:pos="8459"/>
              <w:tab w:val="right" w:pos="9026" w:leader="dot"/>
            </w:tabs>
            <w:rPr/>
          </w:pPr>
          <w:hyperlink w:anchor="__RefHeading___Toc2082476_581953129">
            <w:r>
              <w:rPr>
                <w:webHidden/>
                <w:rStyle w:val="IndexLink"/>
                <w:rtl w:val="true"/>
              </w:rPr>
              <w:t>اشارة</w:t>
            </w:r>
            <w:r>
              <w:rPr>
                <w:rStyle w:val="IndexLink"/>
                <w:rtl w:val="true"/>
              </w:rPr>
              <w:tab/>
            </w:r>
            <w:r>
              <w:rPr>
                <w:rStyle w:val="IndexLink"/>
              </w:rPr>
              <w:t>168</w:t>
            </w:r>
          </w:hyperlink>
        </w:p>
        <w:p>
          <w:pPr>
            <w:pStyle w:val="Contents3"/>
            <w:tabs>
              <w:tab w:val="clear" w:pos="8459"/>
              <w:tab w:val="right" w:pos="9026" w:leader="dot"/>
            </w:tabs>
            <w:rPr/>
          </w:pPr>
          <w:hyperlink w:anchor="__RefHeading___Toc2082478_581953129">
            <w:r>
              <w:rPr>
                <w:webHidden/>
                <w:rStyle w:val="IndexLink"/>
                <w:rtl w:val="true"/>
              </w:rPr>
              <w:t>نظریة المحقق النائینی</w:t>
            </w:r>
            <w:r>
              <w:rPr>
                <w:rStyle w:val="IndexLink"/>
                <w:rtl w:val="true"/>
              </w:rPr>
              <w:t>:</w:t>
              <w:tab/>
            </w:r>
            <w:r>
              <w:rPr>
                <w:rStyle w:val="IndexLink"/>
              </w:rPr>
              <w:t>168</w:t>
            </w:r>
          </w:hyperlink>
        </w:p>
        <w:p>
          <w:pPr>
            <w:pStyle w:val="Contents3"/>
            <w:tabs>
              <w:tab w:val="clear" w:pos="8459"/>
              <w:tab w:val="right" w:pos="9026" w:leader="dot"/>
            </w:tabs>
            <w:rPr/>
          </w:pPr>
          <w:hyperlink w:anchor="__RefHeading___Toc2082480_581953129">
            <w:r>
              <w:rPr>
                <w:webHidden/>
                <w:rStyle w:val="IndexLink"/>
                <w:rtl w:val="true"/>
              </w:rPr>
              <w:t>نظریة المحقق الأصفهانی</w:t>
            </w:r>
            <w:r>
              <w:rPr>
                <w:rStyle w:val="IndexLink"/>
                <w:rtl w:val="true"/>
              </w:rPr>
              <w:t>:</w:t>
              <w:tab/>
            </w:r>
            <w:r>
              <w:rPr>
                <w:rStyle w:val="IndexLink"/>
              </w:rPr>
              <w:t>170</w:t>
            </w:r>
          </w:hyperlink>
        </w:p>
        <w:p>
          <w:pPr>
            <w:pStyle w:val="Contents2"/>
            <w:tabs>
              <w:tab w:val="clear" w:pos="8743"/>
              <w:tab w:val="right" w:pos="9026" w:leader="dot"/>
            </w:tabs>
            <w:rPr/>
          </w:pPr>
          <w:hyperlink w:anchor="__RefHeading___Toc2082482_581953129">
            <w:r>
              <w:rPr>
                <w:webHidden/>
                <w:rStyle w:val="IndexLink"/>
                <w:rtl w:val="true"/>
              </w:rPr>
              <w:t>جریان قاعدة الفراغ والتجاوز فی الجزء الأخیر من المرکّب</w:t>
            </w:r>
            <w:r>
              <w:rPr>
                <w:rStyle w:val="IndexLink"/>
                <w:rtl w:val="true"/>
              </w:rPr>
              <w:tab/>
            </w:r>
            <w:r>
              <w:rPr>
                <w:rStyle w:val="IndexLink"/>
              </w:rPr>
              <w:t>171</w:t>
            </w:r>
          </w:hyperlink>
        </w:p>
        <w:p>
          <w:pPr>
            <w:pStyle w:val="Contents2"/>
            <w:tabs>
              <w:tab w:val="clear" w:pos="8743"/>
              <w:tab w:val="right" w:pos="9026" w:leader="dot"/>
            </w:tabs>
            <w:rPr/>
          </w:pPr>
          <w:hyperlink w:anchor="__RefHeading___Toc2082484_581953129">
            <w:r>
              <w:rPr>
                <w:webHidden/>
                <w:rStyle w:val="IndexLink"/>
                <w:rtl w:val="true"/>
              </w:rPr>
              <w:t>وقد أورد المحقق الخوئی أیضاً إشکالین علی رأی أستاذه هنا</w:t>
            </w:r>
            <w:r>
              <w:rPr>
                <w:rStyle w:val="IndexLink"/>
                <w:rtl w:val="true"/>
              </w:rPr>
              <w:t>:</w:t>
              <w:tab/>
            </w:r>
            <w:r>
              <w:rPr>
                <w:rStyle w:val="IndexLink"/>
              </w:rPr>
              <w:t>175</w:t>
            </w:r>
          </w:hyperlink>
        </w:p>
        <w:p>
          <w:pPr>
            <w:pStyle w:val="Contents2"/>
            <w:tabs>
              <w:tab w:val="clear" w:pos="8743"/>
              <w:tab w:val="right" w:pos="9026" w:leader="dot"/>
            </w:tabs>
            <w:rPr/>
          </w:pPr>
          <w:hyperlink w:anchor="__RefHeading___Toc2082486_581953129">
            <w:r>
              <w:rPr>
                <w:webHidden/>
                <w:rStyle w:val="IndexLink"/>
                <w:rtl w:val="true"/>
              </w:rPr>
              <w:t>تحلیل نظریة صاحب منتقی الأصول</w:t>
            </w:r>
            <w:r>
              <w:rPr>
                <w:rStyle w:val="IndexLink"/>
                <w:rtl w:val="true"/>
              </w:rPr>
              <w:t>:</w:t>
              <w:tab/>
            </w:r>
            <w:r>
              <w:rPr>
                <w:rStyle w:val="IndexLink"/>
              </w:rPr>
              <w:t>181</w:t>
            </w:r>
          </w:hyperlink>
        </w:p>
        <w:p>
          <w:pPr>
            <w:pStyle w:val="Contents3"/>
            <w:tabs>
              <w:tab w:val="clear" w:pos="8459"/>
              <w:tab w:val="right" w:pos="9026" w:leader="dot"/>
            </w:tabs>
            <w:rPr/>
          </w:pPr>
          <w:hyperlink w:anchor="__RefHeading___Toc2082488_581953129">
            <w:r>
              <w:rPr>
                <w:webHidden/>
                <w:rStyle w:val="IndexLink"/>
                <w:rtl w:val="true"/>
              </w:rPr>
              <w:t>اشارة</w:t>
            </w:r>
            <w:r>
              <w:rPr>
                <w:rStyle w:val="IndexLink"/>
                <w:rtl w:val="true"/>
              </w:rPr>
              <w:tab/>
            </w:r>
            <w:r>
              <w:rPr>
                <w:rStyle w:val="IndexLink"/>
              </w:rPr>
              <w:t>181</w:t>
            </w:r>
          </w:hyperlink>
        </w:p>
        <w:p>
          <w:pPr>
            <w:pStyle w:val="Contents3"/>
            <w:tabs>
              <w:tab w:val="clear" w:pos="8459"/>
              <w:tab w:val="right" w:pos="9026" w:leader="dot"/>
            </w:tabs>
            <w:rPr/>
          </w:pPr>
          <w:hyperlink w:anchor="__RefHeading___Toc2082490_581953129">
            <w:r>
              <w:rPr>
                <w:webHidden/>
                <w:rStyle w:val="IndexLink"/>
                <w:rtl w:val="true"/>
              </w:rPr>
              <w:t>الإشکالات الواردة علی رأی صاحب منتقی الأصول</w:t>
            </w:r>
            <w:r>
              <w:rPr>
                <w:rStyle w:val="IndexLink"/>
                <w:rtl w:val="true"/>
              </w:rPr>
              <w:t>:</w:t>
              <w:tab/>
            </w:r>
            <w:r>
              <w:rPr>
                <w:rStyle w:val="IndexLink"/>
              </w:rPr>
              <w:t>182</w:t>
            </w:r>
          </w:hyperlink>
        </w:p>
        <w:p>
          <w:pPr>
            <w:pStyle w:val="Contents2"/>
            <w:tabs>
              <w:tab w:val="clear" w:pos="8743"/>
              <w:tab w:val="right" w:pos="9026" w:leader="dot"/>
            </w:tabs>
            <w:rPr/>
          </w:pPr>
          <w:hyperlink w:anchor="__RefHeading___Toc2082492_581953129">
            <w:r>
              <w:rPr>
                <w:webHidden/>
                <w:rStyle w:val="IndexLink"/>
                <w:rtl w:val="true"/>
              </w:rPr>
              <w:t>جریان قاعدة الفراغ والتجاوز عند الشکّ فی صحّة الأجزاء</w:t>
            </w:r>
            <w:r>
              <w:rPr>
                <w:rStyle w:val="IndexLink"/>
                <w:rtl w:val="true"/>
              </w:rPr>
              <w:t>:</w:t>
              <w:tab/>
            </w:r>
            <w:r>
              <w:rPr>
                <w:rStyle w:val="IndexLink"/>
              </w:rPr>
              <w:t>184</w:t>
            </w:r>
          </w:hyperlink>
        </w:p>
        <w:p>
          <w:pPr>
            <w:pStyle w:val="Contents2"/>
            <w:tabs>
              <w:tab w:val="clear" w:pos="8743"/>
              <w:tab w:val="right" w:pos="9026" w:leader="dot"/>
            </w:tabs>
            <w:rPr/>
          </w:pPr>
          <w:hyperlink w:anchor="__RefHeading___Toc2082494_581953129">
            <w:r>
              <w:rPr>
                <w:webHidden/>
                <w:rStyle w:val="IndexLink"/>
                <w:rtl w:val="true"/>
              </w:rPr>
              <w:t>ما المراد من المحلّ فی قاعدة التجاوز؟</w:t>
            </w:r>
            <w:r>
              <w:rPr>
                <w:rStyle w:val="IndexLink"/>
                <w:rtl w:val="true"/>
              </w:rPr>
              <w:tab/>
            </w:r>
            <w:r>
              <w:rPr>
                <w:rStyle w:val="IndexLink"/>
              </w:rPr>
              <w:t>187</w:t>
            </w:r>
          </w:hyperlink>
        </w:p>
        <w:p>
          <w:pPr>
            <w:pStyle w:val="Contents2"/>
            <w:tabs>
              <w:tab w:val="clear" w:pos="8743"/>
              <w:tab w:val="right" w:pos="9026" w:leader="dot"/>
            </w:tabs>
            <w:rPr/>
          </w:pPr>
          <w:hyperlink w:anchor="__RefHeading___Toc2082496_581953129">
            <w:r>
              <w:rPr>
                <w:webHidden/>
                <w:rStyle w:val="IndexLink"/>
                <w:rtl w:val="true"/>
              </w:rPr>
              <w:t>أدلة اختصاص القاعدة بالمحل الشرعی</w:t>
            </w:r>
            <w:r>
              <w:rPr>
                <w:rStyle w:val="IndexLink"/>
                <w:rtl w:val="true"/>
              </w:rPr>
              <w:t>:</w:t>
              <w:tab/>
            </w:r>
            <w:r>
              <w:rPr>
                <w:rStyle w:val="IndexLink"/>
              </w:rPr>
              <w:t>190</w:t>
            </w:r>
          </w:hyperlink>
        </w:p>
        <w:p>
          <w:pPr>
            <w:pStyle w:val="Contents2"/>
            <w:tabs>
              <w:tab w:val="clear" w:pos="8743"/>
              <w:tab w:val="right" w:pos="9026" w:leader="dot"/>
            </w:tabs>
            <w:rPr/>
          </w:pPr>
          <w:hyperlink w:anchor="__RefHeading___Toc2082498_581953129">
            <w:r>
              <w:rPr>
                <w:webHidden/>
                <w:rStyle w:val="IndexLink"/>
                <w:rtl w:val="true"/>
              </w:rPr>
              <w:t>ما المراد بالغیر فی قاعدة التجاوز؟</w:t>
            </w:r>
            <w:r>
              <w:rPr>
                <w:rStyle w:val="IndexLink"/>
                <w:rtl w:val="true"/>
              </w:rPr>
              <w:tab/>
            </w:r>
            <w:r>
              <w:rPr>
                <w:rStyle w:val="IndexLink"/>
              </w:rPr>
              <w:t>191</w:t>
            </w:r>
          </w:hyperlink>
        </w:p>
        <w:p>
          <w:pPr>
            <w:pStyle w:val="Contents2"/>
            <w:tabs>
              <w:tab w:val="clear" w:pos="8743"/>
              <w:tab w:val="right" w:pos="9026" w:leader="dot"/>
            </w:tabs>
            <w:rPr/>
          </w:pPr>
          <w:hyperlink w:anchor="__RefHeading___Toc2082500_581953129">
            <w:r>
              <w:rPr>
                <w:webHidden/>
                <w:rStyle w:val="IndexLink"/>
                <w:rtl w:val="true"/>
              </w:rPr>
              <w:t>بحث اعتبار الدخول فی الغیر فی قاعدة الفراغ والتجاوز</w:t>
            </w:r>
            <w:r>
              <w:rPr>
                <w:rStyle w:val="IndexLink"/>
                <w:rtl w:val="true"/>
              </w:rPr>
              <w:t>:</w:t>
              <w:tab/>
            </w:r>
            <w:r>
              <w:rPr>
                <w:rStyle w:val="IndexLink"/>
              </w:rPr>
              <w:t>197</w:t>
            </w:r>
          </w:hyperlink>
        </w:p>
        <w:p>
          <w:pPr>
            <w:pStyle w:val="Contents2"/>
            <w:tabs>
              <w:tab w:val="clear" w:pos="8743"/>
              <w:tab w:val="right" w:pos="9026" w:leader="dot"/>
            </w:tabs>
            <w:rPr/>
          </w:pPr>
          <w:hyperlink w:anchor="__RefHeading___Toc2082502_581953129">
            <w:r>
              <w:rPr>
                <w:webHidden/>
                <w:rStyle w:val="IndexLink"/>
                <w:rtl w:val="true"/>
              </w:rPr>
              <w:t>بحث اعتبار الدخول فی الغیر فی مجری قاعدة التجاوز</w:t>
            </w:r>
            <w:r>
              <w:rPr>
                <w:rStyle w:val="IndexLink"/>
                <w:rtl w:val="true"/>
              </w:rPr>
              <w:t>:</w:t>
              <w:tab/>
            </w:r>
            <w:r>
              <w:rPr>
                <w:rStyle w:val="IndexLink"/>
              </w:rPr>
              <w:t>198</w:t>
            </w:r>
          </w:hyperlink>
        </w:p>
        <w:p>
          <w:pPr>
            <w:pStyle w:val="Contents2"/>
            <w:tabs>
              <w:tab w:val="clear" w:pos="8743"/>
              <w:tab w:val="right" w:pos="9026" w:leader="dot"/>
            </w:tabs>
            <w:rPr/>
          </w:pPr>
          <w:hyperlink w:anchor="__RefHeading___Toc2082504_581953129">
            <w:r>
              <w:rPr>
                <w:webHidden/>
                <w:rStyle w:val="IndexLink"/>
                <w:rtl w:val="true"/>
              </w:rPr>
              <w:t>هل الدخول فی الغیر شرط شرعی أو عقلی ؟</w:t>
            </w:r>
            <w:r>
              <w:rPr>
                <w:rStyle w:val="IndexLink"/>
                <w:rtl w:val="true"/>
              </w:rPr>
              <w:tab/>
            </w:r>
            <w:r>
              <w:rPr>
                <w:rStyle w:val="IndexLink"/>
              </w:rPr>
              <w:t>200</w:t>
            </w:r>
          </w:hyperlink>
        </w:p>
        <w:p>
          <w:pPr>
            <w:pStyle w:val="Contents2"/>
            <w:tabs>
              <w:tab w:val="clear" w:pos="8743"/>
              <w:tab w:val="right" w:pos="9026" w:leader="dot"/>
            </w:tabs>
            <w:rPr/>
          </w:pPr>
          <w:hyperlink w:anchor="__RefHeading___Toc2082506_581953129">
            <w:r>
              <w:rPr>
                <w:webHidden/>
                <w:rStyle w:val="IndexLink"/>
                <w:rtl w:val="true"/>
              </w:rPr>
              <w:t>البحث فی اعتبار الدخول فی الغیر فی مجری قاعدة الفراغ</w:t>
            </w:r>
            <w:r>
              <w:rPr>
                <w:rStyle w:val="IndexLink"/>
                <w:rtl w:val="true"/>
              </w:rPr>
              <w:t>:</w:t>
              <w:tab/>
            </w:r>
            <w:r>
              <w:rPr>
                <w:rStyle w:val="IndexLink"/>
              </w:rPr>
              <w:t>200</w:t>
            </w:r>
          </w:hyperlink>
        </w:p>
        <w:p>
          <w:pPr>
            <w:pStyle w:val="Contents3"/>
            <w:tabs>
              <w:tab w:val="clear" w:pos="8459"/>
              <w:tab w:val="right" w:pos="9026" w:leader="dot"/>
            </w:tabs>
            <w:rPr/>
          </w:pPr>
          <w:hyperlink w:anchor="__RefHeading___Toc2082508_581953129">
            <w:r>
              <w:rPr>
                <w:webHidden/>
                <w:rStyle w:val="IndexLink"/>
                <w:rtl w:val="true"/>
              </w:rPr>
              <w:t>اشارة</w:t>
            </w:r>
            <w:r>
              <w:rPr>
                <w:rStyle w:val="IndexLink"/>
                <w:rtl w:val="true"/>
              </w:rPr>
              <w:tab/>
            </w:r>
            <w:r>
              <w:rPr>
                <w:rStyle w:val="IndexLink"/>
              </w:rPr>
              <w:t>200</w:t>
            </w:r>
          </w:hyperlink>
        </w:p>
        <w:p>
          <w:pPr>
            <w:pStyle w:val="Contents3"/>
            <w:tabs>
              <w:tab w:val="clear" w:pos="8459"/>
              <w:tab w:val="right" w:pos="9026" w:leader="dot"/>
            </w:tabs>
            <w:rPr/>
          </w:pPr>
          <w:hyperlink w:anchor="__RefHeading___Toc2082510_581953129">
            <w:r>
              <w:rPr>
                <w:webHidden/>
                <w:rStyle w:val="IndexLink"/>
                <w:rtl w:val="true"/>
              </w:rPr>
              <w:t>الإشکال علی رأی المحقّق الخوئی والمحقق الحائری</w:t>
            </w:r>
            <w:r>
              <w:rPr>
                <w:rStyle w:val="IndexLink"/>
                <w:rtl w:val="true"/>
              </w:rPr>
              <w:t>:</w:t>
              <w:tab/>
            </w:r>
            <w:r>
              <w:rPr>
                <w:rStyle w:val="IndexLink"/>
              </w:rPr>
              <w:t>209</w:t>
            </w:r>
          </w:hyperlink>
        </w:p>
        <w:p>
          <w:pPr>
            <w:pStyle w:val="Contents2"/>
            <w:tabs>
              <w:tab w:val="clear" w:pos="8743"/>
              <w:tab w:val="right" w:pos="9026" w:leader="dot"/>
            </w:tabs>
            <w:rPr/>
          </w:pPr>
          <w:hyperlink w:anchor="__RefHeading___Toc2082512_581953129">
            <w:r>
              <w:rPr>
                <w:webHidden/>
                <w:rStyle w:val="IndexLink"/>
                <w:rtl w:val="true"/>
              </w:rPr>
              <w:t>مناقشة رأی المحقّق الحائری</w:t>
            </w:r>
            <w:r>
              <w:rPr>
                <w:rStyle w:val="IndexLink"/>
                <w:rtl w:val="true"/>
              </w:rPr>
              <w:t>:</w:t>
              <w:tab/>
            </w:r>
            <w:r>
              <w:rPr>
                <w:rStyle w:val="IndexLink"/>
              </w:rPr>
              <w:t>210</w:t>
            </w:r>
          </w:hyperlink>
        </w:p>
        <w:p>
          <w:pPr>
            <w:pStyle w:val="Contents2"/>
            <w:tabs>
              <w:tab w:val="clear" w:pos="8743"/>
              <w:tab w:val="right" w:pos="9026" w:leader="dot"/>
            </w:tabs>
            <w:rPr/>
          </w:pPr>
          <w:hyperlink w:anchor="__RefHeading___Toc2082514_581953129">
            <w:r>
              <w:rPr>
                <w:webHidden/>
                <w:rStyle w:val="IndexLink"/>
                <w:rtl w:val="true"/>
              </w:rPr>
              <w:t xml:space="preserve">جریان قاعدة التجاوز والفراغ فی الشکّ فی الشروط </w:t>
            </w:r>
            <w:r>
              <w:rPr>
                <w:rStyle w:val="IndexLink"/>
                <w:rtl w:val="true"/>
              </w:rPr>
              <w:t>:</w:t>
              <w:tab/>
            </w:r>
            <w:r>
              <w:rPr>
                <w:rStyle w:val="IndexLink"/>
              </w:rPr>
              <w:t>212</w:t>
            </w:r>
          </w:hyperlink>
        </w:p>
        <w:p>
          <w:pPr>
            <w:pStyle w:val="Contents2"/>
            <w:tabs>
              <w:tab w:val="clear" w:pos="8743"/>
              <w:tab w:val="right" w:pos="9026" w:leader="dot"/>
            </w:tabs>
            <w:rPr/>
          </w:pPr>
          <w:hyperlink w:anchor="__RefHeading___Toc2082516_581953129">
            <w:r>
              <w:rPr>
                <w:webHidden/>
                <w:rStyle w:val="IndexLink"/>
                <w:rtl w:val="true"/>
              </w:rPr>
              <w:t>تحلیل الاحتمالات الموجودة فی المسألة</w:t>
            </w:r>
            <w:r>
              <w:rPr>
                <w:rStyle w:val="IndexLink"/>
                <w:rtl w:val="true"/>
              </w:rPr>
              <w:t>:</w:t>
              <w:tab/>
            </w:r>
            <w:r>
              <w:rPr>
                <w:rStyle w:val="IndexLink"/>
              </w:rPr>
              <w:t>212</w:t>
            </w:r>
          </w:hyperlink>
        </w:p>
        <w:p>
          <w:pPr>
            <w:pStyle w:val="Contents2"/>
            <w:tabs>
              <w:tab w:val="clear" w:pos="8743"/>
              <w:tab w:val="right" w:pos="9026" w:leader="dot"/>
            </w:tabs>
            <w:rPr/>
          </w:pPr>
          <w:hyperlink w:anchor="__RefHeading___Toc2082518_581953129">
            <w:r>
              <w:rPr>
                <w:webHidden/>
                <w:rStyle w:val="IndexLink"/>
                <w:rtl w:val="true"/>
              </w:rPr>
              <w:t>دراسة حکم القسم الأول</w:t>
            </w:r>
            <w:r>
              <w:rPr>
                <w:rStyle w:val="IndexLink"/>
                <w:rtl w:val="true"/>
              </w:rPr>
              <w:t>:</w:t>
              <w:tab/>
            </w:r>
            <w:r>
              <w:rPr>
                <w:rStyle w:val="IndexLink"/>
              </w:rPr>
              <w:t>213</w:t>
            </w:r>
          </w:hyperlink>
        </w:p>
        <w:p>
          <w:pPr>
            <w:pStyle w:val="Contents2"/>
            <w:tabs>
              <w:tab w:val="clear" w:pos="8743"/>
              <w:tab w:val="right" w:pos="9026" w:leader="dot"/>
            </w:tabs>
            <w:rPr/>
          </w:pPr>
          <w:hyperlink w:anchor="__RefHeading___Toc2082520_581953129">
            <w:r>
              <w:rPr>
                <w:webHidden/>
                <w:rStyle w:val="IndexLink"/>
                <w:rtl w:val="true"/>
              </w:rPr>
              <w:t>مناقشة نظریة المحقق النائینی</w:t>
            </w:r>
            <w:r>
              <w:rPr>
                <w:rStyle w:val="IndexLink"/>
                <w:rtl w:val="true"/>
              </w:rPr>
              <w:t>:</w:t>
              <w:tab/>
            </w:r>
            <w:r>
              <w:rPr>
                <w:rStyle w:val="IndexLink"/>
              </w:rPr>
              <w:t>216</w:t>
            </w:r>
          </w:hyperlink>
        </w:p>
        <w:p>
          <w:pPr>
            <w:pStyle w:val="Contents2"/>
            <w:tabs>
              <w:tab w:val="clear" w:pos="8743"/>
              <w:tab w:val="right" w:pos="9026" w:leader="dot"/>
            </w:tabs>
            <w:rPr/>
          </w:pPr>
          <w:hyperlink w:anchor="__RefHeading___Toc2082522_581953129">
            <w:r>
              <w:rPr>
                <w:webHidden/>
                <w:rStyle w:val="IndexLink"/>
                <w:rtl w:val="true"/>
              </w:rPr>
              <w:t>بحث نظریة المحقق العراقی</w:t>
            </w:r>
            <w:r>
              <w:rPr>
                <w:rStyle w:val="IndexLink"/>
                <w:rtl w:val="true"/>
              </w:rPr>
              <w:t>:</w:t>
              <w:tab/>
            </w:r>
            <w:r>
              <w:rPr>
                <w:rStyle w:val="IndexLink"/>
              </w:rPr>
              <w:t>218</w:t>
            </w:r>
          </w:hyperlink>
        </w:p>
        <w:p>
          <w:pPr>
            <w:pStyle w:val="Contents3"/>
            <w:tabs>
              <w:tab w:val="clear" w:pos="8459"/>
              <w:tab w:val="right" w:pos="9026" w:leader="dot"/>
            </w:tabs>
            <w:rPr/>
          </w:pPr>
          <w:hyperlink w:anchor="__RefHeading___Toc2082524_581953129">
            <w:r>
              <w:rPr>
                <w:webHidden/>
                <w:rStyle w:val="IndexLink"/>
                <w:rtl w:val="true"/>
              </w:rPr>
              <w:t>اشارة</w:t>
            </w:r>
            <w:r>
              <w:rPr>
                <w:rStyle w:val="IndexLink"/>
                <w:rtl w:val="true"/>
              </w:rPr>
              <w:tab/>
            </w:r>
            <w:r>
              <w:rPr>
                <w:rStyle w:val="IndexLink"/>
              </w:rPr>
              <w:t>218</w:t>
            </w:r>
          </w:hyperlink>
        </w:p>
        <w:p>
          <w:pPr>
            <w:pStyle w:val="Contents3"/>
            <w:tabs>
              <w:tab w:val="clear" w:pos="8459"/>
              <w:tab w:val="right" w:pos="9026" w:leader="dot"/>
            </w:tabs>
            <w:rPr/>
          </w:pPr>
          <w:hyperlink w:anchor="__RefHeading___Toc2082526_581953129">
            <w:r>
              <w:rPr>
                <w:webHidden/>
                <w:rStyle w:val="IndexLink"/>
                <w:rtl w:val="true"/>
              </w:rPr>
              <w:t>الإشکالات علی نظریة المحقق العراقی</w:t>
            </w:r>
            <w:r>
              <w:rPr>
                <w:rStyle w:val="IndexLink"/>
                <w:rtl w:val="true"/>
              </w:rPr>
              <w:t>:</w:t>
              <w:tab/>
            </w:r>
            <w:r>
              <w:rPr>
                <w:rStyle w:val="IndexLink"/>
              </w:rPr>
              <w:t>221</w:t>
            </w:r>
          </w:hyperlink>
        </w:p>
        <w:p>
          <w:pPr>
            <w:pStyle w:val="Contents2"/>
            <w:tabs>
              <w:tab w:val="clear" w:pos="8743"/>
              <w:tab w:val="right" w:pos="9026" w:leader="dot"/>
            </w:tabs>
            <w:rPr/>
          </w:pPr>
          <w:hyperlink w:anchor="__RefHeading___Toc2082528_581953129">
            <w:r>
              <w:rPr>
                <w:webHidden/>
                <w:rStyle w:val="IndexLink"/>
                <w:rtl w:val="true"/>
              </w:rPr>
              <w:t>بحث نظریة صاحب منتقی الأصول</w:t>
            </w:r>
            <w:r>
              <w:rPr>
                <w:rStyle w:val="IndexLink"/>
                <w:rtl w:val="true"/>
              </w:rPr>
              <w:t>:</w:t>
              <w:tab/>
            </w:r>
            <w:r>
              <w:rPr>
                <w:rStyle w:val="IndexLink"/>
              </w:rPr>
              <w:t>225</w:t>
            </w:r>
          </w:hyperlink>
        </w:p>
        <w:p>
          <w:pPr>
            <w:pStyle w:val="Contents3"/>
            <w:tabs>
              <w:tab w:val="clear" w:pos="8459"/>
              <w:tab w:val="right" w:pos="9026" w:leader="dot"/>
            </w:tabs>
            <w:rPr/>
          </w:pPr>
          <w:hyperlink w:anchor="__RefHeading___Toc2082530_581953129">
            <w:r>
              <w:rPr>
                <w:webHidden/>
                <w:rStyle w:val="IndexLink"/>
                <w:rtl w:val="true"/>
              </w:rPr>
              <w:t>اشارة</w:t>
            </w:r>
            <w:r>
              <w:rPr>
                <w:rStyle w:val="IndexLink"/>
                <w:rtl w:val="true"/>
              </w:rPr>
              <w:tab/>
            </w:r>
            <w:r>
              <w:rPr>
                <w:rStyle w:val="IndexLink"/>
              </w:rPr>
              <w:t>225</w:t>
            </w:r>
          </w:hyperlink>
        </w:p>
        <w:p>
          <w:pPr>
            <w:pStyle w:val="Contents3"/>
            <w:tabs>
              <w:tab w:val="clear" w:pos="8459"/>
              <w:tab w:val="right" w:pos="9026" w:leader="dot"/>
            </w:tabs>
            <w:rPr/>
          </w:pPr>
          <w:hyperlink w:anchor="__RefHeading___Toc2082532_581953129">
            <w:r>
              <w:rPr>
                <w:webHidden/>
                <w:rStyle w:val="IndexLink"/>
                <w:rtl w:val="true"/>
              </w:rPr>
              <w:t>الإشکالات علی نظریة صاحب منتقی الأصول</w:t>
            </w:r>
            <w:r>
              <w:rPr>
                <w:rStyle w:val="IndexLink"/>
                <w:rtl w:val="true"/>
              </w:rPr>
              <w:t>:</w:t>
              <w:tab/>
            </w:r>
            <w:r>
              <w:rPr>
                <w:rStyle w:val="IndexLink"/>
              </w:rPr>
              <w:t>226</w:t>
            </w:r>
          </w:hyperlink>
        </w:p>
        <w:p>
          <w:pPr>
            <w:pStyle w:val="Contents2"/>
            <w:tabs>
              <w:tab w:val="clear" w:pos="8743"/>
              <w:tab w:val="right" w:pos="9026" w:leader="dot"/>
            </w:tabs>
            <w:rPr/>
          </w:pPr>
          <w:hyperlink w:anchor="__RefHeading___Toc2082534_581953129">
            <w:r>
              <w:rPr>
                <w:webHidden/>
                <w:rStyle w:val="IndexLink"/>
                <w:rtl w:val="true"/>
              </w:rPr>
              <w:t>هل أنّ لزوم المضیّ وعدم الاعتناء بالشک فی قاعدة التجاوز رخصة أم عزیمة ؟</w:t>
            </w:r>
            <w:r>
              <w:rPr>
                <w:rStyle w:val="IndexLink"/>
                <w:rtl w:val="true"/>
              </w:rPr>
              <w:tab/>
            </w:r>
            <w:r>
              <w:rPr>
                <w:rStyle w:val="IndexLink"/>
              </w:rPr>
              <w:t>232</w:t>
            </w:r>
          </w:hyperlink>
        </w:p>
        <w:p>
          <w:pPr>
            <w:pStyle w:val="Contents2"/>
            <w:tabs>
              <w:tab w:val="clear" w:pos="8743"/>
              <w:tab w:val="right" w:pos="9026" w:leader="dot"/>
            </w:tabs>
            <w:rPr/>
          </w:pPr>
          <w:hyperlink w:anchor="__RefHeading___Toc2082536_581953129">
            <w:r>
              <w:rPr>
                <w:webHidden/>
                <w:rStyle w:val="IndexLink"/>
                <w:rtl w:val="true"/>
              </w:rPr>
              <w:t>بحث نظریة المحقّق العراقی</w:t>
            </w:r>
            <w:r>
              <w:rPr>
                <w:rStyle w:val="IndexLink"/>
                <w:rtl w:val="true"/>
              </w:rPr>
              <w:t>:</w:t>
              <w:tab/>
            </w:r>
            <w:r>
              <w:rPr>
                <w:rStyle w:val="IndexLink"/>
              </w:rPr>
              <w:t>233</w:t>
            </w:r>
          </w:hyperlink>
        </w:p>
        <w:p>
          <w:pPr>
            <w:pStyle w:val="Contents2"/>
            <w:tabs>
              <w:tab w:val="clear" w:pos="8743"/>
              <w:tab w:val="right" w:pos="9026" w:leader="dot"/>
            </w:tabs>
            <w:rPr/>
          </w:pPr>
          <w:hyperlink w:anchor="__RefHeading___Toc2082538_581953129">
            <w:r>
              <w:rPr>
                <w:webHidden/>
                <w:rStyle w:val="IndexLink"/>
                <w:rtl w:val="true"/>
              </w:rPr>
              <w:t>إشکال صاحب منتقی الأصول علی نظریة المحقّق العراقی</w:t>
            </w:r>
            <w:r>
              <w:rPr>
                <w:rStyle w:val="IndexLink"/>
                <w:rtl w:val="true"/>
              </w:rPr>
              <w:t>:</w:t>
              <w:tab/>
            </w:r>
            <w:r>
              <w:rPr>
                <w:rStyle w:val="IndexLink"/>
              </w:rPr>
              <w:t>234</w:t>
            </w:r>
          </w:hyperlink>
        </w:p>
        <w:p>
          <w:pPr>
            <w:pStyle w:val="Contents2"/>
            <w:tabs>
              <w:tab w:val="clear" w:pos="8743"/>
              <w:tab w:val="right" w:pos="9026" w:leader="dot"/>
            </w:tabs>
            <w:rPr/>
          </w:pPr>
          <w:hyperlink w:anchor="__RefHeading___Toc2082540_581953129">
            <w:r>
              <w:rPr>
                <w:webHidden/>
                <w:rStyle w:val="IndexLink"/>
                <w:rtl w:val="true"/>
              </w:rPr>
              <w:t>مناقشة إشکالات صاحب المنتقی</w:t>
            </w:r>
            <w:r>
              <w:rPr>
                <w:rStyle w:val="IndexLink"/>
                <w:rtl w:val="true"/>
              </w:rPr>
              <w:t>:</w:t>
              <w:tab/>
            </w:r>
            <w:r>
              <w:rPr>
                <w:rStyle w:val="IndexLink"/>
              </w:rPr>
              <w:t>235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466_52728"/>
      <w:bookmarkStart w:id="1" w:name="pg5466_52728"/>
      <w:bookmarkEnd w:id="1"/>
    </w:p>
    <w:p>
      <w:pPr>
        <w:pStyle w:val="Heading2"/>
        <w:numPr>
          <w:ilvl w:val="1"/>
          <w:numId w:val="1"/>
        </w:numPr>
        <w:rPr/>
      </w:pPr>
      <w:bookmarkStart w:id="2" w:name="pg5466_52728"/>
      <w:bookmarkStart w:id="3" w:name="__RefHeading___Toc2082246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فی قاعده الفراغ و التجاوز</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فاضل لنکرانی</w:t>
      </w:r>
    </w:p>
    <w:p>
      <w:pPr>
        <w:pStyle w:val="BookText"/>
        <w:rPr/>
      </w:pPr>
      <w:r>
        <w:rPr>
          <w:rFonts w:ascii="IRNazanin" w:hAnsi="IRNazanin" w:eastAsia="IRNazanin"/>
          <w:color w:val="111111"/>
          <w:sz w:val="28"/>
          <w:sz w:val="28"/>
          <w:szCs w:val="28"/>
          <w:rtl w:val="true"/>
          <w:lang w:bidi="fa-IR"/>
        </w:rPr>
        <w:t>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طبسی</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سعیدی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فقه الائمه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سوریه</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eastAsia="IRNazanin" w:cs="IRNazanin"/>
          <w:color w:val="111111"/>
          <w:sz w:val="28"/>
          <w:szCs w:val="28"/>
          <w:lang w:bidi="fa-IR"/>
        </w:rPr>
        <w:t>1433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82248_581953129"/>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بحوث فی قاعده الفراغ و التجاوز</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جواد فاضل لنکرانی</w:t>
      </w:r>
      <w:bookmarkStart w:id="7" w:name="pg5466_52732"/>
    </w:p>
    <w:p>
      <w:pPr>
        <w:pStyle w:val="Heading2"/>
        <w:numPr>
          <w:ilvl w:val="1"/>
          <w:numId w:val="1"/>
        </w:numPr>
        <w:rPr/>
      </w:pPr>
      <w:bookmarkStart w:id="8" w:name="__RefHeading___Toc2082250_581953129"/>
      <w:bookmarkStart w:id="9" w:name="_Toc3"/>
      <w:bookmarkEnd w:id="7"/>
      <w:bookmarkEnd w:id="8"/>
      <w:r>
        <w:rPr>
          <w:rtl w:val="true"/>
        </w:rPr>
        <w:t>المدخل</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الحمد لله والصلاة والسلام علی خیر خلقه وأشرف بریّته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أهل بیته الطیبین الطاهرین سیّما بقیة الله فی الأرضین الحجة بن الحسن العسکری أرواح العالمین لتراب مقدمه الفداء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 لباحث أن یشکّ فی أهمّیة علم الفقه ودوره البنّاء فی حیاة المجتمع، ولا شکّ أیضاً فی أهمّیة القواعد الفقهیة وهی التی تشکلّ کلّیّات فی الفقه ویطبّقها الفقیه والمجتهد علی الجزئیات، وللأسف الشدید لم یتناولها الفقهاء المتقدمین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والقاعدة فی إصطلاح اللغویین قد وضعت لما هو الأساس للشیء من دون فرق بین کونه مادّیاً أو معنویّاً بحیث إنعدامه واضمحلاله یسبب انتفائه فیمثّل لذلک البیت فإنّه ینعدم بانعدام أساسه</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الأُسّ، والقواعد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الإساس، وقواعد البیت إساسه، وفی التنزیل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یَرْفَعُ إِبْرَاهِیمُ الْقَوَاعِدَ مِنَ الْبَیْتِ وَإِسْمَاعِیلُ</w:t>
      </w:r>
      <w:r>
        <w:rPr>
          <w:rFonts w:eastAsia="Amiri" w:cs="Amiri" w:ascii="Amiri" w:hAnsi="Amiri"/>
          <w:color w:val="111111"/>
          <w:sz w:val="28"/>
          <w:szCs w:val="28"/>
          <w:rtl w:val="true"/>
          <w:lang w:bidi="ar-SA"/>
        </w:rPr>
        <w:t>).</w:t>
      </w:r>
      <w:r>
        <w:rPr>
          <w:rStyle w:val="FootnoteAnchor"/>
          <w:rtl w:val="true"/>
        </w:rPr>
        <w:footnoteReference w:id="2"/>
      </w:r>
      <w:bookmarkStart w:id="10" w:name="pg5466_52733"/>
    </w:p>
    <w:p>
      <w:pPr>
        <w:pStyle w:val="BookText"/>
        <w:rPr/>
      </w:pPr>
      <w:bookmarkEnd w:id="10"/>
      <w:r>
        <w:rPr>
          <w:rFonts w:ascii="Amiri" w:hAnsi="Amiri" w:eastAsia="Amiri" w:cs="Amiri"/>
          <w:color w:val="111111"/>
          <w:sz w:val="28"/>
          <w:sz w:val="28"/>
          <w:szCs w:val="28"/>
          <w:rtl w:val="true"/>
          <w:lang w:bidi="ar-SA"/>
        </w:rPr>
        <w:t>وفیه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فَأَتَی اللهُ بُنْیَانَهُمْ مِنَ الْقَوَاعِدِ</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 قال 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 أساطین البناء التی تعمده، وقواعد الهودج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خشبات أربع معترضة فی أسفله ترکّب عیدان الهودج فیها</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تعریف القاعدة اصطلاحاً فهی عبارة عن قضیة کلّیّة تنطبق علی جمیع جزئیاتها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التهانوی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تُطلَق علی معان مرادف الأصل، والقانون، والمسألة، والضابطة، والمقصد، وعرّفت بأنّها أمر کلّی منطبق علی جمیع جزئیاته عند تعرف أحکامها منه</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ویشترط 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بنحو القضیّة الکلّیة کما سبق، ولکن لا یشترط أن تکون أساساً للعلم بحیث ینتفی بانتفائها، فمثلاً لو انتفت قاعدة واحدة من قواعد الفقه لم ینتف العلم بانتفائها</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أمور مهمّة کلّها ترتبط بالبحث حول القواعد الفقهیة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المراد من القاعدة الفقهیة وهل یشترط فی اعتبارها الکلّیّة، وکذلک الفرق بین القاعدة الفقهیة والضابط الفقهی بمعنی أنّها لا تختصّ بباب من الأبواب الفقهیة بخلاف الضابط، أو الفرق بین القاعدة الفقهیة والنظریة الفقهیة وغیر ذلک من المباحث العلمیة التی لسنا الآن بصدد بیان ذلک</w:t>
      </w:r>
      <w:r>
        <w:rPr>
          <w:rFonts w:eastAsia="IRNazanin" w:cs="IRNazanin"/>
          <w:color w:val="111111"/>
          <w:sz w:val="28"/>
          <w:szCs w:val="28"/>
          <w:rtl w:val="true"/>
          <w:lang w:bidi="fa-IR"/>
        </w:rPr>
        <w:t>.</w:t>
      </w:r>
    </w:p>
    <w:p>
      <w:pPr>
        <w:pStyle w:val="Heading2"/>
        <w:numPr>
          <w:ilvl w:val="1"/>
          <w:numId w:val="1"/>
        </w:numPr>
        <w:rPr/>
      </w:pPr>
      <w:bookmarkStart w:id="11" w:name="__RefHeading___Toc2082252_581953129"/>
      <w:bookmarkStart w:id="12" w:name="_Toc4"/>
      <w:bookmarkEnd w:id="11"/>
      <w:r>
        <w:rPr>
          <w:rtl w:val="true"/>
        </w:rPr>
        <w:t>تاریخ کتابة القواعد الفقهیة</w:t>
      </w:r>
      <w:bookmarkEnd w:id="12"/>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جملة المباحث المطروحة فی مبحث القواعد الفقهیة عبارة عن تاریخ کتابة ذلک عند العلماء والفقهاء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عند أهل السنّة لعل ذلک یرجع إلی القرن الرابع الهجری، ویدّل علیه وجود بعض المؤلّفات التی کتبت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کان کتاب القواعد الفقهیة عند الحنفیین من أهل السنّة أول کتاب جُمعت فیه بعض القواعد الفقهیة فقد جمع مؤلّفه أبو طاهر الدبّاس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أئمّة الحنفیة فی بلاد ما وراء النهر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عشر قاعدة فقهیة علی مذهب أبی حنیفة فکان القرن الرابع بدایة تدوین القواعد الفقهیة لدیهم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 الوسط الشیعی فیعتبر کتاب القواعد والفوائد للشهید الأوّل </w:t>
      </w:r>
      <w:r>
        <w:rPr>
          <w:rFonts w:eastAsia="IRNazanin" w:cs="IRNazanin"/>
          <w:color w:val="111111"/>
          <w:sz w:val="28"/>
          <w:szCs w:val="28"/>
          <w:rtl w:val="true"/>
          <w:lang w:bidi="fa-IR"/>
        </w:rPr>
        <w:t>(</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أقدم کتاب دوَّن فیه القواعد الفقهیة وفقاً لمذهب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إرجاع سبب سبق السنّة فی تدوین القواعد إلی أمرین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ماهیة فقههم حیث قطعت الرابطة بینهم وبین کلام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رحیل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الطبیعی أنّ ذلک الانفصال یجعل الفقه یتبلّور ضمن ضوابط معیّنة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إستخدامهم لأدوات خاصّة بهم فی عملیة الاستنباط الفقهی کالقیاس والاستحسان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ریب بأنّ الأساس فی تأسیس القواعد الفقهیة لدی الشیعة الإمامیة هو أن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وضعوا إلیهم أصولاً کلّیة وأمروا الفقهاء بالتفریع علیها، کما ورد فی الحدیث الشریف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علینا إلقاء الأصول وعلیکم التفریع</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تجدر الإشارة إلیه أنّ ما قام به المرحوم الشهید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القیّم مما یرشدنا إلی أهمیّة ما ألّفه فی الباب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إجازته لابن خازن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فممّا صنعته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والفوائد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یشتمل علی ضوابط کلّیّة أصولیة وفرعیة تستنبط منها الأحکام الشرعیة، لم یعمل الأصحاب مثله</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هذا المنطلق فقد قام فقهائنا العظام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بتدوین وتألیف الکتب التی تتعلّق بالقواعد الفقهیة نشیر إلی بعضها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القواعد والفوائد، للشهید الأوّل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الأقطاب الفقهیة علی مذهب الإمامیة، تألیف محمد بن علی بن إبراهیم الأحسائی المعروف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أبی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عوائد الأیام من مهمّات أدلّة الأحکام، تألیف المولی أحمد بن محمد مهدی بن أبی ذر النراقی الکاشانی ت </w:t>
      </w: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یشتمل هذا الکتاب القیم علی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عائدة، وکلّ عائدة تُعد قاعدة فقهیة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عناوین الأصول، تألیف السید عبد الفتاح بن علی الحسینی المراغی ت </w:t>
      </w: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قواعد الفقیه، تألیف الشیخ محمد تقی الفقیه المولود سنة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ضمّنه قواعد مهمّة فی الفقه والأصول ومنها قاعدة علی الید وقاعدة تعدد الأیدی وقاعدة لا ضرر وقاعدة لا حرج</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القواعد الجعفریة فی قواعد الفقه والأصول، تألیف الشیخ عباس آل کاشف الغطاء ت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القواعد الکلّیة الفقهیة، تألیف السید مهدی القزوینی ت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القواعد الفقهیة، تألیف مهدی بن حسین بن عزیز الخالصی الکاظمی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الکتاب فی مجلدین</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القواعد الفقهیة، تألیف الشیخ محمد جعفر شریعتمدار الاسترابادی ت </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علی ترتیب أبواب الفقه یقرب من خمسة عشر ألف بیت</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مستقصی القواعد الکلّیة الفقهیة، تألیف المیرزا حبیب الله الرشتی ت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القواعد الجعفریة فی قواعد الفقه والأصول، تألیف الشیخ عباس آل کاشف الغطاء بن الشیخ حسن بن الشیخ الأکبر الشیخ جعفر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القواعد الفقهیة، تألیف السید محمد باقر الیزدی ت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القواعد الفقهیة والأصولیة، تألیف ملاّ فتح علی اللنکرانی 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1339</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القواعد الفقهیة، تألیف الشیخ محمدباقر البیدکلّی من أعلام القرن الرابع عشر</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فی بعض القواعد الفقهیة، تألیف المولی الآغا فاضل الدرنبدی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1286</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بحث المؤلف فی هذه الرسالة قاعدة الید والضرر وقاعدة الإحسان وغیرها</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bookmarkStart w:id="13" w:name="pg5466_52737"/>
    </w:p>
    <w:p>
      <w:pPr>
        <w:pStyle w:val="BookText"/>
        <w:rPr/>
      </w:pPr>
      <w:bookmarkEnd w:id="13"/>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قاعدة لا ضرر وقاعدة التسامح، تألیف السید المیرزا أبو القاسم الطهرانی، مجلّد واحد</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قاعدة لا ضرر، ورسالة فی قاعدة علی الید ما أخذت، تألیف الشیخ ضیاء الدین العراقی</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قاعدة لا ضرر، تألیف الحسن علی بن محمد باقر بن إسماعیل الواعظ الحسینی</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الفوائد الغرویة، تألیف المولی أبوالحسن الشریف بن محمد طاهر بن عبدالحمید بن موسی علی بن محمد بن معتوق الاصفهانی الغروی، فرغ منها سنة </w:t>
      </w:r>
      <w:r>
        <w:rPr>
          <w:rFonts w:eastAsia="IRNazanin" w:cs="IRNazanin"/>
          <w:color w:val="111111"/>
          <w:sz w:val="28"/>
          <w:szCs w:val="28"/>
          <w:rtl w:val="true"/>
          <w:lang w:bidi="fa-IR"/>
        </w:rPr>
        <w:t>(</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کتاب حسن فیه ما یستفاد من الأحادیث من القواعد الفقهیة والمسائل الأصولیة</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القواعد الفقهیة للفقید الراحل الشیخ محمد الفاضل اللنکرانی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القواعد الفقهیة الاخری ترکنا ذکرها رعایة الاختصار</w:t>
      </w:r>
      <w:r>
        <w:rPr>
          <w:rFonts w:eastAsia="IRNazanin" w:cs="IRNazanin"/>
          <w:color w:val="111111"/>
          <w:sz w:val="28"/>
          <w:szCs w:val="28"/>
          <w:rtl w:val="true"/>
          <w:lang w:bidi="fa-IR"/>
        </w:rPr>
        <w:t>.</w:t>
      </w:r>
    </w:p>
    <w:p>
      <w:pPr>
        <w:pStyle w:val="Heading2"/>
        <w:numPr>
          <w:ilvl w:val="1"/>
          <w:numId w:val="1"/>
        </w:numPr>
        <w:rPr/>
      </w:pPr>
      <w:bookmarkStart w:id="14" w:name="__RefHeading___Toc2082254_581953129"/>
      <w:bookmarkStart w:id="15" w:name="_Toc5"/>
      <w:bookmarkEnd w:id="14"/>
      <w:r>
        <w:rPr>
          <w:rtl w:val="true"/>
        </w:rPr>
        <w:t>نبذة عن کتابة القواعد الفقهیة عند أهل السنة</w:t>
      </w:r>
      <w:bookmarkEnd w:id="15"/>
    </w:p>
    <w:p>
      <w:pPr>
        <w:pStyle w:val="BookText"/>
        <w:rPr/>
      </w:pPr>
      <w:r>
        <w:rPr>
          <w:rFonts w:ascii="IRNazanin" w:hAnsi="IRNazanin" w:eastAsia="IRNazanin"/>
          <w:color w:val="111111"/>
          <w:sz w:val="28"/>
          <w:sz w:val="28"/>
          <w:szCs w:val="28"/>
          <w:rtl w:val="true"/>
          <w:lang w:bidi="fa-IR"/>
        </w:rPr>
        <w:t>قلنا سابقاً بأنّ أهل السنّة هم السابقین فی کتابة وتألیف وتدوین القواعد الفقهیة وأشرنا إلی سبب ذلک وطبیعة فقههم المبتنی علی أساس الرأی والقیاس یقتضی ذلک</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الغریب أنّ الشیخ عزّ الدین بن عبد السلام الشافعی </w:t>
      </w:r>
      <w:r>
        <w:rPr>
          <w:rFonts w:eastAsia="IRNazanin" w:cs="IRNazanin"/>
          <w:color w:val="111111"/>
          <w:sz w:val="28"/>
          <w:szCs w:val="28"/>
          <w:rtl w:val="true"/>
          <w:lang w:bidi="fa-IR"/>
        </w:rPr>
        <w:t>(</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أرجع</w:t>
      </w:r>
      <w:bookmarkStart w:id="16" w:name="pg5466_52738"/>
    </w:p>
    <w:p>
      <w:pPr>
        <w:pStyle w:val="BookText"/>
        <w:rPr/>
      </w:pPr>
      <w:bookmarkEnd w:id="16"/>
      <w:r>
        <w:rPr>
          <w:rFonts w:ascii="IRNazanin" w:hAnsi="IRNazanin" w:eastAsia="IRNazanin"/>
          <w:color w:val="111111"/>
          <w:sz w:val="28"/>
          <w:sz w:val="28"/>
          <w:szCs w:val="28"/>
          <w:rtl w:val="true"/>
          <w:lang w:bidi="fa-IR"/>
        </w:rPr>
        <w:t xml:space="preserve">الفقه کلّه إلی اعتبار المصالح ودرء المفاسد، بل وأرجع تاج الدین السبکّی الفقه کلّه علی نحو الإجمال إلی اعتبار المصالح، فإنّ درء المفاسد من جملتها فعلی ما ذکر عن البعض بأنّ القرن الرابع بدایة تدوین القواعد الفقهیة وتألیف الکتب فیها لدی العامة، وکانت الحنفیّة من السابقین فی هذا المضمار، وبعده بدأ فقهاء سائر المذاهب بتدوین القواعد الفقهیة، وشاع الاهتمام بها، ویطلق علی قرنی السابع والثامن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القرون الذهبیة لتدوین القواعد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لکثرة الاهتمام بهذه القواعد وتدوین الکتب المتعددة فیها</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 w:name="__RefHeading___Toc2082256_581953129"/>
      <w:bookmarkStart w:id="18" w:name="_Toc6"/>
      <w:bookmarkEnd w:id="17"/>
      <w:r>
        <w:rPr>
          <w:rtl w:val="true"/>
        </w:rPr>
        <w:t>الکتب المؤلّفة فی القواعد الفقهیة</w:t>
      </w:r>
      <w:bookmarkEnd w:id="18"/>
    </w:p>
    <w:p>
      <w:pPr>
        <w:pStyle w:val="BookText"/>
        <w:rPr/>
      </w:pPr>
      <w:r>
        <w:rPr>
          <w:rFonts w:ascii="IRNazanin" w:hAnsi="IRNazanin" w:eastAsia="IRNazanin"/>
          <w:color w:val="111111"/>
          <w:sz w:val="28"/>
          <w:sz w:val="28"/>
          <w:szCs w:val="28"/>
          <w:rtl w:val="true"/>
          <w:lang w:bidi="fa-IR"/>
        </w:rPr>
        <w:t>الفقه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یبدو أنّ المذهب الحنفی ولأسباب کمناهجهم الاستنباطیة یعتبر أول مذهب بدأت بکتابة القواعد الفقهیة، وقد اشتهر جمع من فقهائه بتدوین القواعد الفقهیة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طاهر الدبّاس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فقهاء الحنفیة فی القرن الثالث الهجری فی بلاد ما وراء النهر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جمع سبعة عشر قاعدة فقهیة علی مذهب أبی حنیفة، وردّ جمیع مذهب أبی حنیفة إلی هذه القواعد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عبیدالله بن حسن بن دلال الکرخی الحنفی، المعروف بأبی الحسن الکرخی ت </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کتاب الأصول التی علیها مدار فروع الحنفیة أو قواعد الکرخی، وجمع فیه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فقهیة، مطبوع</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زید عبید الله بن عمر بن عیسی الدبوسی القاضی الحنفی </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تأسیس النظر فی اختلاف الأئمّة، وفیه أکثر من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فقهیة، مطبوع</w:t>
      </w:r>
    </w:p>
    <w:p>
      <w:pPr>
        <w:pStyle w:val="BookText"/>
        <w:rPr/>
      </w:pPr>
      <w:r>
        <w:rPr>
          <w:rFonts w:ascii="IRNazanin" w:hAnsi="IRNazanin" w:eastAsia="IRNazanin"/>
          <w:color w:val="111111"/>
          <w:sz w:val="28"/>
          <w:sz w:val="28"/>
          <w:szCs w:val="28"/>
          <w:rtl w:val="true"/>
          <w:lang w:bidi="fa-IR"/>
        </w:rPr>
        <w:t>مع قواعد الکرخی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عثمان الغزی الدمشقی، المشهور بشرف الدین الحنفی </w:t>
      </w:r>
      <w:r>
        <w:rPr>
          <w:rFonts w:eastAsia="IRNazanin" w:cs="IRNazanin"/>
          <w:color w:val="111111"/>
          <w:sz w:val="28"/>
          <w:szCs w:val="28"/>
          <w:rtl w:val="true"/>
          <w:lang w:bidi="fa-IR"/>
        </w:rPr>
        <w:t>(</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القواعد فی الفروع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زین الدین بن إبراهیم بن محمد المشهور بابن نُجَیم </w:t>
      </w:r>
      <w:r>
        <w:rPr>
          <w:rFonts w:eastAsia="IRNazanin" w:cs="IRNazanin"/>
          <w:color w:val="111111"/>
          <w:sz w:val="28"/>
          <w:szCs w:val="28"/>
          <w:rtl w:val="true"/>
          <w:lang w:bidi="fa-IR"/>
        </w:rPr>
        <w:t>(</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الأشباه والنظائر فی الفروع، وکتبت علیه حوالی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شرحاً وتعلیقة أشهرها غمز عیون البصائر علی محاسن الأشباه والنظائر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الحموی </w:t>
      </w:r>
      <w:r>
        <w:rPr>
          <w:rFonts w:eastAsia="IRNazanin" w:cs="IRNazanin"/>
          <w:color w:val="111111"/>
          <w:sz w:val="28"/>
          <w:szCs w:val="28"/>
          <w:rtl w:val="true"/>
          <w:lang w:bidi="fa-IR"/>
        </w:rPr>
        <w:t>(</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العقود الحسان فی قواعد مذهب النعمان، وهذا الکتاب مجموعة شعریة أنشدها الحموی، وشرحها بنفسه، وسمّی شرحه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فرائد الدرر والمرجان فی شرح العقود الحسان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إبراهیم بن محمد المصری، المعروف بابن نجیم الحنفی </w:t>
      </w:r>
      <w:r>
        <w:rPr>
          <w:rFonts w:eastAsia="IRNazanin" w:cs="IRNazanin"/>
          <w:color w:val="111111"/>
          <w:sz w:val="28"/>
          <w:szCs w:val="28"/>
          <w:rtl w:val="true"/>
          <w:lang w:bidi="fa-IR"/>
        </w:rPr>
        <w:t>(</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کتاب الأشباه النظائر، 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زین الدین عمر الکفیریّ </w:t>
      </w:r>
      <w:r>
        <w:rPr>
          <w:rFonts w:eastAsia="IRNazanin" w:cs="IRNazanin"/>
          <w:color w:val="111111"/>
          <w:sz w:val="28"/>
          <w:szCs w:val="28"/>
          <w:rtl w:val="true"/>
          <w:lang w:bidi="fa-IR"/>
        </w:rPr>
        <w:t>(</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الأشباه والنظائر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سبعة فقهاء الحنفیین برئاسة أحمد جودت باشا فی ترکیا بعهد السلطان عبد العزیز خان العثمانی، ألّفوا مجلة الأحکام العدلیة التی یحتوی علی </w:t>
      </w:r>
      <w:r>
        <w:rPr>
          <w:rFonts w:eastAsia="IRNazanin" w:cs="IRNazanin"/>
          <w:color w:val="111111"/>
          <w:sz w:val="28"/>
          <w:szCs w:val="28"/>
          <w:rtl w:val="true"/>
          <w:lang w:bidi="fa-IR"/>
        </w:rPr>
        <w:t>(</w:t>
      </w:r>
      <w:r>
        <w:rPr>
          <w:rFonts w:eastAsia="IRNazanin" w:cs="IRNazanin"/>
          <w:color w:val="111111"/>
          <w:sz w:val="28"/>
          <w:szCs w:val="28"/>
          <w:lang w:bidi="fa-IR"/>
        </w:rPr>
        <w:t>1851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و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طبع فی عام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الستار بن عبدالله القریمّی القسطنطین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تشریح القواعد الکلّیّة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محمود بن محمد بن نسیب بن حسین، المشهور بابن حمزة الحسینی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الفرائد البهیة فی القواعد والفوائد الفقهیة</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محمد بن المصطفی الخادمی، المعروف بأبی السعید الخادمی </w:t>
      </w:r>
      <w:r>
        <w:rPr>
          <w:rFonts w:eastAsia="IRNazanin" w:cs="IRNazanin"/>
          <w:color w:val="111111"/>
          <w:sz w:val="28"/>
          <w:szCs w:val="28"/>
          <w:rtl w:val="true"/>
          <w:lang w:bidi="fa-IR"/>
        </w:rPr>
        <w:t>(</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کتاب المجموع المُذَهّب فی قواعد المذهب، کخاتمة علی کتاب</w:t>
      </w:r>
      <w:bookmarkStart w:id="19" w:name="pg5466_52740"/>
    </w:p>
    <w:p>
      <w:pPr>
        <w:pStyle w:val="BookText"/>
        <w:rPr/>
      </w:pPr>
      <w:bookmarkEnd w:id="19"/>
      <w:r>
        <w:rPr>
          <w:rFonts w:ascii="IRNazanin" w:hAnsi="IRNazanin" w:eastAsia="IRNazanin"/>
          <w:color w:val="111111"/>
          <w:sz w:val="28"/>
          <w:sz w:val="28"/>
          <w:szCs w:val="28"/>
          <w:rtl w:val="true"/>
          <w:lang w:bidi="fa-IR"/>
        </w:rPr>
        <w:t xml:space="preserve">مجامیع الحقایق والقواعد وجوامع الروائق والفوائد فی علم الأصول، وطرح فیه </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فقهیة للمذهب الحنفی علی ترتیب المعجم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إبراهیم بن محمد القیصری الحنفی، المعروف بکوزی بیوکزاده </w:t>
      </w:r>
      <w:r>
        <w:rPr>
          <w:rFonts w:eastAsia="IRNazanin" w:cs="IRNazanin"/>
          <w:color w:val="111111"/>
          <w:sz w:val="28"/>
          <w:szCs w:val="28"/>
          <w:rtl w:val="true"/>
          <w:lang w:bidi="fa-IR"/>
        </w:rPr>
        <w:t>(</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مجموعة القواعد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الزرقاء الحنفی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شرح القواعد الفقهیة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عمیم الإحسان البنغلادشی، صاحب کتاب قواعد الفقه الذی طبع للمرّة الأوّلی فی بنغلادش</w:t>
      </w:r>
      <w:r>
        <w:rPr>
          <w:rFonts w:eastAsia="IRNazanin" w:cs="IRNazanin"/>
          <w:color w:val="111111"/>
          <w:sz w:val="28"/>
          <w:szCs w:val="28"/>
          <w:rtl w:val="true"/>
          <w:lang w:bidi="fa-IR"/>
        </w:rPr>
        <w:t>.</w:t>
      </w:r>
    </w:p>
    <w:p>
      <w:pPr>
        <w:pStyle w:val="Heading2"/>
        <w:numPr>
          <w:ilvl w:val="1"/>
          <w:numId w:val="1"/>
        </w:numPr>
        <w:rPr/>
      </w:pPr>
      <w:bookmarkStart w:id="20" w:name="__RefHeading___Toc2082258_581953129"/>
      <w:bookmarkStart w:id="21" w:name="_Toc7"/>
      <w:bookmarkEnd w:id="20"/>
      <w:r>
        <w:rPr>
          <w:rtl w:val="true"/>
        </w:rPr>
        <w:t>مؤلفو القواعد الفقهیة فی الفقه المالکی</w:t>
      </w:r>
      <w:bookmarkEnd w:id="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شهاب الدین، أبو العباس، أحمد بن العلاء، إدریس بن عبد الرحمن الصنهاجیّ، المعروف بالقرافیّ </w:t>
      </w:r>
      <w:r>
        <w:rPr>
          <w:rFonts w:eastAsia="IRNazanin" w:cs="IRNazanin"/>
          <w:color w:val="111111"/>
          <w:sz w:val="28"/>
          <w:szCs w:val="28"/>
          <w:rtl w:val="true"/>
          <w:lang w:bidi="fa-IR"/>
        </w:rPr>
        <w:t>(</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الفروق الذی سماه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أنواء البروق وأنواع الفروق، ودرس فیه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فقهیة من حیث تفاوتها وتشابهها فی أربعة مجلدات، وعرض فیه أسلوب کتابه قواعد الفقه، 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المالکی، صاحب کتاب قواعد الأحکام الشرعیة الذی أتی بالقواعد الفقهیة فیه علی ترتیب الأبواب الفقهیة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محمد بن أحمد المالکی المقریّ </w:t>
      </w:r>
      <w:r>
        <w:rPr>
          <w:rFonts w:eastAsia="IRNazanin" w:cs="IRNazanin"/>
          <w:color w:val="111111"/>
          <w:sz w:val="28"/>
          <w:szCs w:val="28"/>
          <w:rtl w:val="true"/>
          <w:lang w:bidi="fa-IR"/>
        </w:rPr>
        <w:t>(</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من طبّ لمن 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طبع مجلده الثانی من قبل جامعة ریاض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إبراهیم بن موسی بن محمد اللّخمی، المشهور بأبی إسحاق الشاطبی </w:t>
      </w:r>
      <w:r>
        <w:rPr>
          <w:rFonts w:eastAsia="IRNazanin" w:cs="IRNazanin"/>
          <w:color w:val="111111"/>
          <w:sz w:val="28"/>
          <w:szCs w:val="28"/>
          <w:rtl w:val="true"/>
          <w:lang w:bidi="fa-IR"/>
        </w:rPr>
        <w:t>(</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کتاب الموافقات فی أصول الفقه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یحیی التلمسانی الوِنشَریسیّ </w:t>
      </w:r>
      <w:r>
        <w:rPr>
          <w:rFonts w:eastAsia="IRNazanin" w:cs="IRNazanin"/>
          <w:color w:val="111111"/>
          <w:sz w:val="28"/>
          <w:szCs w:val="28"/>
          <w:rtl w:val="true"/>
          <w:lang w:bidi="fa-IR"/>
        </w:rPr>
        <w:t>(</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إیضاح المسالک إلی قواعد الإمام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ویشتمل علی </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فقهیة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علی بن غازی العثمانی المکناسیّ </w:t>
      </w:r>
      <w:r>
        <w:rPr>
          <w:rFonts w:eastAsia="IRNazanin" w:cs="IRNazanin"/>
          <w:color w:val="111111"/>
          <w:sz w:val="28"/>
          <w:szCs w:val="28"/>
          <w:rtl w:val="true"/>
          <w:lang w:bidi="fa-IR"/>
        </w:rPr>
        <w:t>(</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الکلّیات</w:t>
      </w:r>
      <w:bookmarkStart w:id="22" w:name="pg5466_52741"/>
    </w:p>
    <w:p>
      <w:pPr>
        <w:pStyle w:val="BookText"/>
        <w:rPr/>
      </w:pPr>
      <w:bookmarkEnd w:id="22"/>
      <w:r>
        <w:rPr>
          <w:rFonts w:ascii="IRNazanin" w:hAnsi="IRNazanin" w:eastAsia="IRNazanin"/>
          <w:color w:val="111111"/>
          <w:sz w:val="28"/>
          <w:sz w:val="28"/>
          <w:szCs w:val="28"/>
          <w:rtl w:val="true"/>
          <w:lang w:bidi="fa-IR"/>
        </w:rPr>
        <w:t>الفقهیة علی مذهب المالکیة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وطبع من قِبَل جامعة الزیتونیّة للشریعة وأصول الدین بتونسیّا</w:t>
      </w:r>
      <w:r>
        <w:rPr>
          <w:rFonts w:eastAsia="IRNazanin" w:cs="IRNazanin"/>
          <w:color w:val="111111"/>
          <w:sz w:val="28"/>
          <w:szCs w:val="28"/>
          <w:rtl w:val="true"/>
          <w:lang w:bidi="fa-IR"/>
        </w:rPr>
        <w:t>.</w:t>
      </w:r>
    </w:p>
    <w:p>
      <w:pPr>
        <w:pStyle w:val="Heading2"/>
        <w:numPr>
          <w:ilvl w:val="1"/>
          <w:numId w:val="1"/>
        </w:numPr>
        <w:rPr/>
      </w:pPr>
      <w:bookmarkStart w:id="23" w:name="__RefHeading___Toc2082260_581953129"/>
      <w:bookmarkStart w:id="24" w:name="_Toc8"/>
      <w:bookmarkEnd w:id="23"/>
      <w:r>
        <w:rPr>
          <w:rtl w:val="true"/>
        </w:rPr>
        <w:t>مؤلفو القواعد الفقهیة فی الفقه الشافعی</w:t>
      </w:r>
      <w:bookmarkEnd w:id="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معین الدین، أبو حامد، محمد بن إبراهیم الجاجرمیّ السهلکیّ الشافعی </w:t>
      </w:r>
      <w:r>
        <w:rPr>
          <w:rFonts w:eastAsia="IRNazanin" w:cs="IRNazanin"/>
          <w:color w:val="111111"/>
          <w:sz w:val="28"/>
          <w:szCs w:val="28"/>
          <w:rtl w:val="true"/>
          <w:lang w:bidi="fa-IR"/>
        </w:rPr>
        <w:t>(</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القواعد فی فروع الشافعیة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محمد، عز الدین، عبد العزیز بن عبد السلام السلمیّ </w:t>
      </w:r>
      <w:r>
        <w:rPr>
          <w:rFonts w:eastAsia="IRNazanin" w:cs="IRNazanin"/>
          <w:color w:val="111111"/>
          <w:sz w:val="28"/>
          <w:szCs w:val="28"/>
          <w:rtl w:val="true"/>
          <w:lang w:bidi="fa-IR"/>
        </w:rPr>
        <w:t>(</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قواعد الأحکام فی مصالح الأنام، 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صدر الدین، محمد بن عمر المکی، المعروف بابن الوکیل المصریّ الشافعی، وابن المرحل </w:t>
      </w:r>
      <w:r>
        <w:rPr>
          <w:rFonts w:eastAsia="IRNazanin" w:cs="IRNazanin"/>
          <w:color w:val="111111"/>
          <w:sz w:val="28"/>
          <w:szCs w:val="28"/>
          <w:rtl w:val="true"/>
          <w:lang w:bidi="fa-IR"/>
        </w:rPr>
        <w:t>(</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الأشباه والنظائر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صلاح الدین، أبو سعید، خلیل بن الکَیکلّدی الدمشقیّ، المشهور بالعلائیّ الشافعی </w:t>
      </w:r>
      <w:r>
        <w:rPr>
          <w:rFonts w:eastAsia="IRNazanin" w:cs="IRNazanin"/>
          <w:color w:val="111111"/>
          <w:sz w:val="28"/>
          <w:szCs w:val="28"/>
          <w:rtl w:val="true"/>
          <w:lang w:bidi="fa-IR"/>
        </w:rPr>
        <w:t>(</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المجموع المُذهّب فی قواعد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العلائی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الأشباه والنظائر فی فروع فقه الشافعی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الوهاب بن عبد الکافی بن علی بن تمام السبکی، المشهور بتاج الدین السبکی </w:t>
      </w:r>
      <w:r>
        <w:rPr>
          <w:rFonts w:eastAsia="IRNazanin" w:cs="IRNazanin"/>
          <w:color w:val="111111"/>
          <w:sz w:val="28"/>
          <w:szCs w:val="28"/>
          <w:rtl w:val="true"/>
          <w:lang w:bidi="fa-IR"/>
        </w:rPr>
        <w:t>(</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الأشباه والنظائر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بهادر بن عبد الله، بدر الدین، محمد الزرکشی المصریّ </w:t>
      </w:r>
      <w:r>
        <w:rPr>
          <w:rFonts w:eastAsia="IRNazanin" w:cs="IRNazanin"/>
          <w:color w:val="111111"/>
          <w:sz w:val="28"/>
          <w:szCs w:val="28"/>
          <w:rtl w:val="true"/>
          <w:lang w:bidi="fa-IR"/>
        </w:rPr>
        <w:t>(</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المنثور فی ترتیب القواعد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فی 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وطبع علی ترتیب حروف المعجم، وفی أربعة مجلدات بکویت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جلال الدین، عبد الرحمن بن أبی بکر بن محمد السیوطی، المعروف بجلال الدین السیوطی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الأشباه والنظائر</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بین هذه الکتب یعتبر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الأشباه والنظائر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للسیوطی من أهم ما کُتِب فی هذه الباب، ورتّبه المؤلف فی سبعة کتب، وشرح فی الکتاب الأوّل خمسة</w:t>
      </w:r>
      <w:bookmarkStart w:id="25" w:name="pg5466_52742"/>
    </w:p>
    <w:p>
      <w:pPr>
        <w:pStyle w:val="BookText"/>
        <w:rPr/>
      </w:pPr>
      <w:bookmarkEnd w:id="25"/>
      <w:r>
        <w:rPr>
          <w:rFonts w:ascii="IRNazanin" w:hAnsi="IRNazanin" w:eastAsia="IRNazanin"/>
          <w:color w:val="111111"/>
          <w:sz w:val="28"/>
          <w:sz w:val="28"/>
          <w:szCs w:val="28"/>
          <w:rtl w:val="true"/>
          <w:lang w:bidi="fa-IR"/>
        </w:rPr>
        <w:t>قواعد رئیسیة، وبین فروعها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الأمور بمقاصدها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لا یزول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المشقة تجلب التیسیر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ولا ضرار فی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العادةُ مُحَکِّمةٌ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وأتی بأربعین قاعدة فقهیة فی الکتاب الثانی، ویبدأ هذا القسم بقاعدةِ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الاجتهادُ لا یُنقض بالاجتهاد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وینتهی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تقدیم المباشرة علی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شمول هذه القواعد أقل من القواعد الخمسة الماضیة، وفی الکتاب الثالث جاء بعشرین قاعدة</w:t>
      </w:r>
      <w:r>
        <w:rPr>
          <w:rFonts w:eastAsia="IRNazanin" w:cs="IRNazanin"/>
          <w:color w:val="111111"/>
          <w:sz w:val="28"/>
          <w:szCs w:val="28"/>
          <w:rtl w:val="true"/>
          <w:lang w:bidi="fa-IR"/>
        </w:rPr>
        <w:t>.</w:t>
      </w:r>
    </w:p>
    <w:p>
      <w:pPr>
        <w:pStyle w:val="Heading2"/>
        <w:numPr>
          <w:ilvl w:val="1"/>
          <w:numId w:val="1"/>
        </w:numPr>
        <w:rPr/>
      </w:pPr>
      <w:bookmarkStart w:id="26" w:name="__RefHeading___Toc2082262_581953129"/>
      <w:bookmarkStart w:id="27" w:name="_Toc9"/>
      <w:bookmarkEnd w:id="26"/>
      <w:r>
        <w:rPr>
          <w:rtl w:val="true"/>
        </w:rPr>
        <w:t>مؤلفو القواعد الفقهیة فی الفقه الحنبلی</w:t>
      </w:r>
      <w:bookmarkEnd w:id="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الدین، سلمان بن عبد القوی الطوفی الحنبلی </w:t>
      </w:r>
      <w:r>
        <w:rPr>
          <w:rFonts w:eastAsia="IRNazanin" w:cs="IRNazanin"/>
          <w:color w:val="111111"/>
          <w:sz w:val="28"/>
          <w:szCs w:val="28"/>
          <w:rtl w:val="true"/>
          <w:lang w:bidi="fa-IR"/>
        </w:rPr>
        <w:t>(</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القواعد الکبری فی فروع الحنابلة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الدین، أبو العباس، أحمد بن عبد الحلیم بن تیمیة الحرّانی </w:t>
      </w:r>
      <w:r>
        <w:rPr>
          <w:rFonts w:eastAsia="IRNazanin" w:cs="IRNazanin"/>
          <w:color w:val="111111"/>
          <w:sz w:val="28"/>
          <w:szCs w:val="28"/>
          <w:rtl w:val="true"/>
          <w:lang w:bidi="fa-IR"/>
        </w:rPr>
        <w:t>(</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القواعد النورانیة الفقهیة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الدین، محمد بن أبی بکر، المشهور بابن قیّم الجوزیّة </w:t>
      </w:r>
      <w:r>
        <w:rPr>
          <w:rFonts w:eastAsia="IRNazanin" w:cs="IRNazanin"/>
          <w:color w:val="111111"/>
          <w:sz w:val="28"/>
          <w:szCs w:val="28"/>
          <w:rtl w:val="true"/>
          <w:lang w:bidi="fa-IR"/>
        </w:rPr>
        <w:t>(</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بدایع الفرائد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الفرج، عبد الرحمن بن شهاب بن أحمد بن أبی أحمد، رجب، المشهور بابن رجب الحنبلی </w:t>
      </w:r>
      <w:r>
        <w:rPr>
          <w:rFonts w:eastAsia="IRNazanin" w:cs="IRNazanin"/>
          <w:color w:val="111111"/>
          <w:sz w:val="28"/>
          <w:szCs w:val="28"/>
          <w:rtl w:val="true"/>
          <w:lang w:bidi="fa-IR"/>
        </w:rPr>
        <w:t>(</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تقریر القواعد وتحریر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فی الفقه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ویحتوی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فقهیة، مطبوع</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 بن حسن بن أحمد بن عبد الهادی، المعروف بابن مِبرد الصالحی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القواعد الکلّیّة والضوابط الفقهیة</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نحن وهذا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الکتاب الذی بین یدیک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عزیزی القارئ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تفصیلیة معمّقة حول أحد القواعد الفقهیة المهمّة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الفراغ والتجاوز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لسماحة آیة الله الشیخ محمدجواد الفاضل اللنکرانی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یُعد ذلک دروس ألقاها علی مجموعة من الفضلاء فی الحوزة العلمیة بقم المقدسة وطلب منّی سماحته تعریب ذلک وطرحت فکرة التعریب علی سماحة الأخ الأستاذ الفاضل الشیخ محمد جواد السعیدی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یُعدّ أحد أساتذة حوزتنا حوزة فقه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أسسّها المرجع الدینی الکبیر سماحة آیة الله العظمی شیخنا الاستاذ الشیخ محمد الفاضل اللنکرانی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 الزکیة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قام المترجم المحترم من قبل بترجمة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ونال فی الأواسط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الختام نسأل الباری عزوجل أن یوفّقنا لخدمة مذهب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سمیع مجیب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جعفر الطبسی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المعظم</w:t>
      </w:r>
      <w:r>
        <w:rPr>
          <w:rFonts w:eastAsia="IRNazanin" w:cs="IRNazanin"/>
          <w:color w:val="111111"/>
          <w:sz w:val="28"/>
          <w:szCs w:val="28"/>
          <w:rtl w:val="true"/>
          <w:lang w:bidi="fa-IR"/>
        </w:rPr>
        <w:t xml:space="preserve">/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bookmarkStart w:id="28" w:name="pg5466_52744"/>
    </w:p>
    <w:p>
      <w:pPr>
        <w:pStyle w:val="Heading2"/>
        <w:numPr>
          <w:ilvl w:val="1"/>
          <w:numId w:val="1"/>
        </w:numPr>
        <w:rPr/>
      </w:pPr>
      <w:bookmarkStart w:id="29" w:name="__RefHeading___Toc2082264_581953129"/>
      <w:bookmarkStart w:id="30" w:name="_Toc10"/>
      <w:bookmarkEnd w:id="28"/>
      <w:bookmarkEnd w:id="29"/>
      <w:r>
        <w:rPr>
          <w:rtl w:val="true"/>
        </w:rPr>
        <w:t>مقدمة المترجم</w:t>
      </w:r>
      <w:bookmarkEnd w:id="3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بارئ الخلائق أجمعین والصلاة والسلام علی أشرف الأنبیاء وخاتم المرسلین سیّدنا محمد وآله الطیبین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فإنّ قاعدة الفراغ والتجاوز إنّما تُعتبر واحدة من أهمّ القواعد الفقهیة التی لطالما استند إلیها فقهاؤنا العظام فی تصحیح المخترعات الشرعیة والمرکّبات الاعتباریة عند الشک فی إتیان جزءٍ أو نسیان شرط منها کما هو الحال فی بابی الصلاة والحج، قاعدة بحث فیها الفقهاء وصال فی میدانها العلماء فألّفوا فیها الکثیر من المؤلفات ورکزوا علی دراسة هذه القاعدة وتحلیلها من مختلف الزوایا والجهات، ومن هؤلاء مؤلفنا القدیر</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وأستاذنا الکبیر الفقیه العلامة آیة الله الشیخ محمد جواد الفاضل اللنکرانی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تزخر المکتبة الإمامیة بکتبها القیّمة ومؤلفاته النفیسة فی شتی المجالات ولاسیّما فی علمی الفقه والأصول، هذه المؤلفات التی ساهمت وتساهم فی نشر فقه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وفکرهم وها هی حوزة فقه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منطقة السیدة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سوریا بإدارة مدیرها المدبّر ومشرفها القدیر العلامة الشیخ محمدجعفر الطبسی قد تصدّت فی السنوات الخمس التی مرّت علی تأسیسها لمهمّة القیام بطبع کثیر من مؤلفات مؤلفنا القدیر وترجمة عدد لا بأس به من الکتب والکتیبات للمؤلف فی علمی الفقه والأصول ووضعها بین أیدی طلبة العلوم الدینیة وطلاب الحوزات العلمیّة للتزود والاستفادة منها ولا سیّما لمن بلغ منهم مرحلتی السطوح العلیا وبحث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أُسندتْ إلیّ فیما سبق مهمّة القیام بترجمة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نجح إلی حدّ کبیر فی أوساط الطلبة الأفاضل فکان له طلابه وقرّاؤه وهذه هی المهمّة الثانیة التی لطالما أفتخر بحملها علی عاتقی وأشکر سماحة العلامة الشیخ محمد جعفر الطبسی علی حسن ظنّه بعملی فی الترجمة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وجدت من خلال قراءتی الدقیقة وبنظری القاصر أنّ هذا العمل الجدید للمؤلف الجلیل عملٌ دقیق وقیّمٌ وجبّار، یجاری مؤلفات فقهائنا الکبار الذین کتبوا فی قاعدة الفراغ والتجاوز، وقد بحث المؤلف فی هذه القاعدة من زوایا مختلفة وبأسلوب سهلٍ وبیان سلس وألفاظ عذبةٍ یتذوقها القارئ الکریم بکلّ سهولة ویسار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محمد جواد السعیدی</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تعتبر قاعدة الفراغ والتجاوز من القواعد الهامة الّتی استند إلیها الفقهاء فی کثیر من الفروع وأبواب الفقه لاسیّما فی العبادات، من هؤلاء الفقهاء المرحوم السید حیث ذکر فی خاتمة کتاب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مسائل عدیدة تحت عنوان فروع العلم الإجمالی وهی من المسائل الفقهیة الهامّة جدّاً وهی تبتنی علی أمرین أساسیین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الفراغ والتجاوز،</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لا تعاد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بالنسبة إلی قاعدة الفراغ والتجاوز فقد جرتْ سیرة الأصولیین وطریقة العلماء المتأخرین علی إدراجها والبحث عنها فی طیّات مباحث الاستصحاب من علم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البحث عن تعارض الاستصحاب مع قاعدة الفراغ والتجاوز علی وجه التحدید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یعتقد جلّ الأصولیین بل ربّما کلّهم بأنّ قاعدة الفراغ والتجاوز مقّدمة علی الاستصحاب أمّا من باب الحکومة وإمّا من باب</w:t>
      </w:r>
    </w:p>
    <w:p>
      <w:pPr>
        <w:pStyle w:val="BookText"/>
        <w:rPr/>
      </w:pPr>
      <w:r>
        <w:rPr>
          <w:rFonts w:ascii="IRNazanin" w:hAnsi="IRNazanin" w:eastAsia="IRNazanin"/>
          <w:color w:val="111111"/>
          <w:sz w:val="28"/>
          <w:sz w:val="28"/>
          <w:szCs w:val="28"/>
          <w:rtl w:val="true"/>
          <w:lang w:bidi="fa-IR"/>
        </w:rPr>
        <w:t>التخصیص</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بُحث عن هذه القاعدة کقاعدة فقهیة هامة فی الکتب المؤلّفة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ولکنّنا لا نجد فی کلمات القدماء ما یسمّی بقاعدة الفراغ والتجاوز وإنْ وجدنا الروایات التی تُعدّ مستنداً لهذه القاعدة فی عبارات القدماء وکتبهم</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أهمّ الأمور الّتی لا بدّ من بیانها فی مبحث قاعدة الفراغ والتجاوز وقد کانت محطّ أنظار الباحثین هی کالتالی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مستند ومدرک هذه القاعدة وشروط جریانها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الإجابة عن التساؤل بأنّ قاعدة الفراغ والتجاوز قاعدة واحدة أم قاعدتان مستقلّتان؟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أن قاعدة الفراغ والتجاوز أصلٌ عملی أو أمارة؟ وعلی فرض کونها أصلاً فمن أیّ الأصول العملیة هی؟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أین تجری هذه القاعدة؟ فهل هی مختصّة ببابی الصلاة والطهارة أو تعمّ جمیع أبواب الفقه؟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یبدأ البحث عادةً فی الکتب الأصولیة فی إطار البحث عن قاعدة الفراغ والتجاوز من زاویة أنّها من الأمارات أو الأصول العملیة، إلاّ أنّ الترتیب الطبیعی والمنطقی یقتضی أن نبحث أولاً عن أدلّة هذه القاعدة ومدارکها ثمّ ننتقل إلی</w:t>
      </w:r>
      <w:bookmarkStart w:id="31" w:name="pg5466_52748"/>
    </w:p>
    <w:p>
      <w:pPr>
        <w:pStyle w:val="BookText"/>
        <w:rPr/>
      </w:pPr>
      <w:bookmarkEnd w:id="31"/>
      <w:r>
        <w:rPr>
          <w:rFonts w:ascii="IRNazanin" w:hAnsi="IRNazanin" w:eastAsia="IRNazanin"/>
          <w:color w:val="111111"/>
          <w:sz w:val="28"/>
          <w:sz w:val="28"/>
          <w:szCs w:val="28"/>
          <w:rtl w:val="true"/>
          <w:lang w:bidi="fa-IR"/>
        </w:rPr>
        <w:t>البحث عن کونها من الأمارات أو الأصول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لابدّ من البحث أولاً عن أدلّة هذه القاعدة ومدارکها ثمّ الانتقال إلی الأبحاث الأخری المتعلّقة بهذه القاعدة والتّی وقع الخلاف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وقبل هذا وذاک لا بد من بیان تعریف الفراغ والتجاوز للتعرف علیها ولو علی نحو الإجمال</w:t>
      </w:r>
      <w:r>
        <w:rPr>
          <w:rFonts w:eastAsia="IRNazanin" w:cs="IRNazanin"/>
          <w:color w:val="111111"/>
          <w:sz w:val="28"/>
          <w:szCs w:val="28"/>
          <w:rtl w:val="true"/>
          <w:lang w:bidi="fa-IR"/>
        </w:rPr>
        <w:t>.</w:t>
      </w:r>
    </w:p>
    <w:p>
      <w:pPr>
        <w:pStyle w:val="Heading2"/>
        <w:numPr>
          <w:ilvl w:val="1"/>
          <w:numId w:val="1"/>
        </w:numPr>
        <w:rPr/>
      </w:pPr>
      <w:bookmarkStart w:id="32" w:name="__RefHeading___Toc2082266_581953129"/>
      <w:bookmarkStart w:id="33" w:name="_Toc11"/>
      <w:bookmarkEnd w:id="32"/>
      <w:r>
        <w:rPr>
          <w:rtl w:val="true"/>
        </w:rPr>
        <w:t>التعریف الإجمالی للقاعدتین</w:t>
      </w:r>
      <w:bookmarkEnd w:id="33"/>
    </w:p>
    <w:p>
      <w:pPr>
        <w:pStyle w:val="BookText"/>
        <w:rPr/>
      </w:pPr>
      <w:r>
        <w:rPr>
          <w:rFonts w:ascii="IRNazanin" w:hAnsi="IRNazanin" w:eastAsia="IRNazanin"/>
          <w:color w:val="111111"/>
          <w:sz w:val="28"/>
          <w:sz w:val="28"/>
          <w:szCs w:val="28"/>
          <w:rtl w:val="true"/>
          <w:lang w:bidi="fa-IR"/>
        </w:rPr>
        <w:t>قاعدة الفراغ هی الحکم ظاهراً بصحّة العمل الذی فرغ منه المکلّف، کما لو صلّی المکلّف ثمّ شکّ فی صحة جزءٍ من أجزائها أو شرط من شرائطها بعد الانتهاء منها فإنّ قاعدة الفراغ أثبتت فی حقّه حکماً ظاهراً بصحّة صلاته</w:t>
      </w:r>
      <w:r>
        <w:rPr>
          <w:rFonts w:eastAsia="IRNazanin" w:cs="IRNazanin"/>
          <w:color w:val="111111"/>
          <w:sz w:val="28"/>
          <w:szCs w:val="28"/>
          <w:rtl w:val="true"/>
          <w:lang w:bidi="fa-IR"/>
        </w:rPr>
        <w:t>.</w:t>
      </w:r>
    </w:p>
    <w:p>
      <w:pPr>
        <w:pStyle w:val="Heading2"/>
        <w:numPr>
          <w:ilvl w:val="1"/>
          <w:numId w:val="1"/>
        </w:numPr>
        <w:rPr/>
      </w:pPr>
      <w:bookmarkStart w:id="34" w:name="__RefHeading___Toc2082268_581953129"/>
      <w:bookmarkStart w:id="35" w:name="_Toc12"/>
      <w:bookmarkEnd w:id="34"/>
      <w:r>
        <w:rPr>
          <w:rtl w:val="true"/>
        </w:rPr>
        <w:t>قاعدة التجاوز</w:t>
      </w:r>
      <w:bookmarkEnd w:id="35"/>
    </w:p>
    <w:p>
      <w:pPr>
        <w:pStyle w:val="BookText"/>
        <w:rPr/>
      </w:pPr>
      <w:r>
        <w:rPr>
          <w:rFonts w:ascii="IRNazanin" w:hAnsi="IRNazanin" w:eastAsia="IRNazanin"/>
          <w:color w:val="111111"/>
          <w:sz w:val="28"/>
          <w:sz w:val="28"/>
          <w:szCs w:val="28"/>
          <w:rtl w:val="true"/>
          <w:lang w:bidi="fa-IR"/>
        </w:rPr>
        <w:t>هی الحکم ظاهراً بإتیان الجزء المشکوک بعد تجاوز محلّه، وذلک کما لو شک المصلّی فی حالة السجود بأنّه هل رکع أولاً؟ فإنّ قاعدة التجاوز تجعل فی حقّه حکماً ظاهریاً بأنّه أتی بالرکوع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فالفرق بین القاعدتین علی القول بأنّهما قاعدتان مستقلّتان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وسیأتی الخلاف فی ذلک فی الأبحاث القادمة مفصّلاً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مورد قاعدة الفراغ هو الشکّ فی صحّة الجزء المأتی به بینما مجری قاعدة التجاوز هو الشکّ فی إتیان الجزء من الأساس</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الجدیر بالذکر أنّنا سنذکر الفرق بین هاتین القاعدتین بعد البحث عن مدارک هذه القاعدة</w:t>
      </w:r>
      <w:r>
        <w:rPr>
          <w:rFonts w:eastAsia="IRNazanin" w:cs="IRNazanin"/>
          <w:color w:val="111111"/>
          <w:sz w:val="28"/>
          <w:szCs w:val="28"/>
          <w:rtl w:val="true"/>
          <w:lang w:bidi="fa-IR"/>
        </w:rPr>
        <w:t>.</w:t>
      </w:r>
      <w:bookmarkStart w:id="36" w:name="pg5466_52749"/>
    </w:p>
    <w:p>
      <w:pPr>
        <w:pStyle w:val="Heading2"/>
        <w:numPr>
          <w:ilvl w:val="1"/>
          <w:numId w:val="1"/>
        </w:numPr>
        <w:rPr/>
      </w:pPr>
      <w:bookmarkStart w:id="37" w:name="__RefHeading___Toc2082270_581953129"/>
      <w:bookmarkStart w:id="38" w:name="_Toc13"/>
      <w:bookmarkEnd w:id="36"/>
      <w:bookmarkEnd w:id="37"/>
      <w:r>
        <w:rPr>
          <w:rtl w:val="true"/>
        </w:rPr>
        <w:t>أدلّة قاعدة الفراغ والتجاوز</w:t>
      </w:r>
      <w:bookmarkEnd w:id="38"/>
    </w:p>
    <w:p>
      <w:pPr>
        <w:pStyle w:val="Heading3"/>
        <w:numPr>
          <w:ilvl w:val="2"/>
          <w:numId w:val="1"/>
        </w:numPr>
        <w:rPr/>
      </w:pPr>
      <w:bookmarkStart w:id="39" w:name="__RefHeading___Toc2082272_581953129"/>
      <w:bookmarkStart w:id="40" w:name="_Toc14"/>
      <w:bookmarkEnd w:id="39"/>
      <w:r>
        <w:rPr>
          <w:rtl w:val="true"/>
        </w:rPr>
        <w:t>اشارة</w:t>
      </w:r>
      <w:bookmarkEnd w:id="40"/>
    </w:p>
    <w:p>
      <w:pPr>
        <w:pStyle w:val="BookText"/>
        <w:rPr/>
      </w:pPr>
      <w:r>
        <w:rPr>
          <w:rFonts w:ascii="IRNazanin" w:hAnsi="IRNazanin" w:eastAsia="IRNazanin"/>
          <w:color w:val="111111"/>
          <w:sz w:val="28"/>
          <w:sz w:val="28"/>
          <w:szCs w:val="28"/>
          <w:rtl w:val="true"/>
          <w:lang w:bidi="fa-IR"/>
        </w:rPr>
        <w:t>مجموع ما یمکن أن یُتوصل إلیه من الأدلّة علی قاعدة الفراغ والتجاوز من خلال تتبّع کلمات العلماء الأعلام ستّة أدلّة ونحن نذکر منها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الأدلة القابلة للمناقشة والطعن ثمّ نرجی البحث عن الأخبار والروایات التی تعتبر الدلیل الأهمّ علی هذه القاعدة إلی نهایة الأدلة</w:t>
      </w:r>
      <w:r>
        <w:rPr>
          <w:rFonts w:eastAsia="IRNazanin" w:cs="IRNazanin"/>
          <w:color w:val="111111"/>
          <w:sz w:val="28"/>
          <w:szCs w:val="28"/>
          <w:rtl w:val="true"/>
          <w:lang w:bidi="fa-IR"/>
        </w:rPr>
        <w:t>.</w:t>
      </w:r>
    </w:p>
    <w:p>
      <w:pPr>
        <w:pStyle w:val="Heading3"/>
        <w:numPr>
          <w:ilvl w:val="2"/>
          <w:numId w:val="1"/>
        </w:numPr>
        <w:rPr/>
      </w:pPr>
      <w:bookmarkStart w:id="41" w:name="__RefHeading___Toc2082274_581953129"/>
      <w:bookmarkStart w:id="42" w:name="_Toc15"/>
      <w:bookmarkEnd w:id="41"/>
      <w:r>
        <w:rPr/>
        <w:t>1</w:t>
      </w:r>
      <w:r>
        <w:rPr>
          <w:rtl w:val="true"/>
        </w:rPr>
        <w:t xml:space="preserve"> - </w:t>
      </w:r>
      <w:r>
        <w:rPr>
          <w:rtl w:val="true"/>
        </w:rPr>
        <w:t>الإجماع العملی</w:t>
      </w:r>
      <w:r>
        <w:rPr>
          <w:rtl w:val="true"/>
        </w:rPr>
        <w:t>:</w:t>
      </w:r>
      <w:bookmarkEnd w:id="42"/>
    </w:p>
    <w:p>
      <w:pPr>
        <w:pStyle w:val="Heading4"/>
        <w:numPr>
          <w:ilvl w:val="3"/>
          <w:numId w:val="1"/>
        </w:numPr>
        <w:rPr/>
      </w:pPr>
      <w:bookmarkStart w:id="43" w:name="__RefHeading___Toc2082276_581953129"/>
      <w:bookmarkStart w:id="44" w:name="_Toc16"/>
      <w:bookmarkEnd w:id="43"/>
      <w:r>
        <w:rPr>
          <w:rtl w:val="true"/>
        </w:rPr>
        <w:t>اشارة</w:t>
      </w:r>
      <w:bookmarkEnd w:id="44"/>
    </w:p>
    <w:p>
      <w:pPr>
        <w:pStyle w:val="BookText"/>
        <w:rPr/>
      </w:pPr>
      <w:r>
        <w:rPr>
          <w:rFonts w:ascii="IRNazanin" w:hAnsi="IRNazanin" w:eastAsia="IRNazanin"/>
          <w:color w:val="111111"/>
          <w:sz w:val="28"/>
          <w:sz w:val="28"/>
          <w:szCs w:val="28"/>
          <w:rtl w:val="true"/>
          <w:lang w:bidi="fa-IR"/>
        </w:rPr>
        <w:t>من خلال التصفّح فی الأبواب الفقیهة المختلفة سوف یتبیّن لنا أنّ فقهائنا العظام قد استندوا إلی هذه القاعدة وعملوا بها فی شتّی أبواب الفقه کالصلاة والوضوء والحجّ وبعض الموارد الأخری، والمراد بالإجماع العملی هو هذا الاستناد وعمل الفقهاء فی هذه الموارد وإن لم یتحقّق الإجماع القولی منهم فی هذه المسألة</w:t>
      </w:r>
      <w:r>
        <w:rPr>
          <w:rFonts w:eastAsia="IRNazanin" w:cs="IRNazanin"/>
          <w:color w:val="111111"/>
          <w:sz w:val="28"/>
          <w:szCs w:val="28"/>
          <w:rtl w:val="true"/>
          <w:lang w:bidi="fa-IR"/>
        </w:rPr>
        <w:t>.</w:t>
      </w:r>
    </w:p>
    <w:p>
      <w:pPr>
        <w:pStyle w:val="Heading4"/>
        <w:numPr>
          <w:ilvl w:val="3"/>
          <w:numId w:val="1"/>
        </w:numPr>
        <w:rPr/>
      </w:pPr>
      <w:bookmarkStart w:id="45" w:name="__RefHeading___Toc2082278_581953129"/>
      <w:bookmarkStart w:id="46" w:name="_Toc17"/>
      <w:bookmarkEnd w:id="45"/>
      <w:r>
        <w:rPr>
          <w:rtl w:val="true"/>
        </w:rPr>
        <w:t>المناقشة فی دلیلیت الإجماع العملی</w:t>
      </w:r>
      <w:r>
        <w:rPr>
          <w:rtl w:val="true"/>
        </w:rPr>
        <w:t>:</w:t>
      </w:r>
      <w:bookmarkEnd w:id="46"/>
    </w:p>
    <w:p>
      <w:pPr>
        <w:pStyle w:val="BookText"/>
        <w:rPr/>
      </w:pPr>
      <w:r>
        <w:rPr>
          <w:rFonts w:ascii="IRNazanin" w:hAnsi="IRNazanin" w:eastAsia="IRNazanin"/>
          <w:color w:val="111111"/>
          <w:sz w:val="28"/>
          <w:sz w:val="28"/>
          <w:szCs w:val="28"/>
          <w:rtl w:val="true"/>
          <w:lang w:bidi="fa-IR"/>
        </w:rPr>
        <w:t xml:space="preserve">مضافاً إلی أنّ تحقق هذا الإجماع فی غیر باب الصلاة والطهارات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نظر وغیر معلوم فإنّ الإشکال المهمّ الذی یواجه هذا الدلیل هو أنّ هذا الإجماع مدرکی قطعاً والإجماع المدرکی لا حجیة له وذلک أنّ مدرک الفقهاء فی موارد استنادهم إلی هذه القاعدة هو تلک الروایات الواردة عن الأئمّة المعصومین علیهم السلام فی هذا المجال،</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لم یکن مستند الفقهاء فی هذه المسألة هو الإجماع التعبّدی المعتبر، ومن هنا یسقط الدلیل المذکور عن الاعتبار والحجّیة</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bookmarkStart w:id="47" w:name="pg5466_52750"/>
    </w:p>
    <w:p>
      <w:pPr>
        <w:pStyle w:val="Heading3"/>
        <w:numPr>
          <w:ilvl w:val="2"/>
          <w:numId w:val="1"/>
        </w:numPr>
        <w:rPr/>
      </w:pPr>
      <w:bookmarkStart w:id="48" w:name="__RefHeading___Toc2082280_581953129"/>
      <w:bookmarkStart w:id="49" w:name="_Toc18"/>
      <w:bookmarkEnd w:id="47"/>
      <w:bookmarkEnd w:id="48"/>
      <w:r>
        <w:rPr/>
        <w:t>2</w:t>
      </w:r>
      <w:r>
        <w:rPr>
          <w:rtl w:val="true"/>
        </w:rPr>
        <w:t xml:space="preserve"> - </w:t>
      </w:r>
      <w:r>
        <w:rPr>
          <w:rtl w:val="true"/>
        </w:rPr>
        <w:t>السیرة المتشرّعة</w:t>
      </w:r>
      <w:r>
        <w:rPr>
          <w:rtl w:val="true"/>
        </w:rPr>
        <w:t>:</w:t>
      </w:r>
      <w:bookmarkEnd w:id="49"/>
    </w:p>
    <w:p>
      <w:pPr>
        <w:pStyle w:val="Heading4"/>
        <w:numPr>
          <w:ilvl w:val="3"/>
          <w:numId w:val="1"/>
        </w:numPr>
        <w:rPr/>
      </w:pPr>
      <w:bookmarkStart w:id="50" w:name="__RefHeading___Toc2082282_581953129"/>
      <w:bookmarkStart w:id="51" w:name="_Toc19"/>
      <w:bookmarkEnd w:id="50"/>
      <w:r>
        <w:rPr>
          <w:rtl w:val="true"/>
        </w:rPr>
        <w:t>اشارة</w:t>
      </w:r>
      <w:bookmarkEnd w:id="51"/>
    </w:p>
    <w:p>
      <w:pPr>
        <w:pStyle w:val="BookText"/>
        <w:rPr/>
      </w:pPr>
      <w:r>
        <w:rPr>
          <w:rFonts w:ascii="IRNazanin" w:hAnsi="IRNazanin" w:eastAsia="IRNazanin"/>
          <w:color w:val="111111"/>
          <w:sz w:val="28"/>
          <w:sz w:val="28"/>
          <w:szCs w:val="28"/>
          <w:rtl w:val="true"/>
          <w:lang w:bidi="fa-IR"/>
        </w:rPr>
        <w:t>حیث استقرّت سیرة المتشرعة العملیة علی أنّهم إذا قاموا إلی عمل عبادیاً کان أو غیره جاؤوا به علی شکله الصحیح، علی سبیل المثال فإنّ المصلّی عندما یتمّ صلاته لا یفکّر فی إعادة صلاته أو قضائها نهائیاً إذ یعتقد أنّه صلّی صلاة صحیحة، نعم یمکن لبعض العظماء أن یعیدوا بعض أعمالهم العبادیة من باب الاحتیاط إلاّ أنّه لا یحکم أیّ مکلّف متشرع علی نفسه بإعادة أعماله بمجرد الشکّ فی أنّها هل صدرتْ منه علی الشکل الصحیح أو لا؟</w:t>
      </w:r>
    </w:p>
    <w:p>
      <w:pPr>
        <w:pStyle w:val="Heading4"/>
        <w:numPr>
          <w:ilvl w:val="3"/>
          <w:numId w:val="1"/>
        </w:numPr>
        <w:rPr/>
      </w:pPr>
      <w:bookmarkStart w:id="52" w:name="__RefHeading___Toc2082284_581953129"/>
      <w:bookmarkStart w:id="53" w:name="_Toc20"/>
      <w:bookmarkEnd w:id="52"/>
      <w:r>
        <w:rPr>
          <w:rtl w:val="true"/>
        </w:rPr>
        <w:t>مناقشة هذا الدلیل</w:t>
      </w:r>
      <w:r>
        <w:rPr>
          <w:rtl w:val="true"/>
        </w:rPr>
        <w:t>:</w:t>
      </w:r>
      <w:bookmarkEnd w:id="53"/>
    </w:p>
    <w:p>
      <w:pPr>
        <w:pStyle w:val="BookText"/>
        <w:rPr/>
      </w:pPr>
      <w:r>
        <w:rPr>
          <w:rFonts w:ascii="IRNazanin" w:hAnsi="IRNazanin" w:eastAsia="IRNazanin"/>
          <w:color w:val="111111"/>
          <w:sz w:val="28"/>
          <w:sz w:val="28"/>
          <w:szCs w:val="28"/>
          <w:rtl w:val="true"/>
          <w:lang w:bidi="fa-IR"/>
        </w:rPr>
        <w:t>یرد علی حجیة هذه السیرة ما ورد علی الإجماع العملی حیث یحتمل أن تکون السیرة مدرکیةً أیْ أنّ سیرة المتشرعة هذه مبتنیة علی فتوی الفقهاء أو الروایات أو أی دلیل آخر فتصبح هذه السیرة فاقدة للاعتبار والحجیة کالإجماع المدرکی، لاستناد هذه السیرة إلی فتاوی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سئل الفقهاء عن حکم الوضوء مثلاً فیما لو شکّ فی صحته بعد الانتهاء منه فهل تجب الإعادة؟ لأجابوا بالنفی وعدم وجوب الإعادة، وعلی هذا لا یمکن لسیرة المتشرعة أن تقع دلیلاً لقاعدة الفراغ والتجاوز</w:t>
      </w:r>
      <w:r>
        <w:rPr>
          <w:rFonts w:eastAsia="IRNazanin" w:cs="IRNazanin"/>
          <w:color w:val="111111"/>
          <w:sz w:val="28"/>
          <w:szCs w:val="28"/>
          <w:rtl w:val="true"/>
          <w:lang w:bidi="fa-IR"/>
        </w:rPr>
        <w:t>.</w:t>
      </w:r>
    </w:p>
    <w:p>
      <w:pPr>
        <w:pStyle w:val="Heading3"/>
        <w:numPr>
          <w:ilvl w:val="2"/>
          <w:numId w:val="1"/>
        </w:numPr>
        <w:rPr/>
      </w:pPr>
      <w:bookmarkStart w:id="54" w:name="__RefHeading___Toc2082286_581953129"/>
      <w:bookmarkStart w:id="55" w:name="_Toc21"/>
      <w:bookmarkEnd w:id="54"/>
      <w:r>
        <w:rPr/>
        <w:t>3</w:t>
      </w:r>
      <w:r>
        <w:rPr>
          <w:rtl w:val="true"/>
        </w:rPr>
        <w:t xml:space="preserve"> - </w:t>
      </w:r>
      <w:r>
        <w:rPr>
          <w:rtl w:val="true"/>
        </w:rPr>
        <w:t>سیرة العقلاء</w:t>
      </w:r>
      <w:r>
        <w:rPr>
          <w:rtl w:val="true"/>
        </w:rPr>
        <w:t>:</w:t>
      </w:r>
      <w:bookmarkEnd w:id="55"/>
    </w:p>
    <w:p>
      <w:pPr>
        <w:pStyle w:val="Heading4"/>
        <w:numPr>
          <w:ilvl w:val="3"/>
          <w:numId w:val="1"/>
        </w:numPr>
        <w:rPr/>
      </w:pPr>
      <w:bookmarkStart w:id="56" w:name="__RefHeading___Toc2082288_581953129"/>
      <w:bookmarkStart w:id="57" w:name="_Toc22"/>
      <w:bookmarkEnd w:id="56"/>
      <w:r>
        <w:rPr>
          <w:rtl w:val="true"/>
        </w:rPr>
        <w:t>اشارة</w:t>
      </w:r>
      <w:bookmarkEnd w:id="57"/>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قام بناء العقلاء وجرتْ سیرتهم علی أنّ المکلّف المختار العالم بأجزاء المأمور به وشرائطه إذا أتی بالمأمور به منه عدّوا عمله تامّاً وصحیحاً، ویمکن أن یدّعی ذلک فی قاعدة الفراغ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المکلّف لو أتی بالعمل وشکّ بعد الفراغ فی صحّة عمله فإنّ قاعدة الفراغ تقتضی صحّة هذا العمل</w:t>
      </w:r>
      <w:r>
        <w:rPr>
          <w:rFonts w:eastAsia="IRNazanin" w:cs="IRNazanin"/>
          <w:color w:val="111111"/>
          <w:sz w:val="28"/>
          <w:szCs w:val="28"/>
          <w:rtl w:val="true"/>
          <w:lang w:bidi="fa-IR"/>
        </w:rPr>
        <w:t>.</w:t>
      </w:r>
      <w:bookmarkStart w:id="58" w:name="pg5466_52751"/>
    </w:p>
    <w:p>
      <w:pPr>
        <w:pStyle w:val="BookText"/>
        <w:rPr/>
      </w:pPr>
      <w:bookmarkEnd w:id="58"/>
      <w:r>
        <w:rPr>
          <w:rFonts w:ascii="IRNazanin" w:hAnsi="IRNazanin" w:eastAsia="IRNazanin"/>
          <w:color w:val="111111"/>
          <w:sz w:val="28"/>
          <w:sz w:val="28"/>
          <w:szCs w:val="28"/>
          <w:rtl w:val="true"/>
          <w:lang w:bidi="fa-IR"/>
        </w:rPr>
        <w:t xml:space="preserve">فلو سلّمنا صحة هذا الدلیل کان لا بدّ من الالتزام بأنّ التعلیل الوارد فی ذیل بعض الروایات التی سنبحث عنها تحت عنوان الدلیل السادس حیث یقول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الشکّ فی صحّة الوضوء بعد الفراغ منه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لیس هذا التعلیل أمراً تعبّدیاً بأن یکون الشارع قد بیّن ذلک وهو فی مقام التشریع بل سیکون هذا التعلیل أمراً ارتکازیاً عقلائیاً ویکون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منوّهاً إلی هذا المرتکز العقلائی فی الروایة حیث یمکن اعتبارها کمؤید للسیرة العقلائیة</w:t>
      </w:r>
      <w:r>
        <w:rPr>
          <w:rFonts w:eastAsia="IRNazanin" w:cs="IRNazanin"/>
          <w:color w:val="111111"/>
          <w:sz w:val="28"/>
          <w:szCs w:val="28"/>
          <w:rtl w:val="true"/>
          <w:lang w:bidi="fa-IR"/>
        </w:rPr>
        <w:t>.</w:t>
      </w:r>
    </w:p>
    <w:p>
      <w:pPr>
        <w:pStyle w:val="Heading4"/>
        <w:numPr>
          <w:ilvl w:val="3"/>
          <w:numId w:val="1"/>
        </w:numPr>
        <w:rPr/>
      </w:pPr>
      <w:bookmarkStart w:id="59" w:name="__RefHeading___Toc2082290_581953129"/>
      <w:bookmarkStart w:id="60" w:name="_Toc23"/>
      <w:bookmarkEnd w:id="59"/>
      <w:r>
        <w:rPr>
          <w:rtl w:val="true"/>
        </w:rPr>
        <w:t>مناقشة الاستدلال بالسیرة العقلائیة</w:t>
      </w:r>
      <w:r>
        <w:rPr>
          <w:rtl w:val="true"/>
        </w:rPr>
        <w:t>:</w:t>
      </w:r>
      <w:bookmarkEnd w:id="60"/>
    </w:p>
    <w:p>
      <w:pPr>
        <w:pStyle w:val="BookText"/>
        <w:rPr/>
      </w:pPr>
      <w:r>
        <w:rPr>
          <w:rFonts w:ascii="IRNazanin" w:hAnsi="IRNazanin" w:eastAsia="IRNazanin"/>
          <w:color w:val="111111"/>
          <w:sz w:val="28"/>
          <w:sz w:val="28"/>
          <w:szCs w:val="28"/>
          <w:rtl w:val="true"/>
          <w:lang w:bidi="fa-IR"/>
        </w:rPr>
        <w:t>لتحقیق أنّ سیرة العقلاء هل یمکن أن تقع دلیلاً علی قاعدة الفراغ أو لا، لابدّ من بیان أنّ السیرة العقلائیة لا تخلو عن صورتین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أن تکون السیرة العقلائیة تعبّدیة حیث لا حاجة معها إلی بیان الملاک من قبل العقلاء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وإمّا أن یکون لسیرة العقلاء مدرکٌ لدی العقلاء</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هذا البحث قد جری فی أصالة الحقیقة أیضاً من أنّ أصالة الحقیقة هل هی أصل لفظی عقلائی تعبّدی أو لیست کذلک بل تکون راجعة إلی أصالة عدم القرینة</w:t>
      </w:r>
      <w:r>
        <w:rPr>
          <w:rStyle w:val="FootnoteAnchor"/>
          <w:rtl w:val="true"/>
        </w:rPr>
        <w:footnoteReference w:id="31"/>
      </w:r>
      <w:r>
        <w:rPr>
          <w:rFonts w:ascii="IRNazanin" w:hAnsi="IRNazanin" w:eastAsia="IRNazanin"/>
          <w:color w:val="111111"/>
          <w:sz w:val="28"/>
          <w:sz w:val="28"/>
          <w:szCs w:val="28"/>
          <w:rtl w:val="true"/>
          <w:lang w:bidi="fa-IR"/>
        </w:rPr>
        <w:t>؟ وفیما نحن فیه لو أتی الفاعل العالم المختار بعملٍ فإنّ حکم العقلاء بصحّة عمله بعد الفراغ منه هل هو أصل تعبّدی عقلائی؟ أو لیس تعبدیاً بل له ملاک؟</w:t>
      </w:r>
    </w:p>
    <w:p>
      <w:pPr>
        <w:pStyle w:val="BookText"/>
        <w:rPr/>
      </w:pPr>
      <w:r>
        <w:rPr>
          <w:rFonts w:ascii="IRNazanin" w:hAnsi="IRNazanin" w:eastAsia="IRNazanin"/>
          <w:color w:val="111111"/>
          <w:sz w:val="28"/>
          <w:sz w:val="28"/>
          <w:szCs w:val="28"/>
          <w:rtl w:val="true"/>
          <w:lang w:bidi="fa-IR"/>
        </w:rPr>
        <w:t>القول بأنّ سیرة العقلاء فی مبحث قاعدة الفراغ والتجاوز أصل تعبّدی مشکل جدّاً بل یمکن القول بأنْ لا أصل تعبدی لدی العقلاء، والأصول أو السیر العقلائیة کلّها قائمة علی أساس الملاک، وعلی هذا الأساس لابدّ من معرفة ملاک سیرة العقلاء فیما نحن فیه، فما هو ملاک السیرة العقلائیة هنا؟</w:t>
      </w:r>
    </w:p>
    <w:p>
      <w:pPr>
        <w:pStyle w:val="BookText"/>
        <w:rPr/>
      </w:pPr>
      <w:r>
        <w:rPr>
          <w:rFonts w:ascii="IRNazanin" w:hAnsi="IRNazanin" w:eastAsia="IRNazanin"/>
          <w:color w:val="111111"/>
          <w:sz w:val="28"/>
          <w:sz w:val="28"/>
          <w:szCs w:val="28"/>
          <w:rtl w:val="true"/>
          <w:lang w:bidi="fa-IR"/>
        </w:rPr>
        <w:t>یمکن الإجابة بأنّ ملاک هذه السیرة ومآلها إلی أصالة عدم الغفلة وذلک أنّ العقلاء یجرون أصالة عدم الغفلة فی حقّ مَن قصد إتیان عمله والقیام بتکلیفه علی النحو الصحیح لکنّه شک فی أنه هل عرضت علیه الغفلة أثناء العمل أو لا؟ ومن هنا لابدّ من البحث والتحقیق فی موارد إجراء العقلاء أصالة عدم الغفلة هل جریانها مختص بموارد خاصّة أو لا؟</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سؤالان رئیسیان فی مورد هذا الأصل ومجراه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یختصّ جریان أصالة عدم الغفلة فی خصوص الأقوال کالخبر والشهادة بحیث لا یشمل الأفعال الخارجیة؟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یعتقد البعض</w:t>
      </w:r>
      <w:r>
        <w:rPr>
          <w:rStyle w:val="FootnoteAnchor"/>
          <w:rtl w:val="true"/>
        </w:rPr>
        <w:footnoteReference w:id="32"/>
      </w:r>
      <w:r>
        <w:rPr>
          <w:rFonts w:ascii="IRNazanin" w:hAnsi="IRNazanin" w:eastAsia="IRNazanin"/>
          <w:color w:val="111111"/>
          <w:sz w:val="28"/>
          <w:sz w:val="28"/>
          <w:szCs w:val="28"/>
          <w:rtl w:val="true"/>
          <w:lang w:bidi="fa-IR"/>
        </w:rPr>
        <w:t>أنّ مورد أصالة عدم الغفلة هو باب الإخبار والشهادة، وذلک بسبب أنّ العاقل ملتفت إلی الخصوصیات الموجودة فی الحادثة والقرائن المکتنفة بالکلام، ومن هنا تجری أصالة عدم الغفلة فی شهادة الشاهد أو نقل الخبر عن حادثة أو نقل الروایة فتکون أصالة عدم الغفلة أصلاً عقلائیاً لفظیاً وعلیه لا تجری فی دائرة الأفعال الخارجیة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ولکنّ التحقیق جریان هذا الأصل فی الأفعال أیضاً لأنّا نجد من أنفسنا أنّنا لو أمرنا شخصاً بإعداد طعام مرکّب من عدّة مواد خاصة لکنّا شککنا فی أنّه هل أنجز عمله علی نحو صحیح أو أنّه کان غافلاً أثناء عمله أجرینا فی حقّه أصالة</w:t>
      </w:r>
      <w:bookmarkStart w:id="61" w:name="pg5466_52753"/>
    </w:p>
    <w:p>
      <w:pPr>
        <w:pStyle w:val="BookText"/>
        <w:rPr/>
      </w:pPr>
      <w:bookmarkEnd w:id="61"/>
      <w:r>
        <w:rPr>
          <w:rFonts w:ascii="IRNazanin" w:hAnsi="IRNazanin" w:eastAsia="IRNazanin"/>
          <w:color w:val="111111"/>
          <w:sz w:val="28"/>
          <w:sz w:val="28"/>
          <w:szCs w:val="28"/>
          <w:rtl w:val="true"/>
          <w:lang w:bidi="fa-IR"/>
        </w:rPr>
        <w:t>عدم الغفلة وحملنا عمله علی الصحّة، ومن هنا لم تکن أصالة عدم الغفلة أصلاً لفظیاً عقلائیاً صرفاً بل تجری فی الأفعال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عرفنا جریان أصالة عدم الغفلة فی الأفعال أیضاً فلابدّ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یتم الاستدلال بسیرة العقلاء علی قاعدة الفراغ والتجاوز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نحرز بأنّ أصالة عدم الغفلة هل تشمل أقوال المکلّف نفسه وأفعاله بأن یطبّقها المکلّف علی أفعال نفسه أو أنّها تختص بأقوال الآخرین وأفعالهم؟</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باعتقادنا أن لا عمومیة ولا توسعة لأصالة عدم الغفلة من هذه الجهة فتختص بأقوال الآخرین وأفعالهم ولا أقل من الشکّ فی شمول هذا الأصل العقلائی لأفعال المکلّف نفسه ولمّا کانت أصالة عدم الغفلة دلیلاً لبیّاً وجب الأخذ بالقدر المتیقّن منه وهو قول الغیر وفعله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فلا یمکن الرکون إلی فعل نفسه بهذا الأصل، وفی النتیجة لا تکون السیرة العقلائیة دلیلاً علی قاعدة الفراغ والتجاوز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التعلیل الوارد فی ذیل الروایات الدالة علی السیرة العقلائیة التی سندرسها فی الدلیل السادس فإنّنا سنجیب هناک بأن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تعلیلاً ولا یعد علّة، وقد ذکر بعض الأعاظم کالمحقق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العبارة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حکمةٌ ولیست علّة</w:t>
      </w:r>
      <w:r>
        <w:rPr>
          <w:rFonts w:eastAsia="IRNazanin" w:cs="IRNazanin"/>
          <w:color w:val="111111"/>
          <w:sz w:val="28"/>
          <w:szCs w:val="28"/>
          <w:rtl w:val="true"/>
          <w:lang w:bidi="fa-IR"/>
        </w:rPr>
        <w:t>.</w:t>
      </w:r>
    </w:p>
    <w:p>
      <w:pPr>
        <w:pStyle w:val="Heading3"/>
        <w:numPr>
          <w:ilvl w:val="2"/>
          <w:numId w:val="1"/>
        </w:numPr>
        <w:rPr/>
      </w:pPr>
      <w:bookmarkStart w:id="62" w:name="__RefHeading___Toc2082292_581953129"/>
      <w:bookmarkStart w:id="63" w:name="_Toc24"/>
      <w:bookmarkEnd w:id="62"/>
      <w:r>
        <w:rPr/>
        <w:t>4</w:t>
      </w:r>
      <w:r>
        <w:rPr>
          <w:rtl w:val="true"/>
        </w:rPr>
        <w:t xml:space="preserve"> - </w:t>
      </w:r>
      <w:r>
        <w:rPr>
          <w:rtl w:val="true"/>
        </w:rPr>
        <w:t>إثبات حجیة القاعدة بأصالة الصحة</w:t>
      </w:r>
      <w:r>
        <w:rPr>
          <w:rtl w:val="true"/>
        </w:rPr>
        <w:t>:</w:t>
      </w:r>
      <w:bookmarkEnd w:id="63"/>
    </w:p>
    <w:p>
      <w:pPr>
        <w:pStyle w:val="Heading4"/>
        <w:numPr>
          <w:ilvl w:val="3"/>
          <w:numId w:val="1"/>
        </w:numPr>
        <w:rPr/>
      </w:pPr>
      <w:bookmarkStart w:id="64" w:name="__RefHeading___Toc2082294_581953129"/>
      <w:bookmarkStart w:id="65" w:name="_Toc25"/>
      <w:bookmarkEnd w:id="64"/>
      <w:r>
        <w:rPr>
          <w:rtl w:val="true"/>
        </w:rPr>
        <w:t>اشارة</w:t>
      </w:r>
      <w:bookmarkEnd w:id="6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الرابع علی قاعدة الفراغ أدلّة أصالة الصحة کما هو المستفاد من کلمات الفقیه العظیم الحاج رضا الهمدانی من أنّ الأدلّة الدالّة علی حجیة أصالة الصحة تدلّ بنفسها أیضاً علی حجیة قاعدة الفراغ التی هی من مصادیق قاعدة أصالة الصحة الکلّیة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عدم الاعتداد بالشک بعد الفراغ من</w:t>
      </w:r>
    </w:p>
    <w:p>
      <w:pPr>
        <w:pStyle w:val="BookText"/>
        <w:rPr/>
      </w:pPr>
      <w:r>
        <w:rPr>
          <w:rFonts w:ascii="IRNazanin" w:hAnsi="IRNazanin" w:eastAsia="IRNazanin"/>
          <w:color w:val="111111"/>
          <w:sz w:val="28"/>
          <w:sz w:val="28"/>
          <w:szCs w:val="28"/>
          <w:rtl w:val="true"/>
          <w:lang w:bidi="fa-IR"/>
        </w:rPr>
        <w:t>الوضوء إنّما هو لکونه من جزیئات هذه القاعدة، وهذه القاعدة بنفسها من القواعد الکلّیة المسلّمة المعمول بها فی جمیع أبواب الفقه وهذه هی القاعدة التی یُعبّر عنها بأصالة الصحّة</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فالمرحوم المحقق الهمدانی لا یری قاعدة الفراغ قاعدة مستقلة بل یعتقد أنّها من مصادیق وجزئیات أصالة الصحة التی هی من القواعد الفقهیة المسلّمة الجاریة فی جمیع أبواب الفقه کما أنّها أصل عقلائی حیث لو شک فی صحة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الفراغ منه قام بناء العقلاء علی أنّ ذلک العمل قد أنجز علی النحو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ولکنّه یذکر فی صفحات أخری من کتابه عند الحدیث عن قاعدة التجاوز وأنّها تجری فیما لو شک فی أصل وجود الجزء بعد تجاوز محله کالرکوع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ویذکر أنّ قاعدة التجاوز علی خلاف قاعدة الفراغ ولیست من مصادیق أصالة الصحة بل هی قاعدة مستقلّة مختصّة بباب الصلاة ولا تجری فی سائر أبواب الفقه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مفاد الروایتین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خبر إسماعیل بن جابر وصحیحة زرارة الذین سنتکلّم عنهما فی الدلیل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یقتضیه ظاهرهما عدم الاعتناء بالشک فی وجود شیء بعد تجاوز محلّه، لا فی صحته، فهی قاعدة أخری غیر قاعدة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فالظاهر أنّ هذه القاعدة مخصوصة بالصلاة لا أنّها کقاعدة الصحّة ساریة جاریة فی جمیع أبواب الفقه</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هذا فإنّه جعل أدلّة أصالة الصحة دلیلاً علی قاعدة الفراغ وفرّق بین أصالة الصحة وقاعدة التجاوز من حیث المضمون والمدلول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مناقشة الدلیل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للتعرف علی أنّ أدلّة أصالة الصحّة یمکنها أن تقع دلیلاً علی قاعدة الفراغ لابد لنا من أن نعرف هل هناک فرق بینهما أولا؟</w:t>
      </w:r>
    </w:p>
    <w:p>
      <w:pPr>
        <w:pStyle w:val="BookText"/>
        <w:rPr/>
      </w:pPr>
      <w:r>
        <w:rPr>
          <w:rFonts w:ascii="IRNazanin" w:hAnsi="IRNazanin" w:eastAsia="IRNazanin"/>
          <w:color w:val="111111"/>
          <w:sz w:val="28"/>
          <w:sz w:val="28"/>
          <w:szCs w:val="28"/>
          <w:rtl w:val="true"/>
          <w:lang w:bidi="fa-IR"/>
        </w:rPr>
        <w:t>تشترک قاعدة الفراغ مع أصالة الصحة فی عدّة وجوه ممّا جعلت هذه الوجوه قاعدة الفراغ من مصادیق أصالة الصحة، والوجوه المشترکة بین أصالة الصحّة وقاعدة الفراغ هی کالتالی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اختُلف فی قاعدة الفراغ من جهة أنّها أمارة أو أصل فکذلک وقع الخلاف فی أصالة الصحّة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بعض الشروط المعتبرة عند الفقهاء لإجراء قاعدة الفراغ هی نفسها معتبرة فی جریان أصالة الصحة، فعلی سبیل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جریان قاعدة الفراغ إحراز عنوان العمل وذلک أنّ مَنْ فرغ من الوضوء فشک فی صحة وضوئه لا بد أن یحرز أنّه قد توضأ، أمّا لو تردّد فی أصل العمل ولم یعلم بأنّه توضأ أو غسل وجهه بهدف تبریده فلا تجری قاعدة الفراغ، وهذا الشرط بعینه معتبر فی إجراء أصالة الصحة حیث إنّ بناء العقلاء قائم علی جریان أصالة الصحة مع إحراز العمل فیکون العمل محکوماً بالصحة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وجه الاشتراک الثالث بین أصالة الصحة وقاعدة الفراغ أنّ أصالة الصحة تجری فی جمیع أبواب الفقه فکذلک قاعدة الفراغ تجری فی جمیع أبواب الفقه علی ما هو التحقیق، وقد صرّح المرحوم صاحب الجواهر بجریان هذه القاعدة فی کلّ عمل مرکّب کالصلاة</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وسنبین بالتفصیل مدی حدود جریان قاعدة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وجوه الافتراق بین أصالة الصحة وقاعدة الفراغ المستفادة من کلمات المرحوم المحقق النائینی والمرحوم الشیخ الأعظم الأنصاری فهی الأمور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أصالة الصحة إنّما تتعلّق بفعل غیر المکلّف</w:t>
      </w:r>
      <w:r>
        <w:rPr>
          <w:rStyle w:val="FootnoteAnchor"/>
          <w:rtl w:val="true"/>
        </w:rPr>
        <w:footnoteReference w:id="36"/>
      </w:r>
      <w:r>
        <w:rPr>
          <w:rFonts w:ascii="IRNazanin" w:hAnsi="IRNazanin" w:eastAsia="IRNazanin"/>
          <w:color w:val="111111"/>
          <w:sz w:val="28"/>
          <w:sz w:val="28"/>
          <w:szCs w:val="28"/>
          <w:rtl w:val="true"/>
          <w:lang w:bidi="fa-IR"/>
        </w:rPr>
        <w:t>بینما تتعلّق قاعدة الفراغ بفعل المکلّف نفسه فتفترقان من جهة مجراهما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ترتبط قاعدة الفراغ بما بعد العمل کما هو مستفادٌ من عنوان الفراغ نفسه، أمّا أصالة الصحة فلا تختص بما بعد العمل بل تجری فی أثناء العمل</w:t>
      </w:r>
      <w:r>
        <w:rPr>
          <w:rStyle w:val="FootnoteAnchor"/>
          <w:rtl w:val="true"/>
        </w:rPr>
        <w:footnoteReference w:id="37"/>
      </w:r>
      <w:r>
        <w:rPr>
          <w:rFonts w:ascii="IRNazanin" w:hAnsi="IRNazanin" w:eastAsia="IRNazanin"/>
          <w:color w:val="111111"/>
          <w:sz w:val="28"/>
          <w:sz w:val="28"/>
          <w:szCs w:val="28"/>
          <w:rtl w:val="true"/>
          <w:lang w:bidi="fa-IR"/>
        </w:rPr>
        <w:t>أیضاً، فعلی سبیل المثال لو شُکّ فی صحة صلاة المیّت والمصلی مشتغلٌ بها علی الجنازة جرتْ أصالة الصحة وحکمنها بصحّة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یقتضیه النظر عدم تمامیة کلا الفرقین فلا یمکن الردّ بهما علی کلام المرحوم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إلی الفرق الأوّل فکما نعتقده ویعتقده بعض المحققین ومنهم المرحوم الهمدانی</w:t>
      </w:r>
      <w:r>
        <w:rPr>
          <w:rStyle w:val="FootnoteAnchor"/>
          <w:rtl w:val="true"/>
        </w:rPr>
        <w:footnoteReference w:id="38"/>
      </w:r>
      <w:r>
        <w:rPr>
          <w:rFonts w:ascii="IRNazanin" w:hAnsi="IRNazanin" w:eastAsia="IRNazanin"/>
          <w:color w:val="111111"/>
          <w:sz w:val="28"/>
          <w:sz w:val="28"/>
          <w:szCs w:val="28"/>
          <w:rtl w:val="true"/>
          <w:lang w:bidi="fa-IR"/>
        </w:rPr>
        <w:t>أنّ أصالة الصحة لا اختصاص لها بفعل غیر المکلّف بل تجری فی فعل المکلّف نفسه أیضاً، وعلی هذا فإنّ قاعدة الفراغ من مصادیق أصالة الصحة ولا تختلف عنها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والفرق الثانی أیضاً لا یوجب الافتراق بین قاعدة الفراغ وأصالة الصحة، وذلک لأنّ أصالة الصحة عامّة تشتمل ما بعد الفراغ من العمل وأثناء العمل وتجری فیهما، فتشمل قاعدة الفراغ أیضاً التی تتعلّق بما بعد الانتهاء من العمل</w:t>
      </w:r>
      <w:bookmarkStart w:id="66" w:name="pg5466_52757"/>
    </w:p>
    <w:p>
      <w:pPr>
        <w:pStyle w:val="BookText"/>
        <w:rPr/>
      </w:pPr>
      <w:bookmarkEnd w:id="66"/>
      <w:r>
        <w:rPr>
          <w:rFonts w:ascii="IRNazanin" w:hAnsi="IRNazanin" w:eastAsia="IRNazanin"/>
          <w:color w:val="111111"/>
          <w:sz w:val="28"/>
          <w:sz w:val="28"/>
          <w:szCs w:val="28"/>
          <w:rtl w:val="true"/>
          <w:lang w:bidi="fa-IR"/>
        </w:rPr>
        <w:t>وعلیه فإنّ هذا الکلام یُثبت أصل المدّعی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قاعدة الفراغ هی ذاتها أصالة الصحة الجاریة بعد الانتهاء من العمل</w:t>
      </w:r>
      <w:r>
        <w:rPr>
          <w:rFonts w:eastAsia="IRNazanin" w:cs="IRNazanin"/>
          <w:color w:val="111111"/>
          <w:sz w:val="28"/>
          <w:szCs w:val="28"/>
          <w:rtl w:val="true"/>
          <w:lang w:bidi="fa-IR"/>
        </w:rPr>
        <w:t>.</w:t>
      </w:r>
    </w:p>
    <w:p>
      <w:pPr>
        <w:pStyle w:val="Heading4"/>
        <w:numPr>
          <w:ilvl w:val="3"/>
          <w:numId w:val="1"/>
        </w:numPr>
        <w:rPr/>
      </w:pPr>
      <w:bookmarkStart w:id="67" w:name="__RefHeading___Toc2082296_581953129"/>
      <w:bookmarkStart w:id="68" w:name="_Toc26"/>
      <w:bookmarkEnd w:id="67"/>
      <w:r>
        <w:rPr>
          <w:rtl w:val="true"/>
        </w:rPr>
        <w:t>تحقیق الکلام فی الفرق بین قاعدة الفراغ وأصالة الصحة</w:t>
      </w:r>
      <w:r>
        <w:rPr>
          <w:rtl w:val="true"/>
        </w:rPr>
        <w:t>:</w:t>
      </w:r>
      <w:bookmarkEnd w:id="68"/>
    </w:p>
    <w:p>
      <w:pPr>
        <w:pStyle w:val="BookText"/>
        <w:rPr/>
      </w:pPr>
      <w:r>
        <w:rPr>
          <w:rFonts w:ascii="IRNazanin" w:hAnsi="IRNazanin" w:eastAsia="IRNazanin"/>
          <w:color w:val="111111"/>
          <w:sz w:val="28"/>
          <w:sz w:val="28"/>
          <w:szCs w:val="28"/>
          <w:rtl w:val="true"/>
          <w:lang w:bidi="fa-IR"/>
        </w:rPr>
        <w:t>إنّ قاعدة الفراغ وأصالة الصحة مختلفتان من حیث الملاک وذلک لأنّ ملاک قاعدة الفراغ هو التوجّه والالتفات کما ورد التعبیر فی الروایات بالأذکریة یعنی أن یکون التفات المکلّف أثناء العمل أکثر من زمن فراغه من العمل حیث یشک فی صحته، وهذا الملاک غیر متوفر فی أصالة الصحة حیث یمکن فیها للعمل الذی قد أُنجز، أن یتّصف بأحد عنوانی الصحة والفساد إلا أنّ الشارع أو العقل قد غلب جانب الصحّة علی الفساد حیث قال الشارع فی هذا المجال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 أمر أخیک علی أحسنه حتی یأتیک ما یغلبک منه</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ولا علاقة للأذکریة فی أصالة الصحة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فإنّ قاعدة الفراغ وأصالة الصحة وإن اشترکتا فی بعض الأمور إلا أنّهما مختلفتین من ناحیة الملاک ولم یمکنْ عدّ أصالة الصحة بمنزلة الدلیل علی قاعدة الفراغ</w:t>
      </w:r>
      <w:r>
        <w:rPr>
          <w:rFonts w:eastAsia="IRNazanin" w:cs="IRNazanin"/>
          <w:color w:val="111111"/>
          <w:sz w:val="28"/>
          <w:szCs w:val="28"/>
          <w:rtl w:val="true"/>
          <w:lang w:bidi="fa-IR"/>
        </w:rPr>
        <w:t>.</w:t>
      </w:r>
    </w:p>
    <w:p>
      <w:pPr>
        <w:pStyle w:val="Heading3"/>
        <w:numPr>
          <w:ilvl w:val="2"/>
          <w:numId w:val="1"/>
        </w:numPr>
        <w:rPr/>
      </w:pPr>
      <w:bookmarkStart w:id="69" w:name="__RefHeading___Toc2082298_581953129"/>
      <w:bookmarkStart w:id="70" w:name="_Toc27"/>
      <w:bookmarkEnd w:id="69"/>
      <w:r>
        <w:rPr/>
        <w:t>5</w:t>
      </w:r>
      <w:r>
        <w:rPr>
          <w:rtl w:val="true"/>
        </w:rPr>
        <w:t xml:space="preserve"> - </w:t>
      </w:r>
      <w:r>
        <w:rPr>
          <w:rtl w:val="true"/>
        </w:rPr>
        <w:t>أدلة المحقق الهمدانی</w:t>
      </w:r>
      <w:r>
        <w:rPr>
          <w:rtl w:val="true"/>
        </w:rPr>
        <w:t>:</w:t>
      </w:r>
      <w:bookmarkEnd w:id="70"/>
    </w:p>
    <w:p>
      <w:pPr>
        <w:pStyle w:val="Heading4"/>
        <w:numPr>
          <w:ilvl w:val="3"/>
          <w:numId w:val="1"/>
        </w:numPr>
        <w:rPr/>
      </w:pPr>
      <w:bookmarkStart w:id="71" w:name="__RefHeading___Toc2082300_581953129"/>
      <w:bookmarkStart w:id="72" w:name="_Toc28"/>
      <w:bookmarkEnd w:id="71"/>
      <w:r>
        <w:rPr>
          <w:rtl w:val="true"/>
        </w:rPr>
        <w:t>اشارة</w:t>
      </w:r>
      <w:bookmarkEnd w:id="72"/>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سبق فی الدلیل السابق أن بیّننا بأن المرحوم المحقق الهمدانی جعل قاعدة الفراغ من مصادیق أصالة الصحّة ولم یلتزم بذلک فی قاعدة التجاوز، وعلی مبناه کلّما جاز جعله دلیلاً علی أصالة الصحة کان دلیلاً علی قاعدة الفراغ أیضاً، وقد ذکر فی کتابه ثلاثة أدلة علی أصالة الصحة وبالتالی سکتون هذه الأدلّة أدلّة</w:t>
      </w:r>
      <w:bookmarkStart w:id="73" w:name="pg5466_52758"/>
    </w:p>
    <w:p>
      <w:pPr>
        <w:pStyle w:val="BookText"/>
        <w:rPr/>
      </w:pPr>
      <w:bookmarkEnd w:id="73"/>
      <w:r>
        <w:rPr>
          <w:rFonts w:ascii="IRNazanin" w:hAnsi="IRNazanin" w:eastAsia="IRNazanin"/>
          <w:color w:val="111111"/>
          <w:sz w:val="28"/>
          <w:sz w:val="28"/>
          <w:szCs w:val="28"/>
          <w:rtl w:val="true"/>
          <w:lang w:bidi="fa-IR"/>
        </w:rPr>
        <w:t>علی قاعدة الفراغ أیضاً، ومن هنا کان لابدّ من البحث فی هذه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المرحوم المحقق الهمدانی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العمدة فی حمل الأفعال الماضیة الصادرة من المکلّف أو من غیره علی الصحیح إنّما هی السیرة القطعیة ولولاه لاختلّ نظام المعاش والمعاد، ولم یقم للمسلمین سوقٌ، فضلاً عن لزوم العسر والحرج المنفیین فی الشریعة، إذ ما من أحد إلا إذا التفت إلی أعماله الماضیة من عباداته ومعاملاته، إلاّ ویشکّ فی أکثرها لأجل الجهل بأحکامها أو اقترانها بأمور لو کان ملتفتاً إلیها لکان شاکاً، کما أنّه لو التفت إلی أعمال غیره، یشکّ فی صحّتها غالباً فلو بنی علی الاعتناء بشکّه لضاق علیه العیش، کما لا یخفی</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 w:name="__RefHeading___Toc2082302_581953129"/>
      <w:bookmarkStart w:id="75" w:name="_Toc29"/>
      <w:bookmarkEnd w:id="74"/>
      <w:r>
        <w:rPr>
          <w:rtl w:val="true"/>
        </w:rPr>
        <w:t>الدلیل الأوّل قاعدة لا حرج</w:t>
      </w:r>
      <w:r>
        <w:rPr>
          <w:rtl w:val="true"/>
        </w:rPr>
        <w:t>:</w:t>
      </w:r>
      <w:bookmarkEnd w:id="75"/>
    </w:p>
    <w:p>
      <w:pPr>
        <w:pStyle w:val="BookText"/>
        <w:rPr/>
      </w:pPr>
      <w:r>
        <w:rPr>
          <w:rFonts w:ascii="IRNazanin" w:hAnsi="IRNazanin" w:eastAsia="IRNazanin"/>
          <w:color w:val="111111"/>
          <w:sz w:val="28"/>
          <w:sz w:val="28"/>
          <w:szCs w:val="28"/>
          <w:rtl w:val="true"/>
          <w:lang w:bidi="fa-IR"/>
        </w:rPr>
        <w:t>فالدلیل الأوّل الذی أقیم علی أصالة الصحة قاعدة لا حرج التی تعتبر من القواعد الفقهیة المسلّمة، توضیح ذلک فی المقام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الإنسان إذا التفت إلی أعماله السابقة أو أعمال الآخرین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الوضوء، المعاملات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واستقرأها مفصّلاً سیحصل له الشکّ فی کثیر منها، فلو وجب الاعتناء بشکّه هذا لزم العسر والحرج، فلو شک مثلاً فی صحة صلاة قد أتی بها سابقاً وجب علیه أن یعیدها، ولو التفت إلی هذه الصلاة المعادة حصل له الشکّ فی صحتها أیضاً ولزمته الإعادة، وهکذا یستمر الشکّ وتستمر معه إعادة الصلاة ولیس هذا إلا عسراً وحرجاً، وهذا الإشکال بعینه یجری فی الصوم والمعاملات وسایر أمور الحیاة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فإنّ قاعدة لا حرج کإحدی القواعد الفقهیة تدلّ علی أنّ الله تعالی لم یشرع حکماً حرجیاً فی الشریعة ولمّا کان الاعتناء بالشک وعدم إجراء أصالة</w:t>
      </w:r>
      <w:bookmarkStart w:id="76" w:name="pg5466_52759"/>
    </w:p>
    <w:p>
      <w:pPr>
        <w:pStyle w:val="BookText"/>
        <w:rPr/>
      </w:pPr>
      <w:bookmarkEnd w:id="76"/>
      <w:r>
        <w:rPr>
          <w:rFonts w:ascii="IRNazanin" w:hAnsi="IRNazanin" w:eastAsia="IRNazanin"/>
          <w:color w:val="111111"/>
          <w:sz w:val="28"/>
          <w:sz w:val="28"/>
          <w:szCs w:val="28"/>
          <w:rtl w:val="true"/>
          <w:lang w:bidi="fa-IR"/>
        </w:rPr>
        <w:t>الصحة موجباً للعسر والحرج یحکم بنفیها من خلال قاعدة لا حرج فیحکم بجریان أصالة الصحة</w:t>
      </w:r>
      <w:r>
        <w:rPr>
          <w:rFonts w:eastAsia="IRNazanin" w:cs="IRNazanin"/>
          <w:color w:val="111111"/>
          <w:sz w:val="28"/>
          <w:szCs w:val="28"/>
          <w:rtl w:val="true"/>
          <w:lang w:bidi="fa-IR"/>
        </w:rPr>
        <w:t>.</w:t>
      </w:r>
    </w:p>
    <w:p>
      <w:pPr>
        <w:pStyle w:val="Heading4"/>
        <w:numPr>
          <w:ilvl w:val="3"/>
          <w:numId w:val="1"/>
        </w:numPr>
        <w:rPr/>
      </w:pPr>
      <w:bookmarkStart w:id="77" w:name="__RefHeading___Toc2082304_581953129"/>
      <w:bookmarkStart w:id="78" w:name="_Toc30"/>
      <w:bookmarkEnd w:id="77"/>
      <w:r>
        <w:rPr>
          <w:rtl w:val="true"/>
        </w:rPr>
        <w:t>الدلیل الثانی</w:t>
      </w:r>
      <w:r>
        <w:rPr>
          <w:rtl w:val="true"/>
        </w:rPr>
        <w:t>:</w:t>
      </w:r>
      <w:bookmarkEnd w:id="78"/>
    </w:p>
    <w:p>
      <w:pPr>
        <w:pStyle w:val="BookText"/>
        <w:rPr/>
      </w:pPr>
      <w:r>
        <w:rPr>
          <w:rFonts w:ascii="IRNazanin" w:hAnsi="IRNazanin" w:eastAsia="IRNazanin"/>
          <w:color w:val="111111"/>
          <w:sz w:val="28"/>
          <w:sz w:val="28"/>
          <w:szCs w:val="28"/>
          <w:rtl w:val="true"/>
          <w:lang w:bidi="fa-IR"/>
        </w:rPr>
        <w:t>التعلیل الوارد فی قاعدة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ذلک أنّه لو لم تکن الید حجة ولم یمکن للناس أن یحکموا بملکیة الأشخاص للأموال التی تحت أیدیهم لما قام للمسلمین سوق، فالمرحوم المحقق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 من عموم هذا التعلیل لیعمّمه علی موارد جریان قاعدة الفراغ وأصالة الصحة حیث إنّه لو التزم بلزوم الإعادة فی موارد الشکّ فی صحّة الأعمال السابقة لم یبق سوق للمسلمین قط</w:t>
      </w:r>
      <w:r>
        <w:rPr>
          <w:rFonts w:eastAsia="IRNazanin" w:cs="IRNazanin"/>
          <w:color w:val="111111"/>
          <w:sz w:val="28"/>
          <w:szCs w:val="28"/>
          <w:rtl w:val="true"/>
          <w:lang w:bidi="fa-IR"/>
        </w:rPr>
        <w:t>.</w:t>
      </w:r>
    </w:p>
    <w:p>
      <w:pPr>
        <w:pStyle w:val="Heading4"/>
        <w:numPr>
          <w:ilvl w:val="3"/>
          <w:numId w:val="1"/>
        </w:numPr>
        <w:rPr/>
      </w:pPr>
      <w:bookmarkStart w:id="79" w:name="__RefHeading___Toc2082306_581953129"/>
      <w:bookmarkStart w:id="80" w:name="_Toc31"/>
      <w:bookmarkEnd w:id="79"/>
      <w:r>
        <w:rPr>
          <w:rtl w:val="true"/>
        </w:rPr>
        <w:t>الدلیل الثالث اختلال النظام</w:t>
      </w:r>
      <w:r>
        <w:rPr>
          <w:rtl w:val="true"/>
        </w:rPr>
        <w:t>:</w:t>
      </w:r>
      <w:bookmarkEnd w:id="80"/>
    </w:p>
    <w:p>
      <w:pPr>
        <w:pStyle w:val="BookText"/>
        <w:rPr/>
      </w:pPr>
      <w:r>
        <w:rPr>
          <w:rFonts w:ascii="IRNazanin" w:hAnsi="IRNazanin" w:eastAsia="IRNazanin"/>
          <w:color w:val="111111"/>
          <w:sz w:val="28"/>
          <w:sz w:val="28"/>
          <w:szCs w:val="28"/>
          <w:rtl w:val="true"/>
          <w:lang w:bidi="fa-IR"/>
        </w:rPr>
        <w:t>حیث یقال فی بیان هذا الدلیل بأنّه لو بنینا علی وجوب إعادة الأعمال السابقة بمجرّد الشکّ فی صحتها لزم اختلال نظام حیاة الناس ومعیشتهم وإصابتهم بهلع وضیاع، وهذا الدلیل مآله إلی الدلیل السابق لأنّ الناتج منهما زوال نظام المجتمع واختلال حیاة الأفراد</w:t>
      </w:r>
      <w:r>
        <w:rPr>
          <w:rFonts w:eastAsia="IRNazanin" w:cs="IRNazanin"/>
          <w:color w:val="111111"/>
          <w:sz w:val="28"/>
          <w:szCs w:val="28"/>
          <w:rtl w:val="true"/>
          <w:lang w:bidi="fa-IR"/>
        </w:rPr>
        <w:t>.</w:t>
      </w:r>
    </w:p>
    <w:p>
      <w:pPr>
        <w:pStyle w:val="Heading4"/>
        <w:numPr>
          <w:ilvl w:val="3"/>
          <w:numId w:val="1"/>
        </w:numPr>
        <w:rPr/>
      </w:pPr>
      <w:bookmarkStart w:id="81" w:name="__RefHeading___Toc2082308_581953129"/>
      <w:bookmarkStart w:id="82" w:name="_Toc32"/>
      <w:bookmarkEnd w:id="81"/>
      <w:r>
        <w:rPr>
          <w:rtl w:val="true"/>
        </w:rPr>
        <w:t>الرد علی أدلّة المرحوم الهمدانی</w:t>
      </w:r>
      <w:r>
        <w:rPr>
          <w:rtl w:val="true"/>
        </w:rPr>
        <w:t>:</w:t>
      </w:r>
      <w:bookmarkEnd w:id="82"/>
    </w:p>
    <w:p>
      <w:pPr>
        <w:pStyle w:val="Heading5"/>
        <w:numPr>
          <w:ilvl w:val="4"/>
          <w:numId w:val="1"/>
        </w:numPr>
        <w:rPr/>
      </w:pPr>
      <w:bookmarkStart w:id="83" w:name="__RefHeading___Toc2082310_581953129"/>
      <w:bookmarkStart w:id="84" w:name="_Toc33"/>
      <w:bookmarkEnd w:id="83"/>
      <w:r>
        <w:rPr>
          <w:rtl w:val="true"/>
        </w:rPr>
        <w:t>اشارة</w:t>
      </w:r>
      <w:bookmarkEnd w:id="84"/>
    </w:p>
    <w:p>
      <w:pPr>
        <w:pStyle w:val="BookText"/>
        <w:rPr/>
      </w:pPr>
      <w:r>
        <w:rPr>
          <w:rFonts w:ascii="IRNazanin" w:hAnsi="IRNazanin" w:eastAsia="IRNazanin"/>
          <w:color w:val="111111"/>
          <w:sz w:val="28"/>
          <w:sz w:val="28"/>
          <w:szCs w:val="28"/>
          <w:rtl w:val="true"/>
          <w:lang w:bidi="fa-IR"/>
        </w:rPr>
        <w:t>حیث یمکن الردّ علی نحوین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الرد الکلّی الشامل للأدلة الثلاثة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الردود الجزئیة الخاصة المتعلّقة بکلّ واحد من تلک الأدلة الثلاثة</w:t>
      </w:r>
      <w:r>
        <w:rPr>
          <w:rFonts w:eastAsia="IRNazanin" w:cs="IRNazanin"/>
          <w:color w:val="111111"/>
          <w:sz w:val="28"/>
          <w:szCs w:val="28"/>
          <w:rtl w:val="true"/>
          <w:lang w:bidi="fa-IR"/>
        </w:rPr>
        <w:t>.</w:t>
      </w:r>
    </w:p>
    <w:p>
      <w:pPr>
        <w:pStyle w:val="Heading5"/>
        <w:numPr>
          <w:ilvl w:val="4"/>
          <w:numId w:val="1"/>
        </w:numPr>
        <w:rPr/>
      </w:pPr>
      <w:bookmarkStart w:id="85" w:name="__RefHeading___Toc2082312_581953129"/>
      <w:bookmarkStart w:id="86" w:name="_Toc34"/>
      <w:bookmarkEnd w:id="85"/>
      <w:r>
        <w:rPr>
          <w:rtl w:val="true"/>
        </w:rPr>
        <w:t xml:space="preserve">أ </w:t>
      </w:r>
      <w:r>
        <w:rPr>
          <w:rtl w:val="true"/>
        </w:rPr>
        <w:t xml:space="preserve">- </w:t>
      </w:r>
      <w:r>
        <w:rPr>
          <w:rtl w:val="true"/>
        </w:rPr>
        <w:t>الرد الکلّی المتعلّق بجمیع الأدلّة الثلاثة</w:t>
      </w:r>
      <w:r>
        <w:rPr>
          <w:rtl w:val="true"/>
        </w:rPr>
        <w:t>:</w:t>
      </w:r>
      <w:bookmarkEnd w:id="86"/>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الروایات التی تُعد مستنداً لقاعدة الفراغ والتجاوز تتجاوز العشرین روایة</w:t>
      </w:r>
      <w:bookmarkStart w:id="87" w:name="pg5466_52760"/>
    </w:p>
    <w:p>
      <w:pPr>
        <w:pStyle w:val="BookText"/>
        <w:rPr/>
      </w:pPr>
      <w:bookmarkEnd w:id="87"/>
      <w:r>
        <w:rPr>
          <w:rFonts w:ascii="IRNazanin" w:hAnsi="IRNazanin" w:eastAsia="IRNazanin"/>
          <w:color w:val="111111"/>
          <w:sz w:val="28"/>
          <w:sz w:val="28"/>
          <w:szCs w:val="28"/>
          <w:rtl w:val="true"/>
          <w:lang w:bidi="fa-IR"/>
        </w:rPr>
        <w:t xml:space="preserve">وهی إمّا أن لم یذکر فیها تعلیل وإما أن ذُکر فیها التعلیل بمثل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وبتعبیر آخر فإنّ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کونه فی مقام بیان الدلیل إلا أنّه لم یستدلّ فی روایة من روایات قاعدة الفراغ والتجاوز باختلال النظام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قام للمسلمین 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قاعدة لا حرج، مع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فی کثیر من المسائل الفقهیة الحرجیة علی نفی الحرج ورفع التکلیف بالآیة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ممّا یدلّ علی أنّ هذه الأمور الثلاثة لیست أدلّة علی قاعدة الفراغ</w:t>
      </w:r>
      <w:r>
        <w:rPr>
          <w:rFonts w:eastAsia="IRNazanin" w:cs="IRNazanin"/>
          <w:color w:val="111111"/>
          <w:sz w:val="28"/>
          <w:szCs w:val="28"/>
          <w:rtl w:val="true"/>
          <w:lang w:bidi="fa-IR"/>
        </w:rPr>
        <w:t>.</w:t>
      </w:r>
    </w:p>
    <w:p>
      <w:pPr>
        <w:pStyle w:val="Heading5"/>
        <w:numPr>
          <w:ilvl w:val="4"/>
          <w:numId w:val="1"/>
        </w:numPr>
        <w:rPr/>
      </w:pPr>
      <w:bookmarkStart w:id="88" w:name="__RefHeading___Toc2082314_581953129"/>
      <w:bookmarkStart w:id="89" w:name="_Toc35"/>
      <w:bookmarkEnd w:id="88"/>
      <w:r>
        <w:rPr>
          <w:rtl w:val="true"/>
        </w:rPr>
        <w:t xml:space="preserve">ب </w:t>
      </w:r>
      <w:r>
        <w:rPr>
          <w:rtl w:val="true"/>
        </w:rPr>
        <w:t xml:space="preserve">- </w:t>
      </w:r>
      <w:r>
        <w:rPr>
          <w:rtl w:val="true"/>
        </w:rPr>
        <w:t xml:space="preserve">الرد الخاص بدلیلیة </w:t>
      </w:r>
      <w:r>
        <w:rPr>
          <w:rtl w:val="true"/>
        </w:rPr>
        <w:t>(</w:t>
      </w:r>
      <w:r>
        <w:rPr>
          <w:rtl w:val="true"/>
        </w:rPr>
        <w:t>لاحرج</w:t>
      </w:r>
      <w:r>
        <w:rPr>
          <w:rtl w:val="true"/>
        </w:rPr>
        <w:t>):</w:t>
      </w:r>
      <w:bookmarkEnd w:id="89"/>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ننکر وقوع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صغری لقاعدة نفی الحرج لأنّ قاعدة نفی الحرج إنّما تتصوّر فی موارد یشک فیها غالب الناس فی صحة أعمالهم بعد الفراغ من العمل، أمّا أثناء العمل فقلّما یُبتلی المکلّف بهذا النوع من الشکّ، وعلیه فلیس ما ادّعاه المرحوم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أحدٍ إذا التفت إلی أعماله الماضیة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ویشک فی أکثرها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یطابق الواقع، لأنّ الشکّ من هذا القبیل إنّما یقع للقلیل من الناس وبالتالی فلا یکون مستلزماً للعسر والحرج</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قاعدة لا حرج لیست قاعدة ثابتة فلا یمکن إثبات الحکم بالاستناد إلیها، وذلک أنّ هذه القاعدة تفید أنّ الحکم الحرجی لم یُجعل فی الشریعة بینما تثبت قاعدة الفراغ صحّة الجزء المشکوک وتثبت قاعدة التجاوز حصول الجزء المشکوک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علی رأی بعض الفقهاء فی قاعدة التجاوز لا جمیعهم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w:t>
      </w:r>
      <w:bookmarkStart w:id="90" w:name="pg5466_52761"/>
    </w:p>
    <w:p>
      <w:pPr>
        <w:pStyle w:val="BookText"/>
        <w:rPr/>
      </w:pPr>
      <w:bookmarkEnd w:id="90"/>
      <w:r>
        <w:rPr>
          <w:rFonts w:ascii="IRNazanin" w:hAnsi="IRNazanin" w:eastAsia="IRNazanin"/>
          <w:color w:val="111111"/>
          <w:sz w:val="28"/>
          <w:sz w:val="28"/>
          <w:szCs w:val="28"/>
          <w:rtl w:val="true"/>
          <w:lang w:bidi="fa-IR"/>
        </w:rPr>
        <w:t>هذا فإنّ لسان قاعدة الفراغ والتجاوز مثبت وإیجابی بینما لسان قاعدة لا حرج منفی وسلبی</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 w:name="__RefHeading___Toc2082316_581953129"/>
      <w:bookmarkStart w:id="92" w:name="_Toc36"/>
      <w:bookmarkEnd w:id="91"/>
      <w:r>
        <w:rPr>
          <w:rtl w:val="true"/>
        </w:rPr>
        <w:t xml:space="preserve">ج </w:t>
      </w:r>
      <w:r>
        <w:rPr>
          <w:rtl w:val="true"/>
        </w:rPr>
        <w:t xml:space="preserve">- </w:t>
      </w:r>
      <w:r>
        <w:rPr>
          <w:rtl w:val="true"/>
        </w:rPr>
        <w:t>الرد الخاص بالتعلیل بقاعدة الید واختلال النظام</w:t>
      </w:r>
      <w:r>
        <w:rPr>
          <w:rtl w:val="true"/>
        </w:rPr>
        <w:t>:</w:t>
      </w:r>
      <w:bookmarkEnd w:id="92"/>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أسلفنا فی الجواب السابق أنّ الإشکال إنّما یرد علی صغری کلام المرحوم المحقق الهمدانی حیث لا یحصل الشکّ من هذا القبیل لجمیع الناس وإنّما یحصل لعددٍ قلیل منهم ومن هنا فإنّ إعادة الأعمال السابقة لا تؤدّی إلی تعطیل سوق المسلمین فضلاً عن اختلال نظام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التعلیل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لولاه لما قام للمسلمین 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انصراف ظاهر إلی المعاملات بالمعنی الأعم وبالتالی لا یشمل بابی العبادات والطهارات الذَین هما المجریان الأساسیان لقاعدة الفراغ، فلو أوجب الشارع إعادة العمل فیما لو شُک فی صحته بعد الفراغ منه فی بابی العبادات والطهارات لم یکن لذلک علاقة بسوق المسلمین أو باختلال نظام معیشة الناس ولم یلزم أی خلل فی هذین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فلا یمکن الاستناد إلی الدلیل الخامس القائم علی قاعدة الفراغ فهو مردود</w:t>
      </w:r>
      <w:r>
        <w:rPr>
          <w:rFonts w:eastAsia="IRNazanin" w:cs="IRNazanin"/>
          <w:color w:val="111111"/>
          <w:sz w:val="28"/>
          <w:szCs w:val="28"/>
          <w:rtl w:val="true"/>
          <w:lang w:bidi="fa-IR"/>
        </w:rPr>
        <w:t>.</w:t>
      </w:r>
    </w:p>
    <w:p>
      <w:pPr>
        <w:pStyle w:val="Heading3"/>
        <w:numPr>
          <w:ilvl w:val="2"/>
          <w:numId w:val="1"/>
        </w:numPr>
        <w:rPr/>
      </w:pPr>
      <w:bookmarkStart w:id="93" w:name="__RefHeading___Toc2082318_581953129"/>
      <w:bookmarkStart w:id="94" w:name="_Toc37"/>
      <w:bookmarkEnd w:id="93"/>
      <w:r>
        <w:rPr/>
        <w:t>6</w:t>
      </w:r>
      <w:r>
        <w:rPr>
          <w:rtl w:val="true"/>
        </w:rPr>
        <w:t xml:space="preserve"> - </w:t>
      </w:r>
      <w:r>
        <w:rPr>
          <w:rtl w:val="true"/>
        </w:rPr>
        <w:t>الأخبار والروایات</w:t>
      </w:r>
      <w:r>
        <w:rPr>
          <w:rtl w:val="true"/>
        </w:rPr>
        <w:t>:</w:t>
      </w:r>
      <w:bookmarkEnd w:id="9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سبق فی ابتداء البحث عن أدلّة قاعدة الفراغ والتجاوز أنّ عمدة هذه الأدلّة وأساسها هی الروایات المستفیضة المعتبرة أکثرها، حتی أنّ بعض الأعاظم</w:t>
      </w:r>
    </w:p>
    <w:p>
      <w:pPr>
        <w:pStyle w:val="BookText"/>
        <w:rPr/>
      </w:pPr>
      <w:r>
        <w:rPr>
          <w:rFonts w:ascii="IRNazanin" w:hAnsi="IRNazanin" w:eastAsia="IRNazanin"/>
          <w:color w:val="111111"/>
          <w:sz w:val="28"/>
          <w:sz w:val="28"/>
          <w:szCs w:val="28"/>
          <w:rtl w:val="true"/>
          <w:lang w:bidi="fa-IR"/>
        </w:rPr>
        <w:t xml:space="preserve">کالمرحوم 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ینوّه إلی الأدلّة الخمسة السابقة بل دخل مباشرة فی البحث عن الروایات وذلک لعدم تمامیة تلک الأدلّة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الاستناد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الروایات ورد أغلبها فی أبواب الطهارة والصلاة والحج وهی فوق حد الآحاد وقد وصلت إلی حدّ الاستفاضة، ولا یبعد بل یمکن ادّعاء تواترها معنی بعد دراستها والتأمل فیها وإن لم یتحقق التواتر اللفظی فی 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یُبحث عنه فی الدلیل السادس هو أنّ هذه الروایات هل تدلّ علی أصل قاعدة الفراغ والتجاوز أو لا؟ ولا ندخل فی تفاصیل البحث فی هذا المجال بل ینصب اهتمامنا ببیان أنّ من فرغ من عمل ما ثم شک فی صحته فهل تجاوز محله فهل یعتنی بشکّه طبقاً لمضمون هذه الروایات؟ فما مدلولها؟</w:t>
      </w:r>
    </w:p>
    <w:p>
      <w:pPr>
        <w:pStyle w:val="BookText"/>
        <w:rPr/>
      </w:pPr>
      <w:r>
        <w:rPr>
          <w:rFonts w:ascii="IRNazanin" w:hAnsi="IRNazanin" w:eastAsia="IRNazanin"/>
          <w:color w:val="111111"/>
          <w:sz w:val="28"/>
          <w:sz w:val="28"/>
          <w:szCs w:val="28"/>
          <w:rtl w:val="true"/>
          <w:lang w:bidi="fa-IR"/>
        </w:rPr>
        <w:t>أمّا الروایات فهی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بإسناده عن الحسین بن سعید، عن ابن أبی عمیر، عن أبی أیّوب الخزّاز، عن محمد بن مسلم،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الرجل یشکّ بعدما ینصرف من صلاته،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یعید، ولا شیء علیه</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دراسة سند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صحیحة، والمراد بمحمد بن الحسن هو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من أجلّاء فقهاء الامامیة العظام ولا یخفی وثاقته وجلالة قدره وعظمة شأنه علی أحد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وطریق المرحوم الشیخ الطوسی بحسین بن سعید طریق صحیح وقد ذکر فی</w:t>
      </w:r>
    </w:p>
    <w:p>
      <w:pPr>
        <w:pStyle w:val="BookText"/>
        <w:rPr/>
      </w:pPr>
      <w:r>
        <w:rPr>
          <w:rFonts w:ascii="IRNazanin" w:hAnsi="IRNazanin" w:eastAsia="IRNazanin"/>
          <w:color w:val="111111"/>
          <w:sz w:val="28"/>
          <w:sz w:val="28"/>
          <w:szCs w:val="28"/>
          <w:rtl w:val="true"/>
          <w:lang w:bidi="fa-IR"/>
        </w:rPr>
        <w:t>المشیخة</w:t>
      </w:r>
      <w:r>
        <w:rPr>
          <w:rStyle w:val="FootnoteAnchor"/>
          <w:rtl w:val="true"/>
        </w:rPr>
        <w:footnoteReference w:id="4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 بن سعید یراد به الحسین بن سعید بن حمّاد بن سعید بن مهران الأهوازی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صرّح بوثاقته کبار علماء الرجال</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عمیر یراد به محمد بن أبی عمیر وهو من الثقات والأعاظم عند الإمامیة</w:t>
      </w:r>
      <w:r>
        <w:rPr>
          <w:rFonts w:eastAsia="IRNazanin" w:cs="IRNazanin"/>
          <w:color w:val="111111"/>
          <w:sz w:val="28"/>
          <w:szCs w:val="28"/>
          <w:rtl w:val="true"/>
          <w:lang w:bidi="fa-IR"/>
        </w:rPr>
        <w:t>)</w:t>
      </w:r>
      <w:r>
        <w:rPr>
          <w:rStyle w:val="FootnoteAnchor"/>
          <w:rtl w:val="true"/>
        </w:rPr>
        <w:footnoteReference w:id="4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 أیوب الخراز یعبر عنه فی کتب الرجال بأسماء مختلفة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عیسی أبو أیوب إبراهیم الخراز أبو أیوب، إبراهیم بن زیاد أبو أیوب، إبراهیم بن زیاد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شخص واحد وهو ثقة وله کتاب النوادر</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کبار فقهائنا الأصحاب وکان الأوثق فی الکوفة وقد تتلمّذ عند الإمام الباقر والإمام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هذا فلا إشکال فی سند 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دراسة دلالة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هذه الروایة یسأل محمد بن مسلم من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من شک بعد الإنصراف من صلاته ویجیب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الشکّ لا یعتنی به فلا تجب إعادة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هذه الروایة مختصّة بباب الصلاة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وتشمل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الواردة فی الروایة للقسمین من الشکّ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فی صحة الصلاة والشک فی إتیان جزءٍ من أجزاء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من البحث فی کلمة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یراد بالانصراف الانصراف الفقهی الحاصل بالتسلیم بعمل آخر؟ یری 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هو الانصراف الفقهی وقد عُبِّر فی الروایات عن التسلیم فی الصلاة بعنوان الانصراف</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أحمد بن محمد، عن الحسن بن محبوب، عن علی بن رئاب، عن محمد بن مسلم،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شککت فیه بعد ما تفرغ من صلاتک فامض ولا تُعدْ</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دراسة سند الروایة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الروایة کسابقتها روایة صحیحة إذ طریق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بأحمد بن محمد طریق صحیح کما ورد ذلک فی مشیخة التهذیب فإنّ أحمد بن محمد أو أحمد بن محمد بن خالد البرقی</w:t>
      </w:r>
      <w:r>
        <w:rPr>
          <w:rStyle w:val="FootnoteAnchor"/>
          <w:rtl w:val="true"/>
        </w:rPr>
        <w:footnoteReference w:id="51"/>
      </w:r>
      <w:r>
        <w:rPr>
          <w:rFonts w:ascii="IRNazanin" w:hAnsi="IRNazanin" w:eastAsia="IRNazanin"/>
          <w:color w:val="111111"/>
          <w:sz w:val="28"/>
          <w:sz w:val="28"/>
          <w:szCs w:val="28"/>
          <w:rtl w:val="true"/>
          <w:lang w:bidi="fa-IR"/>
        </w:rPr>
        <w:t xml:space="preserve">وهو من الثقات الأجلاء وطریق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رویته بهذه الأسانید عن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عدة من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أبو الحسن علی بن إبراهیم بن هاشم القمی، ومحمد بن عبد الله بن أذینة، وأحمد بن عبد الله بن أمیة، وعلی بن الحسین السعد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خالد</w:t>
      </w:r>
      <w:r>
        <w:rPr>
          <w:rStyle w:val="FootnoteAnchor"/>
          <w:rtl w:val="true"/>
        </w:rPr>
        <w:footnoteReference w:id="52"/>
      </w:r>
      <w:r>
        <w:rPr>
          <w:rFonts w:ascii="IRNazanin" w:hAnsi="IRNazanin" w:eastAsia="IRNazanin"/>
          <w:color w:val="111111"/>
          <w:sz w:val="28"/>
          <w:sz w:val="28"/>
          <w:szCs w:val="28"/>
          <w:rtl w:val="true"/>
          <w:lang w:bidi="fa-IR"/>
        </w:rPr>
        <w:t xml:space="preserve">وهو طریق صحیح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عیسی الأشعری وهو فقیه وشیخ القمیین ومن الثقات</w:t>
      </w:r>
      <w:r>
        <w:rPr>
          <w:rStyle w:val="FootnoteAnchor"/>
          <w:rtl w:val="true"/>
        </w:rPr>
        <w:footnoteReference w:id="53"/>
      </w:r>
      <w:r>
        <w:rPr>
          <w:rFonts w:ascii="IRNazanin" w:hAnsi="IRNazanin" w:eastAsia="IRNazanin"/>
          <w:color w:val="111111"/>
          <w:sz w:val="28"/>
          <w:sz w:val="28"/>
          <w:szCs w:val="28"/>
          <w:rtl w:val="true"/>
          <w:lang w:bidi="fa-IR"/>
        </w:rPr>
        <w:t xml:space="preserve">وطریق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رویته بهده الأسانید عن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عدّة من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أبو جعفر محمد بن یحیی العطار القمی، وعلی بن موسی بن جعفر الکمندانی،</w:t>
      </w:r>
    </w:p>
    <w:p>
      <w:pPr>
        <w:pStyle w:val="BookText"/>
        <w:rPr/>
      </w:pPr>
      <w:r>
        <w:rPr>
          <w:rFonts w:ascii="IRNazanin" w:hAnsi="IRNazanin" w:eastAsia="IRNazanin"/>
          <w:color w:val="111111"/>
          <w:sz w:val="28"/>
          <w:sz w:val="28"/>
          <w:szCs w:val="28"/>
          <w:rtl w:val="true"/>
          <w:lang w:bidi="fa-IR"/>
        </w:rPr>
        <w:t>وأبو سلیمان داوود بن کورة القمی، وأبو علی أحمد بن إدریس بن أحمد الأشعری القمی، وأبو الحسن علی بن إبراهیم بن هاشم القمی</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وهذا الطریق أیضاً طریق 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 xml:space="preserve">وقد وثّقه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النجاشی لم یذکر اسمه فی کتابه ولم یتعرّض لترجمته، بینما ذکره الکشی من أصحاب الإجماع</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رئاب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من ثقات الإمامیة العظماء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ترجمة محمد بن مسلم فقد سبقت فی الروایة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شککت فی صحة الصلاة أو فی إتیان جزء منها، بعد الفراغ منها فامض ولا تعتنِ بشکک ولا حاجة إلی إعادتها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الروایة أیضاً تدلّ بوضوح علی قاعدة الفراغ والتجاوز فی خصوص الصلاة، والجدیر بالذکر أنّ المرحوم صاحب الوسائل نقل الروایة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الدالة علی العموم الزمانی أی فی کلّ زمنٍ شککت بعد إتمام الصلاة لا تعتنِ بشکک، أمّا فی تهذیب الأحکام فقد جاءت الروایة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الدالة علی العموم الإفرادی أی أنّک إذا شککت بعد الفراغ من الصلاة فی أی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فی الصحة أم فی إتیان جزءٍ من أجزاء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باعتقادی تعبیر روایة تهذیب الأحکام لا عبارة وسائل الشیعة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علی بن الحسین بإسناده عن محمد بن مسلم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شکّ الرجل بعدما صلّی فلم یدر ثلاثاً صلّی أم أربعاً وکان یقینه حین انصرف أنّه قد کان قد أتمّ، لم یُعِد الصلاة، وکان حین انصرف أقرب إلی الحق منه بعد ذلک</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ابن إدریس فی آخر السرائر نقلاً من کتاب محمد بن علی بن محبوب، عن یعقوب بن یزید، عن ابن أبی عمیر، عن محمد بن مسلم</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الشیخ الصدوق من کبار فقهائنا الإمامیة، أمّا إسناد المرحوم الشیخ الصدوق إلی محمد بن مسلم کما ورد ذلک فی مشیخة کتاب الفقیه فهو کالتالی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أحمد بن عبد الله بن أحمد بن أبی عبد الله</w:t>
      </w:r>
      <w:r>
        <w:rPr>
          <w:rStyle w:val="FootnoteAnchor"/>
          <w:rtl w:val="true"/>
        </w:rPr>
        <w:footnoteReference w:id="59"/>
      </w:r>
      <w:r>
        <w:rPr>
          <w:rFonts w:ascii="IRNazanin" w:hAnsi="IRNazanin" w:eastAsia="IRNazanin"/>
          <w:color w:val="111111"/>
          <w:sz w:val="28"/>
          <w:sz w:val="28"/>
          <w:szCs w:val="28"/>
          <w:rtl w:val="true"/>
          <w:lang w:bidi="fa-IR"/>
        </w:rPr>
        <w:t>، عن أبیه</w:t>
      </w:r>
      <w:r>
        <w:rPr>
          <w:rStyle w:val="FootnoteAnchor"/>
          <w:rtl w:val="true"/>
        </w:rPr>
        <w:footnoteReference w:id="60"/>
      </w:r>
      <w:r>
        <w:rPr>
          <w:rFonts w:ascii="IRNazanin" w:hAnsi="IRNazanin" w:eastAsia="IRNazanin"/>
          <w:color w:val="111111"/>
          <w:sz w:val="28"/>
          <w:sz w:val="28"/>
          <w:szCs w:val="28"/>
          <w:rtl w:val="true"/>
          <w:lang w:bidi="fa-IR"/>
        </w:rPr>
        <w:t>عن جده أحمد بن أبی عبد الله البرقی</w:t>
      </w:r>
      <w:r>
        <w:rPr>
          <w:rStyle w:val="FootnoteAnchor"/>
          <w:rtl w:val="true"/>
        </w:rPr>
        <w:footnoteReference w:id="61"/>
      </w:r>
      <w:r>
        <w:rPr>
          <w:rFonts w:ascii="IRNazanin" w:hAnsi="IRNazanin" w:eastAsia="IRNazanin"/>
          <w:color w:val="111111"/>
          <w:sz w:val="28"/>
          <w:sz w:val="28"/>
          <w:szCs w:val="28"/>
          <w:rtl w:val="true"/>
          <w:lang w:bidi="fa-IR"/>
        </w:rPr>
        <w:t>، عن أبیه محمد بن خالد</w:t>
      </w:r>
      <w:r>
        <w:rPr>
          <w:rStyle w:val="FootnoteAnchor"/>
          <w:rtl w:val="true"/>
        </w:rPr>
        <w:footnoteReference w:id="62"/>
      </w:r>
      <w:r>
        <w:rPr>
          <w:rFonts w:ascii="IRNazanin" w:hAnsi="IRNazanin" w:eastAsia="IRNazanin"/>
          <w:color w:val="111111"/>
          <w:sz w:val="28"/>
          <w:sz w:val="28"/>
          <w:szCs w:val="28"/>
          <w:rtl w:val="true"/>
          <w:lang w:bidi="fa-IR"/>
        </w:rPr>
        <w:t>، عن العلاء بن رزین</w:t>
      </w:r>
      <w:r>
        <w:rPr>
          <w:rStyle w:val="FootnoteAnchor"/>
          <w:rtl w:val="true"/>
        </w:rPr>
        <w:footnoteReference w:id="63"/>
      </w:r>
      <w:r>
        <w:rPr>
          <w:rFonts w:ascii="IRNazanin" w:hAnsi="IRNazanin" w:eastAsia="IRNazanin"/>
          <w:color w:val="111111"/>
          <w:sz w:val="28"/>
          <w:sz w:val="28"/>
          <w:szCs w:val="28"/>
          <w:rtl w:val="true"/>
          <w:lang w:bidi="fa-IR"/>
        </w:rPr>
        <w:t>عن محمد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یقع فی هذا الطریق أحمد بن عبد الله بن أحمد بن أبی عبد الله وأبوه وهما لم یُوثّقَا فی الکتب الرجالیة إلاّ أنّنا نعتقد بوثاقتهما نظراً إلی قرائن تدلّ علی وثاقتهما وعلیه فإنّ هذا الطریق طریق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 بعد الانتهاء من صلاته بأنّه صلّی ثلاث رکعات أم أربعاً وقد کان متیقّناً من تمامیة صلاته عند الفراغ منها لم تجب علیه الإعادة لأنّ زمان انصرافه من الصلاة أقرب إلی الواقع من زمان شکّه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هو معنی قاعدة الفراغ أی عدم وجوب الاعتناء بالشک بعد الانتهاء من العمل، هذا ولکن فی هذه الروایة عبارةً قد تدلّ علی عدم ارتباط الروایة بقاعدة الفراغ فلابدّ من التأمل فی هذه العبارة التی یقول فیها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یقینه حین انصرف أنّه کان قد 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 المصلّی عند انصرافه من الصلاة کان متیقّناً من أنّه قد أتمّ صلاته ثمّ شک بعد مرّة، وبهذا البیان تکون الروایة مرتبطة بقاعدة الیقین والشک الساری حیث أنّ المصلی عند إتمام الصلاة متیقّن من تمامیة صلاته ثمّ یحصل له الشکّ فی ذلک المتیقّن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فترة فهنا یُحکم بصحة صلاته طبقاً لقاعدة الیقین فلا تجب الإعادة وعلی هذا فلا دلالة لهذه الروایة علی قاعدة الفراغ</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یمکن حمل الروایة علی قاعدة الفراغ بتوجیه بسیط وهو بأن نحمل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خلاف ظاهر معناها بحیث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یقینه حین 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المصلی کان کمن تیقّن بتمامیة صلاته وصحّتها لا أنّ هذا المصلی نفسه کان متیقّناً بتمامیة صلاته بعد الفراغ منها، وعلیه یمکن جعل هذه الروایة دلیلاً علی قاعدة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والنقطة الأخری فی هذه الروایة أنّه کما نقلنا من کتاب وسائل الشیعة أنّ ابن إدریس أیضاً قد روی هذه الروایة فی مستطرفات السرائر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هناک إشکالاً فی سند هذا النقل حیث یقع فی 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یحیی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لم یُوَثَّقْ‌</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بإسناده عن أحمد بن محمد عن أحمد بن محمد بن أبی نصر، عن حماد بن عیسی، عن حریز بن عبد الله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شک فی الأذان وقد دخل فی الإقامة؟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شک فی التکبیر وقد قرأ؟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فی القراءة وقد رکع؟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فی الرکوع وقد سجد؟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یمضی علی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زرارة إذا خرجتَ من شیءٍ ثمّ دخلت فی غیره فشککَ لیس بشیءٍ</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فی سند هذه الروایة التی تعد من الروایات المعروفة فی هذا الباب وتدعی بصحیحة زرارة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الشیخ الطوسی وإسناده إلی أحمد بن محمد إسناد صحیح کما سبق تفصیل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أبی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یراد به أحمد بن محمد بن أبی نصر البزنطی وهو من أهالی الکوفة ومن ثقات الإمامیة وقد التقی بالإمام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له مکانة رفیعة عند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حماد بن عیسی الجُهنّی الذی غرق فی جحفة وکان من ثقات الإمامیة، وقد صرّح بوثاقته الشیخ الطوسی والنجاشی</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حریز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حریز بن عبد الله السجستانی أبو محمد الأزدی ثقة من أهالی الکوفة</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 بن 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 عن التوصیف وکان من الفقهاء والمتکلّمین فی عصره وله شأنه عند الإمام الباقر والإمام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ینقل 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الاستصحاب نقلاً عن کتابی تهذیب الأحکام ووسائل الشیعة ذیل الروایة بعبارة</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فشککت فلیس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یتابع</w:t>
      </w:r>
    </w:p>
    <w:p>
      <w:pPr>
        <w:pStyle w:val="BookText"/>
        <w:rPr/>
      </w:pPr>
      <w:r>
        <w:rPr>
          <w:rFonts w:ascii="IRNazanin" w:hAnsi="IRNazanin" w:eastAsia="IRNazanin"/>
          <w:color w:val="111111"/>
          <w:sz w:val="28"/>
          <w:sz w:val="28"/>
          <w:szCs w:val="28"/>
          <w:rtl w:val="true"/>
          <w:lang w:bidi="fa-IR"/>
        </w:rPr>
        <w:t xml:space="preserve">کلامه بأنّ 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ورد التعبیر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فشککَ لیس بشیء</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ولا یضرّ ذلک بالروایة علی کلا التعبیرین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هذه الروایة نجد زرارة یسأل من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أسئلة عدیدة ویجیب عنها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یذکر فیها خمسة من موارد قاعدة الفراغ ثمّ یبیّن قاعدة کلّیة فیها، فقد سأل زرارة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المصلی إذا شک فی الأذان وهو فی الاقامة أو شک فی الأذان والاقامة وهو فی حالة التکبیر أو شک فی التکبیر وهو منشغل فی القراءة فی الصلاة أو شک فی القراءة وهو فی الرکوع أو شک فی الرکوع وهو منشغل بالسجود،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مورد یجیب وجوب المضیّ وعدم الاعتناء بالشک ثمّ یذکر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کلّیة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زرارة إذا خرجت من أی جزء من أجزاء العمل ودخلت فی الجزء التالی وشککت فی الجزء السابق فلا تعتنِ بشکک ولا ترتبْ علیه أثراً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فی هذه الضابطة الکلّیة عمومٌ یشمل جزء العمل فتدلّ الروایة علی قاعدة التجاوز کما یشمل کلّ العمل فتدلّ علی قاعدة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یستفاد أیضاً من هذه الروایة هو وجوب الدخول فی التالی بعد الفراغ من الأوّل</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الفقهاء اختلفوا فی جریان قاعدة الفراغ والتجاوز فی أنّه هل یعتبر الدخول فی العمل التالی مضافاً إلی الخروج من العمل الأوّل أو یکفی مجرد الانصراف والفراغ من العمل الأوّل؟ فإن الروایات الثلاث السابقة کانت</w:t>
      </w:r>
    </w:p>
    <w:p>
      <w:pPr>
        <w:pStyle w:val="BookText"/>
        <w:rPr/>
      </w:pPr>
      <w:r>
        <w:rPr>
          <w:rFonts w:ascii="IRNazanin" w:hAnsi="IRNazanin" w:eastAsia="IRNazanin"/>
          <w:color w:val="111111"/>
          <w:sz w:val="28"/>
          <w:sz w:val="28"/>
          <w:szCs w:val="28"/>
          <w:rtl w:val="true"/>
          <w:lang w:bidi="fa-IR"/>
        </w:rPr>
        <w:t>تدلّ علی کفایة مجرد الانصراف والفراغ من العمل، أمّا هذه الروایة فتدلّ علی وجوب الدخول فی التالی لجریان قاعدة الفراغ والتجاوز فلا یُجزی مجرّد الفراغ والانصراف من العمل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صفوان، عن أبن بکیر، عن محمد بن مسلم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شککت فیه مما قد مضی فامضه کما هو</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یراد من الضمیر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سعید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 xml:space="preserve">إذا راجعنا إلی تهذیب الأحکام علمنا حیث روی عنه الشیخ الطوسی، وطریق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أخبرنی به الشیخ أبو عبد الله محمد بن محمد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والحسین بن عبید الله، وأحمد بن عبدون، کلّهم عن أحمد بن محمد بن الحسن بن الولید عن أبیه، وأخبرنی به أیضاً أبو الحسین بن أبی جیّد القمی، عن محمد بن الحسن بن الولید، عن الحسین بن الحسن بن أبان، عن الحسین بن سعید، ورواه أیضاً محمد بن الحسن بن الولید، عن محمد بن الحسن الصفّار عن أحمد بن محمد، عن الحسین بن سعید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وهذا الطریق طریق صحیح خالٍ عن 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صفوان بن یحیی البجلّی وهو من أصحاب الإجماع</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عبد الله بن بکیر بن أعین أبو علی الشیبانی، وهو فطحی المذهب ومع ذلک فإنّه ثقة ومن أصحاب الإجماع</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سبق ذکره فالروایة موثقة لا إشکال فیها من حیث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الروایة کسابقتها عامة تشمل جمیع أبواب الفقه کما أنّها لا اختصاص لها بحین العمل بل تشمل ما بعد العمل، أمّا بالنسبة إلی عبارة هذه الروایة فقد کتبت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متّصلة فی کتابی تهذیب الأحکام ووسائل الشیعة فتکون ظرفاً زمانیاً مع أنّ الصحیح أن تکتب منفصلة علی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قرب الإسناد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xml:space="preserve">عن عبد الله بن الحسن، عن جدّه علی بن جعفر، عن أخیه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رکع وسجد ولم یدْرِ هل کبّر أو قال شیئاً فی رکوعه وسجوده، هل یعتدّ بتلک الرکعة والسجدة؟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 فلیمض فی صلاته</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یقع فی سند هذه الروایة عبد الله بن الحسن الذی لم یوثّق فی کتب الرجال، ومن هنا لا تخلو الروایة من إشکال فی سندها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معنی الروایة فهو إنّ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عن أخیه الإمام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قد رکع وهو لا یعلم هل کبّر أولا؟ أو کان فی السجود وشک فی ذکر الرکوع فهل یعتنی بتلک الرکعة من الصلاة وسجودها؟ فیجیب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کلّما شک فی صلاته لا یعتنی بشکه ویبنی علی أنّه قد أتی بها ولو لاحظنا سؤال الراوی وجواب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الروایة تبیّن لنا بوضوح أنّ الروایة ناظرة إلی الشکّ بعد تجاوز محل العمل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یمکن جعل هذه الروایة کدلیل من أدلّة قاعدة التجاوز، وعلی هذا فأنّها مختصة بباب الصلاة ولا تعم سائر أبواب الفقه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المفید عن أحمد بن محمد، عن أبیه عن سعد بن عبد الله، عن أحمد بن محمد بن عیسی، عن أحمد بن محمد بن أبی نصر، عن عبد الکریم بن عمرو، عن عبد الله بن أبی یعفور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شککت فی شیءٍ من الوضوء وقد دخلت فی غیره فلیس شکّک بشیءٍ، إنّما الشکّ فی شیءٍ لم تجزْه</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الشیخ الطوسی یروی عن الشیخ المفید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یراد به أحمد بن محمد بن الحسن بن الولید وهو من مشایخ 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جلیل القدر</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محمد بن الحسن بن أحمد بن الولید فقیه وشیخ القمیین، ومن ثقات الشیعة الأجلاء</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سعد بن عبد الله بن أبی خلف الأشعری القمی من فقهاء قم وهو ثقة جلیل الشأن کثیر التصانیف</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أحمد بن محمد بن عیسی الأشعری القمی من أصحاب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ثقات الإمامیة وقد قالوا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القمیین ووجههم وفقیههم</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ترجمة أحمد بن محمد بن أبی نصر البزنطی فقد ذکرت فی الروایات السابقة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عبدالکریم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یراد به عبد الکریم بن عمرو بن صالح الخثعمی الکوفی یقول فیه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 عن أبی عبد الله وأبی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وقف علی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 ثقة عیناً یُلَقّب کرّاماً</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الشیخ الطوسی أیضاً فی عداد أصحاب الإمام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کوفی واقفی خبیث، له کتاب، یروی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وعلیه فقد کان من أجلاء الإمامیة وصار واقفی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الروایات التی یرویها مشایخه عنه فأنّها تعود إلی ما قبل صیرورته واقفیاً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أبی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عبد الله بن أبی یعفور العبدی قال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ثقة، ثقة، جلیل فی أصحابنا کریم علی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 فی أیّامه، وکان قارئاً یُقرئ فی مسجد الکوفة</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 xml:space="preserve">وقد ذکره الشیخ الطوسی فی عداد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وعلیه فإنّ هذه الروایة موثّقة وذلک لوقوع عبد الکریم بن عمرو الخثعمی فی سلسلة 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شککت فی أی فعل من أفعال الوضوء وقد انتقلت إلی غیره فلا اعتبار بشکک والشک المعتبر هو الشکّ فی شیء لم تتجاوز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الروایة عدة نقاط وقع الخلاف فیها،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الغائب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یرجع إلی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الظاهر لأول وهلة أنه یعود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شُک فی جزءٍ من أفعال الوضوء کغسل الوجه مثلاً وقد انشغل بغیره کغسل الیدین لا یُعتنی بشکه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النقطة الثانیة أنّه ما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یراد به الشکّ فی</w:t>
      </w:r>
    </w:p>
    <w:p>
      <w:pPr>
        <w:pStyle w:val="BookText"/>
        <w:rPr/>
      </w:pPr>
      <w:r>
        <w:rPr>
          <w:rFonts w:ascii="IRNazanin" w:hAnsi="IRNazanin" w:eastAsia="IRNazanin"/>
          <w:color w:val="111111"/>
          <w:sz w:val="28"/>
          <w:sz w:val="28"/>
          <w:szCs w:val="28"/>
          <w:rtl w:val="true"/>
          <w:lang w:bidi="fa-IR"/>
        </w:rPr>
        <w:t>إتیان الشیء؟ أو الشکّ فی صحة الشیء المأتی به؟ أو أن العبارة لها إطلاق یشمل کلیهما؟ وسنوضح الجواب عن هذه الأسئلة فی الأبحاث القادمة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ولابدّ من القول فیما یتعلّق بذیل الروایة بأنّ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فی مقام بیان ضابط کلّی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الشکّ إذا کنت فی شیءٍ لم تجزه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علی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یعقوب بن یزید، عن ابن أبی عمیر،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شک فی الوضوء بعدما فرغ من الصلاة؟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یمضی فی صلاته ولا یعید</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الشیخ الطوسی هذه الروایة عن محمد بن علی بن محبوب، وطریق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هو کالتالی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أخبرنی به الحسین بن عبید الله، عن أحمد بن محمد بن یحیی العطار، عن أبیه محمد بن یحیی، عن محمد بن علی بن محبوب</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یعقوب بن یزید بن حمّاد الأنباری السلمی، من ثقات الإمامیة الأجلاء وهو کثیر الروایة</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والحدیث عن ابن أبی عمیر ومحمد بن مسلم فقد سبق فی الروایات السابقة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محمد بن مسلم، سألت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شک</w:t>
      </w:r>
    </w:p>
    <w:p>
      <w:pPr>
        <w:pStyle w:val="BookText"/>
        <w:rPr/>
      </w:pPr>
      <w:r>
        <w:rPr>
          <w:rFonts w:ascii="IRNazanin" w:hAnsi="IRNazanin" w:eastAsia="IRNazanin"/>
          <w:color w:val="111111"/>
          <w:sz w:val="28"/>
          <w:sz w:val="28"/>
          <w:szCs w:val="28"/>
          <w:rtl w:val="true"/>
          <w:lang w:bidi="fa-IR"/>
        </w:rPr>
        <w:t xml:space="preserve">فی وضوئه بعد الفراغ من صلاته فأجاب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فلیمض علی صلاته ولیبنِ علی أنّه قد أتی بالوضوء ولا لزوم لإعادة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هذه الروایة أیضاً کسابقتها وقع الخلاف فی أنّ المراد من الشکّ هل هو الشکّ فی صحّة وضوئه أو الشکّ فی أصل فعل الوضوء أوله إطلاق یشمل کلیهما؟ الظاهر أنّ المراد هو الشکّ فی أصل إتیان الوضوء بأنّ یشک الإنسان بأنّه هل صلّی مع الوضوء أو بدونه؟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بإسناده عن سعد بن عبد الله، عن موسی بن جعفر، عن أبی جعفر عن الحسن بن الحسین اللؤلؤی، عن الحسن بن علی بن فضّال، عن عبد الله بن بکیر،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مضی من صلاتک وطهورک فذکرته تذکّراً فامضه ولا إعادة علیک فیه</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الحسن بإسناده عن سعد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الشیخ الطوسی وفقاً لما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المشیخة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أخبرنی به الشیخ أبو عبدالله</w:t>
      </w:r>
      <w:r>
        <w:rPr>
          <w:rStyle w:val="FootnoteAnchor"/>
          <w:rtl w:val="true"/>
        </w:rPr>
        <w:footnoteReference w:id="93"/>
      </w:r>
      <w:r>
        <w:rPr>
          <w:rFonts w:ascii="IRNazanin" w:hAnsi="IRNazanin" w:eastAsia="IRNazanin"/>
          <w:color w:val="111111"/>
          <w:sz w:val="28"/>
          <w:sz w:val="28"/>
          <w:szCs w:val="28"/>
          <w:rtl w:val="true"/>
          <w:lang w:bidi="fa-IR"/>
        </w:rPr>
        <w:t>، عن أبی القاسم جعفر بن محمد بن قولویه</w:t>
      </w:r>
      <w:r>
        <w:rPr>
          <w:rStyle w:val="FootnoteAnchor"/>
          <w:rtl w:val="true"/>
        </w:rPr>
        <w:footnoteReference w:id="94"/>
      </w:r>
      <w:r>
        <w:rPr>
          <w:rFonts w:ascii="IRNazanin" w:hAnsi="IRNazanin" w:eastAsia="IRNazanin"/>
          <w:color w:val="111111"/>
          <w:sz w:val="28"/>
          <w:sz w:val="28"/>
          <w:szCs w:val="28"/>
          <w:rtl w:val="true"/>
          <w:lang w:bidi="fa-IR"/>
        </w:rPr>
        <w:t>، عن أبیه</w:t>
      </w:r>
      <w:r>
        <w:rPr>
          <w:rStyle w:val="FootnoteAnchor"/>
          <w:rtl w:val="true"/>
        </w:rPr>
        <w:footnoteReference w:id="95"/>
      </w:r>
      <w:r>
        <w:rPr>
          <w:rFonts w:ascii="IRNazanin" w:hAnsi="IRNazanin" w:eastAsia="IRNazanin"/>
          <w:color w:val="111111"/>
          <w:sz w:val="28"/>
          <w:sz w:val="28"/>
          <w:szCs w:val="28"/>
          <w:rtl w:val="true"/>
          <w:lang w:bidi="fa-IR"/>
        </w:rPr>
        <w:t>، عن سعد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وأخبرنی</w:t>
      </w:r>
    </w:p>
    <w:p>
      <w:pPr>
        <w:pStyle w:val="BookText"/>
        <w:rPr/>
      </w:pPr>
      <w:r>
        <w:rPr>
          <w:rFonts w:ascii="IRNazanin" w:hAnsi="IRNazanin" w:eastAsia="IRNazanin"/>
          <w:color w:val="111111"/>
          <w:sz w:val="28"/>
          <w:sz w:val="28"/>
          <w:szCs w:val="28"/>
          <w:rtl w:val="true"/>
          <w:lang w:bidi="fa-IR"/>
        </w:rPr>
        <w:t xml:space="preserve">به أیضاً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محمد بن علی بن الحسین</w:t>
      </w:r>
      <w:r>
        <w:rPr>
          <w:rStyle w:val="FootnoteAnchor"/>
          <w:rtl w:val="true"/>
        </w:rPr>
        <w:footnoteReference w:id="96"/>
      </w:r>
      <w:r>
        <w:rPr>
          <w:rFonts w:ascii="IRNazanin" w:hAnsi="IRNazanin" w:eastAsia="IRNazanin"/>
          <w:color w:val="111111"/>
          <w:sz w:val="28"/>
          <w:sz w:val="28"/>
          <w:szCs w:val="28"/>
          <w:rtl w:val="true"/>
          <w:lang w:bidi="fa-IR"/>
        </w:rPr>
        <w:t>، عن أبیه</w:t>
      </w:r>
      <w:r>
        <w:rPr>
          <w:rStyle w:val="FootnoteAnchor"/>
          <w:rtl w:val="true"/>
        </w:rPr>
        <w:footnoteReference w:id="97"/>
      </w:r>
      <w:r>
        <w:rPr>
          <w:rFonts w:ascii="IRNazanin" w:hAnsi="IRNazanin" w:eastAsia="IRNazanin"/>
          <w:color w:val="111111"/>
          <w:sz w:val="28"/>
          <w:sz w:val="28"/>
          <w:szCs w:val="28"/>
          <w:rtl w:val="true"/>
          <w:lang w:bidi="fa-IR"/>
        </w:rPr>
        <w:t>عن سعد بن عبد الله</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وهذا الطریق طریق 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سعد بن عبد الله بن أبی خلف الأشعری القمی، جلیل من کبار الفقهاء ومن ثقات الإمامیة، له مؤلفات کثیرة</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موسی بن جعفر بن وهب البغدادی، ذکره الشیخ الطوسی والشیخ النجاشی فی کتبهما إلا أنّهما لم یذکرا عن وثاقتهما شیئاً</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إمّا أحمد بن محمد بن خالد البرقی أو هو أحمد بن محمد بن عیسی الأشعری وکلاهما من الثقات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الحسین اللؤلؤی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ضعّفه بعض علماء الرجال</w:t>
      </w:r>
      <w:r>
        <w:rPr>
          <w:rStyle w:val="FootnoteAnchor"/>
          <w:rtl w:val="true"/>
        </w:rPr>
        <w:footnoteReference w:id="101"/>
      </w:r>
      <w:r>
        <w:rPr>
          <w:rFonts w:ascii="IRNazanin" w:hAnsi="IRNazanin" w:eastAsia="IRNazanin"/>
          <w:color w:val="111111"/>
          <w:sz w:val="28"/>
          <w:sz w:val="28"/>
          <w:szCs w:val="28"/>
          <w:rtl w:val="true"/>
          <w:lang w:bidi="fa-IR"/>
        </w:rPr>
        <w:t>بینما وثّقه النجاشی</w:t>
      </w:r>
      <w:r>
        <w:rPr>
          <w:rStyle w:val="FootnoteAnchor"/>
          <w:rtl w:val="true"/>
        </w:rPr>
        <w:footnoteReference w:id="102"/>
      </w:r>
      <w:r>
        <w:rPr>
          <w:rFonts w:ascii="IRNazanin" w:hAnsi="IRNazanin" w:eastAsia="IRNazanin"/>
          <w:color w:val="111111"/>
          <w:sz w:val="28"/>
          <w:sz w:val="28"/>
          <w:szCs w:val="28"/>
          <w:rtl w:val="true"/>
          <w:lang w:bidi="fa-IR"/>
        </w:rPr>
        <w:t xml:space="preserve">وما نعتقده هو أنّه کلّما دار الأمر بین توثیق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وتضعیف الآخرین ووقع التعارض بینهما، قدّم قول النجاشی علی أقوال الآخرین</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فطحی المذهب معتقداً إمامة عبدالله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لکنّه رجع عن ذلک حین وفاته وصار یؤمن بإمامة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عنه الشیخ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خصّیصاً به، کان جلیل القدر، عظیم المنزلة زاهداً ورعاً ثقة فی الحدیث وفی روایاته</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وهو من أصحاب الإجماع علی رأیٍ‌</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من أصحاب الإجماع، وقد سبق ذکره وذکر محمد بن مسلم الذی هو من الرواة الأجلاء عند ذکرنا للروایة الخامسة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مدلول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کلّما مضی من صلاتک وطهورک ثمّ تذکّرته ابْنِ علی أنّک أتیت به ولا تجب علیک إعادته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ولابدّ من حمل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فذکرته تذکّراً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فشککت فیه شکّاً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لتدلّ الروایة علی قاعدة الفراغ والتجاوز بمعنی أنّک لو شککت بعد إتمام الصلاة أو الوضوء أو الغسل فی إتیان جزءٍ من الأجزاء فابن علی أنّک أتیت بذلک الجزء ولا تجب الإعادة وعلی هذا فإنّ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معناها الالتفات ثانیة إلی صحة ذلک الشیء أو إتیانه وهذا هو معنی الشکّ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یمکن أن یقال بأنّ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فذکرته تذکّراً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یتذکّر الإنسان بأنّه ترک جزءاً غیر رکنی من الصلاة کذکر الرکوع علی سبیل المثال فإنّ الفقهاء یفتون بعدم وجوب الإعادة هنا</w:t>
      </w:r>
      <w:r>
        <w:rPr>
          <w:rStyle w:val="FootnoteAnchor"/>
          <w:rtl w:val="true"/>
        </w:rPr>
        <w:footnoteReference w:id="105"/>
      </w:r>
      <w:r>
        <w:rPr>
          <w:rFonts w:ascii="IRNazanin" w:hAnsi="IRNazanin" w:eastAsia="IRNazanin"/>
          <w:color w:val="111111"/>
          <w:sz w:val="28"/>
          <w:sz w:val="28"/>
          <w:szCs w:val="28"/>
          <w:rtl w:val="true"/>
          <w:lang w:bidi="fa-IR"/>
        </w:rPr>
        <w:t xml:space="preserve">لکن لمّا کانت الروایة ذکرت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یتّضح لنا عدم تمامیة هذا المعنی وعدم صحة هذا القول</w:t>
      </w:r>
    </w:p>
    <w:p>
      <w:pPr>
        <w:pStyle w:val="BookText"/>
        <w:rPr/>
      </w:pPr>
      <w:r>
        <w:rPr>
          <w:rFonts w:ascii="IRNazanin" w:hAnsi="IRNazanin" w:eastAsia="IRNazanin"/>
          <w:color w:val="111111"/>
          <w:sz w:val="28"/>
          <w:sz w:val="28"/>
          <w:szCs w:val="28"/>
          <w:rtl w:val="true"/>
          <w:lang w:bidi="fa-IR"/>
        </w:rPr>
        <w:t>لأنّ المصلی إذا قام إلی الصلاة فتذکّر فی الأثناء أنّه لم یتوضّأ، أو أنّه حتی لو أتمّ صلاته ثمّ علم أنه لم یتوضّأ قبل الصلاة وجب علیه أن یتوضّأ ویعید صلاته</w:t>
      </w:r>
      <w:r>
        <w:rPr>
          <w:rStyle w:val="FootnoteAnchor"/>
          <w:rtl w:val="true"/>
        </w:rPr>
        <w:footnoteReference w:id="106"/>
      </w:r>
      <w:r>
        <w:rPr>
          <w:rFonts w:ascii="IRNazanin" w:hAnsi="IRNazanin" w:eastAsia="IRNazanin"/>
          <w:color w:val="111111"/>
          <w:sz w:val="28"/>
          <w:sz w:val="28"/>
          <w:szCs w:val="28"/>
          <w:rtl w:val="true"/>
          <w:lang w:bidi="fa-IR"/>
        </w:rPr>
        <w:t xml:space="preserve">، ومن هنا فلابدّ من الالتزام بأنّ 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تذکّرته تذکّراً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الشکّ فی العمل وذلک بقرینة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بإسناده عن الحسین بن سعید، عن فضالة، عن أبان بن عثمان، عن بکیر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یشک بعدما یتوضأ؟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بإسناده عن الحسن بن سعید، وقد ذکرنا طریق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حسین بن سعید وبیّنا أحواله فی الروایة الخامسة وقلنا بأنّ هذا الطریق طریق صحیح قابل للرکون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فضالة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فضالة بن أیوب الأزدی من أصحاب الإمام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ثقات الإمامیة</w:t>
      </w:r>
      <w:r>
        <w:rPr>
          <w:rStyle w:val="FootnoteAnchor"/>
          <w:rtl w:val="true"/>
        </w:rPr>
        <w:footnoteReference w:id="108"/>
      </w:r>
      <w:r>
        <w:rPr>
          <w:rFonts w:ascii="IRNazanin" w:hAnsi="IRNazanin" w:eastAsia="IRNazanin"/>
          <w:color w:val="111111"/>
          <w:sz w:val="28"/>
          <w:sz w:val="28"/>
          <w:szCs w:val="28"/>
          <w:rtl w:val="true"/>
          <w:lang w:bidi="fa-IR"/>
        </w:rPr>
        <w:t>، وقد قیل بأنّه من أصحاب الإجماع</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أبان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أبان بن عثمان الأحمر البجلی من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أصل</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بکیر بن 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بکیر بن أعین بن سنسن الشیبانی الکوفی من أصحاب الإمام الباقر والإمام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توفی أیام حیاة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یروی المرحوم الکشی روایتین فی مدحه وکلتاهما صحیحة وقد جاء فی إحداهما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بلغه وفاة بکیر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لقد أنزله الله بین رسول الله وأمیر المؤمنین صلوات الله علیهما</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 وعلیه فإنّه من ثقات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ولکن الإشکال فی هذه الروایة أنّها مضمرة حیث لم یُذکر فیها اسم الإمام المروی عنه لکن لمّا کان المُضْمِر هو بکیر بن أعین لا یخلّ الإضمار بالروایة لأنّه لا یروی عن غیر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یسأل بکیر بن أعین فی هذه الروایة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من شک فی الوضوء بعد الفراغ فأجابه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الشخص فی حالة الوضوء أکثر التفاتاً من زمان شکه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بالنظر إلی 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هذه الروایة تفید بأنّ المعیار فی عدم الاعتناء بالشک هو الالتفات والذکر حالة الوضوء وأنّ الإنسان حین قیامه بأیّ عمل یکون التفاته إلی أجزاء عمله وشرائطه أکثر منه بعد الانتهاء من العمل</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والأمر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هذه الروایة بحسب الظاهر مختصّة بباب الوضوء فلا تشمل سائر أبواب الفقه إلا أنّ یقال بأن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التعلیل فتکون العبارة من باب ذکر العلة فی مقام بیان المعلول فهی تقوم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یعید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التعلیل بالأمر العقلی شاملاً لغیر مورد السؤال جاز أن تجعل الروایة دلیلاً</w:t>
      </w:r>
      <w:bookmarkStart w:id="95" w:name="pg5466_52782"/>
    </w:p>
    <w:p>
      <w:pPr>
        <w:pStyle w:val="BookText"/>
        <w:rPr/>
      </w:pPr>
      <w:bookmarkEnd w:id="95"/>
      <w:r>
        <w:rPr>
          <w:rFonts w:ascii="IRNazanin" w:hAnsi="IRNazanin" w:eastAsia="IRNazanin"/>
          <w:color w:val="111111"/>
          <w:sz w:val="28"/>
          <w:sz w:val="28"/>
          <w:szCs w:val="28"/>
          <w:rtl w:val="true"/>
          <w:lang w:bidi="fa-IR"/>
        </w:rPr>
        <w:t xml:space="preserve">علی القاعدة وتعمیم هذه القاعدة علی جمیع أبواب الفقه، مضافاً إلی أنّه یمکن القول بأنه لا خصوصیة 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یتوضّأ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علاقة لها فی الحکم، ومن هنا یمکن إلغاء الخصوصیة وإجراء قاعدة الروایة فی سائر أبواب الفقه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جعفر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الحسن عن جدّه علی بن جعفر، عن أخیه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یکون علی وضوء وشکّ علی وضوء هو أم لا؟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ذکر وهو فی صلاته انصرف وتوضّأ وأعادها وإذ ذکر وقد فرغ من صلاته أجزأه ذلک</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العباس عبد الله بن جعفر بن الحسن بن مالک بن جامع الحمیری شیخ القمیین وکبیرهم وله مؤلّفات کثیرة وهو من ثقات الإمامیة ومن أصحاب الإمام الهادی والإمام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 هذا الراوی ولم یُوثّق فی الکتب الرجالیة وهو مجهول کما ذکرنا ذلک فی الروایة السادسة وعلی هذا یکون الخلل فی سند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یسأل علی بن جعفر عن أخیه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حکم رجل کان متوضّئاً ثمّ شک فی أنه متوضّئ أو لا، ویجیبه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إذا شک فی ذلک أثناء الصلاة وجب علیه أن یقطع صلاته ویتوضّأ ثمّ یستأنف الصلاة، أمّا إذا شک بعد الفراغ من الصلاة فلا داعی إلی التوضؤ ویکفیه ذلک</w:t>
      </w:r>
      <w:r>
        <w:rPr>
          <w:rFonts w:eastAsia="IRNazanin" w:cs="IRNazanin"/>
          <w:color w:val="111111"/>
          <w:sz w:val="28"/>
          <w:szCs w:val="28"/>
          <w:rtl w:val="true"/>
          <w:lang w:bidi="fa-IR"/>
        </w:rPr>
        <w:t>.</w:t>
      </w:r>
    </w:p>
    <w:p>
      <w:pPr>
        <w:pStyle w:val="Heading2"/>
        <w:numPr>
          <w:ilvl w:val="1"/>
          <w:numId w:val="1"/>
        </w:numPr>
        <w:rPr/>
      </w:pPr>
      <w:bookmarkStart w:id="96" w:name="__RefHeading___Toc2082320_581953129"/>
      <w:bookmarkStart w:id="97" w:name="_Toc38"/>
      <w:bookmarkEnd w:id="96"/>
      <w:r>
        <w:rPr>
          <w:rtl w:val="true"/>
        </w:rPr>
        <w:t xml:space="preserve">حول دلالة هذه الروایة علی قاعدة الفراغ یقول صاحب الوسائل </w:t>
      </w:r>
      <w:r>
        <w:rPr>
          <w:rtl w:val="true"/>
        </w:rPr>
        <w:t>(</w:t>
      </w:r>
      <w:r>
        <w:rPr>
          <w:rtl w:val="true"/>
        </w:rPr>
        <w:t>رحمه الله</w:t>
      </w:r>
      <w:r>
        <w:rPr>
          <w:rtl w:val="true"/>
        </w:rPr>
        <w:t>):</w:t>
      </w:r>
      <w:bookmarkEnd w:id="9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محمول علی الاستحباب لما مرّ وآخره قرینة ظاهرة علی ذلک،</w:t>
      </w:r>
    </w:p>
    <w:p>
      <w:pPr>
        <w:pStyle w:val="BookText"/>
        <w:rPr/>
      </w:pPr>
      <w:r>
        <w:rPr>
          <w:rFonts w:ascii="IRNazanin" w:hAnsi="IRNazanin" w:eastAsia="IRNazanin"/>
          <w:color w:val="111111"/>
          <w:sz w:val="28"/>
          <w:sz w:val="28"/>
          <w:szCs w:val="28"/>
          <w:rtl w:val="true"/>
          <w:lang w:bidi="fa-IR"/>
        </w:rPr>
        <w:t>ویمکن حمله علی أنّ المراد بالوضوء الاستنجاء</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لابدّ من القول بعدم دلالة هذه الروایة علی قاعدة الفراغ والتجاوز، وعلیه یجب حمل هذه الروایة أمّا علی استصحاب الوضوء السابق أو علی الاستحباب أو یقال کما علیه صاحب الوسائل من أنّ المراد بالوضوء هو الاستنجاء، هذا لکن لمّا کان الإشکال فی سند الروایة فلا حاجة إلی التدقیق فی دلالة متنها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بإسناده عن الحسین بن سعید، عن فضالة عن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أشکّ وأنا ساجد فلا أدری رکعت أم لا،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امض</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البحث عن سند الروایة الخامسة أنّ إسناد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وطریقه إلی الحسین بن سعید الأهوازی طریق صحیح یُعتمد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فضالة بن أیوب الأزدی حیث ذکرناه فی البحث عن سند الروایة العاشرة وهو من أصحاب الإمام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وقیل هو من أصحاب الإجماع</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حمّاد بن عثمان بن عمرو بن خالد الفزاری، من ثقات الإمامیة فی الکوفة یروی عن الأئمّة الصادق والکاظم والرضا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 وعلیه فلا</w:t>
      </w:r>
    </w:p>
    <w:p>
      <w:pPr>
        <w:pStyle w:val="BookText"/>
        <w:rPr/>
      </w:pPr>
      <w:r>
        <w:rPr>
          <w:rFonts w:ascii="IRNazanin" w:hAnsi="IRNazanin" w:eastAsia="IRNazanin"/>
          <w:color w:val="111111"/>
          <w:sz w:val="28"/>
          <w:sz w:val="28"/>
          <w:szCs w:val="28"/>
          <w:rtl w:val="true"/>
          <w:lang w:bidi="fa-IR"/>
        </w:rPr>
        <w:t>إشکال فی سند الروایة وتکون الروایة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الروایة یسأل حماد بن عثمان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أشک فی أثناء الصلاة وأنا ساجد فی أنّی هل رکعت أو لا؟ ماذا أصنع؟ ویجیب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تعتن بشکک وابنِ علی أنک أتیت بالرکوع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تلاحظون فإنّ الروایة تدلّ علی قاعدة الفراغ والتجاوز ولا إشکال فی دلالتها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صفوان، عن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أشک وأنا ساجد فلا أدری رکعت أم لا؟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رکعت، امضه</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به الحسین بن سعید الأهوازی الذی یُسند إلیه المرحوم الشیخ الطوسی وطریقه إلیه طریق صحیح کما ذکرنا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صفوان بن یحیی أبو محمد البَجلی بیّاع السابریّ من ثقات الإمامیة الأجلاء، یروی أبوه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یروی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له مکانته الممیّزة عند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أصحاب الإجماع</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حاله فی الروایة السابقة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النقطة الأخری هی أنّ الروایتین روایة واحدة ولا تحتسبان روایتین مستقلتین لأنّ الراوی الأوّل الذی یروی مباشرة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واحد هو حماد بن عثمان والمروی عنه هو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وعلیه لا بد من الالتزام بأنّ الروایتین روایة واحدة نُقلت عن 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عبارات هذه الروایة تُشبه عبارات الروایة السابقة وتختلفان فی جواب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حیث 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فی الروایة السابقة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 هذه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رکعت 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نقل الروایة الثانیة یقول لحمّاد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علی أنّک رکعت وأنّک فی حکم من رکع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الروایة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أعم من أنّک رکعت أو لم ترکع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المطلب ثمرتان فقهیتان أیضاً حیث أنه لو صار الإنسان مثلاً أجیراً لإتیان حج وبجمیع أجزائه وشرائطه ولا یکون الغرض إتیان الحج المبرئ للذمّة فقط فإذا شکّ هذا الأجیر بعد الخروج من الإحرام فی أنّه هل جاء بالطواف أولا؟ فإن قلنا بأنّ الشارع من خلال قاعدة الفراغ قد عبّده علی أنه قد أتی بالمشکوک فیه کان عمله تام الأجزاء قد فعل ما استؤجر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لم نقل بهذا التعبّد الشرعی من خلال قاعدة الفراغ فإنّ عمله هذا وإن کان صحیحاً إلاّ أنّه لم یکن تام الأجزاء والشرائط وعلیه فلم یأت الأجیر بما استؤجر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فضالة، عن أبان عن الفضیل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أستتمّ قائماً فلا أدری رکعت أم لا؟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قد رکعت، فامض فی صلاتک، فإنّما ذلک من الشیطان</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منه حسین بن سعید الأهوازی، وقد ذکرنا أن طریق الشیخ الطوسی إلیه طریق 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فضالة بن أیوب الأزدی وقد ذکرنا فی البحث السندی للروایة العاشرة أنّه من ثقات الإمامیة ومن أصحاب الإمام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علی قول من أصحاب الإجماع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أبان بن عثمان الأحمر البجلی، وقد سبق الکلّام حوله فی الروایة العاشرة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الفضیل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الفضیل بن یسار النهدی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فیه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فضیلاً من أصحاب أبی وإنّی لأحبّ الرجل أن یُحبّ أصحاب أبیه</w:t>
      </w:r>
      <w:r>
        <w:rPr>
          <w:rFonts w:eastAsia="Amiri" w:cs="Amiri" w:ascii="Amiri" w:hAnsi="Amiri"/>
          <w:color w:val="111111"/>
          <w:sz w:val="28"/>
          <w:szCs w:val="28"/>
          <w:rtl w:val="true"/>
          <w:lang w:bidi="ar-SA"/>
        </w:rPr>
        <w:t>)</w:t>
      </w:r>
      <w:r>
        <w:rPr>
          <w:rStyle w:val="FootnoteAnchor"/>
          <w:rtl w:val="true"/>
        </w:rPr>
        <w:footnoteReference w:id="121"/>
      </w:r>
      <w:r>
        <w:rPr>
          <w:rFonts w:ascii="IRNazanin" w:hAnsi="IRNazanin" w:eastAsia="IRNazanin"/>
          <w:color w:val="111111"/>
          <w:sz w:val="28"/>
          <w:sz w:val="28"/>
          <w:szCs w:val="28"/>
          <w:rtl w:val="true"/>
          <w:lang w:bidi="fa-IR"/>
        </w:rPr>
        <w:t>وهو من ثقات الإمامیة الأجلاّء ومن أصحاب الإجماع</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فضیل بن یسار من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أشک وأنا قائم حال الصلاة فی أنی رکعت أم لا؟ ماذا أصنع؟ یجیب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بأنّک أتیت بالرکوع فامض فی صلاتک فإنّما ذلک الشکّ من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فیما یتعلّق بالقیام الکامل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أستتم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فی الروایة ففیه احتمالان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هو القیام بعد السجود، وعلیه یکون مفاد الروایة عدم الاعتناء بالشک بعد تجاوز المحل، وقد ذکر هذا الاحتمال الشیخ الطوسی أیضاً</w:t>
      </w:r>
      <w:r>
        <w:rPr>
          <w:rStyle w:val="FootnoteAnchor"/>
          <w:rtl w:val="true"/>
        </w:rPr>
        <w:footnoteReference w:id="123"/>
      </w:r>
      <w:r>
        <w:rPr>
          <w:rFonts w:ascii="IRNazanin" w:hAnsi="IRNazanin" w:eastAsia="IRNazanin"/>
          <w:color w:val="111111"/>
          <w:sz w:val="28"/>
          <w:sz w:val="28"/>
          <w:szCs w:val="28"/>
          <w:rtl w:val="true"/>
          <w:lang w:bidi="fa-IR"/>
        </w:rPr>
        <w:t>، وعلی هذا تدلّ الروایة علی قاعدة الفراغ والتجاوز</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هو القیام قبل السجود، وعلیه لما لم یمض محل الرکوع فإنّ الروایات الکثیرة دالة علی وجوب الإتیان بالرکوع، وقد أفتی بمقتضاها الفقهاء</w:t>
      </w:r>
      <w:r>
        <w:rPr>
          <w:rStyle w:val="FootnoteAnchor"/>
          <w:rtl w:val="true"/>
        </w:rPr>
        <w:footnoteReference w:id="12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الروایة إنّما تدلّ علی قاعدة الفراغ والتجاوز فیما لو أرید بالقیام بعد السجود ولکن لا بد من الالتزام بعدم ارتباطها بقاعدة الفراغ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ذلک من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قرینة علی أنّ مراد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الشکّ الخاص إذ لیس الشیطان منشأً لکلّ شکٍ وإنما شک کثیر الشکّ والوسواس فقط من قبل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أوضح أنّ السؤال فی الروایة إنّما یتعلّق بمن تحصل له هذه الحالة دائماً أی أنّه کلّما أکمل القیام شک فی أنه رکع أم لم یرکع، ومن هنا تختص الروایة بکثیر الشکّ‌</w:t>
      </w:r>
      <w:r>
        <w:rPr>
          <w:rStyle w:val="FootnoteAnchor"/>
          <w:rtl w:val="true"/>
        </w:rPr>
        <w:footnoteReference w:id="125"/>
      </w:r>
      <w:r>
        <w:rPr>
          <w:rFonts w:ascii="IRNazanin" w:hAnsi="IRNazanin" w:eastAsia="IRNazanin"/>
          <w:color w:val="111111"/>
          <w:sz w:val="28"/>
          <w:sz w:val="28"/>
          <w:szCs w:val="28"/>
          <w:rtl w:val="true"/>
          <w:lang w:bidi="fa-IR"/>
        </w:rPr>
        <w:t xml:space="preserve">وتفید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لا یمکن عدّها فی عداد الروایات الدالة علی قاعدة الفراغ والتجاوز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وبإسناده عن سعد عن أحمد بن محمد عن أبیه عن عبد الله بن المغیرة، عن إسماعیل بن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شکّ فی الرکوع بعد ما سجد فلیمض وإن شک فی السجود بعد ما قام فلیمض، کلّ شیءٍ شک فیه مما قد جاوزه ودخل فی غیره فلیمض علیه</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سعد بن عبد الله الأشعری القمی، من ثقات الإمامیة وفقهائهم الأجلاء</w:t>
      </w:r>
      <w:r>
        <w:rPr>
          <w:rStyle w:val="FootnoteAnchor"/>
          <w:rtl w:val="true"/>
        </w:rPr>
        <w:footnoteReference w:id="127"/>
      </w:r>
      <w:r>
        <w:rPr>
          <w:rFonts w:ascii="IRNazanin" w:hAnsi="IRNazanin" w:eastAsia="IRNazanin"/>
          <w:color w:val="111111"/>
          <w:sz w:val="28"/>
          <w:sz w:val="28"/>
          <w:szCs w:val="28"/>
          <w:rtl w:val="true"/>
          <w:lang w:bidi="fa-IR"/>
        </w:rPr>
        <w:t xml:space="preserve">، وقد بیّنا طریق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فی البحث عن سند</w:t>
      </w:r>
    </w:p>
    <w:p>
      <w:pPr>
        <w:pStyle w:val="BookText"/>
        <w:rPr/>
      </w:pPr>
      <w:r>
        <w:rPr>
          <w:rFonts w:ascii="IRNazanin" w:hAnsi="IRNazanin" w:eastAsia="IRNazanin"/>
          <w:color w:val="111111"/>
          <w:sz w:val="28"/>
          <w:sz w:val="28"/>
          <w:szCs w:val="28"/>
          <w:rtl w:val="true"/>
          <w:lang w:bidi="fa-IR"/>
        </w:rPr>
        <w:t>الروایة التاسعة فلا حاجة إلی الإعادة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أحمد بن محمد بن عیسی بن عبد الله الأشعری القمی شیخ القمیین وفقیههم ومن ثقات الإمامیة</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محمد بن عیسی بن عبد الله الأشعری القمی الذی یصفه النجاشی بشیخ القمیین ووجه الأشاعرة لکنّه لا یوثقّه</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عبد الله بن المغیرة أبو محمد البجلی من ثقات الإمامیة</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إسماعیل بن جابر الجعفی الخثعمی الکوفی الذی روی حدیث الأذان وهو من ثقات أصحاب الإمامین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الروایة لو شک المکلّف بعد السجود فی الرکوع لا یعتنی بشکه ویبنی علی أنه فعله وکذا لو شک فی السجود بعد القیام ثمّ یبیّن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کلّیة فی ذیل الروایة بقوله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شک فیه</w:t>
      </w:r>
    </w:p>
    <w:p>
      <w:pPr>
        <w:pStyle w:val="BookText"/>
        <w:rPr/>
      </w:pPr>
      <w:r>
        <w:rPr>
          <w:rFonts w:ascii="IRNazanin" w:hAnsi="IRNazanin" w:eastAsia="IRNazanin"/>
          <w:color w:val="111111"/>
          <w:sz w:val="28"/>
          <w:sz w:val="28"/>
          <w:szCs w:val="28"/>
          <w:rtl w:val="true"/>
          <w:lang w:bidi="fa-IR"/>
        </w:rPr>
        <w:t>مما قد جاوزه ودخل فی غیره فلیمض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یقال فی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صدر الروایة لمّا کان مرتبطاً برکوع الصلاة وسجودها وقیامها فإن الصدر یخصص ذیل الروایة ویکون قرینة علی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شک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کلّ شیء من أجزاء الصلاة شک فیه، وعلیه فلا تعم القاعدة سائر أبواب الفقه، هذا ولکن لمّا کان المورد لا یخصص الوارد کما بیّنا ذلک مراراً فی الأصول فإن صدر الروایة فیما نحن فیه وإن کان متعلقاً بموردین من باب الصلاة إلا أنّه لا یقید ذیل الروایة بل تبقی القاعدة المبینة فی الذیل علی کلیتها، وبالتالی تصلح هذه الروایة لأن تکون من أدلّة قاعدة الفراغ والتجاوز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هذا المجال یری 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المستفاد من هذه الروایة هو الضابط الکلّی ولا تکون هذه الروایة أقل من الصحیحة فی باب الاستصحاب فی إفادة القاعدة</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هناک ثلاث روایات أخری فی هذا الباب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شبیهة بالروایة السابقة ولا شیء زائد فیها ومن هنا فإنّنا نکتفی بذکرها من غیر تعلیق علیها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سعد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عن أبی جعفر یعنی أحمد بن محمد عن الحسین بن سعید،</w:t>
      </w:r>
      <w:r>
        <w:rPr>
          <w:rStyle w:val="FootnoteAnchor"/>
          <w:rtl w:val="true"/>
        </w:rPr>
        <w:footnoteReference w:id="134"/>
      </w:r>
      <w:r>
        <w:rPr>
          <w:rFonts w:ascii="IRNazanin" w:hAnsi="IRNazanin" w:eastAsia="IRNazanin"/>
          <w:color w:val="111111"/>
          <w:sz w:val="28"/>
          <w:sz w:val="28"/>
          <w:szCs w:val="28"/>
          <w:rtl w:val="true"/>
          <w:lang w:bidi="fa-IR"/>
        </w:rPr>
        <w:t>عن فضالة، عن العلاء بن رزین</w:t>
      </w:r>
      <w:r>
        <w:rPr>
          <w:rStyle w:val="FootnoteAnchor"/>
          <w:rtl w:val="true"/>
        </w:rPr>
        <w:footnoteReference w:id="135"/>
      </w:r>
      <w:r>
        <w:rPr>
          <w:rFonts w:ascii="IRNazanin" w:hAnsi="IRNazanin" w:eastAsia="IRNazanin"/>
          <w:color w:val="111111"/>
          <w:sz w:val="28"/>
          <w:sz w:val="28"/>
          <w:szCs w:val="28"/>
          <w:rtl w:val="true"/>
          <w:lang w:bidi="fa-IR"/>
        </w:rPr>
        <w:t xml:space="preserve">عن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شک بعدما سجد أنه لم یرکع؟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یمضی فی صلاته</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عن أحمد بن محمد بن أبی نصر، عن أبان بن عثمان، عن عبد الرحمن بن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المیمون البصری</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أهوی السجود فلم یدر أرکع أم لم یرکع؟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قد رکع</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الحسین بإسناده عن العلاء،</w:t>
      </w:r>
      <w:r>
        <w:rPr>
          <w:rStyle w:val="FootnoteAnchor"/>
          <w:rtl w:val="true"/>
        </w:rPr>
        <w:footnoteReference w:id="139"/>
      </w:r>
      <w:r>
        <w:rPr>
          <w:rFonts w:ascii="IRNazanin" w:hAnsi="IRNazanin" w:eastAsia="IRNazanin"/>
          <w:color w:val="111111"/>
          <w:sz w:val="28"/>
          <w:sz w:val="28"/>
          <w:szCs w:val="28"/>
          <w:rtl w:val="true"/>
          <w:lang w:bidi="fa-IR"/>
        </w:rPr>
        <w:t xml:space="preserve">عن محمد بن مسلم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شک بعد ما سجد أنّه لم یرکع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یمضی فی صلاته حتی یستیقن أنه لم یرکع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ونذکر هنا أیضاً روایتین أخریین کأدلة علی قاعدة الفراغ والتجاوز</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إدریس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کتاب حریز بن عبد الله</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عن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یقین بعد حائلٍ قضاه ومضی علی الیقین ویقضی الحائل والشک جمیعاً فإن شکّ فی الظهر فیما بینه وبین أن یصلّی العصر قضاها وإن دخله الشکّ بعد أن یصلّی العصر فقد مضت إلاّ أن یستیقن، لأنّ العصر حائل فیما بینه وبین الظهر فلا یدع الحائل لما کان من الشکّ إلاّ بیقین</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بإسناده</w:t>
      </w:r>
      <w:r>
        <w:rPr>
          <w:rStyle w:val="FootnoteAnchor"/>
          <w:rtl w:val="true"/>
        </w:rPr>
        <w:footnoteReference w:id="143"/>
      </w:r>
      <w:r>
        <w:rPr>
          <w:rFonts w:ascii="IRNazanin" w:hAnsi="IRNazanin" w:eastAsia="IRNazanin"/>
          <w:color w:val="111111"/>
          <w:sz w:val="28"/>
          <w:sz w:val="28"/>
          <w:szCs w:val="28"/>
          <w:rtl w:val="true"/>
          <w:lang w:bidi="fa-IR"/>
        </w:rPr>
        <w:t>عن موسی بن القاسم</w:t>
      </w:r>
      <w:r>
        <w:rPr>
          <w:rStyle w:val="FootnoteAnchor"/>
          <w:rtl w:val="true"/>
        </w:rPr>
        <w:footnoteReference w:id="144"/>
      </w:r>
      <w:r>
        <w:rPr>
          <w:rFonts w:ascii="IRNazanin" w:hAnsi="IRNazanin" w:eastAsia="IRNazanin"/>
          <w:color w:val="111111"/>
          <w:sz w:val="28"/>
          <w:sz w:val="28"/>
          <w:szCs w:val="28"/>
          <w:rtl w:val="true"/>
          <w:lang w:bidi="fa-IR"/>
        </w:rPr>
        <w:t>، عن عبد الرحمن بن سیابة</w:t>
      </w:r>
      <w:r>
        <w:rPr>
          <w:rStyle w:val="FootnoteAnchor"/>
          <w:rtl w:val="true"/>
        </w:rPr>
        <w:footnoteReference w:id="145"/>
      </w:r>
      <w:r>
        <w:rPr>
          <w:rFonts w:ascii="IRNazanin" w:hAnsi="IRNazanin" w:eastAsia="IRNazanin"/>
          <w:color w:val="111111"/>
          <w:sz w:val="28"/>
          <w:sz w:val="28"/>
          <w:szCs w:val="28"/>
          <w:rtl w:val="true"/>
          <w:lang w:bidi="fa-IR"/>
        </w:rPr>
        <w:t>، عن حماد</w:t>
      </w:r>
      <w:r>
        <w:rPr>
          <w:rStyle w:val="FootnoteAnchor"/>
          <w:rtl w:val="true"/>
        </w:rPr>
        <w:footnoteReference w:id="146"/>
      </w:r>
      <w:r>
        <w:rPr>
          <w:rFonts w:ascii="IRNazanin" w:hAnsi="IRNazanin" w:eastAsia="IRNazanin"/>
          <w:color w:val="111111"/>
          <w:sz w:val="28"/>
          <w:sz w:val="28"/>
          <w:szCs w:val="28"/>
          <w:rtl w:val="true"/>
          <w:lang w:bidi="fa-IR"/>
        </w:rPr>
        <w:t>، عن حریز</w:t>
      </w:r>
      <w:r>
        <w:rPr>
          <w:rStyle w:val="FootnoteAnchor"/>
          <w:rtl w:val="true"/>
        </w:rPr>
        <w:footnoteReference w:id="147"/>
      </w: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طاف بالبیت فلم یدر ستة طاف أو سبعة، طواف فریضة،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فلیعد طوافه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خرج وفاته ذلک،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 شیء</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bookmarkStart w:id="98" w:name="pg5466_52792"/>
    </w:p>
    <w:p>
      <w:pPr>
        <w:pStyle w:val="BookText"/>
        <w:rPr/>
      </w:pPr>
      <w:bookmarkEnd w:id="98"/>
      <w:r>
        <w:rPr>
          <w:rFonts w:ascii="IRNazanin" w:hAnsi="IRNazanin" w:eastAsia="IRNazanin"/>
          <w:color w:val="111111"/>
          <w:sz w:val="28"/>
          <w:sz w:val="28"/>
          <w:szCs w:val="28"/>
          <w:rtl w:val="true"/>
          <w:lang w:bidi="fa-IR"/>
        </w:rPr>
        <w:t>هذه أهم الروایات التی استدلّ بها علی قاعدة الفراغ وإلاّ فإن هناک روایات أخری فی هذا المجال، ویستفاد من جمیعها هذه القاعدة الکلّیة</w:t>
      </w:r>
      <w:r>
        <w:rPr>
          <w:rFonts w:eastAsia="IRNazanin" w:cs="IRNazanin"/>
          <w:color w:val="111111"/>
          <w:sz w:val="28"/>
          <w:szCs w:val="28"/>
          <w:rtl w:val="true"/>
          <w:lang w:bidi="fa-IR"/>
        </w:rPr>
        <w:t>.</w:t>
      </w:r>
    </w:p>
    <w:p>
      <w:pPr>
        <w:pStyle w:val="Heading2"/>
        <w:numPr>
          <w:ilvl w:val="1"/>
          <w:numId w:val="1"/>
        </w:numPr>
        <w:rPr/>
      </w:pPr>
      <w:bookmarkStart w:id="99" w:name="__RefHeading___Toc2082322_581953129"/>
      <w:bookmarkStart w:id="100" w:name="_Toc39"/>
      <w:bookmarkEnd w:id="99"/>
      <w:r>
        <w:rPr>
          <w:rtl w:val="true"/>
        </w:rPr>
        <w:t>کما لا شکّ فی دلالة هذه الروایات علی الأمور التالیة</w:t>
      </w:r>
      <w:r>
        <w:rPr>
          <w:rtl w:val="true"/>
        </w:rPr>
        <w:t>:</w:t>
      </w:r>
      <w:bookmarkEnd w:id="1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الاعتناء بالشک، والبناء علی صحة العمل المأتی به فیما لو شک المکلّف فی صحة العمل بعد الفراغ والانتهاء منه بشکل کامل، سواء کان العمل بسیطاً أو مرکباً وسواء کان منشأ الشکّ فی صحة عمله هو الشکّ فی الإخلال بالجزء أو بالشرط أو الشکّ فی وجود المانع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الفراغ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الاعتناء بالشک، والبناء علی إتیان الجزء المشکوک فیما لو شک المکلّف فی إتیان جزءٍ من المأمور به المرکب فیما لو تجاوز محل ذلک الجزء المشکوک ودخل فی الجزء التالی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فإنّ قاعدة الفراغ وقاعدة التجاوز کلتیهما تستفادان من الروایات السابقة، هذا ولکن المهم الذی وقع النزاع فیه هو أن القاعدتین هل هما مجعولتان بجعل واحد أو أنّهما قاعدتان منفصلتان مستقلتان؟ وهل قاعدة الفراغ والتجاوز قاعدة عامة تجری فی جمیع أبواب الفقه أو هی مختصة بباب الصلاة والوضوء التی سنبحث عنها فی المباحث القادمة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بد قبل الخوض فی البحث عن اتحاد القاعدتین أو تعدّدهما من معرفة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 فی الروایات السابقة</w:t>
      </w:r>
      <w:r>
        <w:rPr>
          <w:rFonts w:eastAsia="IRNazanin" w:cs="IRNazanin"/>
          <w:color w:val="111111"/>
          <w:sz w:val="28"/>
          <w:szCs w:val="28"/>
          <w:rtl w:val="true"/>
          <w:lang w:bidi="fa-IR"/>
        </w:rPr>
        <w:t>.</w:t>
      </w:r>
    </w:p>
    <w:p>
      <w:pPr>
        <w:pStyle w:val="Heading2"/>
        <w:numPr>
          <w:ilvl w:val="1"/>
          <w:numId w:val="1"/>
        </w:numPr>
        <w:rPr/>
      </w:pPr>
      <w:bookmarkStart w:id="101" w:name="__RefHeading___Toc2082324_581953129"/>
      <w:bookmarkStart w:id="102" w:name="_Toc40"/>
      <w:bookmarkEnd w:id="101"/>
      <w:r>
        <w:rPr>
          <w:rtl w:val="true"/>
        </w:rPr>
        <w:t>ما المراد من الشکّ فی الشیء؟</w:t>
      </w:r>
      <w:bookmarkEnd w:id="102"/>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أربعة احتمالات فی خصوص المراد من الشکّ فی الشیء المذکور فی الروایات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الشکّ فی أصل وجود العمل وتحققه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الشکّ فی صحة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إحراز أصل وجوده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الروایات مطلقة تشمل کلا الشکلّین الشکّ فی الصحة والشک فی الوجود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الروایات مجملة لا دلالة لها علی الشکّ فی الوجود أو الشکّ فی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ولمعرفة إنّ المتعیّن هو أی واحد من هذه الاحتمالات الأربعة لابدّ من البحث أولاً عن إمکان الجمع بین قاعدتی الفراغ والتجاوز فی مقام الثبوت ووجود قدر جامع بینهما أو عدمه ثمّ البحث فی مقام الإثبات فی تعیین الاحتمال الصحیح فی الروایات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وإن کان 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فی هذا البحث إلی أنّ المراد بالشک فی الشیء هو الشکّ فی أصل وجود العمل وتحققه الشامل للشک فی تحقق الجزء أو الشرط فی العمل، ویری أنّ الشکّ فی صحة العمل لیس موضوع قاعدة التجاوز وهذا یوافق المتفاهم العرفی مضافاً إلی تأیید هذا الاحتمال من قبل الروایات الأخری، لأنّ المتفاهم عرفاً من الشکّ هو الشکّ فی الوجود لا الشکّ فی الصحة</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هذا فإنّنا نبحث أولاً عن مسألة الجمع بین قاعدتی الفراغ والتجاوز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إتحاد قاعدتی الفراغ والتجاوز أو تغایرهما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نزاع هام فی هذه القاعدة حول وجود قاعدتین إحداهما قاعدة الفراغ والأخری قاعدة التجاوز أو أنّهما مجعولتان بجعل واحد فی الشریعة؟ وقد</w:t>
      </w:r>
    </w:p>
    <w:p>
      <w:pPr>
        <w:pStyle w:val="BookText"/>
        <w:rPr/>
      </w:pPr>
      <w:r>
        <w:rPr>
          <w:rFonts w:ascii="IRNazanin" w:hAnsi="IRNazanin" w:eastAsia="IRNazanin"/>
          <w:color w:val="111111"/>
          <w:sz w:val="28"/>
          <w:sz w:val="28"/>
          <w:szCs w:val="28"/>
          <w:rtl w:val="true"/>
          <w:lang w:bidi="fa-IR"/>
        </w:rPr>
        <w:t>ذُکرت فی هذا المجال ثلاثة فروق بین قاعدة الفراغ وقاعدة التجاوز مما یمکن جعلها سبباً فی ظهور الاختلاف والتغایر بین القاعدتین وهذه الفروق الثلاثة هی کالتالی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مورد قاعدة الفراغ الشکّ فی الصحة بینما مورد قاعدة التجاوز هو الشکّ فی وجود العمل وتحققه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تجری قاعدة الفراغ فی الأعمال البسیطة والمرکبة بینما تجری قاعدة الفراغ فی خصوص الأعمال المرکّبة ولا تجری فی الأعمال البسیطة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الفرق بینهما فی الأعمال المرکبة التی تجری فیهما کلتا القاعدتین حیث لا فرق فی مورد قاعدة الفراغ بین أن یکون الشکّ فی الصحة ناشئاً من احتمال الإخلال بالجزء أو الشرط أو من جهة وجود المانع، أمّا قاعدة التجاوز فأنّها تجری فی الجزء المشکوک دون موارد احتمال وجود المانع، مع وجود الخلاف فی موارد احتمال الإخلال بالشرط</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قاعدة التجاوز یکون الدخول فی الجزء التالی قیداً واقعیاً مقوّماً لحقیقة التجاوز، لأنّ التجاوز عن الجزء إنّما یتحقّق فیما لو دخل الإنسان فی الجزء التالی من المرکّب، أمّا فی قاعدة الفراغ فإننا لو اعتبرنا الدخول فی الجزء التالی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الخلاف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یکون قیداً اعتباریاً تعبدیاً لا واقعیاً بمعنی أنّ الشارع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تمّ عملک ودخلت فی العمل الآخر فلا تعتن بالشک فی عملک السابق، فإنّ الشارع هنا یعتبر الدخول فی العمل التالی قیداً تعبّدیاً وقد کان یمکنه أن لا یذکر هذا الشرط بل یقتصر علی ملاحظة انتهاء العمل السابق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سبق هو أنّ الفقهاء استفادوا من الروایات الواردة فی قاعدة الفراغ عمومیة هذه القاعدة والتزموا بجریانها فی جمیع أبواب الفقه حتی</w:t>
      </w:r>
    </w:p>
    <w:p>
      <w:pPr>
        <w:pStyle w:val="BookText"/>
        <w:rPr/>
      </w:pPr>
      <w:r>
        <w:rPr>
          <w:rFonts w:ascii="IRNazanin" w:hAnsi="IRNazanin" w:eastAsia="IRNazanin"/>
          <w:color w:val="111111"/>
          <w:sz w:val="28"/>
          <w:sz w:val="28"/>
          <w:szCs w:val="28"/>
          <w:rtl w:val="true"/>
          <w:lang w:bidi="fa-IR"/>
        </w:rPr>
        <w:t>المعاملات من العقود والإیقاعات، بینما التزموا باختصاص قاعدة التجاوز بباب الصلاة وعدم جریانها فی سائر أبواب الفقه کالوضوء والغسل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ذهب بعض الفقهاء علی خلاف المشهور إلاّ أنّ قاعدة التجاوز أیضاً تجری فی جمیع أبواب العبادات عدا الوضوء، وعلیه فلو قلنا بأنّ القاعدتین قاعدتان مستقلّتان صحّ بالتفکیک المذکور آنفاً، أمّا لو قلنا بأنّهما قاعدة واحدة مجعولة بجعل شرعی واحد لم یتمّ ذلک التفکیک حیث یجب الالتزام إمّا بعمومیة هذه القاعدة وجریأنها فی جمیع أبواب الفقه وإما بعدم شمولیتها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کان البحث فی أنّ قاعدة الفراغ والتجاوز شاملة لجمیع أبواب الفقه أم أنّها مختصّة ببعض هذه الأبواب کالصلاة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سبباً آخر للنزاع فی أنّ قاعدة الفراغ والتجاوز هل انّهما قاعدتان أو قاعدة واحدة؟</w:t>
      </w:r>
    </w:p>
    <w:p>
      <w:pPr>
        <w:pStyle w:val="BookText"/>
        <w:rPr/>
      </w:pPr>
      <w:r>
        <w:rPr>
          <w:rFonts w:ascii="IRNazanin" w:hAnsi="IRNazanin" w:eastAsia="IRNazanin"/>
          <w:color w:val="111111"/>
          <w:sz w:val="28"/>
          <w:sz w:val="28"/>
          <w:szCs w:val="28"/>
          <w:rtl w:val="true"/>
          <w:lang w:bidi="fa-IR"/>
        </w:rPr>
        <w:t>هناک خمسة أقوال هی مجموع الآراء فی مسألة اتحاد القاعدتین أو تغایرهما 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قاعدة الفراغ والتجاوز قاعدة واحدة ولیس للشارع فی باب الفراغ والتجاوز إلاّ مجعول شرعی واحد، غایة الأمر أنّه قد یعبر عن هذا المجعول الواحد بقاعدة الفراغ وتارة بقاعدة التجاوز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ویفهم من کلمات المرحوم الآخوند وجمع کثیر من الفقهاء أنّهما قاعدتان مستقلتان والمجعول فی قاعدة الفراغ مختلف تماماً عن المجعول فی قاعدة التجاوز</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ذهب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القاعدتین وإن کانتا اثنتین بحسب الظاهر إلاّ أنّ قاعدة التجاوز ترجع إلی قاعدة الفراغ وعلیه یکون المجعول الشرعی واحداً</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bookmarkStart w:id="103" w:name="pg5466_52796"/>
    </w:p>
    <w:p>
      <w:pPr>
        <w:pStyle w:val="BookText"/>
        <w:rPr/>
      </w:pPr>
      <w:bookmarkEnd w:id="103"/>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یری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قاعدة واحدة لا أکثر وهی قاعدة التجاوز أمّا قاعدة الفراغ فمآلها إلی قاعدة التجاوز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المستفاد من الأدلّة قاعدة الفراغ فقط ولا وجود لقاعدة تسمّی بقاعدة التجاوز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البحث عن صحة هذه الآراء أو بطلانها لابدّ من الإشارة إلی أنّ هذا البحث قد وقع فی کلمات الفقهاء فی مقامین منفصلین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الثبوت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مقام الثبوت فقد وقع البحث فی أنّ قاعدة الفراغ والتجاوز مع قطع النظر عن الروایات السابقة هل هما قاعدتان أم أنهما قاعدة واحدة لوجود الجامع بینهما؟ والآراء المذکورة آنفاً إنّما تذکّر فی هذا المقام حیث لا بد من البحث عن صحتها أو عدم 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نأتی إلی مقام الإثبات فیما لو توصّلنا إلی عدم وجود جامع بینهما وإنّ قاعدة الفراغ مختلفة عن قاعدة التجاوز ولا بد حینئذٍ بملاحظة الروایات المذکورة من التماس دلیل خاص علی کلّ من قاعدة الفراغ وقاعدة التجاوز، أمّا لو التزمنا باتّحاد القاعدتین کان لابدّ من دراسة الروایات السابقة لمعرفة الروایات المتکفّلة بإثبات القدر الجامع التی تفید کلتا القاعدتین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بیان هذه المقدمة نبدأ بدراسة الآراء والنظریات الواردة فی وحدة قاعدة الفراغ والتجاوز أو تعددهما ونعقد البحث فی مقامی الثبوت والإثبات</w:t>
      </w:r>
      <w:r>
        <w:rPr>
          <w:rFonts w:eastAsia="IRNazanin" w:cs="IRNazanin"/>
          <w:color w:val="111111"/>
          <w:sz w:val="28"/>
          <w:szCs w:val="28"/>
          <w:rtl w:val="true"/>
          <w:lang w:bidi="fa-IR"/>
        </w:rPr>
        <w:t>.</w:t>
      </w:r>
    </w:p>
    <w:p>
      <w:pPr>
        <w:pStyle w:val="Heading2"/>
        <w:numPr>
          <w:ilvl w:val="1"/>
          <w:numId w:val="1"/>
        </w:numPr>
        <w:rPr/>
      </w:pPr>
      <w:bookmarkStart w:id="104" w:name="__RefHeading___Toc2082326_581953129"/>
      <w:bookmarkStart w:id="105" w:name="_Toc41"/>
      <w:bookmarkEnd w:id="104"/>
      <w:r>
        <w:rPr>
          <w:rtl w:val="true"/>
        </w:rPr>
        <w:t>مقام الثبوت</w:t>
      </w:r>
      <w:r>
        <w:rPr>
          <w:rtl w:val="true"/>
        </w:rPr>
        <w:t>:</w:t>
      </w:r>
      <w:bookmarkEnd w:id="105"/>
    </w:p>
    <w:p>
      <w:pPr>
        <w:pStyle w:val="Heading3"/>
        <w:numPr>
          <w:ilvl w:val="2"/>
          <w:numId w:val="1"/>
        </w:numPr>
        <w:rPr/>
      </w:pPr>
      <w:bookmarkStart w:id="106" w:name="__RefHeading___Toc2082328_581953129"/>
      <w:bookmarkStart w:id="107" w:name="_Toc42"/>
      <w:bookmarkEnd w:id="106"/>
      <w:r>
        <w:rPr>
          <w:rtl w:val="true"/>
        </w:rPr>
        <w:t>أدلّة القائلین بتغایر القاعدتین</w:t>
      </w:r>
      <w:r>
        <w:rPr>
          <w:rtl w:val="true"/>
        </w:rPr>
        <w:t>:</w:t>
      </w:r>
      <w:bookmarkEnd w:id="107"/>
    </w:p>
    <w:p>
      <w:pPr>
        <w:pStyle w:val="Heading4"/>
        <w:numPr>
          <w:ilvl w:val="3"/>
          <w:numId w:val="1"/>
        </w:numPr>
        <w:rPr/>
      </w:pPr>
      <w:bookmarkStart w:id="108" w:name="__RefHeading___Toc2082330_581953129"/>
      <w:bookmarkStart w:id="109" w:name="_Toc43"/>
      <w:bookmarkEnd w:id="108"/>
      <w:r>
        <w:rPr>
          <w:rtl w:val="true"/>
        </w:rPr>
        <w:t>اشارة</w:t>
      </w:r>
      <w:bookmarkEnd w:id="10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 القائلون بتعدّد قاعدتی الفراغ والتجاوز علی مدّعاهم بأربعة أدلّة، ذکر المیرزا النائینی الأدلّة القائمة علی التعدد فی مقام الثبوت وهی الأمور التالیة</w:t>
      </w:r>
      <w:r>
        <w:rPr>
          <w:rFonts w:eastAsia="IRNazanin" w:cs="IRNazanin"/>
          <w:color w:val="111111"/>
          <w:sz w:val="28"/>
          <w:szCs w:val="28"/>
          <w:rtl w:val="true"/>
          <w:lang w:bidi="fa-IR"/>
        </w:rPr>
        <w:t>:</w:t>
      </w:r>
      <w:bookmarkStart w:id="110" w:name="pg5466_52797"/>
    </w:p>
    <w:p>
      <w:pPr>
        <w:pStyle w:val="Heading4"/>
        <w:numPr>
          <w:ilvl w:val="3"/>
          <w:numId w:val="1"/>
        </w:numPr>
        <w:rPr/>
      </w:pPr>
      <w:bookmarkStart w:id="111" w:name="__RefHeading___Toc2082332_581953129"/>
      <w:bookmarkStart w:id="112" w:name="_Toc44"/>
      <w:bookmarkEnd w:id="110"/>
      <w:bookmarkEnd w:id="111"/>
      <w:r>
        <w:rPr>
          <w:rtl w:val="true"/>
        </w:rPr>
        <w:t>الدلیل الأوّل</w:t>
      </w:r>
      <w:r>
        <w:rPr>
          <w:rtl w:val="true"/>
        </w:rPr>
        <w:t xml:space="preserve">: </w:t>
      </w:r>
      <w:r>
        <w:rPr>
          <w:rtl w:val="true"/>
        </w:rPr>
        <w:t>عدم وجود القدر الجامع بین القاعدتین</w:t>
      </w:r>
      <w:r>
        <w:rPr>
          <w:rtl w:val="true"/>
        </w:rPr>
        <w:t>:</w:t>
      </w:r>
      <w:bookmarkEnd w:id="112"/>
    </w:p>
    <w:p>
      <w:pPr>
        <w:pStyle w:val="Heading5"/>
        <w:numPr>
          <w:ilvl w:val="4"/>
          <w:numId w:val="1"/>
        </w:numPr>
        <w:rPr/>
      </w:pPr>
      <w:bookmarkStart w:id="113" w:name="__RefHeading___Toc2082334_581953129"/>
      <w:bookmarkStart w:id="114" w:name="_Toc45"/>
      <w:bookmarkEnd w:id="113"/>
      <w:r>
        <w:rPr>
          <w:rtl w:val="true"/>
        </w:rPr>
        <w:t>اشارة</w:t>
      </w:r>
      <w:bookmarkEnd w:id="114"/>
    </w:p>
    <w:p>
      <w:pPr>
        <w:pStyle w:val="BookText"/>
        <w:rPr/>
      </w:pPr>
      <w:r>
        <w:rPr>
          <w:rFonts w:ascii="IRNazanin" w:hAnsi="IRNazanin" w:eastAsia="IRNazanin"/>
          <w:color w:val="111111"/>
          <w:sz w:val="28"/>
          <w:sz w:val="28"/>
          <w:szCs w:val="28"/>
          <w:rtl w:val="true"/>
          <w:lang w:bidi="fa-IR"/>
        </w:rPr>
        <w:t>الدلیل الأوّل الذی أقیم علی تعدد القاعدتین هو أن الموضوع فی قاعدة الفراغ هو الشکّ فی الصحة وفی قاعدة التجاوز هو الشکّ فی الوجود ولا جامع بین الموضوعین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ذکروا هذا الدلیل بثلاثة وجوه وبیانات مختلفة</w:t>
      </w:r>
      <w:r>
        <w:rPr>
          <w:rFonts w:eastAsia="IRNazanin" w:cs="IRNazanin"/>
          <w:color w:val="111111"/>
          <w:sz w:val="28"/>
          <w:szCs w:val="28"/>
          <w:rtl w:val="true"/>
          <w:lang w:bidi="fa-IR"/>
        </w:rPr>
        <w:t>:</w:t>
      </w:r>
    </w:p>
    <w:p>
      <w:pPr>
        <w:pStyle w:val="Heading5"/>
        <w:numPr>
          <w:ilvl w:val="4"/>
          <w:numId w:val="1"/>
        </w:numPr>
        <w:rPr/>
      </w:pPr>
      <w:bookmarkStart w:id="115" w:name="__RefHeading___Toc2082336_581953129"/>
      <w:bookmarkStart w:id="116" w:name="_Toc46"/>
      <w:bookmarkEnd w:id="115"/>
      <w:r>
        <w:rPr>
          <w:rtl w:val="true"/>
        </w:rPr>
        <w:t>البیان الأوّل للمحقق النائینی</w:t>
      </w:r>
      <w:r>
        <w:rPr>
          <w:rtl w:val="true"/>
        </w:rPr>
        <w:t>:</w:t>
      </w:r>
      <w:bookmarkEnd w:id="116"/>
    </w:p>
    <w:p>
      <w:pPr>
        <w:pStyle w:val="Heading6"/>
        <w:numPr>
          <w:ilvl w:val="5"/>
          <w:numId w:val="1"/>
        </w:numPr>
        <w:rPr/>
      </w:pPr>
      <w:bookmarkStart w:id="117" w:name="__RefHeading___Toc2082338_581953129"/>
      <w:bookmarkStart w:id="118" w:name="_Toc47"/>
      <w:bookmarkEnd w:id="117"/>
      <w:r>
        <w:rPr>
          <w:rtl w:val="true"/>
        </w:rPr>
        <w:t>اشارة</w:t>
      </w:r>
      <w:bookmarkEnd w:id="118"/>
    </w:p>
    <w:p>
      <w:pPr>
        <w:pStyle w:val="BookText"/>
        <w:rPr/>
      </w:pPr>
      <w:r>
        <w:rPr>
          <w:rFonts w:ascii="IRNazanin" w:hAnsi="IRNazanin" w:eastAsia="IRNazanin"/>
          <w:color w:val="111111"/>
          <w:sz w:val="28"/>
          <w:sz w:val="28"/>
          <w:szCs w:val="28"/>
          <w:rtl w:val="true"/>
          <w:lang w:bidi="fa-IR"/>
        </w:rPr>
        <w:t>عرض المیرزا النائینی الدلیل الأوّل بهذا التقریر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موضوع الشکّ ومتعلقه فی قاعدة الفراغ هو صحة العمل لمفاد کان الناقصة أی أن المقصود إثبات وصف الصحة لعمل خارجی، أمّا موضوع الشکّ ومتعلقه فی قاعدة التجاوز هو وجود الجزء أو عدمه بمفاد کان التامة أی أنّ قاعدة التجاوز تُعبّدنا بالبناء علی وجود الجزء المشکوک فلا جامع بین الأمرین لتغایر متعلّق التعبد فی کلّ من القاعدتین ففی قاعدة الفراغ یُبحث عن أنّ هذا الموجود صحیح أو لا؟ بینما فی قاعدة التجاوز نتساءل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الجزء موجود أولا؟ وکلّ منهما یحتاج إلی جعل مستقل</w:t>
      </w:r>
      <w:r>
        <w:rPr>
          <w:rFonts w:eastAsia="IRNazanin" w:cs="IRNazanin"/>
          <w:color w:val="111111"/>
          <w:sz w:val="28"/>
          <w:szCs w:val="28"/>
          <w:rtl w:val="true"/>
          <w:lang w:bidi="fa-IR"/>
        </w:rPr>
        <w:t>.</w:t>
      </w:r>
    </w:p>
    <w:p>
      <w:pPr>
        <w:pStyle w:val="Heading6"/>
        <w:numPr>
          <w:ilvl w:val="5"/>
          <w:numId w:val="1"/>
        </w:numPr>
        <w:rPr/>
      </w:pPr>
      <w:bookmarkStart w:id="119" w:name="__RefHeading___Toc2082340_581953129"/>
      <w:bookmarkStart w:id="120" w:name="_Toc48"/>
      <w:bookmarkEnd w:id="119"/>
      <w:r>
        <w:rPr>
          <w:rtl w:val="true"/>
        </w:rPr>
        <w:t>کلام الشیخ الأنصاری</w:t>
      </w:r>
      <w:r>
        <w:rPr>
          <w:rtl w:val="true"/>
        </w:rPr>
        <w:t>:</w:t>
      </w:r>
      <w:bookmarkEnd w:id="120"/>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 المرحوم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اتّحاد القاعدتین ویشکلّ کلامه جواباً عن الدلیل الأوّل حیث فسّر قاعدة الفراغ بحیث یکون مآلها إلی قاعدة التجاوز کما أنّه جعل مفاد قاعدة الفراغ مفاد کان التامة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الشکّ فی صحة الشیء المأتی به حکمه حکم الشکّ فی الإتیان، بل هو هو، لأنّ مرجعه إلی الشکّ فی وجود الشیء الصحیح</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bookmarkStart w:id="121" w:name="pg5466_52798"/>
    </w:p>
    <w:p>
      <w:pPr>
        <w:pStyle w:val="BookText"/>
        <w:rPr/>
      </w:pPr>
      <w:bookmarkEnd w:id="121"/>
      <w:r>
        <w:rPr>
          <w:rFonts w:ascii="IRNazanin" w:hAnsi="IRNazanin" w:eastAsia="IRNazanin"/>
          <w:color w:val="111111"/>
          <w:sz w:val="28"/>
          <w:sz w:val="28"/>
          <w:szCs w:val="28"/>
          <w:rtl w:val="true"/>
          <w:lang w:bidi="fa-IR"/>
        </w:rPr>
        <w:t>وعلی هذا البیان فعندما نشک فی صحة الشیء الموجود نکون فی الواقع قد شککنا فی وجود الشیء الصحیح فلا مانع أبداً من تصویر الجامع بینهما لأنّ مفاد القاعدتین هو مفاد کان التامة</w:t>
      </w:r>
      <w:r>
        <w:rPr>
          <w:rFonts w:eastAsia="IRNazanin" w:cs="IRNazanin"/>
          <w:color w:val="111111"/>
          <w:sz w:val="28"/>
          <w:szCs w:val="28"/>
          <w:rtl w:val="true"/>
          <w:lang w:bidi="fa-IR"/>
        </w:rPr>
        <w:t>.</w:t>
      </w:r>
    </w:p>
    <w:p>
      <w:pPr>
        <w:pStyle w:val="Heading6"/>
        <w:numPr>
          <w:ilvl w:val="5"/>
          <w:numId w:val="1"/>
        </w:numPr>
        <w:rPr/>
      </w:pPr>
      <w:bookmarkStart w:id="122" w:name="__RefHeading___Toc2082342_581953129"/>
      <w:bookmarkStart w:id="123" w:name="_Toc49"/>
      <w:bookmarkEnd w:id="122"/>
      <w:r>
        <w:rPr>
          <w:rtl w:val="true"/>
        </w:rPr>
        <w:t xml:space="preserve">الإشکالات الواردة علی کلام الشیخ الأنصاری </w:t>
      </w:r>
      <w:r>
        <w:rPr>
          <w:rtl w:val="true"/>
        </w:rPr>
        <w:t>(</w:t>
      </w:r>
      <w:r>
        <w:rPr>
          <w:rtl w:val="true"/>
        </w:rPr>
        <w:t>رحمه الله</w:t>
      </w:r>
      <w:r>
        <w:rPr>
          <w:rtl w:val="true"/>
        </w:rPr>
        <w:t>):</w:t>
      </w:r>
      <w:bookmarkEnd w:id="123"/>
    </w:p>
    <w:p>
      <w:pPr>
        <w:pStyle w:val="Heading6"/>
        <w:numPr>
          <w:ilvl w:val="5"/>
          <w:numId w:val="1"/>
        </w:numPr>
        <w:rPr/>
      </w:pPr>
      <w:bookmarkStart w:id="124" w:name="__RefHeading___Toc2082344_581953129"/>
      <w:bookmarkStart w:id="125" w:name="_Toc50"/>
      <w:bookmarkEnd w:id="124"/>
      <w:r>
        <w:rPr>
          <w:rtl w:val="true"/>
        </w:rPr>
        <w:t>اشارة</w:t>
      </w:r>
      <w:bookmarkEnd w:id="125"/>
    </w:p>
    <w:p>
      <w:pPr>
        <w:pStyle w:val="BookText"/>
        <w:rPr/>
      </w:pPr>
      <w:r>
        <w:rPr>
          <w:rFonts w:ascii="IRNazanin" w:hAnsi="IRNazanin" w:eastAsia="IRNazanin"/>
          <w:color w:val="111111"/>
          <w:sz w:val="28"/>
          <w:sz w:val="28"/>
          <w:szCs w:val="28"/>
          <w:rtl w:val="true"/>
          <w:lang w:bidi="fa-IR"/>
        </w:rPr>
        <w:t>هناک ثلاثة إشکالات هامّة ترد علی کلام الشیخ الأنصاری</w:t>
      </w:r>
      <w:r>
        <w:rPr>
          <w:rFonts w:eastAsia="IRNazanin" w:cs="IRNazanin"/>
          <w:color w:val="111111"/>
          <w:sz w:val="28"/>
          <w:szCs w:val="28"/>
          <w:rtl w:val="true"/>
          <w:lang w:bidi="fa-IR"/>
        </w:rPr>
        <w:t>:</w:t>
      </w:r>
    </w:p>
    <w:p>
      <w:pPr>
        <w:pStyle w:val="Heading6"/>
        <w:numPr>
          <w:ilvl w:val="5"/>
          <w:numId w:val="1"/>
        </w:numPr>
        <w:rPr/>
      </w:pPr>
      <w:bookmarkStart w:id="126" w:name="__RefHeading___Toc2082346_581953129"/>
      <w:bookmarkStart w:id="127" w:name="_Toc51"/>
      <w:bookmarkEnd w:id="126"/>
      <w:r>
        <w:rPr/>
        <w:t>1</w:t>
      </w:r>
      <w:r>
        <w:rPr>
          <w:rtl w:val="true"/>
        </w:rPr>
        <w:t xml:space="preserve"> - </w:t>
      </w:r>
      <w:r>
        <w:rPr>
          <w:rtl w:val="true"/>
        </w:rPr>
        <w:t xml:space="preserve">إشکالات المیرزا النائینی </w:t>
      </w:r>
      <w:r>
        <w:rPr>
          <w:rtl w:val="true"/>
        </w:rPr>
        <w:t>(</w:t>
      </w:r>
      <w:r>
        <w:rPr>
          <w:rtl w:val="true"/>
        </w:rPr>
        <w:t>رحمه الله</w:t>
      </w:r>
      <w:r>
        <w:rPr>
          <w:rtl w:val="true"/>
        </w:rPr>
        <w:t>):</w:t>
      </w:r>
      <w:bookmarkEnd w:id="127"/>
    </w:p>
    <w:p>
      <w:pPr>
        <w:pStyle w:val="BookText"/>
        <w:rPr/>
      </w:pPr>
      <w:r>
        <w:rPr>
          <w:rFonts w:ascii="IRNazanin" w:hAnsi="IRNazanin" w:eastAsia="IRNazanin"/>
          <w:color w:val="111111"/>
          <w:sz w:val="28"/>
          <w:sz w:val="28"/>
          <w:szCs w:val="28"/>
          <w:rtl w:val="true"/>
          <w:lang w:bidi="fa-IR"/>
        </w:rPr>
        <w:t xml:space="preserve">أورد المرحوم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ذکره للدلیل الأوّل ونقله لکلام الشیخ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إشکالین علی هذا الکلام 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إرجاع مفاد قاعدة الفراغ إلی مفاد کان التامة إنّما یخالف مدلول روایات قاعدة الفراغ کروایة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مضی من صلاتک وطهورک فامضه کما هو</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لأنّ ظاهر هذه الروایات هو التعبّد بصحة العمل الموجود لا التعبّد بوجود العمل الصحیح</w:t>
      </w:r>
      <w:r>
        <w:rPr>
          <w:rStyle w:val="FootnoteAnchor"/>
          <w:rtl w:val="true"/>
        </w:rPr>
        <w:footnoteReference w:id="154"/>
      </w:r>
      <w:r>
        <w:rPr>
          <w:rFonts w:ascii="IRNazanin" w:hAnsi="IRNazanin" w:eastAsia="IRNazanin"/>
          <w:color w:val="111111"/>
          <w:sz w:val="28"/>
          <w:sz w:val="28"/>
          <w:szCs w:val="28"/>
          <w:rtl w:val="true"/>
          <w:lang w:bidi="fa-IR"/>
        </w:rPr>
        <w:t>وإن أمکن القول بوجود الملازمة بین هذین الأمرین إلاّ أنّ إثبات وجود العمل الصحیح بقاعدة الفراغ یؤدّی إلی کونها أصلاً مثبتاً ولا حجیة للأصل المثبت، ومن هنا یقول المیرزا النائینی فی خاتمة مقاله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فإرجاع التعبّد فیها إلی التعبّد بوجود العمل الصحیح ربما یُشبه الأکل من القفا</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رجوع قاعدة الفراغ إلی قاعدة التجاوز وإلی مفاد کان التامة</w:t>
      </w:r>
      <w:bookmarkStart w:id="128" w:name="pg5466_52799"/>
    </w:p>
    <w:p>
      <w:pPr>
        <w:pStyle w:val="BookText"/>
        <w:rPr/>
      </w:pPr>
      <w:bookmarkEnd w:id="128"/>
      <w:r>
        <w:rPr>
          <w:rFonts w:ascii="IRNazanin" w:hAnsi="IRNazanin" w:eastAsia="IRNazanin"/>
          <w:color w:val="111111"/>
          <w:sz w:val="28"/>
          <w:sz w:val="28"/>
          <w:szCs w:val="28"/>
          <w:rtl w:val="true"/>
          <w:lang w:bidi="fa-IR"/>
        </w:rPr>
        <w:t xml:space="preserve">فإنّ القاعدة تفقد کلّیتها وشمولیتها وتختص بباب أحکام العبادات فلا تجری فی موارد الأحکام الوضعیة وباب المعاملات لأنّ العقل فی باب الأحکام التکلیفیة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یأمر المکلّف بوجوب إبراء ذمته وتحصیل الفراغ للذمة وهو یتحقّق بإحراز وجود الصحیح فی الخارج من غیر حاجة إلی أن یشتمل العمل العبادی علی جمیع شرائط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باب المعاملات فلا یجب تفریغ الذمة بل اللازم فی هذا الباب ترتّب أثر المعاملة وهو یترتب علی صحة الموجود أیضاً فعلی سبیل المثال أنّ الملکیة تترتّب علی صحة البیع الموجود ولا یترتب أثر الملکیة إلاّ مع إحراز صحة البیع الخارجی المعیّن، ومن هنا یقول المرحوم النائینی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مجرد التعبّد بوجود عقد صحیح من دون العقد الموجود لا یترتب علیه أثرٌ خارجاً</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9" w:name="__RefHeading___Toc2082348_581953129"/>
      <w:bookmarkStart w:id="130" w:name="_Toc52"/>
      <w:bookmarkEnd w:id="129"/>
      <w:r>
        <w:rPr>
          <w:rtl w:val="true"/>
        </w:rPr>
        <w:t xml:space="preserve">إشکال المحقق الخوئی </w:t>
      </w:r>
      <w:r>
        <w:rPr>
          <w:rtl w:val="true"/>
        </w:rPr>
        <w:t>(</w:t>
      </w:r>
      <w:r>
        <w:rPr>
          <w:rtl w:val="true"/>
        </w:rPr>
        <w:t>رحمه الله</w:t>
      </w:r>
      <w:r>
        <w:rPr>
          <w:rtl w:val="true"/>
        </w:rPr>
        <w:t xml:space="preserve">) </w:t>
      </w:r>
      <w:r>
        <w:rPr>
          <w:rtl w:val="true"/>
        </w:rPr>
        <w:t xml:space="preserve">علی رأی المحقق النائینی </w:t>
      </w:r>
      <w:r>
        <w:rPr>
          <w:rtl w:val="true"/>
        </w:rPr>
        <w:t>(</w:t>
      </w:r>
      <w:r>
        <w:rPr>
          <w:rtl w:val="true"/>
        </w:rPr>
        <w:t>رحمه الله</w:t>
      </w:r>
      <w:r>
        <w:rPr>
          <w:rtl w:val="true"/>
        </w:rPr>
        <w:t>):</w:t>
      </w:r>
      <w:bookmarkEnd w:id="130"/>
    </w:p>
    <w:p>
      <w:pPr>
        <w:pStyle w:val="BookText"/>
        <w:rPr/>
      </w:pPr>
      <w:r>
        <w:rPr>
          <w:rFonts w:ascii="IRNazanin" w:hAnsi="IRNazanin" w:eastAsia="IRNazanin"/>
          <w:color w:val="111111"/>
          <w:sz w:val="28"/>
          <w:sz w:val="28"/>
          <w:szCs w:val="28"/>
          <w:rtl w:val="true"/>
          <w:lang w:bidi="fa-IR"/>
        </w:rPr>
        <w:t xml:space="preserve">یقول المرحوم آیة الله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 علی الإشکال الثانی للمحقق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العبادات والمعاملات حیث یترتب الأثر فی کلا البابین علی وجود العمل الصحیح وعلیه فلا یجب فی المعاملات إحراز صحة المعاملة الخارجیة المعیّنة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ولتوضیح مدعاه یقول بأنّ هنا ثلاثة عناوین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صحة المعاملة الخارجیة المعیّنة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المعاملة الخارجیة الصحیح</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العنوان الکلّی للوجود الصحیح</w:t>
      </w:r>
      <w:r>
        <w:rPr>
          <w:rFonts w:eastAsia="IRNazanin" w:cs="IRNazanin"/>
          <w:color w:val="111111"/>
          <w:sz w:val="28"/>
          <w:szCs w:val="28"/>
          <w:rtl w:val="true"/>
          <w:lang w:bidi="fa-IR"/>
        </w:rPr>
        <w:t>.</w:t>
      </w:r>
      <w:bookmarkStart w:id="131" w:name="pg5466_52800"/>
    </w:p>
    <w:p>
      <w:pPr>
        <w:pStyle w:val="BookText"/>
        <w:rPr/>
      </w:pPr>
      <w:bookmarkEnd w:id="131"/>
      <w:r>
        <w:rPr>
          <w:rFonts w:ascii="IRNazanin" w:hAnsi="IRNazanin" w:eastAsia="IRNazanin"/>
          <w:color w:val="111111"/>
          <w:sz w:val="28"/>
          <w:sz w:val="28"/>
          <w:szCs w:val="28"/>
          <w:rtl w:val="true"/>
          <w:lang w:bidi="fa-IR"/>
        </w:rPr>
        <w:t xml:space="preserve">یری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الأثر فی باب المعاملات إنّما یترتّب فیما لو أحرزنا بأنّ المعاملة الخارجیة مشتملة علی جمیع شروط الصحة أی أنّه بالعنوان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المعاملة الخارجیة المعیّنة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علی رأی المحقق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القول بأنّ الأثر إنّما یترتب علی وجود البیع الکلّی الذی تکون هذه المعاملة الخارجیة مصداقاً له، وذلک أنّ قاعدة الفراغ لا تجری فی البیع الکلّی بما هو کلّی بل تجری فی ذلک البیع الکلّی المتحقّق فی الخارج بهذه المشخصات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فإنّ قاعدة الفراغ تضمّن لنا بوجود الصحیح وإن لم یُحرَز فیه جمیع شروط الصحة، فلا فرق من هذه الجهة بین العبادات والمعاملات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نص کلام المرحوم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اعتراضه الثانی فلا یرجع إلی محصل لأنّ مفاد قاعدة الفراغ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الإرجاع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الحکم بوجود الصحیح ممّا تعلّق به الشکّ وهو کاف فی ترتّب الأثر، فإذا باع زید داره من عمرو بثمن معیّن وشک فی صحة هذه المعاملة وفسادها، کان مقتضی قاعدة الفراغ بعد الإرجاع المذکور هو الحکم بوجود بیع صحیح یکون المبیع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بالثمن المعیّن والتعبّد بوجود هذا البیع کافٍ فی ترتب الأثر وإن لم تثبت صحة هذه المعاملة الشخصیة الخارجیة کما هو الحال فی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فرق بین العبادات والمعاملات من هذه الجهة</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2" w:name="__RefHeading___Toc2082350_581953129"/>
      <w:bookmarkStart w:id="133" w:name="_Toc53"/>
      <w:bookmarkEnd w:id="132"/>
      <w:r>
        <w:rPr>
          <w:rtl w:val="true"/>
        </w:rPr>
        <w:t xml:space="preserve">إشکال المحقق العراقی </w:t>
      </w:r>
      <w:r>
        <w:rPr>
          <w:rtl w:val="true"/>
        </w:rPr>
        <w:t>(</w:t>
      </w:r>
      <w:r>
        <w:rPr>
          <w:rtl w:val="true"/>
        </w:rPr>
        <w:t>رحمه الله</w:t>
      </w:r>
      <w:r>
        <w:rPr>
          <w:rtl w:val="true"/>
        </w:rPr>
        <w:t xml:space="preserve">) </w:t>
      </w:r>
      <w:r>
        <w:rPr>
          <w:rtl w:val="true"/>
        </w:rPr>
        <w:t xml:space="preserve">علی رأی المحقق النائینی </w:t>
      </w:r>
      <w:r>
        <w:rPr>
          <w:rtl w:val="true"/>
        </w:rPr>
        <w:t>(</w:t>
      </w:r>
      <w:r>
        <w:rPr>
          <w:rtl w:val="true"/>
        </w:rPr>
        <w:t>رحمه الله</w:t>
      </w:r>
      <w:r>
        <w:rPr>
          <w:rtl w:val="true"/>
        </w:rPr>
        <w:t>):</w:t>
      </w:r>
      <w:bookmarkEnd w:id="13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یذکر المرحوم المحقق العراقی فی إشکاله علی المیرزا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الأثر لا یترتب فی العبادات علی وجود الصحیح بل یترتّب علی صحة الموجود المعلوم</w:t>
      </w:r>
    </w:p>
    <w:p>
      <w:pPr>
        <w:pStyle w:val="BookText"/>
        <w:rPr/>
      </w:pPr>
      <w:r>
        <w:rPr>
          <w:rFonts w:ascii="IRNazanin" w:hAnsi="IRNazanin" w:eastAsia="IRNazanin"/>
          <w:color w:val="111111"/>
          <w:sz w:val="28"/>
          <w:sz w:val="28"/>
          <w:szCs w:val="28"/>
          <w:rtl w:val="true"/>
          <w:lang w:bidi="fa-IR"/>
        </w:rPr>
        <w:t xml:space="preserve">فی الخارج، فعلی سبیل المثال لو التفت المصلّی بعد الفراغ من صلاته أنّه ترک سجدة واحدة وجب علیه قضاؤها والإتیان بسجدتی السهو، ویری المحقق العراقی أنّ هذا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قضاء السجدة والإتیان بسجدتی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یترتّب علی صحة الموجود بمعنی أنّ هذه الصلاة الخارجیة تامّة صحیحة من جمیع الجهات عدا هذه السجدة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والمورد الآخر الذی لا یترتّب فیه الأثر علی وجود الصحیح إنّما هو فی الأمور التی لیس لها ما بإزاء مستقلاً کالترتیب والموالاة وکذا فی الأحکام الوضعیة کالعقود والإیقاعات حیث یترتب الأثر علی صحّة الموجود لا علی وجود الصحیح</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نصّ عبارة المحقق العراقی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توهّم کفایة مجرّد إثبات وجود الصلاة الصحیح فی فراغ الذمّة وخروج المکلّف عن العهدة بلا احتیاج إلی إثبات صحّة المأتی به فمدفوع، بأنّ کثیراً ما تمسّ الحاجة إلی إثبات صحة الموجود بمفاد کان الناقصة، کما فی قضاء السجدة وسجدتی السهو ونحوهما ممّا أخذ فی موضوعها صحّة الموجود لا مجرّد وجود الصحیح إذ فی نحو هذه الآثار لا یکفی مجرّد إثبات وجود الصحیح فی ترتّبها، مع أنّ قاعدة الصحّة تعمّ الوضعیات أیضاً من العقود والإیقاعات التی لا بد فیها من إثبات صحّة العقد أو الإیقاع فی ترتیب آثارهما ولا یکفی فی ترتبها مجرد إثبات وجود الصحیح بمفاد کان التامة مع أنّه لا یتمّ فیما لو کان الشک فی الصحة من جهة الشک فی فقد الترتیب أو الموالاة مثلاً لا من جهة الشک فی فقد الجزء، فإنّه من جهة انصراف الشیء عرفاً عن مثل هذه الإضافات إلی ما کان له وجود مستقلّ، لا یصدق علی الکلّ أنّه شیء مشکوک</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bookmarkStart w:id="134" w:name="pg5466_52802"/>
    </w:p>
    <w:p>
      <w:pPr>
        <w:pStyle w:val="BookText"/>
        <w:rPr/>
      </w:pPr>
      <w:bookmarkEnd w:id="134"/>
      <w:r>
        <w:rPr>
          <w:rFonts w:ascii="IRNazanin" w:hAnsi="IRNazanin" w:eastAsia="IRNazanin"/>
          <w:color w:val="111111"/>
          <w:sz w:val="28"/>
          <w:sz w:val="28"/>
          <w:szCs w:val="28"/>
          <w:rtl w:val="true"/>
          <w:lang w:bidi="fa-IR"/>
        </w:rPr>
        <w:t>وعلی هذا فإنّ المحقق العراقی یری أنّ الأثر کما یترتّب فی المعاملات علی صحّة الموجود لا علی الوجود الصحیح فکذلک من العبادات ما یترتب فیه الأثر علی صحة الموجود إلاّ أنّه من الواضح أنّ المورد الثانی الذی ذکره العراقی من باب النقض إنّما یرتبط بمقام الإثبات دون مقام الثبوت</w:t>
      </w:r>
      <w:r>
        <w:rPr>
          <w:rFonts w:eastAsia="IRNazanin" w:cs="IRNazanin"/>
          <w:color w:val="111111"/>
          <w:sz w:val="28"/>
          <w:szCs w:val="28"/>
          <w:rtl w:val="true"/>
          <w:lang w:bidi="fa-IR"/>
        </w:rPr>
        <w:t>.</w:t>
      </w:r>
    </w:p>
    <w:p>
      <w:pPr>
        <w:pStyle w:val="Heading6"/>
        <w:numPr>
          <w:ilvl w:val="5"/>
          <w:numId w:val="1"/>
        </w:numPr>
        <w:rPr/>
      </w:pPr>
      <w:bookmarkStart w:id="135" w:name="__RefHeading___Toc2082352_581953129"/>
      <w:bookmarkStart w:id="136" w:name="_Toc54"/>
      <w:bookmarkEnd w:id="135"/>
      <w:r>
        <w:rPr>
          <w:rtl w:val="true"/>
        </w:rPr>
        <w:t>نتیجة البحث والاحتمالات الموجودة</w:t>
      </w:r>
      <w:r>
        <w:rPr>
          <w:rtl w:val="true"/>
        </w:rPr>
        <w:t>:</w:t>
      </w:r>
      <w:bookmarkEnd w:id="136"/>
    </w:p>
    <w:p>
      <w:pPr>
        <w:pStyle w:val="BookText"/>
        <w:rPr/>
      </w:pPr>
      <w:r>
        <w:rPr>
          <w:rFonts w:ascii="IRNazanin" w:hAnsi="IRNazanin" w:eastAsia="IRNazanin"/>
          <w:color w:val="111111"/>
          <w:sz w:val="28"/>
          <w:sz w:val="28"/>
          <w:szCs w:val="28"/>
          <w:rtl w:val="true"/>
          <w:lang w:bidi="fa-IR"/>
        </w:rPr>
        <w:t>ممّا ذکرنا یمکن الاستنتاج بأنّ فی بحث العبادات والمعاملات أربعة احتمالات هی کالتالی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یترتب الأثر فی البابین علی الوجود 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یترتب الأثر فی البابین علی صحة الموجود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یترتب الأثر فی العبادات علی الوجود الصحیح وفی المعاملات علی صحّة الموجود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إمکان الوصول إلی قاعدة کلّیّة فی البابین ولابدّ من البحث فی کلّ مورد عن أثره الخاص فقد یترتب الأثر علی الوجود الصحیح فی بعض الموارد کما قد یتعلّق الأثر بصحة الموجود فی موارد أخری</w:t>
      </w:r>
      <w:r>
        <w:rPr>
          <w:rFonts w:eastAsia="IRNazanin" w:cs="IRNazanin"/>
          <w:color w:val="111111"/>
          <w:sz w:val="28"/>
          <w:szCs w:val="28"/>
          <w:rtl w:val="true"/>
          <w:lang w:bidi="fa-IR"/>
        </w:rPr>
        <w:t>.</w:t>
      </w:r>
    </w:p>
    <w:p>
      <w:pPr>
        <w:pStyle w:val="Heading6"/>
        <w:numPr>
          <w:ilvl w:val="5"/>
          <w:numId w:val="1"/>
        </w:numPr>
        <w:rPr/>
      </w:pPr>
      <w:bookmarkStart w:id="137" w:name="__RefHeading___Toc2082354_581953129"/>
      <w:bookmarkStart w:id="138" w:name="_Toc55"/>
      <w:bookmarkEnd w:id="137"/>
      <w:r>
        <w:rPr>
          <w:rtl w:val="true"/>
        </w:rPr>
        <w:t>تحقیق المسألة</w:t>
      </w:r>
      <w:r>
        <w:rPr>
          <w:rtl w:val="true"/>
        </w:rPr>
        <w:t>:</w:t>
      </w:r>
      <w:bookmarkEnd w:id="138"/>
    </w:p>
    <w:p>
      <w:pPr>
        <w:pStyle w:val="BookText"/>
        <w:rPr/>
      </w:pPr>
      <w:r>
        <w:rPr>
          <w:rFonts w:ascii="IRNazanin" w:hAnsi="IRNazanin" w:eastAsia="IRNazanin"/>
          <w:color w:val="111111"/>
          <w:sz w:val="28"/>
          <w:sz w:val="28"/>
          <w:szCs w:val="28"/>
          <w:rtl w:val="true"/>
          <w:lang w:bidi="fa-IR"/>
        </w:rPr>
        <w:t>یبدو أنّ الاحتمال الرابع من بین الاحتمالات الأربعة السابقة هو الصحیح فلا یمکن استنتاج حکم کلّی فی کلا بابی العبادات والمعاملات بل لابدّ من إتّباع الدلیل والبحث فی کلّ مورد عن الأثر الخاص المتعلق به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کان الأثر الخاص فی باب العبادات عدم الإعادة أو عدم القضاء فإنّه یترتب علی الوجود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ذکره المحقق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وجود العبادة</w:t>
      </w:r>
    </w:p>
    <w:p>
      <w:pPr>
        <w:pStyle w:val="BookText"/>
        <w:rPr/>
      </w:pPr>
      <w:r>
        <w:rPr>
          <w:rFonts w:ascii="IRNazanin" w:hAnsi="IRNazanin" w:eastAsia="IRNazanin"/>
          <w:color w:val="111111"/>
          <w:sz w:val="28"/>
          <w:sz w:val="28"/>
          <w:szCs w:val="28"/>
          <w:rtl w:val="true"/>
          <w:lang w:bidi="fa-IR"/>
        </w:rPr>
        <w:t>الصحیحة یعتبر مصداقاً یُمتثل به أمر المولی ویحصل فراغ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یکفی فی ترتب عدم الإعادة وعدم القضاء مجرّد أن صار العمل الخارجی مصداقاً للوجود الصحیح ولا داعی إلی صحة الموجود الخارجی بمعنی لابدّیة الإتیان بالعبادة فی الخارج مع إحراز جمیع شرائطها وخصوصیاتها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ولکن بعض الآثار الأخری کالنهی عن الفحشاء والمنکر وکالمعراجیة للصلاة فلا یکفی فی ترتّبها الوجود الصحیح بل تترتّب هذه الآثار علی الصحّة التامة للعمل الخارجی، وعلیه لابد من احراز صحة الصلاة التی جاء بها المکلّف حتی ترتب علیها 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 عن الفحشاء والمنکر أو المعراجیة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فقد شاع بین الفقهاء أنّه ربّما یکون العمل مسقطاً للتکلیف ومصداقاً للامتثال ومع ذلک لا یحمل علیه بعض الآثار الأخری کالنهی عن الفحشاء أو المعراجیة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لی أنّ ذلک جار فی باب المعاملات أیضاً إلاّ أنّ الآثار فی باب المعاملات غالباً ما تترتب علی صحة العقد الموجود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سبیل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أردنا للبیع الواقع بین شخصین أن یکون مؤثراً فی النقل والانتقال للملکیة کان لابدّ لنا من إحراز صحّة ذلک البیع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فی البیع الفضولی حیث تکون إجازة المالک شرطاً لصحته فإنّ هذه الإجازة إنّما تکون مکمّلة للبیع فیما لو أحرزنا صحّة البیع الفضولی الواقع فی الخارج من جمیع الجهات عدا إجازة المالک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ذلک فإنّنا نجد موارد أخری فی باب المعاملات حیث یتعلّق الأثر علی الوجود الصحیح لا علی صحة الموجود مثلاً فی مورد بیع المعاطاة یترتّب أثر الملکیة علی المعاطاة التی هی مصداق للوجود الصحیح للبیع</w:t>
      </w:r>
      <w:r>
        <w:rPr>
          <w:rFonts w:eastAsia="IRNazanin" w:cs="IRNazanin"/>
          <w:color w:val="111111"/>
          <w:sz w:val="28"/>
          <w:szCs w:val="28"/>
          <w:rtl w:val="true"/>
          <w:lang w:bidi="fa-IR"/>
        </w:rPr>
        <w:t>.</w:t>
      </w:r>
      <w:bookmarkStart w:id="139" w:name="pg5466_52804"/>
    </w:p>
    <w:p>
      <w:pPr>
        <w:pStyle w:val="BookText"/>
        <w:rPr/>
      </w:pPr>
      <w:bookmarkEnd w:id="139"/>
      <w:r>
        <w:rPr>
          <w:rFonts w:ascii="IRNazanin" w:hAnsi="IRNazanin" w:eastAsia="IRNazanin"/>
          <w:color w:val="111111"/>
          <w:sz w:val="28"/>
          <w:sz w:val="28"/>
          <w:szCs w:val="28"/>
          <w:rtl w:val="true"/>
          <w:lang w:bidi="fa-IR"/>
        </w:rPr>
        <w:t>وعلی هذا فإنّ المسألة تختلف باختلاف الآثار فی باب العبادات والمعاملات ولا یمکن القول بأنّ الأثر دائماً للوجود الصحیح أو أنّ الأثر مطلقاً لصحّة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لا یکون الإشکال الثانی للمحقق النائینی علی کلام الشیخ الأنصاری فی إرجاع قاعدة الفراغ إلی مفاد کان التامة لیس وارداً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بین العبادات والمعاملات من جهة ترتّب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الإشکال الأوّل للمحقق النائینی علی رأی الشیخ الأعظم وقد ناقشناه مفصلاً</w:t>
      </w:r>
      <w:r>
        <w:rPr>
          <w:rFonts w:eastAsia="IRNazanin" w:cs="IRNazanin"/>
          <w:color w:val="111111"/>
          <w:sz w:val="28"/>
          <w:szCs w:val="28"/>
          <w:rtl w:val="true"/>
          <w:lang w:bidi="fa-IR"/>
        </w:rPr>
        <w:t>.</w:t>
      </w:r>
    </w:p>
    <w:p>
      <w:pPr>
        <w:pStyle w:val="Heading6"/>
        <w:numPr>
          <w:ilvl w:val="5"/>
          <w:numId w:val="1"/>
        </w:numPr>
        <w:rPr/>
      </w:pPr>
      <w:bookmarkStart w:id="140" w:name="__RefHeading___Toc2082356_581953129"/>
      <w:bookmarkStart w:id="141" w:name="_Toc56"/>
      <w:bookmarkEnd w:id="140"/>
      <w:r>
        <w:rPr/>
        <w:t>2</w:t>
      </w:r>
      <w:r>
        <w:rPr>
          <w:rtl w:val="true"/>
        </w:rPr>
        <w:t xml:space="preserve"> - </w:t>
      </w:r>
      <w:r>
        <w:rPr>
          <w:rtl w:val="true"/>
        </w:rPr>
        <w:t>إشکال المحقق العراقی علی رأی الشیخ الأنصاری</w:t>
      </w:r>
      <w:r>
        <w:rPr>
          <w:rtl w:val="true"/>
        </w:rPr>
        <w:t>:</w:t>
      </w:r>
      <w:bookmarkEnd w:id="141"/>
    </w:p>
    <w:p>
      <w:pPr>
        <w:pStyle w:val="BookText"/>
        <w:rPr/>
      </w:pPr>
      <w:r>
        <w:rPr>
          <w:rFonts w:ascii="IRNazanin" w:hAnsi="IRNazanin" w:eastAsia="IRNazanin"/>
          <w:color w:val="111111"/>
          <w:sz w:val="28"/>
          <w:sz w:val="28"/>
          <w:szCs w:val="28"/>
          <w:rtl w:val="true"/>
          <w:lang w:bidi="fa-IR"/>
        </w:rPr>
        <w:t>یقول المحقق العراقی فی إشکاله علی کلام الشیخ الأنصاری بأنّ الأثر المترتب من قبل الشارع علی الشک فی الصحة یغایر الأثر الذی رتّبه علی الشک فی الوجود وأنّ ما نراه أحیاناً من الملازمة بینهما فی الخارج فی بعض الموارد لا یستلزم اتحادهما فلا یمکن إرجاع الشک فی أصل الوجود إلی الشک فی صحة الموجود الذی هو مفاد کان الناقصة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ناحیة أخری فإن الالتزام برأی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القائل بحصول التعبّد بالوجود مضافاً إلی التعبّد بالصحة عند الشک فی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للأصل المثبت الذی لا اعتبار له ولیس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نراه هو صحّة هذا الإشکال علی الشیخ الأنصاری، وقد ذکرنا الفرق بین هذین العنوانین فی الأبحاث السابقة عند التحقیق فی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نصّ کلام المحقق العراقی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الشک فی قاعدة التجاوز بعدما کان متعلّقاً بأصل وجود الشیء، وفی قاعدة الفراغ بصحة الموجود، نظیر الشک فی وجود الکرّ والشک فی کریّة</w:t>
      </w:r>
      <w:bookmarkStart w:id="142" w:name="pg5466_52805"/>
    </w:p>
    <w:p>
      <w:pPr>
        <w:pStyle w:val="BookText"/>
        <w:rPr/>
      </w:pPr>
      <w:bookmarkEnd w:id="142"/>
      <w:r>
        <w:rPr>
          <w:rFonts w:ascii="IRNazanin" w:hAnsi="IRNazanin" w:eastAsia="IRNazanin"/>
          <w:color w:val="111111"/>
          <w:sz w:val="28"/>
          <w:sz w:val="28"/>
          <w:szCs w:val="28"/>
          <w:rtl w:val="true"/>
          <w:lang w:bidi="fa-IR"/>
        </w:rPr>
        <w:t>الموجود، فلا یتصوّر بینهما جامع قریب ثبوتاً حتی یمکن إرادتهما من لفظ واحد، ولا مجال لإرجاع الشکّ فی صحّة الموجود إلی الشک فی وجود الصحیح أو التام، إذ فرقٌ واضح بین الشک فی وجود الصحیح وبین الشک فی صحّة الموجود، ومجرد کون منشأ الشک فی وجود الصحیح هو الشک فی بعض ما اعتبر فیه لا یخرجه عن الشک فی الشیء بمفاد کان التامة إلی الشک فی صحّة الموجود الذی هو مفاد کان الناقصة وإن کان یلازمه خارجاً نظیر ملازمة الشک فی وجود الکرّ مع کرّیة الموجود وحینئذٍ فإذا کان المهمّ فی قاعدة التجاوز إثبات أصل وجود الشیء وفی قاعدة الفراغ إثبات صحة الموجود المفروغ الوجود بمفاد کان الناقصة لا إثبات وجود الصحیح بمفاد کان التامة فلا مجال لإرجاع أحد المفادین إلی الآخر ولا لترتیب الأثر المترتب علی صحة الموجود بإثبات الوجود الصحیح بمحض ملازمة أحد المفادین مع الآخر واتحادهما بحسب المنشأ لأنه من المثبت المفروض عندهم ولذا لا یحکمون بترتیب آثار کریّة الموجود باستصحاب وجود الکرّ وبالعکس</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3" w:name="__RefHeading___Toc2082358_581953129"/>
      <w:bookmarkStart w:id="144" w:name="_Toc57"/>
      <w:bookmarkEnd w:id="143"/>
      <w:r>
        <w:rPr/>
        <w:t>3</w:t>
      </w:r>
      <w:r>
        <w:rPr>
          <w:rtl w:val="true"/>
        </w:rPr>
        <w:t xml:space="preserve"> - </w:t>
      </w:r>
      <w:r>
        <w:rPr>
          <w:rtl w:val="true"/>
        </w:rPr>
        <w:t>إشکال المحقق الأصفهانی علی رأی الشیخ الأنصاری</w:t>
      </w:r>
      <w:r>
        <w:rPr>
          <w:rtl w:val="true"/>
        </w:rPr>
        <w:t>:</w:t>
      </w:r>
      <w:bookmarkEnd w:id="144"/>
    </w:p>
    <w:p>
      <w:pPr>
        <w:pStyle w:val="BookText"/>
        <w:rPr/>
      </w:pPr>
      <w:r>
        <w:rPr>
          <w:rFonts w:ascii="IRNazanin" w:hAnsi="IRNazanin" w:eastAsia="IRNazanin"/>
          <w:color w:val="111111"/>
          <w:sz w:val="28"/>
          <w:sz w:val="28"/>
          <w:szCs w:val="28"/>
          <w:rtl w:val="true"/>
          <w:lang w:bidi="fa-IR"/>
        </w:rPr>
        <w:t>دخل المحقق الأصفهانی فی مقام الإشکال علی الشیخ الأعظم الأنصاری عن طریق التغایر فی اعتبارات الماهیة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قید الصحة فی العمل یمکن أن یُفرض علی نحوین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یلاحظ قید الصحة علی نحو اللابشرط، وتارةً أخری علی نحو بشرط الشیء، ویعتبر العمل مقیّداً بالصحة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موارد الشک فی الصحة یلاحظ هذا القید بشرط الشیء، وفی موارد الشک</w:t>
      </w:r>
      <w:bookmarkStart w:id="145" w:name="pg5466_52806"/>
    </w:p>
    <w:p>
      <w:pPr>
        <w:pStyle w:val="BookText"/>
        <w:rPr/>
      </w:pPr>
      <w:bookmarkEnd w:id="145"/>
      <w:r>
        <w:rPr>
          <w:rFonts w:ascii="IRNazanin" w:hAnsi="IRNazanin" w:eastAsia="IRNazanin"/>
          <w:color w:val="111111"/>
          <w:sz w:val="28"/>
          <w:sz w:val="28"/>
          <w:szCs w:val="28"/>
          <w:rtl w:val="true"/>
          <w:lang w:bidi="fa-IR"/>
        </w:rPr>
        <w:t>فی الوجود یؤخذ قید الصحة علی نحو اللابشرط، وهذان الاعتباران لحاظان متغایران تماماً حیث لا یمکن إرجاع أحدهما إلی الآخر، فلا یمکن تصوّر جامع واحد بین قاعدتی الفراغ والتجاوز ولا إرجاع قاعدة الفراغ إلی قاعدة التجاوز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وإصلاح الجامع بإرجاع الشک فی الصحّة فی وجود العمل الصحیح کما عن الشیخ الأعظم فی بعض فروع المسألة غیر معقول، لأنّ ملاحظة العمل مهملاً واقعاً غیر معقول وملاحظته بنحو اللابشرط القسمی یوجب اختصاصه بقاعدة التجاوز وملاحظته بنحو الماهیة بشرط شیء أی العمل بوصف الصحة یوجب اختصاصه بقاعدة الفراغ والاعتبارات متقابلة فلا یعقل الجمع بینها</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وقد أجاب المحقق الأصفهانی نفسه بعد هذا الإشکال بأنّ المراد من الصحة لیس ترتیب الأثر لئلا یوجد جامع بین الوجود وترتب الأثر علی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مجرد الاختلاف بین قاعدتی الفراغ والتجاوز من جهة أنّ إحداهما بمفاد کان التامة والأخری بمفاد کان الناقصة، مجرّد هذا التفاوت غیر مانع من تصور القدر الجامع، والصحّة المشکوکة هی القدر الجامع وقد تکون بمفاد کان الناقصة تارة وبمفاد کان التامة تارة 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ویندفع أصل الإشکال بأنّ الصحة لا یراد منها ترتب الأثر حتی لا یکون جامعٌ للوجود ولترتب الأثر علی الموجود</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6" w:name="__RefHeading___Toc2082360_581953129"/>
      <w:bookmarkStart w:id="147" w:name="_Toc58"/>
      <w:bookmarkEnd w:id="146"/>
      <w:r>
        <w:rPr>
          <w:rtl w:val="true"/>
        </w:rPr>
        <w:t>تحقیق البحث فی الوجه الأوّل</w:t>
      </w:r>
      <w:r>
        <w:rPr>
          <w:rtl w:val="true"/>
        </w:rPr>
        <w:t>:</w:t>
      </w:r>
      <w:bookmarkEnd w:id="147"/>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 لعدم إمکان تصویر الجامع بین قاعدة الفراغ وقاعدة التجاوز</w:t>
      </w:r>
    </w:p>
    <w:p>
      <w:pPr>
        <w:pStyle w:val="BookText"/>
        <w:rPr/>
      </w:pPr>
      <w:r>
        <w:rPr>
          <w:rFonts w:ascii="IRNazanin" w:hAnsi="IRNazanin" w:eastAsia="IRNazanin"/>
          <w:color w:val="111111"/>
          <w:sz w:val="28"/>
          <w:sz w:val="28"/>
          <w:szCs w:val="28"/>
          <w:rtl w:val="true"/>
          <w:lang w:bidi="fa-IR"/>
        </w:rPr>
        <w:t>علی مبنی المیرزا النائینی هو أنّ مفاد قاعدة التجاوز هو مفاد کان التامة، أمّا مفاد قاعدة الفراغ فهو مفاد کان الناقصة ولا جامع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الشیخ الأنصاری فقد أرجع فی مقام الردّ قاعدة الفراغ إلی قاعدة التجاوز حیث أورد بعض الإعلام إشکالات عدیدة علی کلامه، منها إشکال المحقق العراقی الذی هو الأقوی من بینها حیث رأی أنّ الشک فی عالم الواقع نوعان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الوجود والآخر هو الشک فی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إرجاع الشک فی الصحة إلی الشک فی وجود الصحیح إنّما هو مجرد تأویل لفظی لا یغیّر من الواقع شیئاً، والشاهد علی تغایرهما هو أنّ لکلّ من هذین النوعین من الشک أثر خاص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إرجاع الشک فی الصحة إلی الشک فی وجود الصحیح کان أصلاً مثبتاً وهذا بحدّ ذاته أکثر من الدلیل علی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 هذا الإرجاع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رأی المیرزا النائینی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خلاف الأدلّة فی مقام الإثبات وسنبحث عن مقام الإثبات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أن علمنا عدم تمامیة ردّ الشیخ الأنصاری علی الوجه الأوّل وإرجاعه قاعدة الفراغ إلی قاعدة التجاوز لابدّ لنا من البحث فی إمکانیة تصوّر القدر الجامع بین مفادی کان التامة وکان الناقصة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المحقق الاصفهانی فی مقام بیان الجامع، بعد الإشکال علی کلام الشیخ الأنصاری</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الصحّة المشکوکة تارةً تلحظ بمفاد کان التامّة وأخری تلحظ بمفاد کان الناقصة، فإن لوحظ فی مورد الشک وجود الصحّة بلا لحاظ اتّصاف عمل خاص بها، کان ذلک، بمفاد کان التامة وإن لوحظ وجود اتّصاف عملٍ بها بأن لوحظت وصفاً لعمل خاصّ کانت بمفاد کان الناقصة، وعلیه فلا</w:t>
      </w:r>
    </w:p>
    <w:p>
      <w:pPr>
        <w:pStyle w:val="BookText"/>
        <w:rPr/>
      </w:pPr>
      <w:r>
        <w:rPr>
          <w:rFonts w:ascii="IRNazanin" w:hAnsi="IRNazanin" w:eastAsia="IRNazanin"/>
          <w:color w:val="111111"/>
          <w:sz w:val="28"/>
          <w:sz w:val="28"/>
          <w:szCs w:val="28"/>
          <w:rtl w:val="true"/>
          <w:lang w:bidi="fa-IR"/>
        </w:rPr>
        <w:t>ملزم للالتزام بأن الملحوظ فی هذا القسم هو اتّصاف العمل بالصحة بل لیس هو إلاّ صحة العمل فإنّه مورد الأثر فیمکن لحاظه بمفاد کان التامة، وعلیه فلا مانع للجمع بین القاعدتین من جهة تباین نسبتیهما لاتحادهما ذاتاً</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نلاحظ أنّ المحقق الاصفهانی قد غیّر صورة المسألة حیث جعلنا صورة المسألة أنّ الشک لو کان بلحاظ اتصاف العمل الموجود بالصحة کان بمفاد کان الناقصة وإن کان بلحاظ أصل وجود العمل کان بمفاد کان التامّة إلاّ أنّ الأصفهانی ذکر أنّ الصحة المشکوکة قدر جامع بین کان التامة وکان الناقصة حیث إن کان الشک فی مورد ما قد لوحظ فی وجود الصحة من غیر اتّصاف عملٍ خاص کان ذلک مفاد کان التامة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فرض اتّصاف عملٍ خاصّ بحیث کانت الصحة المشکوکة وصفاً لذلک العمل کان مفاد کان الناقصة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فإنّه لم یجعل الملحوظ اتّصاف العمل بالصحّة بل یجعل الملحوظ صحّة العمل وهی المورد لترتب الأثر، ویمکن لحاظها علی نحو مفاد کان التامة</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أعتقده هو أنّ کلام المحقق الأصفهانی کإرجاع الشیخ الأنصاری إنّما هو مجرد توجیه لفظی یخالف الواقع إذ من الواضح أنْ لیس البحث فی قاعدة التجاوز عن مسألة الصحّة بل الشک فی أصل وجود الجزء لا فی صحّته، وذلک کما لو شکّ المصلی فی هذه المسألة هل رکع فی صلاته أولا؟ وعلی هذا فإنّ الصحة المشکوکة لا یمکن لها أن تکون کقدر جامع بین مفاد کان التامة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ومفاد کان الناقصة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الفراغ</w:t>
      </w:r>
      <w:r>
        <w:rPr>
          <w:rFonts w:eastAsia="IRNazanin" w:cs="IRNazanin"/>
          <w:color w:val="111111"/>
          <w:sz w:val="28"/>
          <w:szCs w:val="28"/>
          <w:rtl w:val="true"/>
          <w:lang w:bidi="fa-IR"/>
        </w:rPr>
        <w:t>).</w:t>
      </w:r>
      <w:bookmarkStart w:id="148" w:name="pg5466_52809"/>
    </w:p>
    <w:p>
      <w:pPr>
        <w:pStyle w:val="BookText"/>
        <w:rPr/>
      </w:pPr>
      <w:bookmarkEnd w:id="148"/>
      <w:r>
        <w:rPr>
          <w:rFonts w:ascii="IRNazanin" w:hAnsi="IRNazanin" w:eastAsia="IRNazanin"/>
          <w:color w:val="111111"/>
          <w:sz w:val="28"/>
          <w:sz w:val="28"/>
          <w:szCs w:val="28"/>
          <w:rtl w:val="true"/>
          <w:lang w:bidi="fa-IR"/>
        </w:rPr>
        <w:t xml:space="preserve">ثمّ إنّه بعد رفضنا للجامع الذی ذکره المحقق الأصفهانی یمکن أن یدّعی متوهمّ بأنّ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قدر جامع بین الشک فی الصحة والشکّ فی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هذا التوهم فی غیر محلّه بدلیلین، ولا یمکن أن یقع عنوان الشک جامعاً بین قاعدة الفراغ وقاعدة التجاوز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فی صدد إیجاد قدر جامع قریب بحیث یکون مذکوراً فی روایة وتدّعی وجوده فی مقام الإثبات لتدلّ الروایة علی قاعدة الفراغ وقاعدة التجاوز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جامع بعید شأنه شأن القول بأن الجامع بین الصحة ووجود العمل هو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فی صدد القدر الجامع فی متعلق الشک مع قطع النظر عن الشک نفسه بمعنی أنّنا عندما نقول بأنّ مجری قاعدة التجاوز هو الشک فی الوجود ومجری قاعدة الفراغ هو الشک فی الصحة لابدّ لنا فی مقام بیان القدر الجامع من أن نلتمس القدر الجامع بین الصحة والوجود، کما لو التمسنا قدراً جامعاً بین الشک فی الصلاة والشک فی البیع فإنّه لابد لنا حینئذٍ من إیجاد عنوانٍ یستفاد من داخله عنوان الصلاة وعنوان البیع، وعنوان الشک لیس کذلک حیث لا یمکن انتزاع الصحة والوجود من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فالحاصل من مباحث الوجه الأوّل لتعدّد القاعدتین أن لا قدر جامع بین مفاد کان التامّة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ومفاد کان الناقصة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فالوجه الأوّل للدلیل الأوّل تام لا إشکال فیه</w:t>
      </w:r>
      <w:r>
        <w:rPr>
          <w:rFonts w:eastAsia="IRNazanin" w:cs="IRNazanin"/>
          <w:color w:val="111111"/>
          <w:sz w:val="28"/>
          <w:szCs w:val="28"/>
          <w:rtl w:val="true"/>
          <w:lang w:bidi="fa-IR"/>
        </w:rPr>
        <w:t>.</w:t>
      </w:r>
    </w:p>
    <w:p>
      <w:pPr>
        <w:pStyle w:val="Heading5"/>
        <w:numPr>
          <w:ilvl w:val="4"/>
          <w:numId w:val="1"/>
        </w:numPr>
        <w:rPr/>
      </w:pPr>
      <w:bookmarkStart w:id="149" w:name="__RefHeading___Toc2082362_581953129"/>
      <w:bookmarkStart w:id="150" w:name="_Toc59"/>
      <w:bookmarkEnd w:id="149"/>
      <w:r>
        <w:rPr>
          <w:rtl w:val="true"/>
        </w:rPr>
        <w:t>البیان الثانی فی الدلیل الأوّل</w:t>
      </w:r>
      <w:r>
        <w:rPr>
          <w:rtl w:val="true"/>
        </w:rPr>
        <w:t>:</w:t>
      </w:r>
      <w:bookmarkEnd w:id="150"/>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البیان الثانی فی عدم وجود القدر الجامع بین قاعدة الفراغ وقاعدة التجاوز هو أنّ الشیء فی قاعدة الفراغ متیقّن الوجود أی أنّ قاعدة الفراغ إنّما تعبدّنا بصحة ما هو</w:t>
      </w:r>
      <w:bookmarkStart w:id="151" w:name="pg5466_52810"/>
    </w:p>
    <w:p>
      <w:pPr>
        <w:pStyle w:val="BookText"/>
        <w:rPr/>
      </w:pPr>
      <w:bookmarkEnd w:id="151"/>
      <w:r>
        <w:rPr>
          <w:rFonts w:ascii="IRNazanin" w:hAnsi="IRNazanin" w:eastAsia="IRNazanin"/>
          <w:color w:val="111111"/>
          <w:sz w:val="28"/>
          <w:sz w:val="28"/>
          <w:szCs w:val="28"/>
          <w:rtl w:val="true"/>
          <w:lang w:bidi="fa-IR"/>
        </w:rPr>
        <w:t>مفروض الوجود بینما یکون الشیء فی قاعدة التجاوز مشکوک الوجود أی تعبّدنا بوجود المشکوک، ولا یمکن تصوّر القدر الجامع بین متیقّن الوجود ومشکوکه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المحقّق الأصفهانی فی هذا المجال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مرجع الشکّ فی الصحّة إلی فرض الوجود وهو لا یجامع الشک فی الوجود حیث لا جامع بین فرض الوجود وعدم فرض الوجود وهو من الجمع بین المتقابلین</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السید الخوئی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المجعول فی قاعدة الفراغ هو البناء علی الصحة والتعبّد بها بعد فرض الوجود والمجعول فی قاعدة التجاوز هو البناء علی الوجود والتعبّد به مع فرض الشک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الجمع بینهما فی دلیلٍ واحد إذ لا یمکن اجتماع فرض الوجود مع فرض الشک فی الوجود فی دلیل واحدٍ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وهذا الوجه کالوجه الأوّل تامٌ وصحیح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غبار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مبنی الشیخ الأنصاری الذی یرجع مفاد کان الناقصة إلی کان التامة، کذا وعلی مبنی المحقق الأصفهانی القائل بوجود القدر الجامع بین مفاد کان التامة وکان الناقصة فلا صحّة لهذا الوجه إذ لم یکن الشیء فی قاعدة الفراغ متیقّن الوجود بل کان مشکوک الوجود کما فی قاعدة التجاوز، هذا علی مبنی الشیخ الأنصاری، أمّا المحقق الأصفهانی فقد جعل الشکّ فی الصحة قدراً جامعاً بین القاعدتین، وعلی هذین المبنیین لا یتمّ الوجه الثانی</w:t>
      </w:r>
      <w:r>
        <w:rPr>
          <w:rFonts w:eastAsia="IRNazanin" w:cs="IRNazanin"/>
          <w:color w:val="111111"/>
          <w:sz w:val="28"/>
          <w:szCs w:val="28"/>
          <w:rtl w:val="true"/>
          <w:lang w:bidi="fa-IR"/>
        </w:rPr>
        <w:t>.</w:t>
      </w:r>
    </w:p>
    <w:p>
      <w:pPr>
        <w:pStyle w:val="Heading5"/>
        <w:numPr>
          <w:ilvl w:val="4"/>
          <w:numId w:val="1"/>
        </w:numPr>
        <w:rPr/>
      </w:pPr>
      <w:bookmarkStart w:id="152" w:name="__RefHeading___Toc2082364_581953129"/>
      <w:bookmarkStart w:id="153" w:name="_Toc60"/>
      <w:bookmarkEnd w:id="152"/>
      <w:r>
        <w:rPr>
          <w:rtl w:val="true"/>
        </w:rPr>
        <w:t>البیان الثالث فی الدلیل الأوّل</w:t>
      </w:r>
      <w:r>
        <w:rPr>
          <w:rtl w:val="true"/>
        </w:rPr>
        <w:t>:</w:t>
      </w:r>
      <w:bookmarkEnd w:id="153"/>
    </w:p>
    <w:p>
      <w:pPr>
        <w:pStyle w:val="Heading6"/>
        <w:numPr>
          <w:ilvl w:val="5"/>
          <w:numId w:val="1"/>
        </w:numPr>
        <w:rPr/>
      </w:pPr>
      <w:bookmarkStart w:id="154" w:name="__RefHeading___Toc2082366_581953129"/>
      <w:bookmarkStart w:id="155" w:name="_Toc61"/>
      <w:bookmarkEnd w:id="154"/>
      <w:r>
        <w:rPr>
          <w:rtl w:val="true"/>
        </w:rPr>
        <w:t>اشارة</w:t>
      </w:r>
      <w:bookmarkEnd w:id="15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بیّناه أثناء عرضنا للوجه الأوّل إلاّ أنّ هناک نقاطاً أخری لابدّ من البحث</w:t>
      </w:r>
    </w:p>
    <w:p>
      <w:pPr>
        <w:pStyle w:val="BookText"/>
        <w:rPr/>
      </w:pPr>
      <w:r>
        <w:rPr>
          <w:rFonts w:ascii="IRNazanin" w:hAnsi="IRNazanin" w:eastAsia="IRNazanin"/>
          <w:color w:val="111111"/>
          <w:sz w:val="28"/>
          <w:sz w:val="28"/>
          <w:szCs w:val="28"/>
          <w:rtl w:val="true"/>
          <w:lang w:bidi="fa-IR"/>
        </w:rPr>
        <w:t>فیها ودراستها بشکلّ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السبب فی عدم وجود القدر الجامع بین قاعدتی الفراغ والتجاوز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هذا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متعلّق الشک فی قاعدة الفراغ هو الصحّة بینما فی قاعدة التجاوز هو الوجود ولا یعقل تصوّر قدر جامع بین الصحة والوجود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المحقق النائینی بهذا 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متعلّق الشکّ فی قاعدة التجاوز إنّما هو وجود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قاعدة الفراغ إنّما هو صحّة الموجود ولا جامع بینهما</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وللمحقق العراقی فی هذا السیاق کلامٌ ذُکر بعده فی کلمات المرحوم السید الخوئی وهو أنّ العلماء والمحققین یصرّحون فی مبحث الإطلاق بأنّ الإطلاق هو رفض القیود لا جمع القیود</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 کان الإطلاق بمعنی جمع القیود لزم أن یلاحظ الشارع عند الحکم علی موضوع مختلف أنواع القیود ویثبت الحکم علی جمیع هذه الأنواع فعلی سبیل المثال عند جعل حکم الحرمة للخمر التی لها أنواع مختلفة کالمتّخذ من العنب من التمر الأحمر والأصفر فعلیه أن یلاحظ جمیع أنواع العصیر ثمّ یجعل الحکم علیها فالإطلاق هو رفض القیود لا جمع القیود بمعنی أنّ الشارع المقدّس عند الحکم بالحرمة علی الخمر لا یلاحظ قیداً من قیود الخمر</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المحقق العراقی قد استخدم هذه القاعدة فیما نحن فیه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عنوان الشک فی الشیء بعد تجاوز المحلّ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إطلاق والشارع</w:t>
      </w:r>
      <w:bookmarkStart w:id="156" w:name="pg5466_52812"/>
    </w:p>
    <w:p>
      <w:pPr>
        <w:pStyle w:val="BookText"/>
        <w:rPr/>
      </w:pPr>
      <w:bookmarkEnd w:id="156"/>
      <w:r>
        <w:rPr>
          <w:rFonts w:ascii="IRNazanin" w:hAnsi="IRNazanin" w:eastAsia="IRNazanin"/>
          <w:color w:val="111111"/>
          <w:sz w:val="28"/>
          <w:sz w:val="28"/>
          <w:szCs w:val="28"/>
          <w:rtl w:val="true"/>
          <w:lang w:bidi="fa-IR"/>
        </w:rPr>
        <w:t>لم یلاحظ شیئاً من خصوصیاته من حیث کون الشک فی الصحة أو الشک فی الوجود بل حکم علی نحو الإطلاق بعدم الاعتناء بالشک بعد الانتهاء من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نستنتج أنّ عنوان الشک أوّلاً وبالذات یشمل الشک فی الصحة والشک فی الوجود ولمّا لم یلاحظ الشارع المقدّس خصوصیات الشک لم یبق مجال للبحث فی وجود القدر الجامع بین الشک فی الصحة والشک فی الوجود، وذلک أنّ القدر الجامع إنّما یتصور فیما لو لاحظ الشارع کلا الأمرین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فی الصحة والشک فی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لاحظ هنا مطلق الشک فقط حیث ینطبق علی قاعدة الفراغ کما ینطبق علی قاعدة التجاوز</w:t>
      </w:r>
      <w:r>
        <w:rPr>
          <w:rFonts w:eastAsia="IRNazanin" w:cs="IRNazanin"/>
          <w:color w:val="111111"/>
          <w:sz w:val="28"/>
          <w:szCs w:val="28"/>
          <w:rtl w:val="true"/>
          <w:lang w:bidi="fa-IR"/>
        </w:rPr>
        <w:t>.</w:t>
      </w:r>
    </w:p>
    <w:p>
      <w:pPr>
        <w:pStyle w:val="Heading6"/>
        <w:numPr>
          <w:ilvl w:val="5"/>
          <w:numId w:val="1"/>
        </w:numPr>
        <w:rPr/>
      </w:pPr>
      <w:bookmarkStart w:id="157" w:name="__RefHeading___Toc2082368_581953129"/>
      <w:bookmarkStart w:id="158" w:name="_Toc62"/>
      <w:bookmarkEnd w:id="157"/>
      <w:r>
        <w:rPr>
          <w:rtl w:val="true"/>
        </w:rPr>
        <w:t>وقد ذکر هذا المطلب فی کلمات السید الخوئی أیضاً کما أسلفنا فهو یقول</w:t>
      </w:r>
      <w:r>
        <w:rPr>
          <w:rtl w:val="true"/>
        </w:rPr>
        <w:t>:</w:t>
      </w:r>
      <w:bookmarkEnd w:id="15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والتحقیق أنّ الاستدلال المذکور ساقط من أصله لما ذکرناه مراراً من أنّ معنی الإطلاق هو إلغاء جمیع الخصوصیّات، لا الأخذ بجمیعها فإذا جُعل حکمٌ لموضوع مطلق، معناه ثبوت الحکم به بالفاء جمیع الخصوصیات کما إذا جعلت الحرمة للخمر المطلق مثلاً فإنه عبارة عن الحکم بحرمة الخمر بإلغاء جمیع الخصوصیّات من کونه أحمر أو أصفر أو مأخوذاً من العنب أو من التمر وغیرها من الخصوصیات لا الحکم بحرمة الخمر مع لحاظ الخصوصیات والاحتفاظ بها، بمعنی أنّ الخمر بما هو أحمر حرام وبما هو أصفر حرام وهکذا، وحینئذٍ لا مانع من جعل قاعدة کلّیة شاملة لموارد قاعدة الفراغ وموارد قاعدة التجاوز بلا لحاظ خصوصیّات الموارد بأن یکون موضوع القاعدة مطلق الشکّ فی شیءٍ بعد التجاوز عنه بلا لحاظ خصوصیة کون الشک متعلّقاً بالصحّة أو بالوجود فیکون المجعول عدم الاعتناء بالشکّ فی الشیء بعد التجاوز عنه بلا لحاظ کون الشکّ متعلّقاً بالوجود أو بالصحة أو غیرهما من خصوصیات المورد</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أنّ الکلام المذکور تامٌ لا إشکال فیه إذ أنّ إطلاق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فی الشیء بعد التجاوز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 الشک فی الصحّة والشک فی الوجود، ومن هنا لا داعی للانفکاک بینهما ثمّ التماس القدر الجامع بینهما بل یکفی هذا العنوان الکلّی القابل للانطباق علی کلتا القاعدتین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أقرّ بهذا العنوان الکلّی المحقق النائینی کقدر جامع حیث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الشارع فی مقام ضرب قاعدة کلّیّة للشک فی الشیء بعد التجاوز عنه</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أقرّ بهذا الکلّام من جاء بعده من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یتابع السید الخوئی کلامه بذکر مطلب آخر تعود جذوره إلی کلمات المحقق الاصفهانی</w:t>
      </w:r>
      <w:r>
        <w:rPr>
          <w:rStyle w:val="FootnoteAnchor"/>
          <w:rtl w:val="true"/>
        </w:rPr>
        <w:footnoteReference w:id="169"/>
      </w:r>
      <w:r>
        <w:rPr>
          <w:rFonts w:ascii="IRNazanin" w:hAnsi="IRNazanin" w:eastAsia="IRNazanin"/>
          <w:color w:val="111111"/>
          <w:sz w:val="28"/>
          <w:sz w:val="28"/>
          <w:szCs w:val="28"/>
          <w:rtl w:val="true"/>
          <w:lang w:bidi="fa-IR"/>
        </w:rPr>
        <w:t>فهو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وصف الصحّة من الأوصاف الانتزاعیة التی لیس فی الخارج بإزائها شیء إذ هو منتزع من مطابقة المأتی به للمأمور به فالشک فی الصحّة دائماً یرجع إلی الشک فی وجود جزء أو شرط فلا مانع من جعل قاعدة شاملة لموارد الشکّ فی الوجود وموارد الشک فی الصحة لکون الشکّ فی الصحة راجعاً إلی الشک فی الوجود فتکون قاعدة الفراغ راجعة إلی قاعدة التجاوز</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السید الخوئی فی هذه العبارات مستدرکاً ما ذکره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أغمضنا النظر عن مبنی الإطلاق والتزمنا أنّ هنا شکّین مختلفین بحیث لابدّ من تصوّر قدر جامع بینهما إلاّ أنّ إرجاع الشک فی الصحة إلی الشک فی وجود الجزء أو الشرط هو قانون کلّی</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 أنّ الشک فی صحّة عملٍ مرکب ینشأ دائماً من الشک فی</w:t>
      </w:r>
      <w:bookmarkStart w:id="159" w:name="pg5466_52814"/>
    </w:p>
    <w:p>
      <w:pPr>
        <w:pStyle w:val="BookText"/>
        <w:rPr/>
      </w:pPr>
      <w:bookmarkEnd w:id="159"/>
      <w:r>
        <w:rPr>
          <w:rFonts w:ascii="IRNazanin" w:hAnsi="IRNazanin" w:eastAsia="IRNazanin"/>
          <w:color w:val="111111"/>
          <w:sz w:val="28"/>
          <w:sz w:val="28"/>
          <w:szCs w:val="28"/>
          <w:rtl w:val="true"/>
          <w:lang w:bidi="fa-IR"/>
        </w:rPr>
        <w:t>وجود جزئه أو شرطه، وبالتالی فإنّ القدر الجامع بین الصحة والوجود هو الوجود کما أنّ القدر الجامع بین الشک فی الصحّة والشک فی الوجود هو الشک فی الوجود وعلیه تعود قاعدة الفراغ إلی قاعدة التجاوز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الکلام منه یشبه إلی حدّ کبیر بکلام الشیخ الأنصاری فی أنّ التعبّد بالصحة إنّما هو بمعنی التعبّد فی الوجود فی قاعدة الفراغ، وقد عبّدنا الشارع فی موارد الشک فی الصحة بوجود الصحیح</w:t>
      </w:r>
      <w:r>
        <w:rPr>
          <w:rFonts w:eastAsia="IRNazanin" w:cs="IRNazanin"/>
          <w:color w:val="111111"/>
          <w:sz w:val="28"/>
          <w:szCs w:val="28"/>
          <w:rtl w:val="true"/>
          <w:lang w:bidi="fa-IR"/>
        </w:rPr>
        <w:t>.</w:t>
      </w:r>
    </w:p>
    <w:p>
      <w:pPr>
        <w:pStyle w:val="Heading6"/>
        <w:numPr>
          <w:ilvl w:val="5"/>
          <w:numId w:val="1"/>
        </w:numPr>
        <w:rPr/>
      </w:pPr>
      <w:bookmarkStart w:id="160" w:name="__RefHeading___Toc2082370_581953129"/>
      <w:bookmarkStart w:id="161" w:name="_Toc63"/>
      <w:bookmarkEnd w:id="160"/>
      <w:r>
        <w:rPr>
          <w:rtl w:val="true"/>
        </w:rPr>
        <w:t>إشکالات هذه النظریة</w:t>
      </w:r>
      <w:r>
        <w:rPr>
          <w:rtl w:val="true"/>
        </w:rPr>
        <w:t>:</w:t>
      </w:r>
      <w:bookmarkEnd w:id="161"/>
    </w:p>
    <w:p>
      <w:p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فی المباحث السابقة أنّ الشک فی الصحة أحیاناً یکون ناشئاً من الشک فی وجود المانع، ومن جهة أخری فإنّ الشکّ فی وجود المانع یختلف عن الشک فی وجود الجزء أو الشرط حیث إنّ القاعدة فی الشکّ فی وجود الجزء أو الشرط تعبّد الإنسان بالوجود ولا تعبّد من هذا القبیل فی الشک فی وجود المانع، وعلیه لا یمکن القول بأنّه کلّما کان الشک فی الصحة کان هذا الشک ناشئاً من الشک فی الوجود وإنّ القاعدة تعبّدنا بالوجود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إنّ کلام السید الخوئی فی الشک فی شرط المرکّب أیضاً غیر تام، فلا یمکن القول بأنّ الشک فی صحة المرکّب ینشأ دائماً من الشک فی وجود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الشک فی الصحة راجع إلی الشک فی الوجود، والقاعدة تعبّدنا بالوجود، مثلاً لو شک المکلّف بعد الفراغ من صلاة الظهر بأنّه هل کان متطهّراً أو لا؟ فإنّ الطهارة من شروط صحّة الصلاة، فلو أنّ الشک فی صحة الصلاة رجع إلی الشک فی وجود الطهارة وتعبّد المکلّف بوجود الطهارة بمقتضی القاعدة کان لابد من الحکم علیه بالتمکّن من قیامه بصلاة العصر مع أنّ أحداً من الفقهاء لم یُفتِ بذلک</w:t>
      </w:r>
      <w:r>
        <w:rPr>
          <w:rFonts w:eastAsia="IRNazanin" w:cs="IRNazanin"/>
          <w:color w:val="111111"/>
          <w:sz w:val="28"/>
          <w:szCs w:val="28"/>
          <w:rtl w:val="true"/>
          <w:lang w:bidi="fa-IR"/>
        </w:rPr>
        <w:t>.</w:t>
      </w:r>
      <w:bookmarkStart w:id="162" w:name="pg5466_52815"/>
    </w:p>
    <w:p>
      <w:pPr>
        <w:pStyle w:val="BookText"/>
        <w:rPr/>
      </w:pPr>
      <w:bookmarkEnd w:id="162"/>
      <w:r>
        <w:rPr>
          <w:rFonts w:ascii="IRNazanin" w:hAnsi="IRNazanin" w:eastAsia="IRNazanin"/>
          <w:color w:val="111111"/>
          <w:sz w:val="28"/>
          <w:sz w:val="28"/>
          <w:szCs w:val="28"/>
          <w:rtl w:val="true"/>
          <w:lang w:bidi="fa-IR"/>
        </w:rPr>
        <w:t>وعلی هذا فنظراً إلی الإشکالین السابقین فإنّ إرجاع الشک فی الصحّة إلی الشک فی الوجود غیر قابل للقبول</w:t>
      </w:r>
      <w:r>
        <w:rPr>
          <w:rFonts w:eastAsia="IRNazanin" w:cs="IRNazanin"/>
          <w:color w:val="111111"/>
          <w:sz w:val="28"/>
          <w:szCs w:val="28"/>
          <w:rtl w:val="true"/>
          <w:lang w:bidi="fa-IR"/>
        </w:rPr>
        <w:t>.</w:t>
      </w:r>
    </w:p>
    <w:p>
      <w:pPr>
        <w:pStyle w:val="Heading6"/>
        <w:numPr>
          <w:ilvl w:val="5"/>
          <w:numId w:val="1"/>
        </w:numPr>
        <w:rPr/>
      </w:pPr>
      <w:bookmarkStart w:id="163" w:name="__RefHeading___Toc2082372_581953129"/>
      <w:bookmarkStart w:id="164" w:name="_Toc64"/>
      <w:bookmarkEnd w:id="163"/>
      <w:r>
        <w:rPr>
          <w:rtl w:val="true"/>
        </w:rPr>
        <w:t>نتیجة الدلیل الأوّل</w:t>
      </w:r>
      <w:r>
        <w:rPr>
          <w:rtl w:val="true"/>
        </w:rPr>
        <w:t>:</w:t>
      </w:r>
      <w:bookmarkEnd w:id="164"/>
    </w:p>
    <w:p>
      <w:pPr>
        <w:pStyle w:val="BookText"/>
        <w:rPr/>
      </w:pPr>
      <w:r>
        <w:rPr>
          <w:rFonts w:ascii="IRNazanin" w:hAnsi="IRNazanin" w:eastAsia="IRNazanin"/>
          <w:color w:val="111111"/>
          <w:sz w:val="28"/>
          <w:sz w:val="28"/>
          <w:szCs w:val="28"/>
          <w:rtl w:val="true"/>
          <w:lang w:bidi="fa-IR"/>
        </w:rPr>
        <w:t>بالنظر إلی الوجوه الثلاثة للدلیل الأوّل والإشکالات الواردة علیها یتبیّن لنا أنّ الطریق الوحید لإثبات وحدة القاعدتین هو التمسّک بالإطلاق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مقام الإثبات فإن وجدنا روایة مطلقة أمکن انطباقها علی کلتا القاعدتین</w:t>
      </w:r>
      <w:r>
        <w:rPr>
          <w:rFonts w:eastAsia="IRNazanin" w:cs="IRNazanin"/>
          <w:color w:val="111111"/>
          <w:sz w:val="28"/>
          <w:szCs w:val="28"/>
          <w:rtl w:val="true"/>
          <w:lang w:bidi="fa-IR"/>
        </w:rPr>
        <w:t>.</w:t>
      </w:r>
    </w:p>
    <w:p>
      <w:pPr>
        <w:pStyle w:val="Heading4"/>
        <w:numPr>
          <w:ilvl w:val="3"/>
          <w:numId w:val="1"/>
        </w:numPr>
        <w:rPr/>
      </w:pPr>
      <w:bookmarkStart w:id="165" w:name="__RefHeading___Toc2082374_581953129"/>
      <w:bookmarkStart w:id="166" w:name="_Toc65"/>
      <w:bookmarkEnd w:id="165"/>
      <w:r>
        <w:rPr>
          <w:rtl w:val="true"/>
        </w:rPr>
        <w:t>الدلیل الثانی</w:t>
      </w:r>
      <w:r>
        <w:rPr>
          <w:rtl w:val="true"/>
        </w:rPr>
        <w:t xml:space="preserve">: </w:t>
      </w:r>
      <w:r>
        <w:rPr>
          <w:rtl w:val="true"/>
        </w:rPr>
        <w:t>اجتماع لحاظی الآلیة والاستقلالیة فی الشیء الواحد</w:t>
      </w:r>
      <w:r>
        <w:rPr>
          <w:rtl w:val="true"/>
        </w:rPr>
        <w:t>:</w:t>
      </w:r>
      <w:bookmarkEnd w:id="166"/>
    </w:p>
    <w:p>
      <w:pPr>
        <w:pStyle w:val="Heading5"/>
        <w:numPr>
          <w:ilvl w:val="4"/>
          <w:numId w:val="1"/>
        </w:numPr>
        <w:rPr/>
      </w:pPr>
      <w:bookmarkStart w:id="167" w:name="__RefHeading___Toc2082376_581953129"/>
      <w:bookmarkStart w:id="168" w:name="_Toc66"/>
      <w:bookmarkEnd w:id="167"/>
      <w:r>
        <w:rPr>
          <w:rtl w:val="true"/>
        </w:rPr>
        <w:t>اشارة</w:t>
      </w:r>
      <w:bookmarkEnd w:id="168"/>
    </w:p>
    <w:p>
      <w:pPr>
        <w:pStyle w:val="BookText"/>
        <w:rPr/>
      </w:pPr>
      <w:r>
        <w:rPr>
          <w:rFonts w:ascii="IRNazanin" w:hAnsi="IRNazanin" w:eastAsia="IRNazanin"/>
          <w:color w:val="111111"/>
          <w:sz w:val="28"/>
          <w:sz w:val="28"/>
          <w:szCs w:val="28"/>
          <w:rtl w:val="true"/>
          <w:lang w:bidi="fa-IR"/>
        </w:rPr>
        <w:t xml:space="preserve">الدلیل الثانی الذی ذکره المیرزا النائینی علی تعدّد قاعدتی الفراغ والتجاوز هو اجتماع لحاظین متغایرین علی ملحوظ واحد وذلک أنّ قاعدة الفراغ إنّما تتعلق بکلّ العمل بمعنی أن یشک فی صحّة العمل بعد الفراغ منه فتدلّ قاعدة الفراغ علی صحته، أمّا قاعدة التجاوز فتتعلّق بجزء العمل بمعنی أن یُشک عند الإتیان بجزء فی الجزء السابق علیه فتدلّ قاعدة التجاوز علی إتیانه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قاعدة الفراغ یجب علی المولی أن یتصوّر کلّ العمل أمّا حین تصوّر المرکّب لابد من تصور أجزائه فی الرتبة السابقة علی تصوّر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فإنّ الاجزاء عند لحاظ المرکبّ تلاحظ لحاظاً تبعیاً اندکاکیاً بتبع تصوّر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یکون لحاظ الأجزاء فی قاعدة الفراغ لحاظاً تبعیاً غیر استقلالی بینما یتصوّر الجزء فی قاعدة التجاوز علی نحو الاستقلال حیث یقول المولی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خرجت عن جزء ودخلت فی جزء آخر فشکّک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فلو أراد الشارع المقدّس أن یجعل هاتین القاعدتین ضمن خطاب واحد وجب</w:t>
      </w:r>
      <w:bookmarkStart w:id="169" w:name="pg5466_52816"/>
    </w:p>
    <w:p>
      <w:pPr>
        <w:pStyle w:val="BookText"/>
        <w:rPr/>
      </w:pPr>
      <w:bookmarkEnd w:id="169"/>
      <w:r>
        <w:rPr>
          <w:rFonts w:ascii="IRNazanin" w:hAnsi="IRNazanin" w:eastAsia="IRNazanin"/>
          <w:color w:val="111111"/>
          <w:sz w:val="28"/>
          <w:sz w:val="28"/>
          <w:szCs w:val="28"/>
          <w:rtl w:val="true"/>
          <w:lang w:bidi="fa-IR"/>
        </w:rPr>
        <w:t>علیه أن یلاحظ الأجزاء علی نحو الاستقلال وعلی نحو التبعیة فیتعلّق اللحاظ الاستقلالی واللحاظ التبعی بالجزء الواحد فی زمان واحدٍ مع أنّ اجتماع لحاظین مختلفین فی الملحوظ الواحد غیر ممکن</w:t>
      </w:r>
      <w:r>
        <w:rPr>
          <w:rFonts w:eastAsia="IRNazanin" w:cs="IRNazanin"/>
          <w:color w:val="111111"/>
          <w:sz w:val="28"/>
          <w:szCs w:val="28"/>
          <w:rtl w:val="true"/>
          <w:lang w:bidi="fa-IR"/>
        </w:rPr>
        <w:t>.</w:t>
      </w:r>
    </w:p>
    <w:p>
      <w:pPr>
        <w:pStyle w:val="Heading5"/>
        <w:numPr>
          <w:ilvl w:val="4"/>
          <w:numId w:val="1"/>
        </w:numPr>
        <w:rPr/>
      </w:pPr>
      <w:bookmarkStart w:id="170" w:name="__RefHeading___Toc2082378_581953129"/>
      <w:bookmarkStart w:id="171" w:name="_Toc67"/>
      <w:bookmarkEnd w:id="170"/>
      <w:r>
        <w:rPr>
          <w:rtl w:val="true"/>
        </w:rPr>
        <w:t>یقول المحقق النائینی فی هذا السیاق</w:t>
      </w:r>
      <w:r>
        <w:rPr>
          <w:rtl w:val="true"/>
        </w:rPr>
        <w:t>:</w:t>
      </w:r>
      <w:bookmarkEnd w:id="1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المرکّب حیث إنّه مؤلف من الأجزاء بالأسر فلا محالة تکون ملاحظة کلّ جزءٍ بنفسه سابقة فی الرتبة علی لحاظ المرکّب بما هو، إذ فی مرتبة لحاظ المرکّب یکون الجزء مندکّاً فیه فی اللحاظ ویکون الملحوظ الاستقلالی هو المرکب لا غیر فلحاظ کلّ حرفٍ بنفسه سابق علی لحاظ الکلمة بما هی کما أنّ لحاظ الکلمة فی نفسها سابق فی الرتبة علی لحاظ الآیة فإذا کان لحاظ کلّ من الأجزاء سابقاً علی لحاظ المرکب فی الرتبة وکان لحاظه فی ضمن المرکب اندکاکیاً فکیف یمکن أن یرید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 فی القاعدة الجزء والکلّ معاً حیث یکون الکلّ بنفسه ملحوظاً حتی یتحقّق به مورد قاعدة الفراغ ویکون الجزء بنفسه ملحوظاً فی عرضه حتی یتحقّق به مورد قاعدة التجاوز</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 w:name="__RefHeading___Toc2082380_581953129"/>
      <w:bookmarkStart w:id="173" w:name="_Toc68"/>
      <w:bookmarkEnd w:id="172"/>
      <w:r>
        <w:rPr>
          <w:rtl w:val="true"/>
        </w:rPr>
        <w:t>الإشکالات الواردة علی الدلیل الثانی</w:t>
      </w:r>
      <w:r>
        <w:rPr>
          <w:rtl w:val="true"/>
        </w:rPr>
        <w:t>:</w:t>
      </w:r>
      <w:bookmarkEnd w:id="173"/>
    </w:p>
    <w:p>
      <w:pPr>
        <w:pStyle w:val="Heading6"/>
        <w:numPr>
          <w:ilvl w:val="5"/>
          <w:numId w:val="1"/>
        </w:numPr>
        <w:rPr/>
      </w:pPr>
      <w:bookmarkStart w:id="174" w:name="__RefHeading___Toc2082382_581953129"/>
      <w:bookmarkStart w:id="175" w:name="_Toc69"/>
      <w:bookmarkEnd w:id="174"/>
      <w:r>
        <w:rPr/>
        <w:t>1</w:t>
      </w:r>
      <w:r>
        <w:rPr>
          <w:rtl w:val="true"/>
        </w:rPr>
        <w:t xml:space="preserve"> - </w:t>
      </w:r>
      <w:r>
        <w:rPr>
          <w:rtl w:val="true"/>
        </w:rPr>
        <w:t>نظریة المحقق النائینی</w:t>
      </w:r>
      <w:r>
        <w:rPr>
          <w:rtl w:val="true"/>
        </w:rPr>
        <w:t>:</w:t>
      </w:r>
      <w:bookmarkEnd w:id="175"/>
    </w:p>
    <w:p>
      <w:pPr>
        <w:pStyle w:val="Heading6"/>
        <w:numPr>
          <w:ilvl w:val="5"/>
          <w:numId w:val="1"/>
        </w:numPr>
        <w:rPr/>
      </w:pPr>
      <w:bookmarkStart w:id="176" w:name="__RefHeading___Toc2082384_581953129"/>
      <w:bookmarkStart w:id="177" w:name="_Toc70"/>
      <w:bookmarkEnd w:id="176"/>
      <w:r>
        <w:rPr>
          <w:rtl w:val="true"/>
        </w:rPr>
        <w:t>اشارة</w:t>
      </w:r>
      <w:bookmarkEnd w:id="177"/>
    </w:p>
    <w:p>
      <w:pPr>
        <w:pStyle w:val="BookText"/>
        <w:rPr/>
      </w:pPr>
      <w:r>
        <w:rPr>
          <w:rFonts w:ascii="IRNazanin" w:hAnsi="IRNazanin" w:eastAsia="IRNazanin"/>
          <w:color w:val="111111"/>
          <w:sz w:val="28"/>
          <w:sz w:val="28"/>
          <w:szCs w:val="28"/>
          <w:rtl w:val="true"/>
          <w:lang w:bidi="fa-IR"/>
        </w:rPr>
        <w:t>یقول المحقق النائینی بعد ذکر هذا الدلیل علی تعدّد قاعدتی الفراغ والتجاوز فی مقام الإجابة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یتمّ هذا الدلیل فیما إذا لوحظت الأجزاء فی عرض لحاظ المرکّب ولکنّها لیست کذلک إذ لو راجعنا الروایات لتبیّن لنا أنّها طائفتان</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المطلقة التی تبیّن وظیفة المکلّف عند الشک فی کلّ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الخاصّة التی تبیّن وظیفة المکلّف عند الشک فی الأجزاء فتقول مثلاً لو شک فی الرکوع بعد إکمال السجود لا یُعتنی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والروایات الخاصّة هنا حاکمة علی الروایات المطلقة فلا یتحقّق اجتماع لحاظین متغایرین علی ملحوظ واحد فی عرض واحدٍ، لأنّ الشارع المقدّس قد لاحظ کلّ المرکب أولاً ثمّ ذکر الأجزاء فی الأدلة الأخری علی نحو الاستقلال، ومن هنا فلا یکون لحاظ المرکّب والأجزاء فی عرض بعضهما وفی زمان واحدٍ إذ الشارع قد لاحظ الکلّ أولاً ثمّ لاحظ الأجزاء، وعلیه فلا یلزم اجتماع اللحاظین المتغایرین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نصّ عبارة المیرزا النائینی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الشک فی الأجزاء لو کان ملحوظاً فی جعل القاعدة مثل ما لوحظ نفس العمل فیه، لکان لهما مجال واسع، لکنّ الأمر لیس کذلک بل المجعول ابتداءً هو عدم الاعتناء بالشکّ بعد التجاوز عن العمل، فلو کنّا نحن وهذه الإطلاقات، لقلنا باختصاصها بموارد الشک بعد الفراغ ولم نقل بجریأنها فی شیءٍ من موارد الشک فی موارد قاعدة التجاوز، لکنّ الأدلّة الخاصّة دلّت علی اعتبارها فی موارد الشک فی الأجزاء أیضاً فهی دالّة بالحکومة علی لحاظ الجزء سابقاً علی لحاظ الترکیب أمراً مستقلاً بنفسه</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 xml:space="preserve">والحاصل أنّ المراد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 فی الروایات لیس هو العمل وأجزاؤه حتّی یرد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یلزم الجمع بین</w:t>
      </w:r>
      <w:bookmarkStart w:id="178" w:name="pg5466_52818"/>
    </w:p>
    <w:p>
      <w:pPr>
        <w:pStyle w:val="BookText"/>
        <w:rPr/>
      </w:pPr>
      <w:bookmarkEnd w:id="178"/>
      <w:r>
        <w:rPr>
          <w:rFonts w:ascii="IRNazanin" w:hAnsi="IRNazanin" w:eastAsia="IRNazanin"/>
          <w:color w:val="111111"/>
          <w:sz w:val="28"/>
          <w:sz w:val="28"/>
          <w:szCs w:val="28"/>
          <w:rtl w:val="true"/>
          <w:lang w:bidi="fa-IR"/>
        </w:rPr>
        <w:t>اللحاظین</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9" w:name="__RefHeading___Toc2082386_581953129"/>
      <w:bookmarkStart w:id="180" w:name="_Toc71"/>
      <w:bookmarkEnd w:id="179"/>
      <w:r>
        <w:rPr>
          <w:rtl w:val="true"/>
        </w:rPr>
        <w:t>الإشکال علی نظریة المحقق النائینی</w:t>
      </w:r>
      <w:r>
        <w:rPr>
          <w:rtl w:val="true"/>
        </w:rPr>
        <w:t>:</w:t>
      </w:r>
      <w:bookmarkEnd w:id="180"/>
    </w:p>
    <w:p>
      <w:pPr>
        <w:pStyle w:val="BookText"/>
        <w:rPr/>
      </w:pPr>
      <w:r>
        <w:rPr>
          <w:rFonts w:ascii="IRNazanin" w:hAnsi="IRNazanin" w:eastAsia="IRNazanin"/>
          <w:color w:val="111111"/>
          <w:sz w:val="28"/>
          <w:sz w:val="28"/>
          <w:szCs w:val="28"/>
          <w:rtl w:val="true"/>
          <w:lang w:bidi="fa-IR"/>
        </w:rPr>
        <w:t>ظهر مما سبق أنّ رد المیرزا النائینی لا یشکلّ جواباً عن الإشکال بل هو إقرار وقبول الإشکال، وذلک أنّه أقرّ بأنّ التعبیر الواحد لا یمکنه أن یبیّن الشک فی المرکّب والشک فی الجزء معاً بل لابد من إثبات قاعدة الفراغ أولاً ثمّ یستفاد قاعدة التجاوز من الأدلّة الحاکمة، وعلیه فإنّه یرکز فی جوابه عن الإشکال، علی عدم کون القاعدتین فی عرض واحدٍ وهذا قبول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أخری إنّ المحقق النائینی لو کان یردّ علی إشکال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لحاظین متغایرین علی ملحوظ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بالاعتماد علی فرض القاعدتین فی عرضٍ واحد لم یردْ علی ردّه إشکال لکنّه غیّر صورة فرض المسألة فی مقام الإجابة، وهذا اعتراف وتسلیم للإشکال لا جواب عنه</w:t>
      </w:r>
      <w:r>
        <w:rPr>
          <w:rFonts w:eastAsia="IRNazanin" w:cs="IRNazanin"/>
          <w:color w:val="111111"/>
          <w:sz w:val="28"/>
          <w:szCs w:val="28"/>
          <w:rtl w:val="true"/>
          <w:lang w:bidi="fa-IR"/>
        </w:rPr>
        <w:t>.</w:t>
      </w:r>
    </w:p>
    <w:p>
      <w:pPr>
        <w:pStyle w:val="Heading6"/>
        <w:numPr>
          <w:ilvl w:val="5"/>
          <w:numId w:val="1"/>
        </w:numPr>
        <w:rPr/>
      </w:pPr>
      <w:bookmarkStart w:id="181" w:name="__RefHeading___Toc2082388_581953129"/>
      <w:bookmarkStart w:id="182" w:name="_Toc72"/>
      <w:bookmarkEnd w:id="181"/>
      <w:r>
        <w:rPr/>
        <w:t>2</w:t>
      </w:r>
      <w:r>
        <w:rPr>
          <w:rtl w:val="true"/>
        </w:rPr>
        <w:t xml:space="preserve"> - </w:t>
      </w:r>
      <w:r>
        <w:rPr>
          <w:rtl w:val="true"/>
        </w:rPr>
        <w:t>نظریة المحقق الخوئی</w:t>
      </w:r>
      <w:r>
        <w:rPr>
          <w:rtl w:val="true"/>
        </w:rPr>
        <w:t>:</w:t>
      </w:r>
      <w:bookmarkEnd w:id="182"/>
    </w:p>
    <w:p>
      <w:pPr>
        <w:pStyle w:val="BookText"/>
        <w:rPr/>
      </w:pPr>
      <w:r>
        <w:rPr>
          <w:rFonts w:ascii="IRNazanin" w:hAnsi="IRNazanin" w:eastAsia="IRNazanin"/>
          <w:color w:val="111111"/>
          <w:sz w:val="28"/>
          <w:sz w:val="28"/>
          <w:szCs w:val="28"/>
          <w:rtl w:val="true"/>
          <w:lang w:bidi="fa-IR"/>
        </w:rPr>
        <w:t>ذکر السید الخوئی فی مقام الإجابة عن الدلیل الثانی للمحقق النائینی ثلاثة أجوبة، وها نحن نذکرها بغرض مناقشتها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أنّه لا اختصاص لقاعدة الفراغ بالشک فی صحّة الکلّ بل تجری عند الشک فی صحّة الجزء أیضاً ولعله المشهور، فعلی تقدیر تعدد القاعدتین أیضاً یلزم تعلّق اللحاظ الاستقلالی والتبعی بالجزء فی جعل نفس قاعدة الفراغ فما به الجواب علی تقدیر التعدّد یجاب به علی تقدیر الاتحاد أیضاً</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bookmarkStart w:id="183" w:name="pg5466_52819"/>
    </w:p>
    <w:p>
      <w:pPr>
        <w:pStyle w:val="BookText"/>
        <w:rPr/>
      </w:pPr>
      <w:bookmarkEnd w:id="183"/>
      <w:r>
        <w:rPr>
          <w:rFonts w:ascii="IRNazanin" w:hAnsi="IRNazanin" w:eastAsia="IRNazanin"/>
          <w:color w:val="111111"/>
          <w:sz w:val="28"/>
          <w:sz w:val="28"/>
          <w:szCs w:val="28"/>
          <w:rtl w:val="true"/>
          <w:lang w:bidi="fa-IR"/>
        </w:rPr>
        <w:t>إنّ الجواب الأوّل للسید الخوئی فی الواقع جواب نقضی علی الدلیل الثانی حیث إنّ إشکال اجتماع لحاظین متغایرین علی ملحوظٍ واحد یرد فی قاعدة الفراغ أیضاً علی مبنی قاعدة تعدّد القاعدتین، لأنّ قاعدة الفراغ کما تجری فی موارد الشک بعد إتمام العمل، کذلک تجری فی موارد الشک فی صحة الجزء فإنّ من شکّ حالة السجود فی صحّة رکوعه المأتی به جرت فی حقّه قاعدة الفراغ فی هذا الجزء المفروغ منه وعلیه یُستشکل فی مجری قاعدة الفراغ أنّ الشارع المقدّس یجب أنْ یلاحظ الجزء استقلالاً وتبعاً فی مقام جعل القاعدة</w:t>
      </w:r>
      <w:r>
        <w:rPr>
          <w:rFonts w:eastAsia="IRNazanin" w:cs="IRNazanin"/>
          <w:color w:val="111111"/>
          <w:sz w:val="28"/>
          <w:szCs w:val="28"/>
          <w:rtl w:val="true"/>
          <w:lang w:bidi="fa-IR"/>
        </w:rPr>
        <w:t>.</w:t>
      </w:r>
    </w:p>
    <w:p>
      <w:pPr>
        <w:pStyle w:val="Heading5"/>
        <w:numPr>
          <w:ilvl w:val="4"/>
          <w:numId w:val="1"/>
        </w:numPr>
        <w:rPr/>
      </w:pPr>
      <w:bookmarkStart w:id="184" w:name="__RefHeading___Toc2082390_581953129"/>
      <w:bookmarkStart w:id="185" w:name="_Toc73"/>
      <w:bookmarkEnd w:id="184"/>
      <w:r>
        <w:rPr>
          <w:rtl w:val="true"/>
        </w:rPr>
        <w:t>الإشکال علی جواب السید الخوئی الأوّل</w:t>
      </w:r>
      <w:r>
        <w:rPr>
          <w:rtl w:val="true"/>
        </w:rPr>
        <w:t>:</w:t>
      </w:r>
      <w:bookmarkEnd w:id="185"/>
    </w:p>
    <w:p>
      <w:pPr>
        <w:pStyle w:val="BookText"/>
        <w:rPr/>
      </w:pPr>
      <w:r>
        <w:rPr>
          <w:rFonts w:ascii="IRNazanin" w:hAnsi="IRNazanin" w:eastAsia="IRNazanin"/>
          <w:color w:val="111111"/>
          <w:sz w:val="28"/>
          <w:sz w:val="28"/>
          <w:szCs w:val="28"/>
          <w:rtl w:val="true"/>
          <w:lang w:bidi="fa-IR"/>
        </w:rPr>
        <w:t xml:space="preserve">الظاهر أنّ جواب السید الخوئی غیر تامّ إذ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بیّنا سابقاً وسیأتی فی فروع المسألة لاحقاً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قاعدة الفراغ لا تجری فی الشک فی الأجزاء بل هی مختصّة بالفراغ من مجموع العمل أمّا فی الشک فی الأجزاء فتجری قاعدة التجاوز فقط، فلو شک فی أصل وجود الجزء دلّ منطوق قاعدة التجاوز علی عدم الاعتناء بالشک، أمّا لو شک فی صحّة الجزء المأتی به فإنّ قاعدة التجاوز تدلّ بمفهوم الأوّلویة علی عدم الاعتناء بالشک إذ لو لم یجب الاعتناء بالشک فی أصل وجود الشیء لم یجب الاعتناء بالشک فی صحّته بطریق أولی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الجمع بین القاعدتین ممکن بإلغاء الخصوصیّات علی ما ذکرناه فإنّ لحاظ الکلّ والجزء بما هما کلّ یستلزم اجتماع اللحاظ الاستقلالی والتبعی فی الجزء بخلاف لحاظهما مع إلغاء خصوصیّة الجزئیة والکلّیة بأنْ یلاحظ لفظ عام شامل لهما کلفظ الشیء ویحکم بعدم الاعتناء بالشک فیه بعد الخروج عن محله فإنّه لا محذور فیه أصلاً</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یذکر المحقق الخوئی فی هذا الجواب أنّه کما بیّنا فی الجواب عن الدلیل الأوّل أنّ متعلّق الشک هو عنوان الشیء بعد المضیّ الشامل للصحة والوجود فإنّ هنا أیضاً لا یلزم إشکال اجتماع لحاظین متغایرین علی ملحوظ واحد فیما لو ألغینا خصوصیة الکلّیة والجزئیة بجعل لفظ عام کلفظ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 هذا الجواب تامّ وصحیح</w:t>
      </w:r>
      <w:r>
        <w:rPr>
          <w:rStyle w:val="FootnoteAnchor"/>
          <w:rtl w:val="true"/>
        </w:rPr>
        <w:footnoteReference w:id="176"/>
      </w:r>
      <w:r>
        <w:rPr>
          <w:rFonts w:ascii="IRNazanin" w:hAnsi="IRNazanin" w:eastAsia="IRNazanin"/>
          <w:color w:val="111111"/>
          <w:sz w:val="28"/>
          <w:sz w:val="28"/>
          <w:szCs w:val="28"/>
          <w:rtl w:val="true"/>
          <w:lang w:bidi="fa-IR"/>
        </w:rPr>
        <w:t>لأنّ اجتماع اللحاظین المتغایرین إنّما یلزم فیما لو لاحظ الشارع المقدّس فی الکبری الکلّیة الجزء والکلّ بخصوصیاتها أمّا لو الغیت الخصوصیة عنهما واستعمل فی الکبری عنوان عام کلّی بحیث یشمل الجزء والکلّ معاً فلا یلزم 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الثالث ما ذکرناه أخیراً من أنّ الشک فی صحة الصلاة مثلاً بعد الفراغ منها یکون ناشئاً من الشک فی وجود الجزء أو الشرط فیکون مورداً لقاعدة التجاوز ویحکم بوجود المشکوک فیه فلا حاجة إلی جعل قاعدة الفراغ مستقلاً</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الثالث للسید الخوئی یعاکس جواب المحقق النائینی وذلک أنّ المیرزا النائینی کان یری أنّ هناک مجعولاً شرعیاً واحداً یسمّی بقاعدة الفراغ، أمّا</w:t>
      </w:r>
      <w:bookmarkStart w:id="186" w:name="pg5466_52821"/>
    </w:p>
    <w:p>
      <w:pPr>
        <w:pStyle w:val="BookText"/>
        <w:rPr/>
      </w:pPr>
      <w:bookmarkEnd w:id="186"/>
      <w:r>
        <w:rPr>
          <w:rFonts w:ascii="IRNazanin" w:hAnsi="IRNazanin" w:eastAsia="IRNazanin"/>
          <w:color w:val="111111"/>
          <w:sz w:val="28"/>
          <w:sz w:val="28"/>
          <w:szCs w:val="28"/>
          <w:rtl w:val="true"/>
          <w:lang w:bidi="fa-IR"/>
        </w:rPr>
        <w:t>المحقق الخوئی فیری أنّ الشک فی الصحّة راجع إلی الشک فی الوجود وبالتالی یکون من مصادیق قاعدة التجاوز ویُحکم فیه بوجود الجزء المشکوک فیه، ومن هنا فلا حاجة إلی جعل مستقل لقاعدة الفراغ حتی یُستشکل بأنّ فی جعل قاعدة الفراغ لابد من لحاظ الأجزاء علی نحو التبعیة والاندکاک، وفی قاعدة التجاوز علی نحو الاستقلالیة، وعلیه فلا یمکن جعلهما بخطاب وتعبیر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هذا الجواب غیر تام لأنّه قبولٌ وإقرار بالإشکال ولیس ردّاً علیه کما سبق ذلک فی جواب المحقق النائینی</w:t>
      </w:r>
      <w:r>
        <w:rPr>
          <w:rFonts w:eastAsia="IRNazanin" w:cs="IRNazanin"/>
          <w:color w:val="111111"/>
          <w:sz w:val="28"/>
          <w:szCs w:val="28"/>
          <w:rtl w:val="true"/>
          <w:lang w:bidi="fa-IR"/>
        </w:rPr>
        <w:t>.</w:t>
      </w:r>
    </w:p>
    <w:p>
      <w:pPr>
        <w:pStyle w:val="Heading4"/>
        <w:numPr>
          <w:ilvl w:val="3"/>
          <w:numId w:val="1"/>
        </w:numPr>
        <w:rPr/>
      </w:pPr>
      <w:bookmarkStart w:id="187" w:name="__RefHeading___Toc2082392_581953129"/>
      <w:bookmarkStart w:id="188" w:name="_Toc74"/>
      <w:bookmarkEnd w:id="187"/>
      <w:r>
        <w:rPr>
          <w:rtl w:val="true"/>
        </w:rPr>
        <w:t>الدلیل الثالث</w:t>
      </w:r>
      <w:r>
        <w:rPr>
          <w:rtl w:val="true"/>
        </w:rPr>
        <w:t xml:space="preserve">: </w:t>
      </w:r>
      <w:r>
        <w:rPr>
          <w:rtl w:val="true"/>
        </w:rPr>
        <w:t>محذور الجمع بین المعنی الحقیقی والمعنی المجازی</w:t>
      </w:r>
      <w:r>
        <w:rPr>
          <w:rtl w:val="true"/>
        </w:rPr>
        <w:t>:</w:t>
      </w:r>
      <w:bookmarkEnd w:id="188"/>
    </w:p>
    <w:p>
      <w:pPr>
        <w:pStyle w:val="Heading5"/>
        <w:numPr>
          <w:ilvl w:val="4"/>
          <w:numId w:val="1"/>
        </w:numPr>
        <w:rPr/>
      </w:pPr>
      <w:bookmarkStart w:id="189" w:name="__RefHeading___Toc2082394_581953129"/>
      <w:bookmarkStart w:id="190" w:name="_Toc75"/>
      <w:bookmarkEnd w:id="189"/>
      <w:r>
        <w:rPr>
          <w:rtl w:val="true"/>
        </w:rPr>
        <w:t>اشارة</w:t>
      </w:r>
      <w:bookmarkEnd w:id="190"/>
    </w:p>
    <w:p>
      <w:pPr>
        <w:pStyle w:val="BookText"/>
        <w:rPr/>
      </w:pPr>
      <w:r>
        <w:rPr>
          <w:rFonts w:ascii="IRNazanin" w:hAnsi="IRNazanin" w:eastAsia="IRNazanin"/>
          <w:color w:val="111111"/>
          <w:sz w:val="28"/>
          <w:sz w:val="28"/>
          <w:szCs w:val="28"/>
          <w:rtl w:val="true"/>
          <w:lang w:bidi="fa-IR"/>
        </w:rPr>
        <w:t>المحذور الثالث هو أنّه لو تضمّنت الکبری الکلّیة الواحدة علی بیان قاعدتی الفراغ والتجاوز أدّی ذلک إلی لزوم استعمال لفظ واحد فی کلا معنییه الحقیقی والمجازی واستعمال اللفظ فی المعنی الحقیقی والمجازی معاً مشکل ومحال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مجری قاعدة التجاوز هو التجاوز عن محل الجزء المشکوک بینما مجری قاعدة الفراغ هو التجاوز عن نفس العمل المرکّب والتجاوز عن الشیء نفسه، والجمع بینهما فی التعبیر والخطاب الواحد غیر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المحقق النائینی فی هذا المجال</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 أنّ المیزان فی جریان قاعدة التجاوز هو التجاوز عن محلّ الجزء المشکوک کما إذا دخل فی التشهّد وشکّ فی وجود الجزء السابق علیه کالسجدة والمیزان فی جریان قاعدة الفراغ هو التجاوز عن نفس المرکب فکیف یمکن إرادة التجاوز عن المحل والتجاوز عن نفس الشیء من لفظ التجاوز الوارد فی</w:t>
      </w:r>
      <w:bookmarkStart w:id="191" w:name="pg5466_52822"/>
    </w:p>
    <w:p>
      <w:pPr>
        <w:pStyle w:val="BookText"/>
        <w:rPr/>
      </w:pPr>
      <w:bookmarkEnd w:id="191"/>
      <w:r>
        <w:rPr>
          <w:rFonts w:ascii="IRNazanin" w:hAnsi="IRNazanin" w:eastAsia="IRNazanin"/>
          <w:color w:val="111111"/>
          <w:sz w:val="28"/>
          <w:sz w:val="28"/>
          <w:szCs w:val="28"/>
          <w:rtl w:val="true"/>
          <w:lang w:bidi="fa-IR"/>
        </w:rPr>
        <w:t>الروایة معاً</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 w:name="__RefHeading___Toc2082396_581953129"/>
      <w:bookmarkStart w:id="193" w:name="_Toc76"/>
      <w:bookmarkEnd w:id="192"/>
      <w:r>
        <w:rPr>
          <w:rtl w:val="true"/>
        </w:rPr>
        <w:t>یقول المحقق السید الخوئی فی توضیح هذا الدلیل</w:t>
      </w:r>
      <w:r>
        <w:rPr>
          <w:rtl w:val="true"/>
        </w:rPr>
        <w:t>:</w:t>
      </w:r>
      <w:bookmarkEnd w:id="193"/>
    </w:p>
    <w:p>
      <w:pPr>
        <w:pStyle w:val="BookText"/>
        <w:rPr/>
      </w:pPr>
      <w:r>
        <w:rPr>
          <w:rFonts w:ascii="IRNazanin" w:hAnsi="IRNazanin" w:eastAsia="IRNazanin"/>
          <w:color w:val="111111"/>
          <w:sz w:val="28"/>
          <w:sz w:val="28"/>
          <w:szCs w:val="28"/>
          <w:rtl w:val="true"/>
          <w:lang w:bidi="fa-IR"/>
        </w:rPr>
        <w:t>الوجه الثالث أنّ الجمع بین القاعدتین یستلزم استعمال اللفظ فی المعنی الحقیقی والمعنی العنائی وهو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التجاوز عن الشیء فی مورد قاعدة الفراغ هو التجاوز الحقیقی إذ الشک متعلق بصحّته مع العلم بوجوده فیصدق التجاوز عنه حقیقة بخلاف التجاوز فی مورد قاعدة التجاوز فإنّه لا یصدق التجاوز الحقیقی عن الشیء مع الشک فی وجوده، فلابدّ من إعمال عنایة بأنْ یکون المراد من التجاوز عن الشیء هو التجاوز عن محلّه علی طریقة المجاز فی الکلّمة أو فی الإسناد أو فی الحذف، بأن یراد من الشیءِ محلّه أو یُسند التجاوز إلیه بالإسناد المجازی أو یقدّر المضاف وهو لفظ المحلّ فالجمع بین القاعدتین فی جعل واحد یستلزم الجمع بین المعنی الحقیقی والعنائی وهو لا یجوز</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 w:name="__RefHeading___Toc2082398_581953129"/>
      <w:bookmarkStart w:id="195" w:name="_Toc77"/>
      <w:bookmarkEnd w:id="194"/>
      <w:r>
        <w:rPr>
          <w:rtl w:val="true"/>
        </w:rPr>
        <w:t>الإشکالات علی الدلیل الثالث</w:t>
      </w:r>
      <w:r>
        <w:rPr>
          <w:rtl w:val="true"/>
        </w:rPr>
        <w:t>:</w:t>
      </w:r>
      <w:bookmarkEnd w:id="195"/>
    </w:p>
    <w:p>
      <w:pPr>
        <w:pStyle w:val="Heading6"/>
        <w:numPr>
          <w:ilvl w:val="5"/>
          <w:numId w:val="1"/>
        </w:numPr>
        <w:rPr/>
      </w:pPr>
      <w:bookmarkStart w:id="196" w:name="__RefHeading___Toc2082400_581953129"/>
      <w:bookmarkStart w:id="197" w:name="_Toc78"/>
      <w:bookmarkEnd w:id="196"/>
      <w:r>
        <w:rPr>
          <w:rtl w:val="true"/>
        </w:rPr>
        <w:t>اشارة</w:t>
      </w:r>
      <w:bookmarkEnd w:id="197"/>
    </w:p>
    <w:p>
      <w:pPr>
        <w:pStyle w:val="BookText"/>
        <w:rPr/>
      </w:pPr>
      <w:r>
        <w:rPr>
          <w:rFonts w:ascii="IRNazanin" w:hAnsi="IRNazanin" w:eastAsia="IRNazanin"/>
          <w:color w:val="111111"/>
          <w:sz w:val="28"/>
          <w:sz w:val="28"/>
          <w:szCs w:val="28"/>
          <w:rtl w:val="true"/>
          <w:lang w:bidi="fa-IR"/>
        </w:rPr>
        <w:t xml:space="preserve">أجیب عن الدلیل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محذور الجمع بین المعنی الحقیقی والمعنی المجازی بجوابین أحدهما للمحقق النائینی والآخر للسید 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جواب المحقق النائینی عن الدلیل الثالث</w:t>
      </w:r>
      <w:r>
        <w:rPr>
          <w:rFonts w:eastAsia="IRNazanin" w:cs="IRNazanin"/>
          <w:color w:val="111111"/>
          <w:sz w:val="28"/>
          <w:szCs w:val="28"/>
          <w:rtl w:val="true"/>
          <w:lang w:bidi="fa-IR"/>
        </w:rPr>
        <w:t>:</w:t>
      </w:r>
    </w:p>
    <w:p>
      <w:pPr>
        <w:pStyle w:val="Heading6"/>
        <w:numPr>
          <w:ilvl w:val="5"/>
          <w:numId w:val="1"/>
        </w:numPr>
        <w:rPr/>
      </w:pPr>
      <w:bookmarkStart w:id="198" w:name="__RefHeading___Toc2082402_581953129"/>
      <w:bookmarkStart w:id="199" w:name="_Toc79"/>
      <w:bookmarkEnd w:id="198"/>
      <w:r>
        <w:rPr/>
        <w:t>1</w:t>
      </w:r>
      <w:r>
        <w:rPr>
          <w:rtl w:val="true"/>
        </w:rPr>
        <w:t xml:space="preserve"> - </w:t>
      </w:r>
      <w:r>
        <w:rPr>
          <w:rtl w:val="true"/>
        </w:rPr>
        <w:t>نظریة المحقق النائینی</w:t>
      </w:r>
      <w:r>
        <w:rPr>
          <w:rtl w:val="true"/>
        </w:rPr>
        <w:t>:</w:t>
      </w:r>
      <w:bookmarkEnd w:id="19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هناک عنواناً عاماً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التجاوز عن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مصادیق مختلفة أی أنّ</w:t>
      </w:r>
      <w:bookmarkStart w:id="200" w:name="pg5466_52823"/>
    </w:p>
    <w:p>
      <w:pPr>
        <w:pStyle w:val="BookText"/>
        <w:rPr/>
      </w:pPr>
      <w:bookmarkEnd w:id="200"/>
      <w:r>
        <w:rPr>
          <w:rFonts w:ascii="IRNazanin" w:hAnsi="IRNazanin" w:eastAsia="IRNazanin"/>
          <w:color w:val="111111"/>
          <w:sz w:val="28"/>
          <w:sz w:val="28"/>
          <w:szCs w:val="28"/>
          <w:rtl w:val="true"/>
          <w:lang w:bidi="fa-IR"/>
        </w:rPr>
        <w:t>هناک أمرین یوجبان تحقق ذلک العنوان أحدهما الفراغ من العمل، والمصداق الآخر هو التجاوز عن المحلّ المعیّن وعلیه فلا یلزم إشکال الجمع بین المعنیین الحقیقی والمجازی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 التجاوز الوارد فیها هو التجاوز عن نفس الشیءِ مطلقاً غایة الأمر أنّ التجاوز عن محلّ المشکوک بعد تعیّن وقوعه فیه یوجب صدق التجاوز عن المشکوک، فمحقق التجاوز عن الشیء أمران أحدهما التجاوز عنه بالفراغ عنه والثانی التجاوز عنه بتجاوز محلّه المتعیّن وقوعه فیه کما فی موارد التجاوز</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1" w:name="__RefHeading___Toc2082404_581953129"/>
      <w:bookmarkStart w:id="202" w:name="_Toc80"/>
      <w:bookmarkEnd w:id="201"/>
      <w:r>
        <w:rPr/>
        <w:t>2</w:t>
      </w:r>
      <w:r>
        <w:rPr>
          <w:rtl w:val="true"/>
        </w:rPr>
        <w:t xml:space="preserve"> - </w:t>
      </w:r>
      <w:r>
        <w:rPr>
          <w:rtl w:val="true"/>
        </w:rPr>
        <w:t>نظریة المحقق الخوئی</w:t>
      </w:r>
      <w:r>
        <w:rPr>
          <w:rtl w:val="true"/>
        </w:rPr>
        <w:t>:</w:t>
      </w:r>
      <w:bookmarkEnd w:id="202"/>
    </w:p>
    <w:p>
      <w:pPr>
        <w:pStyle w:val="BookText"/>
        <w:rPr/>
      </w:pPr>
      <w:r>
        <w:rPr>
          <w:rFonts w:ascii="IRNazanin" w:hAnsi="IRNazanin" w:eastAsia="IRNazanin"/>
          <w:color w:val="111111"/>
          <w:sz w:val="28"/>
          <w:sz w:val="28"/>
          <w:szCs w:val="28"/>
          <w:rtl w:val="true"/>
          <w:lang w:bidi="fa-IR"/>
        </w:rPr>
        <w:t>أجاب المرحوم السید الخوئی عن هذا الإشکال بما یُشبه جوابه عن الإشکال الثانی وهو أنّ الشک فی الصحة ناشئ عن الشک فی الوجود ومتی أمکن إجراء قاعدة التجاوز لم یبق مجال لقاعدة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یظهر الجواب عن هذا الاستدلال مما ذکرناه من أنّ الشک فی الصحة دائماً ناشئٌ من الشک فی وجود الجزء أو الشرط فالتجاوز فی مورد قاعدة الفراغ أیضاً هو التجاوز عن محلّ الشیء المشکوک فیه سواء کان جزءاً أو شرطاً فلا فرق بین قاعدة الفراغ والتجاوز عن هذه الجهة ولا یلزم بین المعنی الحقیقی والعنائی</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3" w:name="__RefHeading___Toc2082406_581953129"/>
      <w:bookmarkStart w:id="204" w:name="_Toc81"/>
      <w:bookmarkEnd w:id="203"/>
      <w:r>
        <w:rPr>
          <w:rtl w:val="true"/>
        </w:rPr>
        <w:t>الدلیل الرابع محذور التدافع</w:t>
      </w:r>
      <w:r>
        <w:rPr>
          <w:rtl w:val="true"/>
        </w:rPr>
        <w:t>:</w:t>
      </w:r>
      <w:bookmarkEnd w:id="204"/>
    </w:p>
    <w:p>
      <w:pPr>
        <w:pStyle w:val="Heading5"/>
        <w:numPr>
          <w:ilvl w:val="4"/>
          <w:numId w:val="1"/>
        </w:numPr>
        <w:rPr/>
      </w:pPr>
      <w:bookmarkStart w:id="205" w:name="__RefHeading___Toc2082408_581953129"/>
      <w:bookmarkStart w:id="206" w:name="_Toc82"/>
      <w:bookmarkEnd w:id="205"/>
      <w:r>
        <w:rPr>
          <w:rtl w:val="true"/>
        </w:rPr>
        <w:t>اشارة</w:t>
      </w:r>
      <w:bookmarkEnd w:id="20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الإشکال الأخیر علی اتحاد قاعدة الفراغ والتجاوز هو محذور التدافع الذی</w:t>
      </w:r>
      <w:bookmarkStart w:id="207" w:name="pg5466_52824"/>
    </w:p>
    <w:p>
      <w:pPr>
        <w:pStyle w:val="BookText"/>
        <w:rPr/>
      </w:pPr>
      <w:bookmarkEnd w:id="207"/>
      <w:r>
        <w:rPr>
          <w:rFonts w:ascii="IRNazanin" w:hAnsi="IRNazanin" w:eastAsia="IRNazanin"/>
          <w:color w:val="111111"/>
          <w:sz w:val="28"/>
          <w:sz w:val="28"/>
          <w:szCs w:val="28"/>
          <w:rtl w:val="true"/>
          <w:lang w:bidi="fa-IR"/>
        </w:rPr>
        <w:t>ذکر أصله الشیخ الأعظم الأنصاری فی الرسائل إلاّ أنّ المحقق النائینی ذکره ببیان أوضح ودقّة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دلّت الکبری الواحدة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الاعتناء بالشک بعد المضیّ، علی القاعدتین لزم التناقض والتدافع، مثلاً لو شک المصلّی حالة السجود فی أنّه هل رکع أو لا؟ دلّ منطوق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الاعتناء بالشک بعد المضی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 اعتنائه بشکه لأنه قد تجاوز عن محل الجزء المشکوک، وبهذا یکون المنطوق مفیداً لقاعدة التجاوز، أمّا بالنسبة إلی جمیع الصلاة فلم یحصل المضیّ فیها لأنّ العمل لم تکتمل بعدُ، ومن هنا دلّ مفهوم القاعدة علی وجوب الاعتناء بهذا الشک، وبالتالی یکون المفهوم مفیداً لقاعدة الفراغ، وعلی هذا کلّه لا یمکن للکبری الکلّیة الواحدة أن تبیّن الشک فی الکلّ والجزء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أخری فإنّ التعبیر 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الکبری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دلّت علی القاعدتین فإنّ فی الشک فی الجزء قبل انتهاء العمل تحکم قاعدة الفراغ بعدم الاعتناء بالشک، أمّا قاعدة الفراغ فتحکم بوجوب الاعتناء بالشک وهذا لیس بصحیح، لأنّ ذلک یعنی تدافع القاعدتین</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 w:name="__RefHeading___Toc2082410_581953129"/>
      <w:bookmarkStart w:id="209" w:name="_Toc83"/>
      <w:bookmarkEnd w:id="208"/>
      <w:r>
        <w:rPr>
          <w:rtl w:val="true"/>
        </w:rPr>
        <w:t>الإشکالات علی الدلیل الرابع</w:t>
      </w:r>
      <w:r>
        <w:rPr>
          <w:rtl w:val="true"/>
        </w:rPr>
        <w:t>:</w:t>
      </w:r>
      <w:bookmarkEnd w:id="20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أجیب عن هذا الدلیل بعدّة أجوبة وقد أوردت علیها إیرادات متعدّدة ونحن بدورنا نناقشها ونبحث حولها</w:t>
      </w:r>
      <w:r>
        <w:rPr>
          <w:rFonts w:eastAsia="IRNazanin" w:cs="IRNazanin"/>
          <w:color w:val="111111"/>
          <w:sz w:val="28"/>
          <w:szCs w:val="28"/>
          <w:rtl w:val="true"/>
          <w:lang w:bidi="fa-IR"/>
        </w:rPr>
        <w:t>:</w:t>
      </w:r>
      <w:bookmarkStart w:id="210" w:name="pg5466_52825"/>
    </w:p>
    <w:p>
      <w:pPr>
        <w:pStyle w:val="Heading5"/>
        <w:numPr>
          <w:ilvl w:val="4"/>
          <w:numId w:val="1"/>
        </w:numPr>
        <w:rPr/>
      </w:pPr>
      <w:bookmarkStart w:id="211" w:name="__RefHeading___Toc2082412_581953129"/>
      <w:bookmarkStart w:id="212" w:name="_Toc84"/>
      <w:bookmarkEnd w:id="210"/>
      <w:bookmarkEnd w:id="211"/>
      <w:r>
        <w:rPr>
          <w:rtl w:val="true"/>
        </w:rPr>
        <w:t>نظریة المحقق النائینی</w:t>
      </w:r>
      <w:r>
        <w:rPr>
          <w:rtl w:val="true"/>
        </w:rPr>
        <w:t>:</w:t>
      </w:r>
      <w:bookmarkEnd w:id="212"/>
    </w:p>
    <w:p>
      <w:pPr>
        <w:pStyle w:val="BookText"/>
        <w:rPr/>
      </w:pPr>
      <w:r>
        <w:rPr>
          <w:rFonts w:ascii="IRNazanin" w:hAnsi="IRNazanin" w:eastAsia="IRNazanin"/>
          <w:color w:val="111111"/>
          <w:sz w:val="28"/>
          <w:sz w:val="28"/>
          <w:szCs w:val="28"/>
          <w:rtl w:val="true"/>
          <w:lang w:bidi="fa-IR"/>
        </w:rPr>
        <w:t>إنّ المحقق النائینی بعد أن بیّن أصل الدلیل ذکر الإشکالین علیه ثمّ أجاب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محذور التدافع لیس مختصّاً بما إذا أفادت الکبری الکلّیة الواحدة کلتا القاعدتین بل التدافع یبقی حاضراً حتّی لو کانت القاعدتان قاعدتین مستقلّتین لأنّ قاعدة التجاوز تحکم بوجوب عدم الاعتناء بالشک فی الجزء قبل الفراغ من العمل کلّه بینما یحکم مفهوم قاعدة الفراغ بلزوم الاعتناء بذلک الشک وذلک لأنّ العمل لم ینته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 المحقق النائینی عن هذا الإشکال انطلاقاً من رؤیته فی حکومة قاعدة التجاوز علی قاعدة الفراغ بأنّا لو جعلنا القاعدتین مستقلّتین فإنّ قاعدة التجاوز بما أنّها حاکمة علی قاعدة الفراغ فلا یلزم محذور التدافع بخلاف ما لو جعلناهما قاعدة واحدة معنونة بعنوان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کلّ من قاعدتی التجاوز والفراغ مغایرة للأخری یلزم التدافع أیضاً إذ بمقتضی قاعدة التجاوز قد تجاوز عن محل الجزء المشکوک وبمقتضی قاعدة الفراغ لم یتجاوز عن المرکب فلزوم التدافع من آثار جعل القاعدتین سواء کان بجعل واحد أو بجعلین</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جعل قاعدة التجاوز مغایراً لجعل قاعدة الفراغ فلا محالة تکون قاعدة التجاوز حاکمة علی قاعدة الفراغ فإنّ الشک فی صحة العمل وفساده فی مفروض الکلام مسبّب عن الشک فی وجود الجزء المشکوک وعدمه فإذا حکم بمقتضی قاعدة التجاوز بوجود الجزء فلا یبقی شک فی صحة العمل وفساده فالتدافع بوحدة الجعل لیس إلاّ</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فی حکومة أحد الدلیلین علی الدلیل الآخرین أن یکون الدلیلان مجعولین بجعل واحد أو بجعلین مختلفین، ومّما یشهد علی ذلک ما قلنا فی مبحث الاستصحاب من أنّ الاستصحاب السببی حاکمٌ علی الاستصحاب المسبّبی مع أنّ دلیل حجیّتها أمر واحد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فإنّ الحکومة آتیة حتّی فیما لو کانت القاعدتان مجعولتین بجعل واحدٍ وبالتالی لا یلزم التدافع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 المحقّق النائینی بأنّ قیاس قاعدتی الفراغ والتجاوز علی الأصل السببی والمسببی قیاس مع الفارق، وذلک إذ لابدّ فی باب الحکومة من وجود المقتضی لجریان کلا الدلیلین، ومع جریان أحدهما لم یبق مجال لجریان الآخر، لوجود المانع أمامه کما هو الحال فی الأصل السببی والأصل المسبّبی، ولیس الأمر کذلک فیما نحن فیه إذ مع جریان قاعدة التجاوز لا یبقی مورد لقاعدة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أنّ قاعدة الفراغ لا تجری فی الشک فی الجزء قبل الفراغ من العمل بوجهٍ من الوجوه سواء کانت قاعدة التجاوز حاکمة علیها أم لم 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ففی قاعدة الفراغ والتجاوز لو تکفلّت الکبری الواحدة لبیان کلتا القاعدتین لم یکن ذلک من باب حکومة أحد الدلیلین علی الآخر بل یکون اعتباران فی مورد واحد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حکومة أحد الأصلین علی الآخرین ما إذا کانا مجعولین بجعل کحکومة الاستصحاب علی البراءة وبین ما إذا کانا مجعولین بجعل واحد کما فی حکومة أحد الاستصحابین علی الآخر فإذا کان شمول</w:t>
      </w:r>
    </w:p>
    <w:p>
      <w:pPr>
        <w:pStyle w:val="BookText"/>
        <w:rPr/>
      </w:pPr>
      <w:r>
        <w:rPr>
          <w:rFonts w:ascii="IRNazanin" w:hAnsi="IRNazanin" w:eastAsia="IRNazanin"/>
          <w:color w:val="111111"/>
          <w:sz w:val="28"/>
          <w:sz w:val="28"/>
          <w:szCs w:val="28"/>
          <w:rtl w:val="true"/>
          <w:lang w:bidi="fa-IR"/>
        </w:rPr>
        <w:t>القاعدة لمورد التجاوز عن الجزء موجباً لعدم التدافع من جهة حکومتها علی قاعدة الفراغ فلا یفرق بین الجعل الواحد والجعلین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حکومة أحد الأصلین المجعولین بجعل واحد علی الآخر تتوقّف علی کون المورد فی حدّ ذاته قابلاً لجریان کلّ منهما وکون فعلیّة الجریان فی أحدهما مانعةً عن الجریان فی الآخر لارتفاع موضوعه به کما فی موارد الأصل السببی والمسبّبی ولو کانا من سنخٍ واحدٍ، ومحلّ الکلام لیس من هذا القبیل إذ جریان قاعدة الفراغ فرع الفراغ عن العمل وهو غیر متحقّق فی مفروض المثال فقبل الفراغ لا موضوع لجریان القاعدة حتّی یتکلّم فی حکومة قاعدة التجاوز علیها بل المتحقّق فیه هو عکس القاعدة</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ریب أنّه مع اتّحاد الکبری المجعولة ولحاظ الجزء أمراً مستقلاً عند لحاظ المرکّب بما هو، یندرج مفروض المثال فی القاعدة وعکسها باعتبارین وأین هذا من حکومة أحد الأصلین علی الآخر؟ وبالجملة حکومة بعض أفراد الأصل علی البعض الآخر وإن کان مّما لا ینکر إلاّ أنّه لیس فی المقام فردان من الأصل بل اعتباران فی مورد واحد یکون المورد داخلاً فی نفس القاعدة باعتبار وفی عکسه باعتبار آخر، ولا معنی لدعوی حکومة أحد الاعتبارین علی الآخر، وهذا بخلاف ما إذا کان هناک قاعدتان مجعولتان علی نحو الاستقلال فإنّ الشک فی مفروض المثال داخل فی کلّ من القاعدتین فی حد ذاته لکن شمول قاعدة التجاوز له یمنع عن شمول القاعدة الأخری له باعتبار عکسه بالحکومة فدعوی الحکومة تنحصر بصورة تعدد القاعدتین لیس إلاّ</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bookmarkStart w:id="213" w:name="pg5466_52828"/>
    </w:p>
    <w:p>
      <w:pPr>
        <w:pStyle w:val="Heading5"/>
        <w:numPr>
          <w:ilvl w:val="4"/>
          <w:numId w:val="1"/>
        </w:numPr>
        <w:rPr/>
      </w:pPr>
      <w:bookmarkStart w:id="214" w:name="__RefHeading___Toc2082414_581953129"/>
      <w:bookmarkStart w:id="215" w:name="_Toc85"/>
      <w:bookmarkEnd w:id="213"/>
      <w:bookmarkEnd w:id="214"/>
      <w:r>
        <w:rPr>
          <w:rtl w:val="true"/>
        </w:rPr>
        <w:t>جواب المحقق النائینی عن محذور التدافع</w:t>
      </w:r>
      <w:r>
        <w:rPr>
          <w:rtl w:val="true"/>
        </w:rPr>
        <w:t>:</w:t>
      </w:r>
      <w:bookmarkEnd w:id="215"/>
    </w:p>
    <w:p>
      <w:pPr>
        <w:pStyle w:val="BookText"/>
        <w:rPr/>
      </w:pPr>
      <w:r>
        <w:rPr>
          <w:rFonts w:ascii="IRNazanin" w:hAnsi="IRNazanin" w:eastAsia="IRNazanin"/>
          <w:color w:val="111111"/>
          <w:sz w:val="28"/>
          <w:sz w:val="28"/>
          <w:szCs w:val="28"/>
          <w:rtl w:val="true"/>
          <w:lang w:bidi="fa-IR"/>
        </w:rPr>
        <w:t>أجاب المیرزا النائینی بنفسه عن محذور التدافع بعد ذکره للإشکالین والجواب عنهما، وجوابه هذا هو نفس الجواب الذی أجاب به عن محذور اجتماع اللحاظین المتغایرین فیما سبق، وذلک أنّ المستفاد ابتداءاً ولأوّل وهلة من الروایات الواردة فی هذا الباب هی قاعدة الفراغ، أمّا بعض الروایات الدالة علی قاعدة التجاوز فأنّها لیست فی عرض الروایات بل هی حاکمة علیها، ومن هنا فلا تجری القاعدتان فی زمان واحد فی عرض بعضهما لیلزم محذور التدافع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وعندی أنّ کلامه هذا إنّما هو إقرار وقبول للإشکال ولیس جواباً عنه کما أسلفنا ذلک فی بحث محذور اجتماع اللحاظین المتغایرین</w:t>
      </w:r>
      <w:r>
        <w:rPr>
          <w:rFonts w:eastAsia="IRNazanin" w:cs="IRNazanin"/>
          <w:color w:val="111111"/>
          <w:sz w:val="28"/>
          <w:szCs w:val="28"/>
          <w:rtl w:val="true"/>
          <w:lang w:bidi="fa-IR"/>
        </w:rPr>
        <w:t>.</w:t>
      </w:r>
    </w:p>
    <w:p>
      <w:pPr>
        <w:pStyle w:val="Heading5"/>
        <w:numPr>
          <w:ilvl w:val="4"/>
          <w:numId w:val="1"/>
        </w:numPr>
        <w:rPr/>
      </w:pPr>
      <w:bookmarkStart w:id="216" w:name="__RefHeading___Toc2082416_581953129"/>
      <w:bookmarkStart w:id="217" w:name="_Toc86"/>
      <w:bookmarkEnd w:id="216"/>
      <w:r>
        <w:rPr>
          <w:rtl w:val="true"/>
        </w:rPr>
        <w:t>نظریة المحقق الخوئی</w:t>
      </w:r>
      <w:r>
        <w:rPr>
          <w:rtl w:val="true"/>
        </w:rPr>
        <w:t>:</w:t>
      </w:r>
      <w:bookmarkEnd w:id="217"/>
    </w:p>
    <w:p>
      <w:pPr>
        <w:pStyle w:val="BookText"/>
        <w:rPr/>
      </w:pPr>
      <w:r>
        <w:rPr>
          <w:rFonts w:ascii="IRNazanin" w:hAnsi="IRNazanin" w:eastAsia="IRNazanin"/>
          <w:color w:val="111111"/>
          <w:sz w:val="28"/>
          <w:sz w:val="28"/>
          <w:szCs w:val="28"/>
          <w:rtl w:val="true"/>
          <w:lang w:bidi="fa-IR"/>
        </w:rPr>
        <w:t>ذکر المرحوم المحقق السید الخوئی فی مقام الإجابة عن هذا الدلیل ما أجاب به عن الدلیل الثانی والثالث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الشک فی الصحة راجعاً إلی الشک فی الوجود فمع جریان قاعدة التجاوز لم یبق هناک شکّ لنحتاج إلی جریان قاعدة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أثبتنا وجود الصحیح بإجراء قاعدة التجاوز لم یبق مجال للشک فی الصحّة لنحتاج إلی إجراء قاعدة الفراغ حتی یلزم التدافع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البیان یُرفع محذور التدافع</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عنه أنّ الشک فی صحّة الصلاة فی مفروض المثال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الشک فی الرکوع بعد الدخول فی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مسبّب عن الشک فی وجود الرکوع لما ذکرناه من أنّ الشک فی الصحة دائماً ناشئ من الشک فی وجود أو الشرط فبعد الحکم بوجود الرکوع لقاعدة التجاوز لا یبقی شک فی صحة الصلاة حتی یکون مورداً</w:t>
      </w:r>
      <w:bookmarkStart w:id="218" w:name="pg5466_52829"/>
    </w:p>
    <w:p>
      <w:pPr>
        <w:pStyle w:val="BookText"/>
        <w:rPr/>
      </w:pPr>
      <w:bookmarkEnd w:id="218"/>
      <w:r>
        <w:rPr>
          <w:rFonts w:ascii="IRNazanin" w:hAnsi="IRNazanin" w:eastAsia="IRNazanin"/>
          <w:color w:val="111111"/>
          <w:sz w:val="28"/>
          <w:sz w:val="28"/>
          <w:szCs w:val="28"/>
          <w:rtl w:val="true"/>
          <w:lang w:bidi="fa-IR"/>
        </w:rPr>
        <w:t>لمفهوم قاعدة الفراغ ویقع التدافع بینه وبین منطوق قاعدة التجاوز</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 w:name="__RefHeading___Toc2082418_581953129"/>
      <w:bookmarkStart w:id="220" w:name="_Toc87"/>
      <w:bookmarkEnd w:id="219"/>
      <w:r>
        <w:rPr>
          <w:rtl w:val="true"/>
        </w:rPr>
        <w:t>مناقشة نظریة المحقق الخوئی</w:t>
      </w:r>
      <w:r>
        <w:rPr>
          <w:rtl w:val="true"/>
        </w:rPr>
        <w:t>:</w:t>
      </w:r>
      <w:bookmarkEnd w:id="220"/>
    </w:p>
    <w:p>
      <w:pPr>
        <w:pStyle w:val="BookText"/>
        <w:rPr/>
      </w:pPr>
      <w:r>
        <w:rPr>
          <w:rFonts w:ascii="IRNazanin" w:hAnsi="IRNazanin" w:eastAsia="IRNazanin"/>
          <w:color w:val="111111"/>
          <w:sz w:val="28"/>
          <w:sz w:val="28"/>
          <w:szCs w:val="28"/>
          <w:rtl w:val="true"/>
          <w:lang w:bidi="fa-IR"/>
        </w:rPr>
        <w:t>ذکرنا فی الأبحاث السابقة إشکالین علی القول بأنّ الشک فی الصحة إنّما ینشأ دائماً من الشک فی وجود الجزء أو الشرط وسنبحث فی ذلک مفصّلاً فی نهایة البحث عن مقام الثبوت، ونتجنّب عن الخوض فی ذلک هنا</w:t>
      </w:r>
      <w:r>
        <w:rPr>
          <w:rFonts w:eastAsia="IRNazanin" w:cs="IRNazanin"/>
          <w:color w:val="111111"/>
          <w:sz w:val="28"/>
          <w:szCs w:val="28"/>
          <w:rtl w:val="true"/>
          <w:lang w:bidi="fa-IR"/>
        </w:rPr>
        <w:t>:</w:t>
      </w:r>
    </w:p>
    <w:p>
      <w:pPr>
        <w:pStyle w:val="Heading5"/>
        <w:numPr>
          <w:ilvl w:val="4"/>
          <w:numId w:val="1"/>
        </w:numPr>
        <w:rPr/>
      </w:pPr>
      <w:bookmarkStart w:id="221" w:name="__RefHeading___Toc2082420_581953129"/>
      <w:bookmarkStart w:id="222" w:name="_Toc88"/>
      <w:bookmarkEnd w:id="221"/>
      <w:r>
        <w:rPr>
          <w:rtl w:val="true"/>
        </w:rPr>
        <w:t>الرأی المختار فی الدلیل الرابع</w:t>
      </w:r>
      <w:r>
        <w:rPr>
          <w:rtl w:val="true"/>
        </w:rPr>
        <w:t>:</w:t>
      </w:r>
      <w:bookmarkEnd w:id="222"/>
    </w:p>
    <w:p>
      <w:pPr>
        <w:pStyle w:val="BookText"/>
        <w:rPr/>
      </w:pPr>
      <w:r>
        <w:rPr>
          <w:rFonts w:ascii="IRNazanin" w:hAnsi="IRNazanin" w:eastAsia="IRNazanin"/>
          <w:color w:val="111111"/>
          <w:sz w:val="28"/>
          <w:sz w:val="28"/>
          <w:szCs w:val="28"/>
          <w:rtl w:val="true"/>
          <w:lang w:bidi="fa-IR"/>
        </w:rPr>
        <w:t>الظاهر أنّ الجواب الصحیح هو الجواب الرابع الذی ذُکر فی الدلیل الثانی المتعلّق بمحذور اجتماع اللحاظین المتغایرین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تصوّرنا من البدایة نوعین من التصوّر أحدهما التجاوز عن 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التجاوز عن مجموع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والآخر هو التجاوز من الجزء إلی الجزء الآخر حصل التدافع بین قاعدتی الفراغ والتجاوز حیث إنّ فی مورد الشک فی الرکوع حین السجدة یدلّ منطوق قاعدة التجاوز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الجاریة فی التجاوز من الجزء إلی الجزء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عدم الاعتناء بهذا الشک، لکن مفهوم قاعدة الفراغ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الجاریة فی التجاوز من مجموع الشیء وکلّ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وجوب الاعتناء بهذا الشکّ فیحصل التدافع بین منطوق قاعدة التجاوز ومفهوم قاعدة الفراغ فیتدافعان</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لو جعلنا کبری کلّیة واحدة بحیث لا تعیّن متعلّق التجاوز کأن یکون ذلک التعبیر الکلّی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الاعتناء بالشک بعد المضیّ أو التجاوز عن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الکبری الکلّیة مطلق التجاوز سواء عن مجموع العمل أو من جزءٍ إلی جزءٍ آخر</w:t>
      </w:r>
      <w:bookmarkStart w:id="223" w:name="pg5466_52830"/>
    </w:p>
    <w:p>
      <w:pPr>
        <w:pStyle w:val="BookText"/>
        <w:rPr/>
      </w:pPr>
      <w:bookmarkEnd w:id="223"/>
      <w:r>
        <w:rPr>
          <w:rFonts w:ascii="IRNazanin" w:hAnsi="IRNazanin" w:eastAsia="IRNazanin"/>
          <w:color w:val="111111"/>
          <w:sz w:val="28"/>
          <w:sz w:val="28"/>
          <w:szCs w:val="28"/>
          <w:rtl w:val="true"/>
          <w:lang w:bidi="fa-IR"/>
        </w:rPr>
        <w:t>فلا یتحقق التدافع بین منطوق قاعدة التجاوز ومفهوم قاعدة الفراغ</w:t>
      </w:r>
      <w:r>
        <w:rPr>
          <w:rFonts w:eastAsia="IRNazanin" w:cs="IRNazanin"/>
          <w:color w:val="111111"/>
          <w:sz w:val="28"/>
          <w:szCs w:val="28"/>
          <w:rtl w:val="true"/>
          <w:lang w:bidi="fa-IR"/>
        </w:rPr>
        <w:t>.</w:t>
      </w:r>
    </w:p>
    <w:p>
      <w:pPr>
        <w:pStyle w:val="Heading5"/>
        <w:numPr>
          <w:ilvl w:val="4"/>
          <w:numId w:val="1"/>
        </w:numPr>
        <w:rPr/>
      </w:pPr>
      <w:bookmarkStart w:id="224" w:name="__RefHeading___Toc2082422_581953129"/>
      <w:bookmarkStart w:id="225" w:name="_Toc89"/>
      <w:bookmarkEnd w:id="224"/>
      <w:r>
        <w:rPr>
          <w:rtl w:val="true"/>
        </w:rPr>
        <w:t>نتیجة البحث فی مقام الثبوت</w:t>
      </w:r>
      <w:r>
        <w:rPr>
          <w:rtl w:val="true"/>
        </w:rPr>
        <w:t>:</w:t>
      </w:r>
      <w:bookmarkEnd w:id="225"/>
    </w:p>
    <w:p>
      <w:pPr>
        <w:pStyle w:val="BookText"/>
        <w:rPr/>
      </w:pPr>
      <w:r>
        <w:rPr>
          <w:rFonts w:ascii="IRNazanin" w:hAnsi="IRNazanin" w:eastAsia="IRNazanin"/>
          <w:color w:val="111111"/>
          <w:sz w:val="28"/>
          <w:sz w:val="28"/>
          <w:szCs w:val="28"/>
          <w:rtl w:val="true"/>
          <w:lang w:bidi="fa-IR"/>
        </w:rPr>
        <w:t>نتیجة ما بحثنا عنه فی مقام الثبوت إلی الآن هی أنّ جعل قاعدتی الفراغ والتجاوز بالجعل الواحد أمر ممکن حیث یمکن للشارع أن یبیّن کلتا القاعدتین ضمن کبری کلیّة واحدة، هذا وقد أجبنا فیما سبق</w:t>
      </w:r>
      <w:r>
        <w:rPr>
          <w:rStyle w:val="FootnoteAnchor"/>
          <w:rtl w:val="true"/>
        </w:rPr>
        <w:footnoteReference w:id="186"/>
      </w:r>
      <w:r>
        <w:rPr>
          <w:rFonts w:ascii="IRNazanin" w:hAnsi="IRNazanin" w:eastAsia="IRNazanin"/>
          <w:color w:val="111111"/>
          <w:sz w:val="28"/>
          <w:sz w:val="28"/>
          <w:szCs w:val="28"/>
          <w:rtl w:val="true"/>
          <w:lang w:bidi="fa-IR"/>
        </w:rPr>
        <w:t>عن جمیع المحاذیر الواردة علی اتّحاد القاعدتین، هذا وإن کان جعلهما علی نحو الاستقلال أمراً ممکناً خالیاً من الإشکال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البحث عن مقام الثبوت تصل النوبة للبحث عن مقام الإثبات وهو أنّ الشارع هل قام بتشریع القاعدتین فی کلامه بجعل واحدٍ أو بجعلین مستقلین أو أنّ تعابیر الروایات مختلفة فی ذلک؟</w:t>
      </w:r>
    </w:p>
    <w:p>
      <w:pPr>
        <w:pStyle w:val="BookText"/>
        <w:rPr/>
      </w:pPr>
      <w:r>
        <w:rPr>
          <w:rFonts w:ascii="IRNazanin" w:hAnsi="IRNazanin" w:eastAsia="IRNazanin"/>
          <w:color w:val="111111"/>
          <w:sz w:val="28"/>
          <w:sz w:val="28"/>
          <w:szCs w:val="28"/>
          <w:rtl w:val="true"/>
          <w:lang w:bidi="fa-IR"/>
        </w:rPr>
        <w:t>ولابد قبل الخوض فی البحث عن مقام الإثبات، من بیان أنّ الشک فی الصحة راجع إلی الشک فی الوجود أم لا؟ ذلک أنّ هذا المطلب قد ذکر فی کلمات کثیر من الأعاظم فإنْ سلّمنا بهذه الکبری کان لابدّ لنا عند الحدیث عن الروایات فی المباحث الآتیة من الالتزام بأنّ المراد من الروایات الدالة علی الشک فی الصحة هو الشکّ فی الوجود، وبالتالی تکون الروایات کلّها دالة علی قاعدة التجاوز</w:t>
      </w:r>
      <w:r>
        <w:rPr>
          <w:rFonts w:eastAsia="IRNazanin" w:cs="IRNazanin"/>
          <w:color w:val="111111"/>
          <w:sz w:val="28"/>
          <w:szCs w:val="28"/>
          <w:rtl w:val="true"/>
          <w:lang w:bidi="fa-IR"/>
        </w:rPr>
        <w:t>.</w:t>
      </w:r>
    </w:p>
    <w:p>
      <w:pPr>
        <w:pStyle w:val="Heading5"/>
        <w:numPr>
          <w:ilvl w:val="4"/>
          <w:numId w:val="1"/>
        </w:numPr>
        <w:rPr/>
      </w:pPr>
      <w:bookmarkStart w:id="226" w:name="__RefHeading___Toc2082424_581953129"/>
      <w:bookmarkStart w:id="227" w:name="_Toc90"/>
      <w:bookmarkEnd w:id="226"/>
      <w:r>
        <w:rPr>
          <w:rtl w:val="true"/>
        </w:rPr>
        <w:t>تحلیل نظریة رجوع الشک فی الصحة إلی الشک فی الوجود</w:t>
      </w:r>
      <w:r>
        <w:rPr>
          <w:rtl w:val="true"/>
        </w:rPr>
        <w:t>:</w:t>
      </w:r>
      <w:bookmarkEnd w:id="227"/>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أوردنا فی البحث السابق إشکالین علی هذه الکبری القائلة برجوع الشک فی الصحة إلی الشک فی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کیفیّة جریان هذه الکبری فی الموانع فإنّ الشک فی صحّة المانع لو رجع إلی الشک فی وجود المانع کان العمل باطلاً مع أنّ القاعدة تفید صحّة العمل المأتی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أنّنا لو سلّمنا بصحّة هذه الکبری کان لابدّ لنا من التعبّد بوجود الطهارة فیما لو شککنا فی الطهارة بعد الفراغ من صلاة الظهر فندخل فی صلاة العصر بهذه الطهارة التعبّدیة وهذا ما لم یُفتِ به أحدٌ من الأعاظم والعلماء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نضیف إلی هذین الإشکالین ثلاثة إشکالات أخری نتم ونتم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یستفاد هذا الإشکال من کلمات المحقق العراقی</w:t>
      </w:r>
      <w:r>
        <w:rPr>
          <w:rStyle w:val="FootnoteAnchor"/>
          <w:rtl w:val="true"/>
        </w:rPr>
        <w:footnoteReference w:id="187"/>
      </w:r>
      <w:r>
        <w:rPr>
          <w:rFonts w:ascii="IRNazanin" w:hAnsi="IRNazanin" w:eastAsia="IRNazanin"/>
          <w:color w:val="111111"/>
          <w:sz w:val="28"/>
          <w:sz w:val="28"/>
          <w:szCs w:val="28"/>
          <w:rtl w:val="true"/>
          <w:lang w:bidi="fa-IR"/>
        </w:rPr>
        <w:t>فهو وإن لم یکن فی مقام الإیراد علی هذه الکبری بل کان غرضه بیان مطلب آخر إلاّ أنّه یمکن عدّه إشکالاً علی هذه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والإشکال وهو أنّه لو شک بعد الصلاة فی وجود شروط لیس لها ما بإزاء خارجی مستقلّ کالترتیب والموالاة لم تجر فیها قاعدة التجاوز لأنّها منصرفة إلی الشک فی أشیاء لها وجود استقلالی</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قاعدة الفراغ وإن جرتْ هنا وحکمتْ بصحّة صلاة هذا الشخص إلاّ أنّها</w:t>
      </w:r>
    </w:p>
    <w:p>
      <w:pPr>
        <w:pStyle w:val="BookText"/>
        <w:rPr/>
      </w:pPr>
      <w:r>
        <w:rPr>
          <w:rFonts w:ascii="IRNazanin" w:hAnsi="IRNazanin" w:eastAsia="IRNazanin"/>
          <w:color w:val="111111"/>
          <w:sz w:val="28"/>
          <w:sz w:val="28"/>
          <w:szCs w:val="28"/>
          <w:rtl w:val="true"/>
          <w:lang w:bidi="fa-IR"/>
        </w:rPr>
        <w:t>لا یمکنها إثبات وجود الترتیب والموالاة لعدم استقلالیة هذه الأشیاء، وعدم احتسابها أجزاء مستقلّة کی یتعبّد المکلّف بوجودها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فلا معنی لجریان قاعدة التجاوز فی الأجزاء والشرائط من هذا القبیل لأنّها تجری فی تلک الأجزاء والشرائط التی تتصوّر فیهما الدخول والخروج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موارد تکون مجری قاعدة الفراغ فقط دون قاعدة التجاوز وهی موارد الشک فی الجزء الأخیر من المرکّب، وذلک لأنّ جمیع الفقهاء إنّما یعتبرون فی جریان قاعدة التجاوز الدخول فی الآخر والتالی، وعلیه فلا تجری قاعدة التجاوز فی موارد الشک فی الجزء الأخیر، أمّا فی قاعدة الفراغ فلم یعتبر فیها بعض المحققین الدخول والانتقال إلی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فلو انتهی المکلّف من صلاته وشک فی أنّه هل أتی بالتسلیم أولا مع أنه یدخل فی أی عمل آخر بعد الفراغ من صلاته فإنّه لا مجال لجریان قاعدة التجاوز هنا لأنّ التعبّد بوجود الشیء بقاعدة التجاوز إنّما یتمّ فیما لو انتقل المکلّف إلی الجزء التالی، وفی فرضنا لم ینشغل المکلّف بأی عمل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الخامس</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الشک فی الصحة والشک فی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 المحقق العراقی </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أمران مستقلان ولکلّ منهما آثار خاصّة به فإنّ قاعدة التجاوز تعبّد المکلّف بالوجود عند الشک فی الوجود ولا یمکن إثبات الصحة من خلال التعبّد بالوجود إذ لا تکون الصحة علی هذا مجعولة للشارع بمعنی أنّ الشارع لم یحکم بصحة العمل بل أمر بها العقل فیکون عنوان الصحّة أمراً انتزاعیاً عقلیّاً، فلو تعبّدنا بوجود</w:t>
      </w:r>
      <w:bookmarkStart w:id="228" w:name="pg5466_52833"/>
    </w:p>
    <w:p>
      <w:pPr>
        <w:pStyle w:val="BookText"/>
        <w:rPr/>
      </w:pPr>
      <w:bookmarkEnd w:id="228"/>
      <w:r>
        <w:rPr>
          <w:rFonts w:ascii="IRNazanin" w:hAnsi="IRNazanin" w:eastAsia="IRNazanin"/>
          <w:color w:val="111111"/>
          <w:sz w:val="28"/>
          <w:sz w:val="28"/>
          <w:szCs w:val="28"/>
          <w:rtl w:val="true"/>
          <w:lang w:bidi="fa-IR"/>
        </w:rPr>
        <w:t>الشیء بواسطة جریان قاعدة التجاوز لم یمکن لنا إثبات الصحة إلاّ عن طریق الأصل المثبت، والعکس صحیح إذ لو تعبّدنا بالصحة لم یجزْ لنا إثبات الوجود إلاّ بالأصل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فإنّ الصحة والوجود أثران مستقلان لا یمکن إثبات الآخر بوجود أحدهما إلاّ علی القول بالأصل المثبّت، ومن هنا فلابدّ لکلّ من یقول بإرجاع الشک فی الصحة إلی الشک فی الوجود أن یلتزم بأصله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أن بیّنا انجزام الکبری الکلّیة القائلة بإرجاع الشک فی الصحة إلی الشک فی الوجود وأنّ من الممکن فی مقام الثبوت جعل قاعدتی الفراغ والتجاوز بالجعل الواحد وصل بنا البحث عن مقام الإثبات وعمّا هو المستفاد من کلام الشارع فی الروایات الواردة فی جعل قاعدة الفراغ والتجاوز</w:t>
      </w:r>
      <w:r>
        <w:rPr>
          <w:rFonts w:eastAsia="IRNazanin" w:cs="IRNazanin"/>
          <w:color w:val="111111"/>
          <w:sz w:val="28"/>
          <w:szCs w:val="28"/>
          <w:rtl w:val="true"/>
          <w:lang w:bidi="fa-IR"/>
        </w:rPr>
        <w:t>.</w:t>
      </w:r>
    </w:p>
    <w:p>
      <w:pPr>
        <w:pStyle w:val="Heading2"/>
        <w:numPr>
          <w:ilvl w:val="1"/>
          <w:numId w:val="1"/>
        </w:numPr>
        <w:rPr/>
      </w:pPr>
      <w:bookmarkStart w:id="229" w:name="__RefHeading___Toc2082426_581953129"/>
      <w:bookmarkStart w:id="230" w:name="_Toc91"/>
      <w:bookmarkEnd w:id="229"/>
      <w:r>
        <w:rPr>
          <w:rtl w:val="true"/>
        </w:rPr>
        <w:t>مقام الإثبات</w:t>
      </w:r>
      <w:bookmarkEnd w:id="230"/>
    </w:p>
    <w:p>
      <w:pPr>
        <w:pStyle w:val="Heading3"/>
        <w:numPr>
          <w:ilvl w:val="2"/>
          <w:numId w:val="1"/>
        </w:numPr>
        <w:rPr/>
      </w:pPr>
      <w:bookmarkStart w:id="231" w:name="__RefHeading___Toc2082428_581953129"/>
      <w:bookmarkStart w:id="232" w:name="_Toc92"/>
      <w:bookmarkEnd w:id="231"/>
      <w:r>
        <w:rPr>
          <w:rtl w:val="true"/>
        </w:rPr>
        <w:t>البحث فی مقام الإثبات فی تعدّد قاعدتی الفراغ والتجاوز</w:t>
      </w:r>
      <w:bookmarkEnd w:id="232"/>
    </w:p>
    <w:p>
      <w:pPr>
        <w:pStyle w:val="BookText"/>
        <w:rPr/>
      </w:pPr>
      <w:r>
        <w:rPr>
          <w:rFonts w:ascii="IRNazanin" w:hAnsi="IRNazanin" w:eastAsia="IRNazanin"/>
          <w:color w:val="111111"/>
          <w:sz w:val="28"/>
          <w:sz w:val="28"/>
          <w:szCs w:val="28"/>
          <w:rtl w:val="true"/>
          <w:lang w:bidi="fa-IR"/>
        </w:rPr>
        <w:t>قبل البحث عن الروایات الواردة حول هذا الموضوع رأینا من الأنسب أن نذکر أولاً رأی المحقق النائینی فی باب جعل قاعدة الفراغ والتجاوز</w:t>
      </w:r>
      <w:r>
        <w:rPr>
          <w:rFonts w:eastAsia="IRNazanin" w:cs="IRNazanin"/>
          <w:color w:val="111111"/>
          <w:sz w:val="28"/>
          <w:szCs w:val="28"/>
          <w:rtl w:val="true"/>
          <w:lang w:bidi="fa-IR"/>
        </w:rPr>
        <w:t>.</w:t>
      </w:r>
    </w:p>
    <w:p>
      <w:pPr>
        <w:pStyle w:val="Heading3"/>
        <w:numPr>
          <w:ilvl w:val="2"/>
          <w:numId w:val="1"/>
        </w:numPr>
        <w:rPr/>
      </w:pPr>
      <w:bookmarkStart w:id="233" w:name="__RefHeading___Toc2082430_581953129"/>
      <w:bookmarkStart w:id="234" w:name="_Toc93"/>
      <w:bookmarkEnd w:id="233"/>
      <w:r>
        <w:rPr>
          <w:rtl w:val="true"/>
        </w:rPr>
        <w:t>نظریة المحقق النائینی فی جعل قاعدة الفراغ والتجاوز</w:t>
      </w:r>
      <w:r>
        <w:rPr>
          <w:rtl w:val="true"/>
        </w:rPr>
        <w:t>:</w:t>
      </w:r>
      <w:bookmarkEnd w:id="234"/>
    </w:p>
    <w:p>
      <w:pPr>
        <w:pStyle w:val="BookText"/>
        <w:rPr/>
      </w:pPr>
      <w:r>
        <w:rPr>
          <w:rFonts w:ascii="IRNazanin" w:hAnsi="IRNazanin" w:eastAsia="IRNazanin"/>
          <w:color w:val="111111"/>
          <w:sz w:val="28"/>
          <w:sz w:val="28"/>
          <w:szCs w:val="28"/>
          <w:rtl w:val="true"/>
          <w:lang w:bidi="fa-IR"/>
        </w:rPr>
        <w:t>ذکرنا کلامه فیما سبق من الأبحاث وفی الردّ علی بعض المحاذیر ویبتنی کلامه علی أنّ المستفاد من أکثر الروایات هو قاعدة الفراغ أی عدم الاعتناء بالشک بعد الانتهاء من جمیع العمل بمعنی أنّه لو شک بعد الفراغ من کلّ المرکّب لم یجب الاعتناء بذلک الشک</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یتابع کلامه بأنّ من بین الروایات روایتین تدلاّن علی قاعدة التجاوز وهما</w:t>
      </w:r>
      <w:bookmarkStart w:id="235" w:name="pg5466_52834"/>
    </w:p>
    <w:p>
      <w:pPr>
        <w:pStyle w:val="BookText"/>
        <w:rPr/>
      </w:pPr>
      <w:bookmarkEnd w:id="235"/>
      <w:r>
        <w:rPr>
          <w:rFonts w:ascii="IRNazanin" w:hAnsi="IRNazanin" w:eastAsia="IRNazanin"/>
          <w:color w:val="111111"/>
          <w:sz w:val="28"/>
          <w:sz w:val="28"/>
          <w:szCs w:val="28"/>
          <w:rtl w:val="true"/>
          <w:lang w:bidi="fa-IR"/>
        </w:rPr>
        <w:t>حاکمتان علی قاعدة الفراغ بحیث توسّعان موضوع قاعدة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روایات قاعدة الفراغ تدلّ علی عدم الاعتناء بالشک بعد الفراغ من العمل المرکّب أمّا صحیحة زرارة وموثقة إسماعیل بن جابر فتدلاّن علی عدم الاعتناء بالشک فی أجزاء الصلاة فی أثناء الصلاة فأنّها تلحقان الشک فی أجزاء الصلاة بالشک فی صحّة المرکّب فتکون لهما الحکومة علی تلک الروایات وتوسّعان موضوعها الذی هو خصوص الشک فی کلّ المرکب بعد إنّها العمل وتبیّنان بأنّ عدم الاعتناء بالشک من قبل المکلّف له موردان أحدهما فی صحة العمل المرکّب والآخر فی أجزاء الصلاة فیُلحَق الشک فی الجزء بالشک فی الکلّ فی حکم عدم الاعتناء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کلام المحقق النائینی هو أنّه لدینا قاعدة واحدة تسمّی قاعدة الفراغ وهی تجری فی الشک فی الکلّ وتجری فی الشک فی الأجزاء أیضاً إلاّ أنّ الشک فی الأجزاء مختص بأجزاء الصلاة لأنّا نتبّع الدلیل الحاکم وهو مختص بمورد أجزاء الصلاة فقط</w:t>
      </w:r>
      <w:r>
        <w:rPr>
          <w:rFonts w:eastAsia="IRNazanin" w:cs="IRNazanin"/>
          <w:color w:val="111111"/>
          <w:sz w:val="28"/>
          <w:szCs w:val="28"/>
          <w:rtl w:val="true"/>
          <w:lang w:bidi="fa-IR"/>
        </w:rPr>
        <w:t>.</w:t>
      </w:r>
    </w:p>
    <w:p>
      <w:pPr>
        <w:pStyle w:val="Heading3"/>
        <w:numPr>
          <w:ilvl w:val="2"/>
          <w:numId w:val="1"/>
        </w:numPr>
        <w:rPr/>
      </w:pPr>
      <w:bookmarkStart w:id="236" w:name="__RefHeading___Toc2082432_581953129"/>
      <w:bookmarkStart w:id="237" w:name="_Toc94"/>
      <w:bookmarkEnd w:id="236"/>
      <w:r>
        <w:rPr>
          <w:rtl w:val="true"/>
        </w:rPr>
        <w:t>الإشکالات علی نظریة المحقق النائینی</w:t>
      </w:r>
      <w:r>
        <w:rPr>
          <w:rtl w:val="true"/>
        </w:rPr>
        <w:t>:</w:t>
      </w:r>
      <w:bookmarkEnd w:id="237"/>
    </w:p>
    <w:p>
      <w:pPr>
        <w:pStyle w:val="BookText"/>
        <w:rPr/>
      </w:pPr>
      <w:r>
        <w:rPr>
          <w:rFonts w:ascii="IRNazanin" w:hAnsi="IRNazanin" w:eastAsia="IRNazanin"/>
          <w:color w:val="111111"/>
          <w:sz w:val="28"/>
          <w:sz w:val="28"/>
          <w:szCs w:val="28"/>
          <w:rtl w:val="true"/>
          <w:lang w:bidi="fa-IR"/>
        </w:rPr>
        <w:t>الظاهر أنّ کلام المحقق النائینی مخدوش من عدة جهات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بغضّ النظر عن صحیحة زرارة وموثّقة إسماعیل بن جابر یمکن دعوی التعمیم لروایات قاعدة الفراغ أنفسها بحیث تجری فی الشک فی الکلّ والشک فی الأجزاء، وعلیه فتشمل قاعدة الفراغ بنفسها الشک فی الأجزاء</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ذکره من اختصاص قاعدة التجاوز بأجزاء الصلاة غیر قطعی بل هو مدار نقاش ومحلّ نزاع فإنّ بعض الأعاظم کالشیخ الأنصاری یری أنّ قاعدة التجاوز غیر مختصّة بالصّلاة وإن کان من المسلّم عدم جریأنها فی الوضوء</w:t>
      </w:r>
      <w:r>
        <w:rPr>
          <w:rFonts w:eastAsia="IRNazanin" w:cs="IRNazanin"/>
          <w:color w:val="111111"/>
          <w:sz w:val="28"/>
          <w:szCs w:val="28"/>
          <w:rtl w:val="true"/>
          <w:lang w:bidi="fa-IR"/>
        </w:rPr>
        <w:t>.</w:t>
      </w:r>
      <w:bookmarkStart w:id="238" w:name="pg5466_52835"/>
    </w:p>
    <w:p>
      <w:pPr>
        <w:pStyle w:val="BookText"/>
        <w:rPr/>
      </w:pPr>
      <w:bookmarkEnd w:id="238"/>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أغمضنا النظر عن الإشکالین السابقین فإنّ أصل کلام المحقق النائینی القائل بحکومة صحیحة زرارة وموثقة إسماعیل بن جابر علی روایات قاعدة الفراغ غیر تام إذ یُعتبر فی باب الحکومة أن یکون الدلیل الحاکم ناظراً عرفاً إلی الدلیل المحکوم وینزّل شیئاً منزلة موضوع الدلیل المحکوم مع أنّ العرف لو لاحظ روایات قاعدة الفراغ التی تقول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شککت فیه ممّا قد مضی فامضه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جانب صحیحة زرارة وموثقة إسماعیل بن جابر التی تقولان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شککت فی قراءة الصلاة أو تکبیرها فلا تعتن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یجد أیّ ارتباط بینهما فلیس فی هاتین الروایتین ما یفهم منه العرف أنهما ناظرتان إلی الروایات الواردة فی باب قاعدة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ناظریة عرفاً لیُحکم بحکومة هاتین الروایتین علی روایات قاعدة الفراغ، وهذا الإشکال إنّما یتمّ فیما لو اعتبرنا فی تعریف الحکومة ناظریة الدلیل الحاکم علی الدلیل المحکوم</w:t>
      </w:r>
      <w:r>
        <w:rPr>
          <w:rFonts w:eastAsia="IRNazanin" w:cs="IRNazanin"/>
          <w:color w:val="111111"/>
          <w:sz w:val="28"/>
          <w:szCs w:val="28"/>
          <w:rtl w:val="true"/>
          <w:lang w:bidi="fa-IR"/>
        </w:rPr>
        <w:t>.</w:t>
      </w:r>
    </w:p>
    <w:p>
      <w:pPr>
        <w:pStyle w:val="Heading3"/>
        <w:numPr>
          <w:ilvl w:val="2"/>
          <w:numId w:val="1"/>
        </w:numPr>
        <w:rPr/>
      </w:pPr>
      <w:bookmarkStart w:id="239" w:name="__RefHeading___Toc2082434_581953129"/>
      <w:bookmarkStart w:id="240" w:name="_Toc95"/>
      <w:bookmarkEnd w:id="239"/>
      <w:r>
        <w:rPr>
          <w:rtl w:val="true"/>
        </w:rPr>
        <w:t>مقدمات بحث مقام الإثبات</w:t>
      </w:r>
      <w:r>
        <w:rPr>
          <w:rtl w:val="true"/>
        </w:rPr>
        <w:t>:</w:t>
      </w:r>
      <w:bookmarkEnd w:id="240"/>
    </w:p>
    <w:p>
      <w:pPr>
        <w:pStyle w:val="BookText"/>
        <w:rPr/>
      </w:pPr>
      <w:r>
        <w:rPr>
          <w:rFonts w:ascii="IRNazanin" w:hAnsi="IRNazanin" w:eastAsia="IRNazanin"/>
          <w:color w:val="111111"/>
          <w:sz w:val="28"/>
          <w:sz w:val="28"/>
          <w:szCs w:val="28"/>
          <w:rtl w:val="true"/>
          <w:lang w:bidi="fa-IR"/>
        </w:rPr>
        <w:t>قبل الخوض فی البحث مفصّلاً عمّا یستفاد من الروایات من القاعدتین أو القاعدة الواحدة لابدّ من تقدیم أمور کمقدّماتٍ للبحث فی مقام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الروایات تعبیران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الخروج عن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للخروج عن الشیء له إطلاق بحیث یشمل الخروج من الجزء کما یشمل الخروج من الکلّ أو أنّه یدلّ علی الخروج من کلّ المرکّب فقط؟</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 بعض الأعاظم کالمحقق البجنوردی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إلی أنّ التعبیر المذکور له</w:t>
      </w:r>
    </w:p>
    <w:p>
      <w:pPr>
        <w:pStyle w:val="BookText"/>
        <w:rPr/>
      </w:pPr>
      <w:r>
        <w:rPr>
          <w:rFonts w:ascii="IRNazanin" w:hAnsi="IRNazanin" w:eastAsia="IRNazanin"/>
          <w:color w:val="111111"/>
          <w:sz w:val="28"/>
          <w:sz w:val="28"/>
          <w:szCs w:val="28"/>
          <w:rtl w:val="true"/>
          <w:lang w:bidi="fa-IR"/>
        </w:rPr>
        <w:t>إطلاق وأنّ المستفاد من جمیع الروایات عنوان واحد هو عدم الاعتناء بالشک بعد الخروج من الشیء ولمّا کان الشیء یصدق علی الجزء أیضاً، فلا فرق بین أن یکون الشک شکّاً فی کلّ الشیء أوشکّا فی جزئه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الذی یظهر فی الرأی عدم صحّة هذا الرأی لأنّ الخروج من الشیء تعبیر له ظهور واضح فی أنّ الإنسان قد أتمّ العمل، فالمتبادر إلی الأذهان من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الخروج من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الخروج من تمام الشیء أمّا إرادة الخروج من الجزء فهی بحاجة إلی القرینة، لأنّ العرف یعتبر المرکّب شیئاً واحداً سواء فی ذلک المرکّب الخارجی کالمعجون أم المرکّب الاعتباری کالصلاة، فلو تقرّر إطلاق الشیء علی الجزء أیضاً للزم أن یمکن إطلاق عنوان الأشیاء علی ذلک المرکّب مع أنّ العرف یأبی ذلک الإطلاق، وهکذا عند الشارع حیث اعتبر الوحدة فی المرکّبات الاعتباریة فُیطلق الشیء علی کلّ الصلاة، وعلیه فإنّ الخروج من الشیء وإنْ جاز إطلاقه لأول وهلة علی الانتقال من أحد أجزاء المرکّب إلی الجزء الآخر إلاّ أنّ إرادة الجزء من الشیء تحتاج إلی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روایات هذا البحث تعبیراً آخر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شککت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بیّنا سابقاً أن الشک هنا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فی الوجود وشک فی الصحة، ویری الشیخ الأعظم الأنصاری فی کتاب الرسائل أنّ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شککت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 الشک فی الوجود فعندما یقال بأنّ المکلّف قد شکّ فی الشیء یراد به الشک فی أصل وجوده أمّا استفادة الشک فی الصحة من هذه العبارة فمحتاجة إلی القرینة</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لکنّ الذی یبدو فی النظر أنّ لهذه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شککت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إطلاقاً بحیث تشمل الشک فی الوجود والشک فی الصحة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أرید منها خصوص الشک فی الصحة لکان ذلک مفتقراً إلی 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فکلّما أرید فی هذه الروایات الشک فی الصحة جیء فیها بالقرینة علی فهم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سبیل المثال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شککت فیه ممّا 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الإتیان وهو تعبیر یستخدم فیما لو کان أصل وجود الشیء مفروغاً عنه وإنّما کان الشک فی صحّته وإلاّ فإن التعبیر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یتأتی فیما لو کان الشک فی أصل وجود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النقطة الأخری التی لابدّ من الالتفات إلیها هی أنّه عند دراستنا لهذه الروایات علینا أن لا نتوهّم بمجرد وقوع نظرنا علی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الروایة مرتبطة بقاعدة الفراغ کما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لا توهمنا بأن الروایة ناظرة إلی قاعدة التجاوز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أعتقده أنّ الروایات علی ثلاث 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الطائفة الأولی روایات ظاهرة بل هی صریحة ونصّ فی قاعدة التجاوز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والطائفة الثانیة روایات لها ظهور فی قاعدة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والطائفة الثالثة روایات یحتمل فیها کلا الاحتمالین، ومن هنا فلو أمکن لنا استخراج القدر الجامع کانت دالة علی کلتا قاعدتی الفراغ والتجاوز وإلاّ فإنّ هذه الروایات کانت مجملة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دراسة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فی مقام الإثبات من دراسة جمیع الروایات بدقّة وإمعان ونحن نقسّم هذه الروایات إلی ثلاث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قاعدة التجاوز</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الأولی الروایات الدالة علی قاعدة التجاوز فقط من دون أن تستفاد</w:t>
      </w:r>
    </w:p>
    <w:p>
      <w:pPr>
        <w:pStyle w:val="BookText"/>
        <w:rPr/>
      </w:pPr>
      <w:r>
        <w:rPr>
          <w:rFonts w:ascii="IRNazanin" w:hAnsi="IRNazanin" w:eastAsia="IRNazanin"/>
          <w:color w:val="111111"/>
          <w:sz w:val="28"/>
          <w:sz w:val="28"/>
          <w:szCs w:val="28"/>
          <w:rtl w:val="true"/>
          <w:lang w:bidi="fa-IR"/>
        </w:rPr>
        <w:t>منها قاعدة الفراغ ولمّا سبق البحث السندی لهذه الروایات فی المباحث السابقة فإنّنا نرکّز فی هذا المجال علی البحث الدلالی للروایات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رجل یشکّ بعدما سجد أنّه لم یرکع،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یمضی فی صلاته</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هذه الروایة یُسأل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حکم من شکّ بعدما سجد فی أنّه هل رکع أولا؟ وقد أجاب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صلاته صحیحة ولا یعتنی بشکّه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فإنّ هذه الروایة نصٌّ فی الشک فی وجود الرکوع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فی وجود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مجری قاعدة التجاوز ولا یمکن أن تستفاد منها قاعدة الفراغ بوجه من الوجوه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الروایة الثانیة شبیهة بالروایة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رجلٍ شکّ بعدما سجد أنّه یرکع،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یمضی فی صلاته حتی یستقین</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 xml:space="preserve">وهی أیضاً صریحة فی الشک فی وجود الرکوع حیث یقول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الاعتناء بهذا الشک حتّی یتیقّن بعدم إتیانه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الذی یذکر أنّه لم یکبّر فی أول صلاته،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استیقن أنّه لم یکبّر فَلیُعِدْ ولکن کیف یستیقن</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النقطة الأولی فی هذه الروایة هی أنّ مراد السائل من قوله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یذکر أنّه لم یکبّر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الإتیان بتکبیرة الإحرام بمعنی أن یخطر فی ذهن المکلّف سؤال بأنّه هل کبّر أولا؟ ولیس المراد أنّ المکلّف متیقّن من أنّه لم یکبّر لتجب علیه إعادة الصلاة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کما یصرّح 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والنقطة الثانیة فی الروایة أنّ 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کیف یستیقن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أنّ</w:t>
      </w:r>
    </w:p>
    <w:p>
      <w:pPr>
        <w:pStyle w:val="BookText"/>
        <w:rPr/>
      </w:pPr>
      <w:r>
        <w:rPr>
          <w:rFonts w:ascii="IRNazanin" w:hAnsi="IRNazanin" w:eastAsia="IRNazanin"/>
          <w:color w:val="111111"/>
          <w:sz w:val="28"/>
          <w:sz w:val="28"/>
          <w:szCs w:val="28"/>
          <w:rtl w:val="true"/>
          <w:lang w:bidi="fa-IR"/>
        </w:rPr>
        <w:t>المکلّف الشاکّ کیف یمکنه الوصول إلی حالة الیقین بهذه السرعة أی لا یمکن الاستیقان بهذه السرعة بالنسبة لمن شکّ فی إتیان عملٍ 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الروایة الرابعة صحیحة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رجل شکّ فی الأذان وقد دخل فی الإقامة؟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شکّ فی الأذان والإقامة وقد کبّر؟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شکّ فی التکبیر وقد قرأ؟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فی القراءة وقد رکع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فی الرکوع وقد سجد؟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یمضی علی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زرارة إذا خرجت من شیءٍ ثمّ دخلت فی غیره فشکّک لیس بشیءٍ</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هذه الروایة نصٌّ فی قاعدة التجاوز وقد بیّنت خمسة من موارد قاعدة التجاوز إلاّ أنّ ذیلها فی مقام بیان کبری کلّیة مبتنیة علی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خرجت من شیءٍ ثمّ دخلت فی غیره فشکک لیس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سبق فی المقدمة الأولی من مباحث مقام الإثبات أنّ الخروج عن الشیء ظاهر فی الخروج عن کلّ الشیء وجمیع المرکّب بمعنی أنّ هذه العبارة من الروایة إذا خرجت من الشیء ثمّ شک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لها الانصراف فی الشک فی الصحة حیث لو أکمل عملاً ثمّ دخل فی غیره لم یجب الاعتناء بذلک الشک حصل التعارض حینئذٍ بین صدر الروایة وذیلها فکیف یمکن حلّ هذا التعارض؟</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الإمام الخمینی</w:t>
      </w:r>
      <w:r>
        <w:rPr>
          <w:rStyle w:val="FootnoteAnchor"/>
          <w:rtl w:val="true"/>
        </w:rPr>
        <w:footnoteReference w:id="194"/>
      </w:r>
      <w:r>
        <w:rPr>
          <w:rFonts w:ascii="IRNazanin" w:hAnsi="IRNazanin" w:eastAsia="IRNazanin"/>
          <w:color w:val="111111"/>
          <w:sz w:val="28"/>
          <w:sz w:val="28"/>
          <w:szCs w:val="28"/>
          <w:rtl w:val="true"/>
          <w:lang w:bidi="fa-IR"/>
        </w:rPr>
        <w:t>فی حلّ هذا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ذیل الروایة منفصل عن صدرها تماماً فإنّ صدر الروایة یدلّ علی الشک فی الوجود بینما یدلّ ذیلها علی الشک فی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وإن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 أولاً بأنّه من غیر المستبعد أن نجعل صدر الروایة قرینة علی التصرف فی ذیلها ونحکم بأنّ المراد من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الخروج من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فی الروایة هو الخروج من جزء الشیء والتجاوز عن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ذکر فی الأدلّة بأنّ هذه التوجیه لا یخلو من مناقشة وإشکال یتمثّل فی أنّ صدر الروایة وذیلها لکلّ منها ظهور غیر ظهور الآخر والظهوران یتعارضان ثمّ یتساقطان فلا یمکن الاستدلال بأیّ واحدٍ من الظهورین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أعتقده هو أنّ ظهور الصدر والذیل إذا تساویا وتکافا صارت الروایة مجملةً، هذا ویمکن جعل کلّ من صدر الروایة وذیلها قرینة علی الآخر حیث إنّ صدر الروایة نصٌ فی الشک فی الصحّة بینما ذیل الروایة ظاهرٌ فی الشک فی الوجود فیُقدّم الصدر علی الذیل لکونه نصّاً أو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ناحیة أخری یمکن القول بأنّ 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کان کلامه حول ذیل الروایة فی مقام إفادة قاعدة کلّیة، ومن هنا ذکر عدّة موارد علی سبیل المثال مما یکون ذلک قرینة علی التصرف فی صدر الروایة إذ کلّما ذُکر فی الکلام أمران أحدهما علی نحو التمثیل والآخر علی نحو القاعدة الکلّیّة فإنّ العرف یحکم بأنّ القاعدة قرینة علی الأمثلة قطعاً ولا یحکم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لو ذکر المتکلّم مثالاً ثمّ بیّن القاعدة الکلّیة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القاعدة منحصرة فی هذا المثال بل یری أنّ القاعدة تجاوزت عن حدود هذا المثال بحیث سرتْ إلی سائر الموارد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وبهذین التقریرین یمکن إخراج الروایة من إجمالها ولکنّ الإنصاف أن التقریر الأوّل هو الأولی والأرجح إذ أنّ فی صدر هذه الروایة ذکرت ثلاثة موارد علی سبیل المثال ثمّ ذکرت القاعدة الکلّیّة مما یدل ذلک علی أنّ هذه الموارد قرینة علی انحصار القاعدة فی هذه الأمثلة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ندّعیه هو أنّه لو ورد فی الکلام مثال واحد لم تکن القاعدة منحصرة به بل تتعدّی إلی سائر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وردت فی صدر الروایة موارد عدیدة علی سبیل المثال ثمّ ذکرت فی ذیل الروایة قاعدة کلّیّة فإنّ الکلام یکون ظاهراً فی أنّ القاعدة مطابقة للأمثلة ومنحصرة فیها وتکون کثرة الموارد المذکورة فی صدر الروایة قرینة عند العرف علی هذا الانحصار والاختصاص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نحن فیه لمّا کانت الأمثلة المذکورة فی صدر الروایة متعلّقة بالشک فی الوجود وقاعدة التجاوز فإنّ القاعدة الکلّیة المذکورة فی ذیلها یجب حملها علی قاعدة التجاوز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ثلاثاً من هذه الروایات الخمس تدلّ علی جریان قاعدة التجاوز فی خصوص الصلاة والروایة الرابعة ظاهرة فی جریان قاعدة التجاوز فی الوضوء، والروایة الخامسة لها سعة وشمولیة ولیست مختصّة بالصلاة وذلک بملاحظة القاعدة المذکورة فی ذیل 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قاعدة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 هی الروایات الظاهرة فی قاعدة الفراغ ولا یستفاد منها قاعدة التجاوز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الروایة الأولی الدالة علی قاعدة الفراغ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یشک بعدما ینصرف من صلاته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یعید ولا شیء علیه</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 xml:space="preserve">والسؤال فیها عمّن فرغ من صلاته ثمّ شکّ فی صحّتها وعلیه یکون مورداً لقاعدة الفراغ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بصحّة صلاته وعدم الاعتناء بشکّه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ما شککت فیه بعدما تفرغ من صلاتک فامض ولا تعد</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قد سبق</w:t>
      </w:r>
    </w:p>
    <w:p>
      <w:pPr>
        <w:pStyle w:val="BookText"/>
        <w:rPr/>
      </w:pPr>
      <w:r>
        <w:rPr>
          <w:rFonts w:ascii="IRNazanin" w:hAnsi="IRNazanin" w:eastAsia="IRNazanin"/>
          <w:color w:val="111111"/>
          <w:sz w:val="28"/>
          <w:sz w:val="28"/>
          <w:szCs w:val="28"/>
          <w:rtl w:val="true"/>
          <w:lang w:bidi="fa-IR"/>
        </w:rPr>
        <w:t xml:space="preserve">الکلام فی هذه الروایة فی المباحث السابقة وقلنا بأنّ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 ما شککت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إطلاق یشمل الشک فی إتیان الجزء کما یشمل الشک فی کلّ المرکّب، ولما ذکر فی تتمة الروایة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بعد ما تفرغ من صلاتک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یتّضح لنا أنّ المراد من الشک هو الشک فی مجموع المرکّب بعد الفراغ من العمل ومن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شک فی صحة الصلاة بعد الفراغ منها لا یعتنی بالشک وتکون صلاته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یری 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الروایة من مصادیق قاعدة التجاوز وتدلّ علی أنّ المکلّف إذا شک فی العمل المأتی به بعد الفراغ منه سواء کان الشک فی الأجزاء أو الشرائط أم کان الشک فی الوجود والصحة لابد من عدم الاعتناء بذلک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التجاوز عن مجموع العمل هو الملاک طبقاً لهذه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ولکنّ الظاهر أنّ هذا الاستنتاج خلاف الظاهر لظهور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بعدما تفرغ من صلاتک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قاعدة الفراغ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ما شککت فیه مّما قد مضی فامضه کما هو</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هذه الروایة تکون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علی أنّ المراد بالشک هو الشک فی صحة الکلّ والمجموع، وعلیه یکون ذیل الروایة قرینة علی اختصاص الروایة بقاعدة الفراغ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شک فی الوضوء بعدما فرغ من الصلاة،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یمضی علی صلاته ولا یعید</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شکّ المکلّف بعد أن فرغ من صلاته فی أنّه هل توضّأ أولا، أجاب</w:t>
      </w:r>
      <w:bookmarkStart w:id="241" w:name="pg5466_52843"/>
    </w:p>
    <w:p>
      <w:pPr>
        <w:pStyle w:val="BookText"/>
        <w:rPr/>
      </w:pPr>
      <w:bookmarkEnd w:id="241"/>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یعتنی بشکّه وصلاته صحیحة ولا حاجة إلی 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الروایة أیضاً صریحة فی قاعدة الفراغ لحصول الشک بعد الفراغ من العمل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کنت قاعداً علی وضوئک فلم تدر أغسلتَ ذراعیک أم لا فأعدْ علیهما، فإذا قمت من الوضوء وفرغت منه وقد صرت فی حال أخری من الصلاة أو غیرها فشککت فلا شیء علیک</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هذه الراویة یبدو لأوّل وهلة أنّها من روایات باب قاعدة الفراغ بقرینة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ذلک من أکثر الأعاظم لکنّ الذی یقتضیه دقیق النظر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بیّنا ذلک فی مقدّمات البحث فی مقام الإثبات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مجرّد استعمال کلّمتی الفراغ والتجاوز فی الروایة لا یکون دلیلاً علی حمل الروایة علی تلک القاعدة بل لابّد من ملاحظة الملاک الموجود فی الروایة فإن کان متعلّقاً بالشک فی صحة کلّ المرکّب کانت الروایة مختصّة بقاعدة الفراغ وإن کان الملاک شاملاً للشک فی إتیان الجزء کانت الروایة مبنیّة لقاعدة التجاوز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المشهور فی قاعدة الفراغ أنّها تجری عند الشک فی الصحة بعد إکمال العمل إلاّ أنّ فی صحیحة زرارة یقع البحث فی أنّ المکلّف قد شکّ فی وجود غسل الیدین لیکون المراد بالشک الوارد فی صدر الروایة هو الشک فی وجود الجزء ویکون ذلک قرینة علی ذیل الروایة القائل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قمت من الوضوء وفرغت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 الذیل تفریعاً علی الصدر</w:t>
      </w:r>
      <w:r>
        <w:rPr>
          <w:rFonts w:eastAsia="IRNazanin" w:cs="IRNazanin"/>
          <w:color w:val="111111"/>
          <w:sz w:val="28"/>
          <w:szCs w:val="28"/>
          <w:rtl w:val="true"/>
          <w:lang w:bidi="fa-IR"/>
        </w:rPr>
        <w:t>.</w:t>
      </w:r>
    </w:p>
    <w:p>
      <w:pPr>
        <w:pStyle w:val="Heading3"/>
        <w:numPr>
          <w:ilvl w:val="2"/>
          <w:numId w:val="1"/>
        </w:numPr>
        <w:rPr/>
      </w:pPr>
      <w:bookmarkStart w:id="242" w:name="__RefHeading___Toc2082436_581953129"/>
      <w:bookmarkStart w:id="243" w:name="_Toc96"/>
      <w:bookmarkEnd w:id="242"/>
      <w:r>
        <w:rPr>
          <w:rtl w:val="true"/>
        </w:rPr>
        <w:t>نقد مبنی الإمام الخمینی فی تعدد القاعدتین</w:t>
      </w:r>
      <w:bookmarkEnd w:id="243"/>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والسؤال المطروح هنا هو أن هذه الصحیحة مختصّة بقاعدة الفراغ أو التجاوز؟ وکیف یمکن توجیه ذلک؟</w:t>
      </w:r>
      <w:bookmarkStart w:id="244" w:name="pg5466_52844"/>
    </w:p>
    <w:p>
      <w:pPr>
        <w:pStyle w:val="BookText"/>
        <w:rPr/>
      </w:pPr>
      <w:bookmarkEnd w:id="244"/>
      <w:r>
        <w:rPr>
          <w:rFonts w:ascii="IRNazanin" w:hAnsi="IRNazanin" w:eastAsia="IRNazanin"/>
          <w:color w:val="111111"/>
          <w:sz w:val="28"/>
          <w:sz w:val="28"/>
          <w:szCs w:val="28"/>
          <w:rtl w:val="true"/>
          <w:lang w:bidi="fa-IR"/>
        </w:rPr>
        <w:t xml:space="preserve">یمکن القول بأنّ مجری قاعدة الفراغ هو الشک فی الوجود سواء کان هذا الشک بعد تمامیة العمل أم فی أثناء العمل کما ذهب إلی ذلک المرحوم 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من أنّ القاعدتین فی أصل المسألة قاعدة واحدة وهی قاعدة التجاوز الجاریة فی الشک فی الوجود والشک فی الصحّة، أثناء العمل وبعد الانتهاء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التزمنا بهذا المبنی أمکن لنا استفادة قاعدة التجاوز من التعبیر بالفراغ فی 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ولکنّ الذی أراه هو أنّ هذا المبنی ورأی المرحوم 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یتلاءم مع مجموع الروایة، لأنّ قاعدة الفراغ التی تتعلّق بالشک فی صحّة مجموع العمل تشمل ما لو کان الشک فی مجموع العمل ناشئاً من الشک فی الجزء أو الشرط المعیّن وما لم یکن ناشئاً من الشک فی الجزء المعیّن بل شکّ بعد الفراغ من العمل فی أنّ العمل المأتی به هل کان صحیحاً أولا؟ ویستفاد هذا المطلب من صحیحة زرارة بشکل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وجود روایة أخری یستفاد منها أیضاً هذا المطلب 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رجل شک فی الوضوء بعدما فرغ من الصلاة،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یمضی فی صلاته ولا یعید</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 xml:space="preserve">فعلی ما یستفاد من هاتین الروایتین یکون مورد قاعدة الفراغ أعمّ من الشک فی الصحة والشک فی إتیان جزءٍ معین وعدمه وبالتالی تکون صحیحة زرارة مختصّة بقاعدة الفراغ دون قاعدة التجاوز خلافاً لما ذهب إلیه المرحوم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أنّها مختصّة بقاعدة التجاوز</w:t>
      </w:r>
      <w:r>
        <w:rPr>
          <w:rFonts w:eastAsia="IRNazanin" w:cs="IRNazanin"/>
          <w:color w:val="111111"/>
          <w:sz w:val="28"/>
          <w:szCs w:val="28"/>
          <w:rtl w:val="true"/>
          <w:lang w:bidi="fa-IR"/>
        </w:rPr>
        <w:t>.</w:t>
      </w:r>
    </w:p>
    <w:p>
      <w:pPr>
        <w:pStyle w:val="Heading3"/>
        <w:numPr>
          <w:ilvl w:val="2"/>
          <w:numId w:val="1"/>
        </w:numPr>
        <w:rPr/>
      </w:pPr>
      <w:bookmarkStart w:id="245" w:name="__RefHeading___Toc2082438_581953129"/>
      <w:bookmarkStart w:id="246" w:name="_Toc97"/>
      <w:bookmarkEnd w:id="245"/>
      <w:r>
        <w:rPr>
          <w:rtl w:val="true"/>
        </w:rPr>
        <w:t>الفرق بین قاعدتی الفراغ والتجاوز</w:t>
      </w:r>
      <w:r>
        <w:rPr>
          <w:rtl w:val="true"/>
        </w:rPr>
        <w:t>:</w:t>
      </w:r>
      <w:bookmarkEnd w:id="246"/>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فالأنسب هنا بیان الفارق بین قاعدتی الفراغ والتجاوز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القائلین بتغایر</w:t>
      </w:r>
    </w:p>
    <w:p>
      <w:pPr>
        <w:pStyle w:val="BookText"/>
        <w:rPr/>
      </w:pPr>
      <w:r>
        <w:rPr>
          <w:rFonts w:ascii="IRNazanin" w:hAnsi="IRNazanin" w:eastAsia="IRNazanin"/>
          <w:color w:val="111111"/>
          <w:sz w:val="28"/>
          <w:sz w:val="28"/>
          <w:szCs w:val="28"/>
          <w:rtl w:val="true"/>
          <w:lang w:bidi="fa-IR"/>
        </w:rPr>
        <w:t>القاعدتین کالمرحوم المحقق الهمدانی والمرحوم المحقق العراقی والمرحوم الأخوند الخراسانی یرون الفارق من جهة متعلّق الشک ویوجّهون التغایر بین القاعدتین عن طریق التغایر بین الشک فی الوجود والشک فی الصحة بمعنی أنّ قاعدة التجاوز تختص بمورد الشک فی الوجود والإتیان، بینما تختص قاعدة الفراغ بالشک فی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مبنی هؤلاء الأعاظم تکون النسبة بین قاعدتی الفراغ والتجاوز عموماً من وجه، مادّة الافتراق من جهة قاعدة التجاوز ما إذا شک المکلّف حالة الصلاة فی أنّه هل أتی بالجزء السابق أولا؟ ففی هذا المورد تجری قاعدة التجاوز دون قاعدة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مادّة الافتراق من جهة قاعدة الفراغ ففیما لو شک المکلّف بعد الانتهاء من الصلاة فی صحّتها من جهة فوات الموالاة أو الإخلال بالترتیب حیث تجری هنا قاعدة الفراغ دون قاعدة التجاوز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مادّة الاجتماع فهی فیما لو شک المکلّف بعد الفراغ من العمل فی إتیان جزءٍ معیّن حیث تجری هنا قاعدة التجاوز من جهة الشک فی الوجود کما تجری قاعدة الفراغ من جهة الشک فی وجود ذلک الجزء یؤدّی إلی الشک فی صحّة مجموع المرکّب وعدم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الظاهر أنّ هذا المبنی لا یستفاد من الروایات، والّذی یستفاد منها بعد المزید من التأمّل</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 بأنّ الفرق بین هاتین القاعدتین إنّما یتجسّد فی حصول الشک بعد الانتهاء من العمل أو فی أثنائه بمعنی أنّ الشک بعد انتهاء العمل موردٌ لجریان قاعدة الفراغ سواء کان الشک فی صحّة العمل أم فی وجود الجزء المعیّن، أمّا لو حصل</w:t>
      </w:r>
    </w:p>
    <w:p>
      <w:pPr>
        <w:pStyle w:val="BookText"/>
        <w:rPr/>
      </w:pPr>
      <w:r>
        <w:rPr>
          <w:rFonts w:ascii="IRNazanin" w:hAnsi="IRNazanin" w:eastAsia="IRNazanin"/>
          <w:color w:val="111111"/>
          <w:sz w:val="28"/>
          <w:sz w:val="28"/>
          <w:szCs w:val="28"/>
          <w:rtl w:val="true"/>
          <w:lang w:bidi="fa-IR"/>
        </w:rPr>
        <w:t>الشکّ أثناء العمل جرت قاعدة التجاوز، ومن هنا فلو لم تکن روایات قاعدة التجاوز لکان الواجب بمفاد روایات قاعدة الفراغ أن یُرتّب الأثر علی الشک حین العمل ویجب الاعتناء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یکون بین القاعدتین نسبة التباین ولا تجمعهما مادّة الاجتماع أبداً، لأنّ القاعدتین حینئذٍ متغایرتان تماماً، مضافاً إلی أنّ الفراغ من العمل فی قاعدة الفراغ یُعتبر ملاکاً عرفیاً وعقلائیاً حیث لو شکّ فی العمل بعد الانتهاء منه لا یعتنی بالشک، أمّا فی قاعدة التجاوز فهی مجرّد تعبّد من الشارع حیث حکم بعدم الاعتناء تعبداً بالشک فیما لو تجاوز محلّ الجزء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بناءاً علی مفاد الروایات فإنّ قاعدة الفراغ تجری فی الشک فی الصحة کما تجری فی الشک فی الوجود، أمّا قاعدة التجاوز فالظاهر اختصاص مدلول روایات التجاوز المطابقی بالشک فی الوجود ولا تجری قاعدة الفراغ فی هذه الموارد لاختصاص الشک بما بعد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لکنّنا فی مثل هذه الموارد نتمسّک بمفهوم الأولویة لقاعدة التجاوز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جرت قاعدة التجاوز عند الشک فی أصل وجود جزءٍ فی أثناء العمل فأنّها تجری بطریق أولی عند الشک فی صحّة ذلک الجزء فالمدلول المطابقی لقاعدة التجاوز یختص بالشک حین العمل فی وجود الجزء لا فی صحّة الجزء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موارد الشک فی الصحة فیستفاد حکمها من مفهوم الأولویة لهذه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قاعدة التجاوز لا تجری فی جمیع أنواع الأجزاء فإنّ هناک نوعین من الأجزاء لا تشملها هذه القاعدة</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الأجزاء غیر المستقلّة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بها ما کان کالترتیب والموالاة فی الصلاة، فلو شککنا أثناء الصلاة فی أنّه هل روعی الترتیب أو الموالاة فی الصلاة أولا، لم</w:t>
      </w:r>
      <w:bookmarkStart w:id="247" w:name="pg5466_52847"/>
    </w:p>
    <w:p>
      <w:pPr>
        <w:pStyle w:val="BookText"/>
        <w:rPr/>
      </w:pPr>
      <w:bookmarkEnd w:id="247"/>
      <w:r>
        <w:rPr>
          <w:rFonts w:ascii="IRNazanin" w:hAnsi="IRNazanin" w:eastAsia="IRNazanin"/>
          <w:color w:val="111111"/>
          <w:sz w:val="28"/>
          <w:sz w:val="28"/>
          <w:szCs w:val="28"/>
          <w:rtl w:val="true"/>
          <w:lang w:bidi="fa-IR"/>
        </w:rPr>
        <w:t>یمکن لنا إثبات صحة الصلاة بقاعدة التجاوز، نعم لو وقع هذا الشک بعد الانتهاء من الصلاة جرت قاعدة الفراغ وصحّت الصلاة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والدلیل علی عدم جریان قاعدة التجاوز فی الأجزاء غیر المستقلّة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منه ودخل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له ظهور واضح فی الأجزاء المستقلّة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الجزء الأخیر للمرکب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الأجزاء التی لا تجری فیها قاعدة التجاوز کالتسلیم فی الصلاة، فلو شکّ المکلّف فی أصل تسلیم صلاته لم یصدق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منه ودخل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لم یدخل فی عمل آخر</w:t>
      </w:r>
      <w:r>
        <w:rPr>
          <w:rFonts w:eastAsia="IRNazanin" w:cs="IRNazanin"/>
          <w:color w:val="111111"/>
          <w:sz w:val="28"/>
          <w:szCs w:val="28"/>
          <w:rtl w:val="true"/>
          <w:lang w:bidi="fa-IR"/>
        </w:rPr>
        <w:t>.</w:t>
      </w:r>
    </w:p>
    <w:p>
      <w:pPr>
        <w:pStyle w:val="Heading2"/>
        <w:numPr>
          <w:ilvl w:val="1"/>
          <w:numId w:val="1"/>
        </w:numPr>
        <w:rPr/>
      </w:pPr>
      <w:bookmarkStart w:id="248" w:name="__RefHeading___Toc2082440_581953129"/>
      <w:bookmarkStart w:id="249" w:name="_Toc98"/>
      <w:bookmarkEnd w:id="248"/>
      <w:r>
        <w:rPr>
          <w:rtl w:val="true"/>
        </w:rPr>
        <w:t xml:space="preserve">دراسة وتحلیل رأی الإمام الخمینی </w:t>
      </w:r>
      <w:r>
        <w:rPr>
          <w:rtl w:val="true"/>
        </w:rPr>
        <w:t>(</w:t>
      </w:r>
      <w:r>
        <w:rPr>
          <w:rtl w:val="true"/>
        </w:rPr>
        <w:t>رحمه الله</w:t>
      </w:r>
      <w:r>
        <w:rPr>
          <w:rtl w:val="true"/>
        </w:rPr>
        <w:t xml:space="preserve">) </w:t>
      </w:r>
      <w:r>
        <w:rPr>
          <w:rtl w:val="true"/>
        </w:rPr>
        <w:t>فی استفادة قاعدة التجاوز من الروایات</w:t>
      </w:r>
      <w:bookmarkEnd w:id="249"/>
    </w:p>
    <w:p>
      <w:pPr>
        <w:pStyle w:val="Heading3"/>
        <w:numPr>
          <w:ilvl w:val="2"/>
          <w:numId w:val="1"/>
        </w:numPr>
        <w:rPr/>
      </w:pPr>
      <w:bookmarkStart w:id="250" w:name="__RefHeading___Toc2082442_581953129"/>
      <w:bookmarkStart w:id="251" w:name="_Toc99"/>
      <w:bookmarkEnd w:id="250"/>
      <w:r>
        <w:rPr>
          <w:rtl w:val="true"/>
        </w:rPr>
        <w:t>اشارة</w:t>
      </w:r>
      <w:bookmarkEnd w:id="251"/>
    </w:p>
    <w:p>
      <w:pPr>
        <w:pStyle w:val="BookText"/>
        <w:rPr/>
      </w:pPr>
      <w:r>
        <w:rPr>
          <w:rFonts w:ascii="IRNazanin" w:hAnsi="IRNazanin" w:eastAsia="IRNazanin"/>
          <w:color w:val="111111"/>
          <w:sz w:val="28"/>
          <w:sz w:val="28"/>
          <w:szCs w:val="28"/>
          <w:rtl w:val="true"/>
          <w:lang w:bidi="fa-IR"/>
        </w:rPr>
        <w:t>المسألة الاخری تحلیل رأی المرحوم الإمام حول استفادة قاعدة التجاوز من خلال الروایات وأنّ التجاوز أعمّ مطلق من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ذکرنا أنّ 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صحیحة زرارة</w:t>
      </w:r>
      <w:r>
        <w:rPr>
          <w:rStyle w:val="FootnoteAnchor"/>
          <w:rtl w:val="true"/>
        </w:rPr>
        <w:footnoteReference w:id="202"/>
      </w:r>
      <w:r>
        <w:rPr>
          <w:rFonts w:ascii="IRNazanin" w:hAnsi="IRNazanin" w:eastAsia="IRNazanin"/>
          <w:color w:val="111111"/>
          <w:sz w:val="28"/>
          <w:sz w:val="28"/>
          <w:szCs w:val="28"/>
          <w:rtl w:val="true"/>
          <w:lang w:bidi="fa-IR"/>
        </w:rPr>
        <w:t>علی قاعدة التجاوز وصرّح بأنّ التجاوز عن المحل والفراغ من العمل لا مدخلیة لهما کملاک للقاعدتین</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والذی أراه أن نظریة 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قابلة للاستفادة 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هذه الروایات وعمدتها التی یمکن التمسّک بها موثقة إسماعیل بن جابر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شکّ فی الرکوع بعدما سجد فلیمض وإن شک فی السجود بعدما قام فلیمض، کلّ شیءٍ شک فیه مّما قد جاوزه ودخل فی غیره فلیمض علیه</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یری بمقتضی هذه الروایة أنّ قاعدة التجاوز أعمّ مطلق باعتبار شمولها</w:t>
      </w:r>
      <w:bookmarkStart w:id="252" w:name="pg5466_52848"/>
    </w:p>
    <w:p>
      <w:pPr>
        <w:pStyle w:val="BookText"/>
        <w:rPr/>
      </w:pPr>
      <w:bookmarkEnd w:id="252"/>
      <w:r>
        <w:rPr>
          <w:rFonts w:ascii="IRNazanin" w:hAnsi="IRNazanin" w:eastAsia="IRNazanin"/>
          <w:color w:val="111111"/>
          <w:sz w:val="28"/>
          <w:sz w:val="28"/>
          <w:szCs w:val="28"/>
          <w:rtl w:val="true"/>
          <w:lang w:bidi="fa-IR"/>
        </w:rPr>
        <w:t>للشک فی الصحة والشک فی الوجود، کما تشمل الشک فی أثناء العمل والشک بعد العمل، وهذا المعنی العام یستوعب مدلول قاعدة الفراغ ومن هنا فلا حاجة إلی جعل قاعدة مستقلّة بعنوان قاعدة الفراغ</w:t>
      </w:r>
      <w:r>
        <w:rPr>
          <w:rFonts w:eastAsia="IRNazanin" w:cs="IRNazanin"/>
          <w:color w:val="111111"/>
          <w:sz w:val="28"/>
          <w:szCs w:val="28"/>
          <w:rtl w:val="true"/>
          <w:lang w:bidi="fa-IR"/>
        </w:rPr>
        <w:t>.</w:t>
      </w:r>
    </w:p>
    <w:p>
      <w:pPr>
        <w:pStyle w:val="Heading3"/>
        <w:numPr>
          <w:ilvl w:val="2"/>
          <w:numId w:val="1"/>
        </w:numPr>
        <w:rPr/>
      </w:pPr>
      <w:bookmarkStart w:id="253" w:name="__RefHeading___Toc2082444_581953129"/>
      <w:bookmarkStart w:id="254" w:name="_Toc100"/>
      <w:bookmarkEnd w:id="253"/>
      <w:r>
        <w:rPr>
          <w:rtl w:val="true"/>
        </w:rPr>
        <w:t xml:space="preserve">مناقشة نظریة الإمام الخمینی </w:t>
      </w:r>
      <w:r>
        <w:rPr>
          <w:rtl w:val="true"/>
        </w:rPr>
        <w:t>(</w:t>
      </w:r>
      <w:r>
        <w:rPr>
          <w:rtl w:val="true"/>
        </w:rPr>
        <w:t>رحمه الله</w:t>
      </w:r>
      <w:r>
        <w:rPr>
          <w:rtl w:val="true"/>
        </w:rPr>
        <w:t>):</w:t>
      </w:r>
      <w:bookmarkEnd w:id="254"/>
    </w:p>
    <w:p>
      <w:pPr>
        <w:pStyle w:val="BookText"/>
        <w:rPr/>
      </w:pPr>
      <w:r>
        <w:rPr>
          <w:rFonts w:ascii="IRNazanin" w:hAnsi="IRNazanin" w:eastAsia="IRNazanin"/>
          <w:color w:val="111111"/>
          <w:sz w:val="28"/>
          <w:sz w:val="28"/>
          <w:szCs w:val="28"/>
          <w:rtl w:val="true"/>
          <w:lang w:bidi="fa-IR"/>
        </w:rPr>
        <w:t xml:space="preserve">والظاهر أنّ استفادة هذا المطلب من موثقة إسماعیل بن جابر غیر تام لأنّ صدر الروایة إنّما بیّن موردین من الشک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فی الرکوع بعد إکمال السجود والشک فی السجود بعد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وکلاهما یعودان إلی الشک فی أثناء العمل وهاذان الموردان قرینة علی أنّ المراد من ذیل الروایة حیث یقول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شک فیه مما قد جاوزه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فیراد به أیضاً الشک فی أثناء العمل وإن کان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شک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ملاحظة تتمة الروایة شاملاً للشک بعد العمل والشک فی الصحة الذی هو مجری قاعدة الفراغ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عبارة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قد جاوزه ودخل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 الشک حین العمل ومن أنکر هذا الظهور فإنّ أقصی ما یمکن أن یدّعیه هو أنّ الروایة مجملة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ذکرنا فیما سبق أنّ المتکلّم إذا ذکر مثالاً واحداً قبل بیان الکبری الکلّیّة فإنّ ذکر الکبری یکون قرینةً علی تعدّی الحکم عن ذلک المثال الواحد أمّا لو ذکر أمثلة متعددة ولها محور واحد کانت الأمثلة قرینة علی الکبری وانحصرت القاعدة الکلّیّة فی تلک الأمثلة، وفی هذه الروایة ذکر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بیان القاعدة الکلّیّة مثالین لهما محور واحد وهو الشک حین العمل فلابدّ من أن تختص الکبری المذکورة فی الروایة بالشک حین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 التی تمسّک بها الإمام الخمینی هی موثقة محمد بن مسلم</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w:t>
      </w:r>
      <w:bookmarkStart w:id="255" w:name="pg5466_52849"/>
    </w:p>
    <w:p>
      <w:pPr>
        <w:pStyle w:val="BookText"/>
        <w:rPr/>
      </w:pPr>
      <w:bookmarkEnd w:id="255"/>
      <w:r>
        <w:rPr>
          <w:rFonts w:ascii="IRNazanin" w:hAnsi="IRNazanin" w:eastAsia="IRNazanin"/>
          <w:color w:val="111111"/>
          <w:sz w:val="28"/>
          <w:sz w:val="28"/>
          <w:szCs w:val="28"/>
          <w:rtl w:val="true"/>
          <w:lang w:bidi="fa-IR"/>
        </w:rPr>
        <w:t>شککت فیه مما قد مضی فامضه کما هو</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معناه کلّما شککت فی صحّته بعد الفراغ منه بل معناه أنّه کلّما شککت فی وجوده جزءاً کان أو شرطاً أو نفس العمل ممّا قد مضی محلّه المقرّر الشرعی فأمضه کما هو فیکون مفاده إعطاء قاعدة التجاوز</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 أنّ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 فی الروایة یعود إلی وجود العمل سواء کان نفس العمل أو جزئه أو شرطه ولا یعود الضمیر إلی صحة العمل</w:t>
      </w:r>
      <w:r>
        <w:rPr>
          <w:rFonts w:eastAsia="IRNazanin" w:cs="IRNazanin"/>
          <w:color w:val="111111"/>
          <w:sz w:val="28"/>
          <w:szCs w:val="28"/>
          <w:rtl w:val="true"/>
          <w:lang w:bidi="fa-IR"/>
        </w:rPr>
        <w:t>.</w:t>
      </w:r>
    </w:p>
    <w:p>
      <w:pPr>
        <w:pStyle w:val="Heading3"/>
        <w:numPr>
          <w:ilvl w:val="2"/>
          <w:numId w:val="1"/>
        </w:numPr>
        <w:rPr/>
      </w:pPr>
      <w:bookmarkStart w:id="256" w:name="__RefHeading___Toc2082446_581953129"/>
      <w:bookmarkStart w:id="257" w:name="_Toc101"/>
      <w:bookmarkEnd w:id="256"/>
      <w:r>
        <w:rPr>
          <w:rtl w:val="true"/>
        </w:rPr>
        <w:t xml:space="preserve">مناقشة رأی الإمام الخمینی </w:t>
      </w:r>
      <w:r>
        <w:rPr>
          <w:rtl w:val="true"/>
        </w:rPr>
        <w:t>(</w:t>
      </w:r>
      <w:r>
        <w:rPr>
          <w:rtl w:val="true"/>
        </w:rPr>
        <w:t>رحمه الله</w:t>
      </w:r>
      <w:r>
        <w:rPr>
          <w:rtl w:val="true"/>
        </w:rPr>
        <w:t>):</w:t>
      </w:r>
      <w:bookmarkEnd w:id="257"/>
    </w:p>
    <w:p>
      <w:pPr>
        <w:pStyle w:val="BookText"/>
        <w:rPr/>
      </w:pPr>
      <w:r>
        <w:rPr>
          <w:rFonts w:ascii="IRNazanin" w:hAnsi="IRNazanin" w:eastAsia="IRNazanin"/>
          <w:color w:val="111111"/>
          <w:sz w:val="28"/>
          <w:sz w:val="28"/>
          <w:szCs w:val="28"/>
          <w:rtl w:val="true"/>
          <w:lang w:bidi="fa-IR"/>
        </w:rPr>
        <w:t>الظاهر أنّ رأی المرحوم فی هذه الروایة یمکن الإشکال علیه من جهات عدیدة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هذا الکلام منه یحتاج إلی تقدیر کثیر من الألفاظ لکونه خلاف الظاهر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المذکورة فی الروایة بیانیّة لا تبعیضیة فتکون الروایة ظاهرة فی کلّ العمل فیکون المراد بالشک الشک بعد العمل، وعلیه تختصّ الروایة بقاعدة الفراغ دون قاعدة التجاوز</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ما تفضّل به 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الروایة من أنّ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قد مضی محلّه المقرّر الشرعی فهل یصدق تجاوز محل العمل علی تجاوز العمل نفسه أولا؟ ذلک أنّ المحلّ أمر تعبّدی ولا یمکننا أن نعرف متی یتحقق التجاوز عن المحل ولابد للشارع من أن یوضّح لنا ذلک، فمثلاً یستفاد من</w:t>
      </w:r>
    </w:p>
    <w:p>
      <w:pPr>
        <w:pStyle w:val="BookText"/>
        <w:rPr/>
      </w:pPr>
      <w:r>
        <w:rPr>
          <w:rFonts w:ascii="IRNazanin" w:hAnsi="IRNazanin" w:eastAsia="IRNazanin"/>
          <w:color w:val="111111"/>
          <w:sz w:val="28"/>
          <w:sz w:val="28"/>
          <w:szCs w:val="28"/>
          <w:rtl w:val="true"/>
          <w:lang w:bidi="fa-IR"/>
        </w:rPr>
        <w:t>کلمات الشارع أنّ محلّ الرکوع قد تجاوز عند تحقق السجود، أمّا العرف فلا یفهم ذلک کما لا یدرک العرف الفرق بین الجزء الرکنی وغیر الرکنی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مضافاً إلی کون مضیّ المحل أمراً تعبّدیاً فإنّ العرف لا یری صدق تجاوز المحلّ علی ما لو فرغ المکلّف من العمل فلا یقال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محلّه بل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أصله وکلّه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ولهذا 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للإشکالات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المشهور إلی أن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شککت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أنّه کلّما شککت فی نفس العمل لا فی جزئه أو شرطه، ولعلّ هذا هو السر فی أن یحتمل 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أسطر من کلامه السابق أنّ الروایة مختصّة بالشک فی العمل فلا تشمل الشک فی الجزء أو الشرط فهو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یقرب احتمال آخر فی 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شککت فیه ممّا قد مضی فامضه کما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أنّه بصدد بیان موردٍ من موارد قاعدة التجاوز أی الشک الحادث بعد مضی العمل المتعلّق بکلّ ما اعتبر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فالشک الحادث بعد العمل کالحادث بینه بعد مضیّ المحلّ لا اعتبار به</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فهو فی کلماته هذا یری أنّ الموثّقة مختصّة بالشک بعد مضی العمل، وعلیه تکون الروایة فی صدد بیان أحد موارد التجاوز وهو الشک بعد الانتهاء من العمل، وحینئذٍ فلا دلالة لها علی الشک فی أثناء العمل</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الإشکال الخامس هو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استند إلی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الروایة بأنّ لها معنی عاماً یشمل مضیّ الجزء کما یشمل مضیّ کلّ العمل ونحن نقول بأنّ التعبیرات المختلفة قد وردت فی الروایات من أمثال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بعدما ینصرف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بعدما یصلّی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بعدما یفرغ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غیر قابلة للحمل علی معنی التجاوز بل لها ظهور فی</w:t>
      </w:r>
    </w:p>
    <w:p>
      <w:pPr>
        <w:pStyle w:val="BookText"/>
        <w:rPr/>
      </w:pPr>
      <w:r>
        <w:rPr>
          <w:rFonts w:ascii="IRNazanin" w:hAnsi="IRNazanin" w:eastAsia="IRNazanin"/>
          <w:color w:val="111111"/>
          <w:sz w:val="28"/>
          <w:sz w:val="28"/>
          <w:szCs w:val="28"/>
          <w:rtl w:val="true"/>
          <w:lang w:bidi="fa-IR"/>
        </w:rPr>
        <w:t>قاعدة الفراغ، ومن البعید جدّاً أن یستفاد عنوان التجاوز عن المحلّ من هذه التعبیرات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الثالثة التی استند إلیها 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ابن أبی یعفور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وعن المفید، عن أحمد بن محمّد، عن أبیه، عن سعد بن عبدالله، عن أحمد بن محمد بن عیسی، عن أحمد بن محمد بن أبی نصر، عن عبدالکریم بن عمرو، عن عبد الله بن أبی یعفور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شککت فی شیءٍ من الوضوء وقد دخلت فی غیره فلیس شکّک بشیءٍ إنّما الشک إذا کنت فی شیءٍ لم تجزه</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یقول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الروایة بأنّک کلّما شککت فی جزءٍ من الوضوء ولم تدخل فی غیره فشکّک لا یعتنی به ثمّ یبیّن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کلّیّة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الشک إذا کنت فی شیءٍ لم تجزه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الشک إنّما یعتنی به فیما لو لم یتجاوز محل المشکوک ولم یدخل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الروایة بحثان لابدّ من التدقیق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فی الضمیر الغائب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والآخر فی القاعدة الکلّیّة التی بیّنها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البحث الأوّل فیتمثّل فی السؤال عن مرجع الضمیر الغائب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مرجعه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شککت فی شیء من الوضوء وقد دخلت فی غیر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مفاد الروایة قاعدة التجاوز وحینئذٍ یرد الإشکال علی هذا الاحتمال بأنّه مخالف للفتاوی والنصوص لقیام الإجماع القطعی علی عدم جریان قاعدة التجاوز فی الوضوء</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والاحتمال الثانی أن یکون مرجع الضمیر الغائب کلمة الوضوء بمعنی أنّ</w:t>
      </w:r>
    </w:p>
    <w:p>
      <w:pPr>
        <w:pStyle w:val="BookText"/>
        <w:rPr/>
      </w:pP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شککت فی شیءٍ من الوضوء وقد دخلت فی غیر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یکون مفاد الروایة قاعدة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ولکنّ الذی ینبغی أن یذکر هو أنّ الروایة الظاهرة فی معنی لا یمکن رفع الید عن ظهورها بسبب مخالفة هذا الظهور للفتاوی، ولا یمکن التصرّف فی ظاهر الروایة بواسطة الإجماع فالإجماع أو الفتاوی لا یکون قرینة علی التصرف فی المراد الاستعمالی والمراد الجدّی بل یمکن الالتزام بطرح الروایة المخالفة للإجماع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ینطبق علی هذه الروایة مورد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الثانی هو أنّ ذیل الروایة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الشک إذا کنت فی شیءٍ لم تجزه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یؤیّد رأی 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الروایات ناظرة إلی قاعدة التجاوز والملاک الوحید هو التجاوز عن المحلّ، لأن ذیل الروایة بقرینة کلمة إنّما الظاهرة فی الحصر عند مشهور الأدباء یحصر الشک المعتنی به فی الشک فیما لم یتجاوز عن الشیء، ولاسیما إذا التزمنا فی البحث الأوّل بأنّ مرجع الضمیر الغائب هو الوضوء لیکون مفاد الروایة قاعدة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أنّ ملاک قاعدة الفراغ هو التجاوز عن المحل بحسب الروایة فی هذه الصورة دون الفراغ منه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ولابد من الالتفات إلی ما ذکرناه فی البحث الأوّل من أنّ مخالفة روایة للفتاوی والإجماع لا توجب رفع الید عن ظهورها فلا یمکن التصرّف فی مدلول الروایة بسبب الإجماع والفتاوی والطریق الوحید الذی یمکن التصرف به فی مدلول الاستعمالی هو وجود روایة أخری ناظرة إلی هذه الروایة وطالما أنّ هکذا روایة مفقودة فی المقام فإنّ موثقة ابن أبی یعفور تکون مؤیدة لرأی 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یؤکّد علیه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فبما لم نجد جواباً عن ذلک کانت نظریة 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راسخة صحیحة إلاّ أنّ التحقیق یقتضی عدم قدرة الروایة علی</w:t>
      </w:r>
    </w:p>
    <w:p>
      <w:pPr>
        <w:pStyle w:val="BookText"/>
        <w:rPr/>
      </w:pPr>
      <w:r>
        <w:rPr>
          <w:rFonts w:ascii="IRNazanin" w:hAnsi="IRNazanin" w:eastAsia="IRNazanin"/>
          <w:color w:val="111111"/>
          <w:sz w:val="28"/>
          <w:sz w:val="28"/>
          <w:szCs w:val="28"/>
          <w:rtl w:val="true"/>
          <w:lang w:bidi="fa-IR"/>
        </w:rPr>
        <w:t xml:space="preserve">إثبات رأی 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 کان صدر الروایة ناظراً إلی قاعدة التجاوز لوجب بحسب ظاهرها جریان هذه القاعدة فی الوضوء أیضاً مع أن صحیحة زرارة نفت جریان قاعدة التجاوز فی الوضوء، کما أنّ إجماع الفقهاء علی خلاف هذا الجریان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یمکن أن یکون هذا الإجماع سبباً للتصرّف فی المدلول الاستعمالی للروایة إلاّ أنّه یُسقطها عن الحجیة فإذا صار صدر الروایة مختصّاً بقاعدة التجاوز وجب اختصاص ذیلها الوارد لبیان القاعدة الکلّیة بقاعدة التجاوز بقرینة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أخری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الواردة فی ذیل الروایة هی نفس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الواردة فی صدرها فإذا کانت هذه اللفظة فی صدر الروایة بمعنی الجزء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من الوضوء أی جزء من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کذلک فی ذیل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لو قیل فی الاحتمال الثانی بأن صدر الروایة ذو احتمالین حیث یحتمل أن یکون ناظراً إلی قاعدة التجاوز وکذلک إلی قاعدة الفراغ فإنّ الروایة علی هذا تصبح مجملة لقابلیة حملها علی کلا الاحتمالین علی حدّ سواء فلابد من طرحها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مبنی صحة التفکیک فی حجیة الروایات</w:t>
      </w:r>
      <w:r>
        <w:rPr>
          <w:rStyle w:val="FootnoteAnchor"/>
          <w:rtl w:val="true"/>
        </w:rPr>
        <w:footnoteReference w:id="209"/>
      </w:r>
      <w:r>
        <w:rPr>
          <w:rFonts w:ascii="IRNazanin" w:hAnsi="IRNazanin" w:eastAsia="IRNazanin"/>
          <w:color w:val="111111"/>
          <w:sz w:val="28"/>
          <w:sz w:val="28"/>
          <w:szCs w:val="28"/>
          <w:rtl w:val="true"/>
          <w:lang w:bidi="fa-IR"/>
        </w:rPr>
        <w:t xml:space="preserve">کما نذهب إلیه فإنّنا نوضّح المراد من ذیل الروایة ولا علاقة لنا بصدرها فإنّ المدّعی هو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الشک فی شیءٍ لم تجزه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نفسه فی أجزاء المرکب ویشمل مجموع المرکب فیختص ذیل الروایة بقاعدة التجاوز ولا علاقة له بقاعدة الفراغ، إذ لو عمّت الروایة لقاعدة الفراغ التی تتعلّق بصحة العمل بعد الانتهاء منه کان مفاد</w:t>
      </w:r>
      <w:bookmarkStart w:id="258" w:name="pg5466_52854"/>
    </w:p>
    <w:p>
      <w:pPr>
        <w:pStyle w:val="BookText"/>
        <w:rPr/>
      </w:pPr>
      <w:bookmarkEnd w:id="258"/>
      <w:r>
        <w:rPr>
          <w:rFonts w:ascii="IRNazanin" w:hAnsi="IRNazanin" w:eastAsia="IRNazanin"/>
          <w:color w:val="111111"/>
          <w:sz w:val="28"/>
          <w:sz w:val="28"/>
          <w:szCs w:val="28"/>
          <w:rtl w:val="true"/>
          <w:lang w:bidi="fa-IR"/>
        </w:rPr>
        <w:t xml:space="preserve">الروایة حینئذٍ أنّه لو تجاوزتْ العمل فلا تعتن بشکّک وإلاّ فاعتن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کان ملاک التجاوز هو الدخول فی الجزء الآخر أی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لم تدخل فی غیره، فلو أنّ المکلّف شکّ فی صحّة صلاته بعد الانتهاء من صلاته وقبل الدخول فی أی عمل مناف آخر وهو جالس علی مصلاه فلابدّ من الحکم بعدم الاعتناء بشکّه بمفاد هذا الروایة مع أنّ أحداً من الفقهاء لم یلتزم بذلک ولم یُفت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بموافقة موثقة ابن أبی یعفور لما ذهب إلیه 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کلمة الشیء الواردة فی الروایة تشمل کلّ العمل وجزأه وإن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التجاوز عن المحل والتجاوز من نفس الشیء کانت موثقة ابن أبی بکیر دالة حینئذٍ علی القدر الجامع بین القاعدتین لا أنّها دالة علی قاعدة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فإنّ الروایات الواردة فی باب قاعدتی الفراغ والتجاوز ثلاث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تختص بقاعدة الفراغ والشک بعد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تتعلّق بقاعدة التجاوز والشک حین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تعمّ کلّتا القاعدتین بمعنی أنّ مفادها یشمل الشک بعد العمل وکذلک الشک حین العمل، ومن هذا القسم الثالث موثقة ابن أبی یعفور</w:t>
      </w:r>
      <w:r>
        <w:rPr>
          <w:rFonts w:eastAsia="IRNazanin" w:cs="IRNazanin"/>
          <w:color w:val="111111"/>
          <w:sz w:val="28"/>
          <w:szCs w:val="28"/>
          <w:rtl w:val="true"/>
          <w:lang w:bidi="fa-IR"/>
        </w:rPr>
        <w:t>.</w:t>
      </w:r>
    </w:p>
    <w:p>
      <w:pPr>
        <w:pStyle w:val="Heading2"/>
        <w:numPr>
          <w:ilvl w:val="1"/>
          <w:numId w:val="1"/>
        </w:numPr>
        <w:rPr/>
      </w:pPr>
      <w:bookmarkStart w:id="259" w:name="__RefHeading___Toc2082448_581953129"/>
      <w:bookmarkStart w:id="260" w:name="_Toc102"/>
      <w:bookmarkEnd w:id="259"/>
      <w:r>
        <w:rPr>
          <w:rtl w:val="true"/>
        </w:rPr>
        <w:t>دراسة روایة موثقة بکیر بن أعین</w:t>
      </w:r>
      <w:r>
        <w:rPr>
          <w:rtl w:val="true"/>
        </w:rPr>
        <w:t>:</w:t>
      </w:r>
      <w:bookmarkEnd w:id="260"/>
    </w:p>
    <w:p>
      <w:pPr>
        <w:pStyle w:val="BookText"/>
        <w:rPr/>
      </w:pPr>
      <w:r>
        <w:rPr>
          <w:rFonts w:ascii="IRNazanin" w:hAnsi="IRNazanin" w:eastAsia="IRNazanin"/>
          <w:color w:val="111111"/>
          <w:sz w:val="28"/>
          <w:sz w:val="28"/>
          <w:szCs w:val="28"/>
          <w:rtl w:val="true"/>
          <w:lang w:bidi="fa-IR"/>
        </w:rPr>
        <w:t>بقیت روایة أخری وهی موثقة بکیر بن أعین التی لابدّ من دراستها بدقّة وإمعان لعل المستفاد منها الملاک الواحد علی کلتا القاعدتین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نص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بکیر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یشکّ بعدما یتوضّأ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ولابد من البحث فی عدة نقاط من هذه الروایة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متعلّق الشک فی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یشک بعدما یتوضّأ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هل شک المکلّف فی صحة مجموع العمل بمعنی أنّه یعلم بإتیانه جمیع أجزاء الوضوء إلاّ أنّه یشک فی صحّتها أو أنّه قد شک فی وجود جزءٍ من أجزاء الوضوء أو أنّه یشمل الأعم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 فی وجود الجزء والشک فی صحّة مجموع العمل؟ الظاهر أنّ الاحتمال الثالث هو الصحیح من بین هذه الاحتمالات الثلاثة، وعلیه یمکن أن یکون متعلّق الشک صحة مجموع المرکّب، وکذا الجزء المعیّن من أجزاء العمل، وعلیه فإنّ مورد الروایة هو الشک بعد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الوجود أو فی صحّة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مجری قاعدة الفراغ لأنّ ملاک قاعدة الفراغ کما ذکرنا سابقاً هو الشک بعد الانتهاء من العمل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النقطة الثانیة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ملاک الأذکریة هل یوجد فی قاعدة الفراغ وقاعدة التجاوز؟</w:t>
      </w:r>
    </w:p>
    <w:p>
      <w:pPr>
        <w:pStyle w:val="BookText"/>
        <w:rPr/>
      </w:pPr>
      <w:r>
        <w:rPr>
          <w:rFonts w:ascii="IRNazanin" w:hAnsi="IRNazanin" w:eastAsia="IRNazanin"/>
          <w:color w:val="111111"/>
          <w:sz w:val="28"/>
          <w:sz w:val="28"/>
          <w:szCs w:val="28"/>
          <w:rtl w:val="true"/>
          <w:lang w:bidi="fa-IR"/>
        </w:rPr>
        <w:t xml:space="preserve">للإجابة عن هذا السؤال لابدّ من القول بأنّ التعبیر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تعبّداً شرعیاً ولیس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بصدد بیان الملاک الشرعی، بل فی هذا التعبیر إشارة إلی أمر واقعی عقلائی، وعلیه فلابد من الرجوع إلی العقلاء لمعرفة أنّ الأذکریة عندهم هل هی معتبرة بعد العمل فقط بمعنی أنّهم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شککت فی صحة العمل أو فی وجود جزء من أجزاء العمل بعد الانتهاء من العمل فلا تعتن بشکّک لأنّک حین العمل کنت أذکر، أو أنّ العقلاء یلتزمون بهذا المقال فی الشک فی أثناء العمل أیضاً فیقولون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سجد المکلّف ثمّ شک فی أنّه رکع لم یعتن بشکّه لأنّه حین الرکوع کان أذکر؟</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نعتقده هو أنّ الأذکریة تامّة قطعاً فی الشک بعد العمل إذ کلّ عامل</w:t>
      </w:r>
    </w:p>
    <w:p>
      <w:pPr>
        <w:pStyle w:val="BookText"/>
        <w:rPr/>
      </w:pPr>
      <w:r>
        <w:rPr>
          <w:rFonts w:ascii="IRNazanin" w:hAnsi="IRNazanin" w:eastAsia="IRNazanin"/>
          <w:color w:val="111111"/>
          <w:sz w:val="28"/>
          <w:sz w:val="28"/>
          <w:szCs w:val="28"/>
          <w:rtl w:val="true"/>
          <w:lang w:bidi="fa-IR"/>
        </w:rPr>
        <w:t>حین اشتغاله بالعمل أذکر من زمن الفراغ من العمل، ذلک أنّ المکلّف حین العمل یرکز کلّ اهتمامه علی إتیان العمل علی ما هو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أثناء العمل فإنّ الأذکریة بالنسبة إلی الجزء السابق فمحل تأمّل، إذ لو وجب القبول بالأذکریة هنا لوجب القبول بها قبل الدخول فی المحل والجزء الآخر أیضاً، فمن هوی إلی السجود مثلاً وشک فی الرکوع قبل أن یضع جبهته علی ما یصحّ السجود علیه فلابد من الالتزام بأنّه فی حالة الرکوع کان أذکر وعلیه فلو جرت الأذکریة فی قاعدة التجاوز وجب الالتزام بجریأنها قبل الدخول فی الجزء الآخر أیضاً، وهو محلّ تأمل وغیر قابل للقبول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سلّمنا جریان ملاک الأذکریة فی قاعدة التجاوز أیضاً فهل یمکن أن تکون وحدة الملاک فی القاعدتین سبباً لاتّحاد القاعدتین؟ وهل یتوقّف تغایر القاعدتین علی تغایر الملاک فیهما؟</w:t>
      </w:r>
    </w:p>
    <w:p>
      <w:pPr>
        <w:pStyle w:val="BookText"/>
        <w:rPr/>
      </w:pPr>
      <w:r>
        <w:rPr>
          <w:rFonts w:ascii="IRNazanin" w:hAnsi="IRNazanin" w:eastAsia="IRNazanin"/>
          <w:color w:val="111111"/>
          <w:sz w:val="28"/>
          <w:sz w:val="28"/>
          <w:szCs w:val="28"/>
          <w:rtl w:val="true"/>
          <w:lang w:bidi="fa-IR"/>
        </w:rPr>
        <w:t xml:space="preserve">الجواب بالنفی ولیست وحدة الملاک دلیلاً علی وحدة القاعدتین لوجود موارد کثیرة فی الفقه یجمعها ملاک واحد مع بقاء التعدّد والتغایر علی حاله، فمثلاً فی باب الخیارات فإنّ الملاک فی خیار الغبن وخیار العیب وخیار تخلّف الشرط واحد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الخیارات المتعدّدة ملاکها واحد وهی متغایرة ومتعدّدة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فالحاصل أنّ الأذکریة إنّما تجری فی قاعدة الفراغ فقط ولو جرت فی قاعدة التجاوز أیضاً لزم التالی الفاسد مضافاً إلی أنّ ذلک لا یوجب وحدة قاعدة التجاوز وقاعدة الفراغ، ومن هنا فإنّ موثقة بکیر بن أعین لا یمکن إثبات وحدة القاعدتین بها أیضاً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فإنّ المستفاد من الروایات أیضاً هو وجود قاعدتین مستقلتین لهما</w:t>
      </w:r>
    </w:p>
    <w:p>
      <w:pPr>
        <w:pStyle w:val="BookText"/>
        <w:rPr/>
      </w:pPr>
      <w:r>
        <w:rPr>
          <w:rFonts w:ascii="IRNazanin" w:hAnsi="IRNazanin" w:eastAsia="IRNazanin"/>
          <w:color w:val="111111"/>
          <w:sz w:val="28"/>
          <w:sz w:val="28"/>
          <w:szCs w:val="28"/>
          <w:rtl w:val="true"/>
          <w:lang w:bidi="fa-IR"/>
        </w:rPr>
        <w:t>ملاکان مختلفان وهما الشک بعد العمل والشک حین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أنّه لابد هنا من التعرض لإشکالین تکملة للبحث وإثباتاً للمدّعی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یستفاد من کلمات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الأعلام</w:t>
      </w:r>
      <w:r>
        <w:rPr>
          <w:rStyle w:val="FootnoteAnchor"/>
          <w:rtl w:val="true"/>
        </w:rPr>
        <w:footnoteReference w:id="211"/>
      </w:r>
      <w:r>
        <w:rPr>
          <w:rFonts w:ascii="IRNazanin" w:hAnsi="IRNazanin" w:eastAsia="IRNazanin"/>
          <w:color w:val="111111"/>
          <w:sz w:val="28"/>
          <w:sz w:val="28"/>
          <w:szCs w:val="28"/>
          <w:rtl w:val="true"/>
          <w:lang w:bidi="fa-IR"/>
        </w:rPr>
        <w:t>تبعاً له وهو أنّ فی خمس عشرة روایة من روایات هذا الباب تکون وحدة السیاق والتعبیر، ومن المعلوم أنّ السیاق قرینة عرفیة علی جعل الشارع المقدس حکماً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الإشکال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 هذا الإشکال غیر 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قرینیة السیاق محلّ تأمل وإشکال فمثلاً فی القرآن الکریم وردت قبل آیة التطهیر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Style w:val="FootnoteAnchor"/>
          <w:rtl w:val="true"/>
        </w:rPr>
        <w:footnoteReference w:id="212"/>
      </w:r>
      <w:r>
        <w:rPr>
          <w:rFonts w:ascii="IRNazanin" w:hAnsi="IRNazanin" w:eastAsia="IRNazanin"/>
          <w:color w:val="111111"/>
          <w:sz w:val="28"/>
          <w:sz w:val="28"/>
          <w:szCs w:val="28"/>
          <w:rtl w:val="true"/>
          <w:lang w:bidi="fa-IR"/>
        </w:rPr>
        <w:t xml:space="preserve">آیات عدیدة تتحدّث عن أمور تتعلق بنساء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سلّمنا قرینیة السیاق لزم القول بشمول الضمیر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آیة التطهیر لجمیع نساء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یقتضی خلاف ذلک وأنّ آیة التطهیر لا تشمل نساء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قرینیة السیاق فأنّها فی کلام المتکلّم الواحد بحیث تکون الجمل متّصلة لا فی الجمل المنفصلة کما هو الشأن فیما نحن فیه حیث إنّ الروایة من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والأخری من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الروایات الواصلة من الإمام الواحد کالإمام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رواتها مختلفون فلا یمکن</w:t>
      </w:r>
    </w:p>
    <w:p>
      <w:pPr>
        <w:pStyle w:val="BookText"/>
        <w:rPr/>
      </w:pPr>
      <w:r>
        <w:rPr>
          <w:rFonts w:ascii="IRNazanin" w:hAnsi="IRNazanin" w:eastAsia="IRNazanin"/>
          <w:color w:val="111111"/>
          <w:sz w:val="28"/>
          <w:sz w:val="28"/>
          <w:szCs w:val="28"/>
          <w:rtl w:val="true"/>
          <w:lang w:bidi="fa-IR"/>
        </w:rPr>
        <w:t>للسیاق أن یکون قرینة مع وجود هذا الاختلاف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الأهمّ من الجوابین السابقین هو أنّه لا وجود لوحدة التعبیر فی روایات الباب فإنّ البحث فی روایات قاعدة التجاوز إنّما هو عن التجاوز عن المحل المقرّر الشرعی حیث یقول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یشک فی السجدة حینما 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فی الرکوع حینما 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البحث فی روایات قاعدة الفراغ فهو إتمام العمل والانتهاء منه فمثلاً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ینصرف من 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بعدما یفرغ من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هذه التعبیرات واحدة؟ کلّا لیس کذلک بل الموجود فی صحیحة زرارة کلمتان مختلفتان حیث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کنت قاعداً علی وضوئک فلم تدر أغسلت ذراعیک أم لا؟ فأعد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قمت من الوضوء وفرغت منه وقد صرت فی حال أخری فی الصلاة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علیک فیه</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حیث ذُکر فیها تعبیران مختلفان کلّ منهما موضوع لحکم مختلف عن الآخر، وعلیه فلا مصداقیة لوحدة السیاق والتعبیر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یستفاد من کلمات بعض أهل النظر وهو أنّ الملاک فی قاعدة التجاوز هو الشک فی الوجود، والتحقیق أنّ الشک فی الوجود راجع إلی الشک فی الصحة عکس ما ذهب إلیه الشیخ الأنصاری</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الإشکال هو أنّه عندما یُشک فی وجود جزءٍ معیّن والمفروض وجود سائر الأجزاء، وعلیه فإنّ الشک فی إتیان ذلک الجزء یوجب الشک فی صحّة سائر الأجزاء فیرجع الشک فی الوجود إلی الشک فی الصحّة، وبعبارة أخری أنّ التعبّد بوجود الجزء عند الشک فی وجوده إنّما هو فی الواقع تعبّد بصحّة سائر الأجزاء</w:t>
      </w:r>
      <w:r>
        <w:rPr>
          <w:rFonts w:eastAsia="IRNazanin" w:cs="IRNazanin"/>
          <w:color w:val="111111"/>
          <w:sz w:val="28"/>
          <w:szCs w:val="28"/>
          <w:rtl w:val="true"/>
          <w:lang w:bidi="fa-IR"/>
        </w:rPr>
        <w:t>.</w:t>
      </w:r>
      <w:bookmarkStart w:id="261" w:name="pg5466_52859"/>
    </w:p>
    <w:p>
      <w:pPr>
        <w:pStyle w:val="BookText"/>
        <w:rPr/>
      </w:pPr>
      <w:bookmarkEnd w:id="261"/>
      <w:r>
        <w:rPr>
          <w:rFonts w:ascii="IRNazanin" w:hAnsi="IRNazanin" w:eastAsia="IRNazanin"/>
          <w:color w:val="111111"/>
          <w:sz w:val="28"/>
          <w:sz w:val="28"/>
          <w:szCs w:val="28"/>
          <w:rtl w:val="true"/>
          <w:lang w:bidi="fa-IR"/>
        </w:rPr>
        <w:t>جواب الإشکال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سابقاً بأنّ الشک فی الصحة لا یرجع إلی الشکّ فی الوجود ولا العکس بل هما عنوانان مستقلاّن لکلّ منهما آثاره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قیل فی الإشکال لا یتوافق مع ظاهر روایات قاعدة التجاوز ففی روایةٍ من باب المثال حیث یسأل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أشکّ أثناء السجود فی أنّی هل رکعت أولا؟ ویجیب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إنّک قد رکعت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لم یلاحظ سائر الأجزاء بل تعبّدنا بأنّ نبنی علی إتیان 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أثبتنا أنّ قاعدة الفراغ وقاعدة التجاوز قاعدتان مستقلّتان متغایرتان ونحن نعتقد بتعدد القاعدتین</w:t>
      </w:r>
      <w:r>
        <w:rPr>
          <w:rFonts w:eastAsia="IRNazanin" w:cs="IRNazanin"/>
          <w:color w:val="111111"/>
          <w:sz w:val="28"/>
          <w:szCs w:val="28"/>
          <w:rtl w:val="true"/>
          <w:lang w:bidi="fa-IR"/>
        </w:rPr>
        <w:t>.</w:t>
      </w:r>
    </w:p>
    <w:p>
      <w:pPr>
        <w:pStyle w:val="Heading2"/>
        <w:numPr>
          <w:ilvl w:val="1"/>
          <w:numId w:val="1"/>
        </w:numPr>
        <w:rPr/>
      </w:pPr>
      <w:bookmarkStart w:id="262" w:name="__RefHeading___Toc2082450_581953129"/>
      <w:bookmarkStart w:id="263" w:name="_Toc103"/>
      <w:bookmarkEnd w:id="262"/>
      <w:r>
        <w:rPr>
          <w:rtl w:val="true"/>
        </w:rPr>
        <w:t>ثمرة بحث تعدّد القاعدتین أو وحدتهما</w:t>
      </w:r>
      <w:r>
        <w:rPr>
          <w:rtl w:val="true"/>
        </w:rPr>
        <w:t>:</w:t>
      </w:r>
      <w:bookmarkEnd w:id="263"/>
    </w:p>
    <w:p>
      <w:pPr>
        <w:pStyle w:val="BookText"/>
        <w:rPr/>
      </w:pPr>
      <w:r>
        <w:rPr>
          <w:rFonts w:ascii="IRNazanin" w:hAnsi="IRNazanin" w:eastAsia="IRNazanin"/>
          <w:color w:val="111111"/>
          <w:sz w:val="28"/>
          <w:sz w:val="28"/>
          <w:szCs w:val="28"/>
          <w:rtl w:val="true"/>
          <w:lang w:bidi="fa-IR"/>
        </w:rPr>
        <w:t>ثمّ أنّه بعد أن اتّضح لنا بأنّ قاعدة الفراغ والتجاوز قاعدتان مستقلتان بحسب مقام الإثبات بقی أن نتساءل عن ثمرة هذا التعدد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وسنذکر فی المباحث الآتیة ثمراتٍ لهذا البحث من قبیل أن یقال بأنّ الدخول فی الغیر شرط فی قاعدة التجاوز دون قاعدة الفراغ أو یقال بأنّ قاعدة الفراغ تجری فی جمیع أبواب الفقه أمّا قاعدة التجاوز فهی مختصّة بالعبادات وتجری فی باب الصلاة بالخصوص وغیر ذلک من الثمرات التی سنذکرها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وبغض النظر عن هذه الثمرات فإنّ المحقق العراقی ذکر فی کتابه نهایة الأفکار ثمرة جیّدة لهذا البحث نذکرها هنا فهو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لو تیقّن المکلّف بأنّه ترک سجدة واحدة أو التشهّد من صلاته مّما جعله یشکّ فی الإخلال بالترتیب أو الموالاة فی صلاته فإن جعلنا الفراغ والتجاوز قاعدتین مستقلّتین أجرینا قاعدة</w:t>
      </w:r>
    </w:p>
    <w:p>
      <w:pPr>
        <w:pStyle w:val="BookText"/>
        <w:rPr/>
      </w:pPr>
      <w:r>
        <w:rPr>
          <w:rFonts w:ascii="IRNazanin" w:hAnsi="IRNazanin" w:eastAsia="IRNazanin"/>
          <w:color w:val="111111"/>
          <w:sz w:val="28"/>
          <w:sz w:val="28"/>
          <w:szCs w:val="28"/>
          <w:rtl w:val="true"/>
          <w:lang w:bidi="fa-IR"/>
        </w:rPr>
        <w:t>الفراغ هنا وحکمنا بصحّة الصلاة، ثمّ حکمنا بوجوب قضاء السجدة الفائتة أو التشهد الفائت بواسطة تلک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فإنّ المکلّف بعد علمه بعدم إتیان السجدة الواحدة یشک فی صحة باقی الأجزاء من جهة الإخلال بالترتیب فنحکم حینئذٍ بصحّة باقی الأجزاء بمقتضی قاعدة الفراغ ومن آثار الصحة وجوب قضاء السجدة المنسیّة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لو التزمنا بوحدة القاعدتین فإنّ إثبات وجوب قضاء السجدة أو التشهّد فمحل إشکال إذ علی القول بوحدة القاعدتین فإنّ هناک عنواناً واحداً مشترکاً وهو عدم الاعتناء بالشک فی الشیء بعد التجاوز عنه کما أشار إلی ذلک 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وآخرون إلاّ أنّ المذکور فی کلام المحقق البروجردی أنّ العنوان الواحد هو عدم الاعتناء بالشک فی الشیء بعد المضیّ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یصدق هذا العنوان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الترتیب والموالاة لتجری فیها القاعدة</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یتنازل المحقق العراقی فی استمرار کلامه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بجریان القاعدة علی القول بوحدة القاعدتین واجهنا إشکالاً آخر وهو أنّ المکلّف إذا أراد أن لا یعتنی بشکّه وجب أن یبنی علی وجود الصحیح أی یجب أن یتعبّد أنّ ما أتی به من الصلاة مصداق لوجود الصلاة الصحیحة، وعلیه فلا حاجة إلی قضاء السجدة المنسیة أو التشهد الفائت لعدم وجود الخلل هنا، لأنّ قضاء السجدة والتشهّد إنّما یجب فیما لو ترتبت الصحة علی العمل علی نحو کان الناقصة لا علی نحو کان التامة</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هنا بأنّ قضاء السجدة أو التشهّد إنّما ثبت هنا بدلیل خاص ولا علاقة لا بمسألة وحدة قاعدتی الفراغ والتجاوز أو تعددّهما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فإنّ المکلّف مثلاً لو تیقّن بعد الفراغ من الصلاة بأنّه ترک القراءة لم یُفتِ أحد بوجوب قضاء القراءة بعد الصلاة ولا دلیل علی وجوب قضائها هنا بخلاف السجدة والتشهّد حیث یوجد دلیل خاص علی وجوب قضائهما، وعلیه فلا علاقة لتعدّد قاعدتی الفراغ والتجاوز ووحدتهما بهذا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یقال فی مقام الردّ عن هذا الإشکال بأنّ الدلیل الخاص موجود هنا لکنّ الکلام إنّما هو فیما لو لم نقبل بهذا الدلیل وأشکلنا علی صحة سنده أو دلالته فنحن نتکلّم عما هو مقتضی القاعدة بغض النظر عن وجود دلیل خاص، ولهذا قال المحقق 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بأنّنا لو التزمنا بتعدد قاعدتی الفراغ والتجاوز فإنّ قاعدة الفراغ تثبت الصحّة بمفاد کان الناقصة وأثر هذه الصحة وجوب قضاء السجدة والتشهد المنسییّن</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لو التزمنا بوحدة القاعدتین تثبت بها الصحة بمفاد کان التامّة ولا حاجة حینئذٍ إلی قضاء السجدة أو التشهد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هذه الثمرة التی ذکرها المحقق العراقی ثمرة دقیقة ولا غبار علیها</w:t>
      </w:r>
      <w:r>
        <w:rPr>
          <w:rFonts w:eastAsia="IRNazanin" w:cs="IRNazanin"/>
          <w:color w:val="111111"/>
          <w:sz w:val="28"/>
          <w:szCs w:val="28"/>
          <w:rtl w:val="true"/>
          <w:lang w:bidi="fa-IR"/>
        </w:rPr>
        <w:t>.</w:t>
      </w:r>
      <w:bookmarkStart w:id="264" w:name="pg5466_52862"/>
    </w:p>
    <w:p>
      <w:pPr>
        <w:pStyle w:val="Heading2"/>
        <w:numPr>
          <w:ilvl w:val="1"/>
          <w:numId w:val="1"/>
        </w:numPr>
        <w:rPr/>
      </w:pPr>
      <w:bookmarkStart w:id="265" w:name="__RefHeading___Toc2082452_581953129"/>
      <w:bookmarkStart w:id="266" w:name="_Toc104"/>
      <w:bookmarkEnd w:id="264"/>
      <w:bookmarkEnd w:id="265"/>
      <w:r>
        <w:rPr>
          <w:rtl w:val="true"/>
        </w:rPr>
        <w:t>جریان قاعدة الفراغ والتجاوز فی جمیع أبواب الفقه</w:t>
      </w:r>
      <w:r>
        <w:rPr>
          <w:rtl w:val="true"/>
        </w:rPr>
        <w:t>:</w:t>
      </w:r>
      <w:bookmarkEnd w:id="266"/>
    </w:p>
    <w:p>
      <w:pPr>
        <w:pStyle w:val="BookText"/>
        <w:rPr/>
      </w:pPr>
      <w:r>
        <w:rPr>
          <w:rFonts w:ascii="IRNazanin" w:hAnsi="IRNazanin" w:eastAsia="IRNazanin"/>
          <w:color w:val="111111"/>
          <w:sz w:val="28"/>
          <w:sz w:val="28"/>
          <w:szCs w:val="28"/>
          <w:rtl w:val="true"/>
          <w:lang w:bidi="fa-IR"/>
        </w:rPr>
        <w:t>لا شک فی أن مجری قاعدة التجاوز هو الشک فی وجود أجزاء العمل المرکب الواحد کالصلاة ومجری قاعدة الفراغ هو الشک فی صحة العمل بعد الفراغ من مجموع ذلک العمل إنّما الکلام هنا فی أنّ قاعدة الفراغ والتجاوز هل هی مختصّة بباب الطهارة والصلاة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هل هی مختصّة بالعبادات حیث تکون ذمّة المکلّف مشغولة بها والشارع إنّما یحکم بعدم الاعتناء بالشک من باب الامتنان لیری المکلّف ذمتّه بریئةً، أو أنّها تجری فی جمیع أبواب الفقه من العبادات والمعاملات ومن العقود والایقاعات؟</w:t>
      </w:r>
    </w:p>
    <w:p>
      <w:pPr>
        <w:pStyle w:val="BookText"/>
        <w:rPr/>
      </w:pPr>
      <w:r>
        <w:rPr>
          <w:rFonts w:ascii="IRNazanin" w:hAnsi="IRNazanin" w:eastAsia="IRNazanin"/>
          <w:color w:val="111111"/>
          <w:sz w:val="28"/>
          <w:sz w:val="28"/>
          <w:szCs w:val="28"/>
          <w:rtl w:val="true"/>
          <w:lang w:bidi="fa-IR"/>
        </w:rPr>
        <w:t>مَن ذهب إلی وحدة قاعدة الفراغ والتجاوز یستفاد من کلماتهم أنّها عامّة لجمیع أبواب الفقه حیث یقولون بأنّ مورد قاعدة الفراغ والتجاوز وإن کان الغالب فی الروایات هو باب الطهارة والصلاة إلا أنّ إطلاق تلک الروایات والحکم الکلی المستفاد منها إنّما یشمل الطهارة والصلاة وسائر أبواب الفقه من العبادات والمعاملات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فلو شک فی صحة عقدٍ أو إیقاع بعد الفراغ منه حُکم بصحّته، وکذا لو شُک فی صحّة غسل المیت وتکفینه ودفنه حکمنا بصحتها بسبب تلک الإطلاقات والعمومات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وجه لاختصاص هذه القاعدة ببابی الطهارة والصلاة ولهذا یقول صاحب الجواهر فی هذا المجال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القاعدة محکّمة فی الصلاة وغیرها من الحجّ والعمرة وغیرهما</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علی مبنی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مختارنا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قاعدة التجاوز مختلفة تماماً عن قاعدة الفراغ وأدلّتهما متغایرة فلابدّ من دراسة کلّ من القاعدتین علی نحو الاستقلال لیتضّح لنا هل یستفاد منها العمومیة لجمیع أبواب الفقه أولا؟</w:t>
      </w:r>
    </w:p>
    <w:p>
      <w:pPr>
        <w:pStyle w:val="BookText"/>
        <w:rPr/>
      </w:pPr>
      <w:r>
        <w:rPr>
          <w:rFonts w:ascii="IRNazanin" w:hAnsi="IRNazanin" w:eastAsia="IRNazanin"/>
          <w:color w:val="111111"/>
          <w:sz w:val="28"/>
          <w:sz w:val="28"/>
          <w:szCs w:val="28"/>
          <w:rtl w:val="true"/>
          <w:lang w:bidi="fa-IR"/>
        </w:rPr>
        <w:t>فبالنظر إلی قاعدة الفراغ قامت الشهرة بل نفی الخلاف بل الإجماع علی عدم اختصاصها بباب خاصّ وأنّها تجری فی جمیع أبواب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ولإثبات هذا التعمیم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روایات قاعدة الفراغ وردت فیها ثلاثة تعابیر یستفاد منها التعمیم بوضوح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التعبیر الأوّل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کلّما شککت فیه مّما قد مضی فأمضه کما هو</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ذکرنا سابقاً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بیانیّة فتکون العبارة عامّة تشمل أیّ عمل من الأعمال مضافاً إلی عدم وجود السؤال فی الروایة عن الصلاة أو عبادة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یورد علی دلالة هذه العبارة علی التعمیم إشکالان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السؤال عن الصلاة وإن لم یرد فی هذه الروایة إلاّ أنّ هناک ثلاث روایات أخری متعلقّة بقاعدة الفراغ وقد ذکر فیها بحث الصلاة بقوله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فامضه ولا 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قرینة علی عدم شمولیة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شککت فیه مّما قد مضی فأمضه کما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مرکّب، بل یراد به المرکبّات الاعتباریة الشرعیة المأمور بها المشتغل بها ذمّة المکلّف وهذه لا تتأتی إلاّ فی باب العبادات</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عن هذا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روایات باب الصلاة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امض ولا 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 xml:space="preserve">یمکنها أن تقیّد موثقة ابن بکیر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فامضه کما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لأنّهما مثبتتان وتشملان علی حکمین مستقلین فالتعبیر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 فی الروایات الأخری لن یکون صالحاً للقرینیّة، هذا کلّه مضافاً إلی أنّ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روایات باب الصلاة لیس من القیود الدخیلة فی الموضوع بل له عنوان الحکم، والقید إنّما یکون مقیّداً فیما لو کان دخیلاً فی الموضوع فلا یمکن لهذا القید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یقیّد الروایات العامة، فالإشکال غیر 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 علی الاستدلال بهذه الروایة هو إنّ فی صدر الروایة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 شککت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موصول مبهم وکلّما استعمل فی الکلام لفظ مبهم لزم تقدیر کلمة کی یُرفع بها الإبهام فقوله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کلّما شککت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مبهم فیحتاج إلی تقدیر شیء، وهذا المقدّر مردّ بین الأقل والأکثر إذ لا نعلم أن ما یجب تقدیره هو خصوص المرکبّات العبادیة أو هو الأعمّ من المرکبات العبادیة وغیر العبادیة؟ وقد ذُکر فی علم الأصول أنّ فی موارد إبهام اللفظ لمردّد بین الأقل والأکثر لا یمکن التمسّک بإطلاق اللفظ واستفادة المعنی الأعم منه لأنّ عدم التقیید من مقدمات الحکمة فی إثبات الإطلاق، والإطلاق المستفاد من مقدّمات الحکمة لا یمکنه أن ینفی القید الذی یدلّ علیه دال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مفهوم الإطلاق والعموم فلا یستفاد من حاقّ اللفظ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نحن فیه لا یمکن استفادة المعنی العام والمطلق من لفظ ما الموصول المبهم فلابدّ من تقدیر المقدار اللازم تقدیره وهو المرکبات العبادیة، وبالتالی یجب حمل الروایة علی المرکّبات العبادیة من غیر التعمیم والشمولیة لغیرها</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 الأوّل عن هذا الإشکال</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إنّا لا ننکر القاعدة الأصولیة المذکورة فی علم الأصول إلاّ أنّنا فی مورد</w:t>
      </w:r>
    </w:p>
    <w:p>
      <w:pPr>
        <w:pStyle w:val="BookText"/>
        <w:rPr/>
      </w:pPr>
      <w:r>
        <w:rPr>
          <w:rFonts w:ascii="IRNazanin" w:hAnsi="IRNazanin" w:eastAsia="IRNazanin"/>
          <w:color w:val="111111"/>
          <w:sz w:val="28"/>
          <w:sz w:val="28"/>
          <w:szCs w:val="28"/>
          <w:rtl w:val="true"/>
          <w:lang w:bidi="fa-IR"/>
        </w:rPr>
        <w:t xml:space="preserve">الروایة لو کنّا نحن وعبارة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 شککت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وجود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الإشکال الثانی وارداً لکن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بیانیة یفید للمکلّف الملاک ویفهمه بأنّ المراد من هذا المبهم هو الشیء الذی 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هذا التعبیر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رافعاً للإبهام عن ما الموصولة والأصولیون یتّفقون علی أن تعلیق الحکم مشعرٌ بالعلیّة 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یبقی إبهام مع وجود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یکون المورد من دوران الأمر بین الأقل والأکثر لیُستفاد من تلک القاعدة الأصولیة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الثانی عن هذا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الشک من أصله لیس منحصراً فی المرکبّات بل قد یشمل الأمور البسیطة أیضاً مثلاً فی باب الإحرام علی القول بأنّ الإحرام أمرٌ بسیط فإنّ المکلّف لو خرج من المیقات وشکّ فی أنّه هل أحرم علی النحو الصحیح أولا تمسّکنا بقاعدة الفراغ فی الحکم بصحّة إحرامه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فإنّ المستفاد من عموم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کلّما مضی محلّه لا ینبغی أن یُشکَّ فی صحّته فلا اختصاص لقاعدة الفراغ بالمرکبات بل تجری فی البسائط أیضاً، فالحاصل أنّ التعبیر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شککت فیه مّما 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عامّ یشمل جمیع أبواب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التعبیر الثانی فی روایات قاعدة الفراغ الذی یستفاد منه التعمیم هو التعلیل الوارد فی ذیل موثقة بکیر بن أعین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بتقریب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بإلغاء الخصوصیة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ملاک</w:t>
      </w:r>
    </w:p>
    <w:p>
      <w:pPr>
        <w:pStyle w:val="BookText"/>
        <w:rPr/>
      </w:pPr>
      <w:r>
        <w:rPr>
          <w:rFonts w:ascii="IRNazanin" w:hAnsi="IRNazanin" w:eastAsia="IRNazanin"/>
          <w:color w:val="111111"/>
          <w:sz w:val="28"/>
          <w:sz w:val="28"/>
          <w:szCs w:val="28"/>
          <w:rtl w:val="true"/>
          <w:lang w:bidi="fa-IR"/>
        </w:rPr>
        <w:t xml:space="preserve">الأذکریة المذکورة فی الروایة ساریاً إلی جمیع موارد الشکّ ولا اختصاص له بمرکّب دون مرکّب آخر، فلو شک المکلّف بعد الصلاة قلنا فی حقّه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حین یصلّی أذکر منه حین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لو شک فی المعاملة بعد الانتهاء منها أو شک فی النکاح بعد الفراغ منه فیقال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وقوع البیع أو حین النکاح أذکر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إلغاء الخصوصیة یمکن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حین العمل أذکر منه حین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تکون قاعدة الفراغ عامّة تجری فی جمیع أبواب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والإشکال الوارد هنا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استفاد التعمیم من هذا التعبیر مشروطة بأن یکون هذا التعبیر وارداً علی نحو العلّة لا بعنوان الحکمة، والفرق بین العلّة والحکمة هو أنّ الحکم فی العلّة یدور مدار الموضوع المعنون وجوداً وعدماً ولیس کذلک فی الحکمة فإنّ الحکم متوقّف علیها وجوداً ولیس عدم الحکم متوقفاً علی عدم الحکمة ولو ذُکرتْ بلسان التعلیل فلو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الخمر لأنّه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الإسکار هنا وإن ذکر بلسان التعلیل لکنّه لیس بعلّة بدلیل إنّ الخمر حرام وإن لم یتحقّق فیه الإسکار فهو من باب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آخر هو مما ذکره الفقهاء فی لزوم عدة الطلاق من أنّ الحکمة فی اتّخاذ العدّة هی عدم اختلاط المیاه، ومن المعلوم أنّنا لو تیقّنا بعدم اختلاط المیاه کما لو کان الزوجان منفصلین کلّ منهما بعید عن الآخر سنوات عدیدة فإنّ العدّة بعد الطلاق واجبة علی المرأة ومّما یدلّ ذلک علی أنّ عنوان عدم اختلاط المیاه حکمة لا 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باب الخیارات حیث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ملاک الخیار هو وجود العیب والحکم الوضعی أی الخیار وجواز الفسخ دائر مدار العیب وعدمه فإنّ العیب علّة</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جهة أخری فإنّ مجرّد ورود التعبیر لا یمکن أن یکون دلیلاً علی کونه علّة أو حکمة ففی هذه الروایة لا یُحرز من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الأذکریة علّة أو</w:t>
      </w:r>
    </w:p>
    <w:p>
      <w:pPr>
        <w:pStyle w:val="BookText"/>
        <w:rPr/>
      </w:pPr>
      <w:r>
        <w:rPr>
          <w:rFonts w:ascii="IRNazanin" w:hAnsi="IRNazanin" w:eastAsia="IRNazanin"/>
          <w:color w:val="111111"/>
          <w:sz w:val="28"/>
          <w:sz w:val="28"/>
          <w:szCs w:val="28"/>
          <w:rtl w:val="true"/>
          <w:lang w:bidi="fa-IR"/>
        </w:rPr>
        <w:t>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هناک قاعدة عامة نمیّز من خلالها الحکمة عن العلّة بل لابدّ من معرفة ذلک من خلال القرائن الموجودة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إراءة طریقین لتمییز العلّة عن الحکمة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عند دوران الأمر بین العلّة والحکمة لابدّ من حمل العنوان علی الحکمة لغلبتها علی العلّة حیث إنّ الغالب فی الأحکام أنّ العنوان فیها 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هذا الطریق غیر تام إذ مضافاً إلی عدم صحّة الصغری فیه فإنّ الکبری أی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 یلحق الشیء بالأعم الأغلب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الطریق الثانی هو أنّه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العلّة منحصرة والحکمة غیر منحصرة ففی الصلاة مثلاً هی ذکر الله وهی تنهی عن الفحشاء والمنکر وهی المعراج وهی عمود الدین فإنّ هذه العناوین من باب الحکمة لا من باب العلّة، فلو أتی المکلّف بصلاة لیست مصداقاً لأحد هذه العناوین فإنّ الواجب یؤدّی بهذا المصداق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فی باب الصوم لو صام المکلّف من غیر حصول التقوی له لم یمکن القول بأنّ صومه لم یکن مصداقاً للصوم الواجب</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عدم تمامیة هذا الطریق أیضاً إذ قد یکون العنوان حکمة ومع ذلک یکون منحصراً کالخمر الذی لم یرد فی حرمته سوی لأنّه مسکر ومع ذلک فإنّ الإسکار حکمة لا علة، وکذلک العکس صحیح حیث قد یکون العنوان علّة ومع ذلک لا یکون منحصراً فی الفرد الواحد کالخیارات حیث یمکن القول بأنّ خیار العیب له علّتان العیب والضرر، فلا تکون العلّة منحصرة، وعلیه فلا صحة لملاک الانحصار وعدمه فی التفریق بین العلّة والحکمة فلابد لنا من الرجوع إلی القرائن لمعرفة أنّ العنوان المذکور علّة أو حکمة ومتی لم نحرز ذلک من القرائن صار الکلام مجملاً غیر قابل للتعدّی إلی الموارد المشابهة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أوضح فإنّ استفدنا العلّیة من العنوان کان قابلاً للتعمیم والتعدّی إلی سائر الموارد المماثلة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لو کان العنوان حکمة، فعلی سبیل المثال فی حرمة الربا لو سلّمنا بأنّ الحرمة ناشئة من کون الربا معنون بعنوان الظلم وکان هذا العنوان علّة جاز لنا أن نعمّم حکم الحرمة حتی فی الروایات الدالة علی جواز التحیّل فی الربا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لو کان عنوان الظلم حکمة لم یکن له هذا الأثر، وقد اشتهر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تعمّم والحکمة لا تعمّم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إمکان المناقشة فی هذه القاعدة بأنّ الحکمة لم لا تکون معمّمة؟ فلابد من التفریق بین العلّة والحکمة من جهة العدم أی یلزم من عدم العلّة عدم الحکم ولا یلزم من عدم الحکمة عدم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قرینة فی التعبیر الوارد فی موثّقة بکیر بن أعین علی علیة هذا التعبیر مضافاً إلی إمکان دعوی أنّ العلّة فی عدم الاعتناء بالشک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الأذکریة کما سبق آنفاً فی التعبیر الأوّل أو یمکن القول بأنّ کلیهما معاً علةً لا لوحده، وعلیه یمکن أن یکون مفاد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تعمیم مجاری قاعدة الفراغ علی جمیع أبواب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التعبیر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روایات قاعدة الفراغ الذی یستفاد منه تعمیم جریان القاعدة فی جمیع أبواب الفقه هو عموم التعلیل الوارد فی ذیل روایة محمد بن مسلم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حین انصرف أقرب إلی الحقّ منه بعد ذلک</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وهذه العبارة کنایة عن أنّ المکلّف قد أنهی عمله کاملاً ولها عنوان التعلیل فتجری فی جمیع أبواب الفقه من باب أنّ العلّة تعمّم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ویأتی فی هذا التعبیر والإشکال علیه جمیع ما سبق فی التعبیر السابق من أنّ</w:t>
      </w:r>
      <w:bookmarkStart w:id="267" w:name="pg5466_52869"/>
    </w:p>
    <w:p>
      <w:pPr>
        <w:pStyle w:val="BookText"/>
        <w:rPr/>
      </w:pPr>
      <w:bookmarkEnd w:id="267"/>
      <w:r>
        <w:rPr>
          <w:rFonts w:ascii="IRNazanin" w:hAnsi="IRNazanin" w:eastAsia="IRNazanin"/>
          <w:color w:val="111111"/>
          <w:sz w:val="28"/>
          <w:sz w:val="28"/>
          <w:szCs w:val="28"/>
          <w:rtl w:val="true"/>
          <w:lang w:bidi="fa-IR"/>
        </w:rPr>
        <w:t>العلیّة التامّة إنّما هی لمضیّ العمل والفراغ منه ولا علیّة تامّة للأذکریة فلا یمکن استفادة العموم من روایة محمد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ولکن لمّا کان التعبیر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 شککت فیه مّما 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تعبیراً عاماً استنتجنا من ذلک أنّ قاعدة الفراغ عامة تجری فی جمیع أبواب الفقه ولیست مختصّة بباب الصّلاة</w:t>
      </w:r>
      <w:r>
        <w:rPr>
          <w:rFonts w:eastAsia="IRNazanin" w:cs="IRNazanin"/>
          <w:color w:val="111111"/>
          <w:sz w:val="28"/>
          <w:szCs w:val="28"/>
          <w:rtl w:val="true"/>
          <w:lang w:bidi="fa-IR"/>
        </w:rPr>
        <w:t>.</w:t>
      </w:r>
    </w:p>
    <w:p>
      <w:pPr>
        <w:pStyle w:val="Heading2"/>
        <w:numPr>
          <w:ilvl w:val="1"/>
          <w:numId w:val="1"/>
        </w:numPr>
        <w:rPr/>
      </w:pPr>
      <w:bookmarkStart w:id="268" w:name="__RefHeading___Toc2082454_581953129"/>
      <w:bookmarkStart w:id="269" w:name="_Toc105"/>
      <w:bookmarkEnd w:id="268"/>
      <w:r>
        <w:rPr>
          <w:rtl w:val="true"/>
        </w:rPr>
        <w:t>دراسة عموم قاعدة التجاوز</w:t>
      </w:r>
      <w:r>
        <w:rPr>
          <w:rtl w:val="true"/>
        </w:rPr>
        <w:t>:</w:t>
      </w:r>
      <w:bookmarkEnd w:id="269"/>
    </w:p>
    <w:p>
      <w:pPr>
        <w:pStyle w:val="BookText"/>
        <w:rPr/>
      </w:pPr>
      <w:r>
        <w:rPr>
          <w:rFonts w:ascii="IRNazanin" w:hAnsi="IRNazanin" w:eastAsia="IRNazanin"/>
          <w:color w:val="111111"/>
          <w:sz w:val="28"/>
          <w:sz w:val="28"/>
          <w:szCs w:val="28"/>
          <w:rtl w:val="true"/>
          <w:lang w:bidi="fa-IR"/>
        </w:rPr>
        <w:t>والمهمّ أن نبحث حول قاعدة التجاوز التی دلّت الأدلّة عندها علی أنّها غیر قاعدة الفراغ وهی تجری فی أثناء العمل هل هی أیضاً عامة تجری فی جمیع أبواب الفقه من العبادات والمعاملات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یری المحقّق النائینی</w:t>
      </w:r>
      <w:r>
        <w:rPr>
          <w:rStyle w:val="FootnoteAnchor"/>
          <w:rtl w:val="true"/>
        </w:rPr>
        <w:footnoteReference w:id="221"/>
      </w:r>
      <w:r>
        <w:rPr>
          <w:rFonts w:ascii="IRNazanin" w:hAnsi="IRNazanin" w:eastAsia="IRNazanin"/>
          <w:color w:val="111111"/>
          <w:sz w:val="28"/>
          <w:sz w:val="28"/>
          <w:szCs w:val="28"/>
          <w:rtl w:val="true"/>
          <w:lang w:bidi="fa-IR"/>
        </w:rPr>
        <w:t>بأنّ قاعدة التجاوز مختصّة بباب الصلاة واستدلّ علی رأیه بدلیلین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أشرنا إلیه فی الأبحاث السابقة من أنّ أکثر روایات قاعدة الفراغ ظاهرة فی الشک فی کلّ العمل والروایات المعدودة المتعلّقة بقاعدة التجاوز حاکمة علی روایات قاعدة الفراغ وألحقت الشک فی الجزء بالشک فی الکلّ وحکمت بوجوب عدم الاعتناء بالشک فی الجزء کما هو الشأن فی الشک فی کلّ العمل بعد الفراغ منه، وعلیه فلو شک فی الجزء السابق بعد الدخول فی الجزء اللاحق لا یعتنی به وإلحاق الشک فی الجزء بالشک فی الکلّ یوجب التوسعة التی لابدّ فیها من الاکتفاء علی ما دلّت علیه الروایات لأنّ الحکومة عنوان تعبّدی لابدّ فیه من</w:t>
      </w:r>
    </w:p>
    <w:p>
      <w:pPr>
        <w:pStyle w:val="BookText"/>
        <w:rPr/>
      </w:pPr>
      <w:r>
        <w:rPr>
          <w:rFonts w:ascii="IRNazanin" w:hAnsi="IRNazanin" w:eastAsia="IRNazanin"/>
          <w:color w:val="111111"/>
          <w:sz w:val="28"/>
          <w:sz w:val="28"/>
          <w:szCs w:val="28"/>
          <w:rtl w:val="true"/>
          <w:lang w:bidi="fa-IR"/>
        </w:rPr>
        <w:t>الاکتفاء علی القدر المتیقّن الذی هو أجزاء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أنّ القاعدة الأولیة فی المرکّبات هی أنّ مجموع العمل المرکب شیء واحد ولا یلاحظ الأجزاء لحاظاً استقلالیاً، فمثلاً أنّ أجزاء الوضوء من حیث المجموع تعتبر عملاً واحداً ولم یلاحظ الشارع کل جزءٍ من أجزائه علی نحو الاستقلال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والمورد الوحید الذی خرج من هذه القاعدة حیث لاحظ الشارع أجزاء المرکّب مستقلّة هو الصلاة، وعلیه فإنّ قاعدة التجاوز یمکن إجراؤها فی الصلاة فقط أمّا سائر المرکبّات حیث لا لحاظ استقلالی لأجزائها فلا تجری فیها هذه القاعدة</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 کلا الدلیلین قابلٌ للمناقشة، أمّا الدلیل الأول فقد ذکرنا سابقاً بأنّ فی باب الحکومة یعتبر فی حکومة أحد الدلیلین علی الآخر أن یکون الدلیل الحاکم ناظراً عرفاً إلی الدلیل المحکوم أمّا بتوسعة موضوعه أو بتضییقه مع أنّ روایات قاعدة التجاوز لیست ناظرة عرفاً إلی روایات قاعدة الفراغ وعلیه فلا حکومة هنا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الدلیل الثانی فنقول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الدلیل علی أنّ الشارع لاحظ الأجزاء فی الصلاة فقط علی نحو الاستقلالیة؟ إنّ الروایات الواردة فی قاعدة التجاوز هی ثلاث روایات یستفاد من جمیعها عموم جریانها فی جمیع أبواب الفقه، وقد استند إلیها القائلون بعموم هذه القاعدة کالإمام الخمینی</w:t>
      </w:r>
      <w:r>
        <w:rPr>
          <w:rStyle w:val="FootnoteAnchor"/>
          <w:rtl w:val="true"/>
        </w:rPr>
        <w:footnoteReference w:id="223"/>
      </w:r>
      <w:r>
        <w:rPr>
          <w:rFonts w:ascii="IRNazanin" w:hAnsi="IRNazanin" w:eastAsia="IRNazanin"/>
          <w:color w:val="111111"/>
          <w:sz w:val="28"/>
          <w:sz w:val="28"/>
          <w:szCs w:val="28"/>
          <w:rtl w:val="true"/>
          <w:lang w:bidi="fa-IR"/>
        </w:rPr>
        <w:t>وصاحب الجواهر</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زرارة التی یستفاد من إطلاقها العموم حیث جاء فی ذیل الروایة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زرارة إذا خرجت من شیء ثمّ دخلت فی غیره فشکّک لیس بشیء</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 xml:space="preserve">فإنّ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 یشمل جمیع المرکبّات من العبادات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بأنّ الإطلاق یتوقف علی تمامیة مقدّمات الحکمة التی من جملتها عدم وجود القدر المتیقّن فی مقام التخاطب حیث لو کان موجوداً بین المتکلّم والمخاطب لم یجز التمسّک بالإطلاق وهذه المقدّمة مفقودة فی المقام حیث إنّ القدر المتیقن موجود فی الروایة وهو سؤال زرارة المتعلّق بالصلاة فیکون هذا السؤال قرینة علی أنّ المراد بلفظ شیء فی ذیل الروایة هو أجزاء الصلاة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من أجزاء الصلاة لاشیء من أجزاء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الإشکال مبنائی أی أنّه یتمّ علی قول من یری أنّ وجود القدر المتیقّن فی مقام التخاطب مضرٌّ بالإطلاق لکنّ کثیراً من المحقّقین لم یرتضوا هذا المبنی ولا یرون أنّ القدر المتیقّن فی مقام التخاطب مخلّ بالإطلاق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سؤال زرارة وإن کان عن الصلاة لکنّه لیس بعنوان القدر المتیقّن فی مقام التخاطب، لأنّ القدر المتیقّن فی مقام التخاطب أمر یحتاج إلی طرفین، مثلاً لو تحدّث اثنان عن الطعام ثم قال أحدهما للآخر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الطعام ولا قدر متیقّن، کذلک فی الروایة فإنّ اختصاص سؤال زرارة بباب الصلاة محلّ تأمّل وتردید، إذ لو استمر الکلام لاحتمل أن تتکرّر أسئلة زرارة حول سائر أبواب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إسماعیل بن جابر والعموم یستفاد من ذیلها الذی جاء فیه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شیءٍ شکّ فیه مّما قد جاوزه ودخل فی غیره فلیمض علیه</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bookmarkStart w:id="270" w:name="pg5466_52872"/>
    </w:p>
    <w:p>
      <w:pPr>
        <w:pStyle w:val="BookText"/>
        <w:rPr/>
      </w:pPr>
      <w:bookmarkEnd w:id="270"/>
      <w:r>
        <w:rPr>
          <w:rFonts w:ascii="IRNazanin" w:hAnsi="IRNazanin" w:eastAsia="IRNazanin"/>
          <w:color w:val="111111"/>
          <w:sz w:val="28"/>
          <w:sz w:val="28"/>
          <w:szCs w:val="28"/>
          <w:rtl w:val="true"/>
          <w:lang w:bidi="fa-IR"/>
        </w:rPr>
        <w:t xml:space="preserve">تقریب الاستدلال هو أنّ هذه العبارة تضمّنت علی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من أدوات العموم وهی تدلّ علی العموم من دون الحاجة إلی الإطلاق ومقدمات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الثالثة التی یستفاد منها عموم جریان قاعدة التجاوز فی جمیع أبواب الفقه موثقة ابن أبی یعفور وقد جاء فی ذیلها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الشک إذا کنت فی شیءٍ لم تجزه</w:t>
      </w:r>
      <w:r>
        <w:rPr>
          <w:rFonts w:eastAsia="IRNazanin" w:cs="IRNazanin"/>
          <w:color w:val="111111"/>
          <w:sz w:val="28"/>
          <w:szCs w:val="28"/>
          <w:rtl w:val="true"/>
          <w:lang w:bidi="fa-IR"/>
        </w:rPr>
        <w:t>)</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بحثنا مفصّلاً فیما سبق حول هذه الروایة وقلنا بأنّ هذه العبارة إن تعلّقت بالشک حین العمل کانت الروایة عامة غیر مختصة بباب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قاعدة التجاوز کقاعدة الفراغ لیست مختصة بباب الصلاة والطهارة بل تجری فی جمیع أبواب الفقه من العبادات والمعاملات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وقع النزاع فی کلمات الفقهاء فی أنّ قاعدة التجاوز هل تجری فی الطهارات الثلاث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والغسل والتیمّم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مثلاً لو شک المکلّف حین غسل یده الیمنی فی أنّه هل غسل وجهه أولا؟ فهل تجری قاعدة التجاوز ویحکم بصحّة الوضوء؟ هذا السؤال ما سنجیب علیه فیما یلی من البحث</w:t>
      </w:r>
      <w:r>
        <w:rPr>
          <w:rFonts w:eastAsia="IRNazanin" w:cs="IRNazanin"/>
          <w:color w:val="111111"/>
          <w:sz w:val="28"/>
          <w:szCs w:val="28"/>
          <w:rtl w:val="true"/>
          <w:lang w:bidi="fa-IR"/>
        </w:rPr>
        <w:t>.</w:t>
      </w:r>
    </w:p>
    <w:p>
      <w:pPr>
        <w:pStyle w:val="Heading2"/>
        <w:numPr>
          <w:ilvl w:val="1"/>
          <w:numId w:val="1"/>
        </w:numPr>
        <w:rPr/>
      </w:pPr>
      <w:bookmarkStart w:id="271" w:name="__RefHeading___Toc2082456_581953129"/>
      <w:bookmarkStart w:id="272" w:name="_Toc106"/>
      <w:bookmarkEnd w:id="271"/>
      <w:r>
        <w:rPr>
          <w:rtl w:val="true"/>
        </w:rPr>
        <w:t>البحث فی جریان قاعدة التجاوز فی الطهارات الثلاث</w:t>
      </w:r>
      <w:r>
        <w:rPr>
          <w:rtl w:val="true"/>
        </w:rPr>
        <w:t>:</w:t>
      </w:r>
      <w:bookmarkEnd w:id="272"/>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قام الإجماع علی عدم جریان قاعدة التجاوز فی باب الوضوء وقد ألحق الفقهاء به الغسل والتیمّم ولا مجال لهذا البحث من أساسه علی مبنی بعض الأعاظم کالمحقق النائینی الذی ذهب إلی اختصاص قاعدة التجاوز بباب الصلاة حیث یکون خروج بحث الوضوء والغسل والتیمّم من جریان قاعدة التجاوز من</w:t>
      </w:r>
      <w:bookmarkStart w:id="273" w:name="pg5466_52873"/>
    </w:p>
    <w:p>
      <w:pPr>
        <w:pStyle w:val="BookText"/>
        <w:rPr/>
      </w:pPr>
      <w:bookmarkEnd w:id="273"/>
      <w:r>
        <w:rPr>
          <w:rFonts w:ascii="Amiri" w:hAnsi="Amiri" w:eastAsia="Amiri" w:cs="Amiri"/>
          <w:color w:val="111111"/>
          <w:sz w:val="28"/>
          <w:sz w:val="28"/>
          <w:szCs w:val="28"/>
          <w:rtl w:val="true"/>
          <w:lang w:bidi="ar-SA"/>
        </w:rPr>
        <w:t>باب التخصّص فلا تشملها هذه القاعدة</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علی مذهب القائلین بعموم جریان قاعدة التجاوز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ثبت ذلک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خروج هذه الأبواب الثلاثة من جریان قاعدة التجاوز من باب التخصیص فالأولی أن نبحث کلاً من الوضوء والغسل والتیمم علی نحو الاستقلال لتتّضح لنا المسألة بوضوح أکثر</w:t>
      </w:r>
      <w:r>
        <w:rPr>
          <w:rFonts w:eastAsia="IRNazanin" w:cs="IRNazanin"/>
          <w:color w:val="111111"/>
          <w:sz w:val="28"/>
          <w:szCs w:val="28"/>
          <w:rtl w:val="true"/>
          <w:lang w:bidi="fa-IR"/>
        </w:rPr>
        <w:t>:</w:t>
      </w:r>
    </w:p>
    <w:p>
      <w:pPr>
        <w:pStyle w:val="Heading2"/>
        <w:numPr>
          <w:ilvl w:val="1"/>
          <w:numId w:val="1"/>
        </w:numPr>
        <w:rPr/>
      </w:pPr>
      <w:bookmarkStart w:id="274" w:name="__RefHeading___Toc2082458_581953129"/>
      <w:bookmarkStart w:id="275" w:name="_Toc107"/>
      <w:bookmarkEnd w:id="274"/>
      <w:r>
        <w:rPr>
          <w:rtl w:val="true"/>
        </w:rPr>
        <w:t>عدم جریان قاعدة التجاوز فی الوضوء</w:t>
      </w:r>
      <w:r>
        <w:rPr>
          <w:rtl w:val="true"/>
        </w:rPr>
        <w:t>:</w:t>
      </w:r>
      <w:bookmarkEnd w:id="275"/>
    </w:p>
    <w:p>
      <w:pPr>
        <w:pStyle w:val="Heading3"/>
        <w:numPr>
          <w:ilvl w:val="2"/>
          <w:numId w:val="1"/>
        </w:numPr>
        <w:rPr/>
      </w:pPr>
      <w:bookmarkStart w:id="276" w:name="__RefHeading___Toc2082460_581953129"/>
      <w:bookmarkStart w:id="277" w:name="_Toc108"/>
      <w:bookmarkEnd w:id="276"/>
      <w:r>
        <w:rPr>
          <w:rtl w:val="true"/>
        </w:rPr>
        <w:t>اشارة</w:t>
      </w:r>
      <w:bookmarkEnd w:id="277"/>
    </w:p>
    <w:p>
      <w:pPr>
        <w:pStyle w:val="BookText"/>
        <w:rPr/>
      </w:pPr>
      <w:r>
        <w:rPr>
          <w:rFonts w:ascii="IRNazanin" w:hAnsi="IRNazanin" w:eastAsia="IRNazanin"/>
          <w:color w:val="111111"/>
          <w:sz w:val="28"/>
          <w:sz w:val="28"/>
          <w:szCs w:val="28"/>
          <w:rtl w:val="true"/>
          <w:lang w:bidi="fa-IR"/>
        </w:rPr>
        <w:t>ذُکر فی الکتب الفقهیة وکلمات الفقهاء ثلاثة أدلّة استدلّوا بها علی خروج الوضوء من قاعدة التجاوز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الفقهاء أنّ الإجماع قائم علی أنّ قاعدة التجاوز غیر جاریة فی الوضوء</w:t>
      </w:r>
      <w:r>
        <w:rPr>
          <w:rStyle w:val="FootnoteAnchor"/>
          <w:rtl w:val="true"/>
        </w:rPr>
        <w:footnoteReference w:id="229"/>
      </w:r>
      <w:r>
        <w:rPr>
          <w:rFonts w:ascii="IRNazanin" w:hAnsi="IRNazanin" w:eastAsia="IRNazanin"/>
          <w:color w:val="111111"/>
          <w:sz w:val="28"/>
          <w:sz w:val="28"/>
          <w:szCs w:val="28"/>
          <w:rtl w:val="true"/>
          <w:lang w:bidi="fa-IR"/>
        </w:rPr>
        <w:t>ومن هنا أفتوا بوجوب إعادة غسل الوجه فیما لو شک المکلّف حین غسل الیدین فی أنّه هل غسل وجهه أولا، وعلیه لابدّ من إعادة الوضوء</w:t>
      </w:r>
      <w:r>
        <w:rPr>
          <w:rStyle w:val="FootnoteAnchor"/>
          <w:rtl w:val="true"/>
        </w:rPr>
        <w:footnoteReference w:id="230"/>
      </w:r>
      <w:r>
        <w:rPr>
          <w:rFonts w:ascii="IRNazanin" w:hAnsi="IRNazanin" w:eastAsia="IRNazanin"/>
          <w:color w:val="111111"/>
          <w:sz w:val="28"/>
          <w:sz w:val="28"/>
          <w:szCs w:val="28"/>
          <w:rtl w:val="true"/>
          <w:lang w:bidi="fa-IR"/>
        </w:rPr>
        <w:t>وهذا من المواضع التی نُقل فیها الإجماع علی نحو الاستفاضة</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مضافاً إلی الإجماع بعدّة روایات فی هذا المجال وها نحن نبدأ بدراستها وتحلیلها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صحیحة زرارة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یقول فیها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إذا کنت قاعداً علی وضوئک فلم تدر أغسلت ذراعیک أم لا، فأعدّ علیهما وعلی جمیع ما شککت فیه أنّک لم تغسله تمسحه، ممّا سمّی الله ما دمت فی حال الوضوء، فإذا قمت عن الوضوء وفرغت منه، وقد صرت فی حال أخری فی الصلاة أو فی غیرها فشککت فی بعض ما سمّی الله مما أوجب الله علیک فیه وضوئه، لا شیء علیک</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نظراً إلی صدر هذه الروایة لا تجری قاعدة التجاوز فی الوضوء وبالنظر إلی ذیلها تجری قاعدة الفراغ فی الوضوء، وعلیه یمکن تخصیص العمومات التی مفادها جریان قاعدة التجاوز فی جمیع أبواب الفقه بواسطة صدر هذه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یدّعی هنا بأنّ الإجماع المدّعی من قبل المجمعین قد یکون مستنداً إلی هذه الصحیحة وبالتالی یکون الإجماع مدرکیاً فلا حجیّة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موثقة ابن أبی یعفور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إذا شککت فی شیء من الوضوء وقد دخلت فی غیره فلیس شکّک بشیء، إنّما الشکّ إذا کنت فی شیء لم تجزه</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سبق أنّ مرجع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احتمالین</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أن یکون مرجعه الوضوء، والآخر أن یکون الضمیر راجعاً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والاستدلال بهذه الروایة علی عدم جریان قاعدة التجاوز فی الوضوء إنّما یتمّ فیما لو رجع الضمیر إلی الوضوء حیث یکون مفهوم الحدیث علی هذا الاحتمال أنّه إن لم تدخل فی غیر الوضوء کان شکّک معتبراً لابدّ من الاعتناء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لو عاد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مفاد الحدیث جریان قاعدة التجاوز فی الوضوء أیضاً وعلیه تتعارض موثقة ابن أبی یعفور مع صحیحة زرارة فتتساقطان ثمّ یجب الرجوع إلی عمومات روایات التجاوز الحاکمة بجریان قاعدة التجاوز فی الوضوء أیضاً، ومن هنا فلابدّ من إیجاد حلٍّ لهذا التعارض، فقد ذهب الشیخ الأعظم إلی طریق لحلّ هذا التعارض سنذکره فی حدیثنا تحت عنوان الدلیل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أفعال الوضوء فعل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سلک الشیخ الأنصاری لإخراج أفعال الوضوء من مفاد قاعدة التجاوز ولحلّ التعارض بین موثقة ابن أبی یعفور وصحیحة زرارة مسلکاً آخر مفاده أنّ الوضوء بجمیع أجزاءه من المسحتین والغسلتین إنّما هو فعل واحد فی نظر الشارع لأنّ مسبّبه وأثره واحد وهو الطهارة، وعلیه فلیست أجزاء الوضوء عند الشارع کأجزاء الصلاة التی لها لحاظات استقلالیة فلم یلاحظ أجزاء الوضوء علی أنّها أفعال مستقلّة کأجزاء الصلاة حتّی یُتصوّر لکلّ واحد منها محلّ خاص بحیث یکمن تصوّر التجاوز منه کما یتصور مجموع القراءة فی الصلاة فعلاً واحداً لا أنّ کلّ أیة تعتبر جزءاً مستقلاً کما سنتحدّث عن ذلک فیما سیأتی تحت عنوان جزء الجزء، وهل تجری قاعدة التجاوز فی جزء الجزء أولا؟ فقد ذهب المشهور إلی عدم الجریان ومن هنا یمکن القول بانّ الشارع المقدّس کما اعتبر مجموع القراءة جزءاً واحداً کذلک جعل مجموع أفعال الوضوء جزءاً واحداً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فطالما لم ینته المکلّف من الوضوء لم یصدق فی حقّه التجاوز عن المحل فلا تعارض هنا بین الروایتین</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bookmarkStart w:id="278" w:name="pg5466_52876"/>
    </w:p>
    <w:p>
      <w:pPr>
        <w:pStyle w:val="Heading3"/>
        <w:numPr>
          <w:ilvl w:val="2"/>
          <w:numId w:val="1"/>
        </w:numPr>
        <w:rPr/>
      </w:pPr>
      <w:bookmarkStart w:id="279" w:name="__RefHeading___Toc2082462_581953129"/>
      <w:bookmarkStart w:id="280" w:name="_Toc109"/>
      <w:bookmarkEnd w:id="278"/>
      <w:bookmarkEnd w:id="279"/>
      <w:r>
        <w:rPr>
          <w:rtl w:val="true"/>
        </w:rPr>
        <w:t>إشکالات المحقق العراقی علی مسلک الشیخ الأنصاری</w:t>
      </w:r>
      <w:r>
        <w:rPr>
          <w:rtl w:val="true"/>
        </w:rPr>
        <w:t>:</w:t>
      </w:r>
      <w:bookmarkEnd w:id="280"/>
    </w:p>
    <w:p>
      <w:pPr>
        <w:pStyle w:val="BookText"/>
        <w:rPr/>
      </w:pPr>
      <w:r>
        <w:rPr>
          <w:rFonts w:ascii="IRNazanin" w:hAnsi="IRNazanin" w:eastAsia="IRNazanin"/>
          <w:color w:val="111111"/>
          <w:sz w:val="28"/>
          <w:sz w:val="28"/>
          <w:szCs w:val="28"/>
          <w:rtl w:val="true"/>
          <w:lang w:bidi="fa-IR"/>
        </w:rPr>
        <w:t>أورد المحقق العراقی علی کلام الشیخ الانصاری إشکالین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کلام الشیخ بأنّ الشارع قد لاحظ الوضوء بمنزلة شیء واحد لا ینسجم مع ظاهر الموثقة حیث جاء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شککت فی شیءٍ من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استعملت فیها من تبعیضیّةً لبیان أجزاء الوضوء فیکون الشارع هنا قد لاحظ أجزاء الوضوء کلحاظ أجزاء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العراقی هو إنّ استدلال الشیخ الأعظم بوحدة المسبب وهو الطهارة علی وحدة الوضوء غیر تام، لأنّ وحدة المسبّب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دلیلاً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وحدة السبب أبداً وإلاّ لقلنا بذلک فی کثیر من العبادات کالصلاة والحجّ لوحدة المسبّب فی الصلاة وهو النهی عن الفحشاء والمنکر والتقرب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مسبّب الحج کذلک واحد وهو کونه ذکر الله</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وقد أیّد المحقق العراقی بعض تلامذته کالمحقق البجنوردی</w:t>
      </w:r>
      <w:r>
        <w:rPr>
          <w:rStyle w:val="FootnoteAnchor"/>
          <w:rtl w:val="true"/>
        </w:rPr>
        <w:footnoteReference w:id="235"/>
      </w:r>
      <w:r>
        <w:rPr>
          <w:rFonts w:ascii="Amiri" w:hAnsi="Amiri" w:eastAsia="Amiri" w:cs="Amiri"/>
          <w:color w:val="111111"/>
          <w:sz w:val="28"/>
          <w:sz w:val="28"/>
          <w:szCs w:val="28"/>
          <w:rtl w:val="true"/>
          <w:lang w:bidi="ar-SA"/>
        </w:rPr>
        <w:t>حیث أقرّ</w:t>
      </w:r>
      <w:bookmarkStart w:id="281" w:name="pg5466_52877"/>
    </w:p>
    <w:p>
      <w:pPr>
        <w:pStyle w:val="BookText"/>
        <w:rPr/>
      </w:pPr>
      <w:bookmarkEnd w:id="281"/>
      <w:r>
        <w:rPr>
          <w:rFonts w:ascii="IRNazanin" w:hAnsi="IRNazanin" w:eastAsia="IRNazanin"/>
          <w:color w:val="111111"/>
          <w:sz w:val="28"/>
          <w:sz w:val="28"/>
          <w:szCs w:val="28"/>
          <w:rtl w:val="true"/>
          <w:lang w:bidi="fa-IR"/>
        </w:rPr>
        <w:t>بتمامیة هذین الإشکالین</w:t>
      </w:r>
      <w:r>
        <w:rPr>
          <w:rFonts w:eastAsia="IRNazanin" w:cs="IRNazanin"/>
          <w:color w:val="111111"/>
          <w:sz w:val="28"/>
          <w:szCs w:val="28"/>
          <w:rtl w:val="true"/>
          <w:lang w:bidi="fa-IR"/>
        </w:rPr>
        <w:t>.</w:t>
      </w:r>
    </w:p>
    <w:p>
      <w:pPr>
        <w:pStyle w:val="Heading3"/>
        <w:numPr>
          <w:ilvl w:val="2"/>
          <w:numId w:val="1"/>
        </w:numPr>
        <w:rPr/>
      </w:pPr>
      <w:bookmarkStart w:id="282" w:name="__RefHeading___Toc2082464_581953129"/>
      <w:bookmarkStart w:id="283" w:name="_Toc110"/>
      <w:bookmarkEnd w:id="282"/>
      <w:r>
        <w:rPr>
          <w:rtl w:val="true"/>
        </w:rPr>
        <w:t>إشکالات نظریة المحقق العراقی</w:t>
      </w:r>
      <w:r>
        <w:rPr>
          <w:rtl w:val="true"/>
        </w:rPr>
        <w:t>:</w:t>
      </w:r>
      <w:bookmarkEnd w:id="283"/>
    </w:p>
    <w:p>
      <w:pPr>
        <w:pStyle w:val="BookText"/>
        <w:rPr/>
      </w:pPr>
      <w:r>
        <w:rPr>
          <w:rFonts w:ascii="IRNazanin" w:hAnsi="IRNazanin" w:eastAsia="IRNazanin"/>
          <w:color w:val="111111"/>
          <w:sz w:val="28"/>
          <w:sz w:val="28"/>
          <w:szCs w:val="28"/>
          <w:rtl w:val="true"/>
          <w:lang w:bidi="fa-IR"/>
        </w:rPr>
        <w:t>أجاب بعض الأعاظم</w:t>
      </w:r>
      <w:r>
        <w:rPr>
          <w:rStyle w:val="FootnoteAnchor"/>
          <w:rtl w:val="true"/>
        </w:rPr>
        <w:footnoteReference w:id="236"/>
      </w:r>
      <w:r>
        <w:rPr>
          <w:rFonts w:ascii="IRNazanin" w:hAnsi="IRNazanin" w:eastAsia="IRNazanin"/>
          <w:color w:val="111111"/>
          <w:sz w:val="28"/>
          <w:sz w:val="28"/>
          <w:szCs w:val="28"/>
          <w:rtl w:val="true"/>
          <w:lang w:bidi="fa-IR"/>
        </w:rPr>
        <w:t xml:space="preserve">فی مقام الردّ علی المحقق العراقی أمّا عن إشکاله الأوّل فبأنّ مراد الشیخ الأنصاری هو أنّ الشارع قد لاحظ للوضوء المرکّب من الأجزاء المتعدّدة وحدة اعتباریة وهی فرع لکون العمل فی الظاهر مرکبّاً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ینفی الترکیب للوضوء فلا تنافی بین کلام الشیخ الأنصاری وبین ما قاله العراقی من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تبعیضیّة مفادها أنّ الوضوء ذو 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 هذا الجواب فی غیر محلّه إذ لیس البحث فی أنّ الوضوء فی الخارج عمل مرکب أولا؟ فإنّ الشیخ الأنصاری یری أنّ الشارع یلاحظ مجموع الوضوء جزءاً واحداً ویعتبر له حکماً واحداً وعلیه یکون إشکال المحقق العراقی فی محلّه حیث إنّ الشارع بیّن فی صدر الموثّقة الحکم للجزء المشکوک من الوضوء ممّا یدلّ بوضوح علی أنّ الشارع قد لاحظ أجزاء الوضوء لحاظاً استقلالیاً</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جوابهم عن الإشکال الثانی للمحقق العراقی فهو أنّ الأثر فی باب الوضوء یختلف عن أثر الصلاة کلّیّاً ذلک أنّ هناک قسمین من الآثار أحدهما هو الأثر</w:t>
      </w:r>
      <w:bookmarkStart w:id="284" w:name="pg5466_52878"/>
    </w:p>
    <w:p>
      <w:pPr>
        <w:pStyle w:val="BookText"/>
        <w:rPr/>
      </w:pPr>
      <w:bookmarkEnd w:id="284"/>
      <w:r>
        <w:rPr>
          <w:rFonts w:ascii="IRNazanin" w:hAnsi="IRNazanin" w:eastAsia="IRNazanin"/>
          <w:color w:val="111111"/>
          <w:sz w:val="28"/>
          <w:sz w:val="28"/>
          <w:szCs w:val="28"/>
          <w:rtl w:val="true"/>
          <w:lang w:bidi="fa-IR"/>
        </w:rPr>
        <w:t>الشرعی الذی یُعبّر عنه بالأثر الجعلی، والآخر هو الأثر التکوینی وما هو موجود فی باب الوضوء هو الأثر الشرعی والنسبة بین هذا الأثر ومؤثره نسبة المسبّب إلی السبب بمعنی أنّ الشارع قد جعل أفعال الوضوء من الغسلتین والمسحتین سبباً لأثر یعبّر عنه بالطهارة أمّا الأثر الموجود فی الصلاة فهو أثر تکوینی کالنهی عن الفحشاء والمنکر والتقریب إلی الله فالأثر أن مختلفان ولا یمکن قیاس أثر الوضوء علی آثار سائر العبادات التی منها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فی هذا الجواب تأمّلاً واضحاً وتکلّفاً ظاهراً، أولاً لعدم وجود قرینة فی کلمات الشیخ الأنصاری تدلّ علی أنّ المراد من الأثر هو خصوص الأثر الشرعی الوضعی دون الأثر التکوینی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لو سلّمنا وجود القرینة علی ذلک وأنّ الشیخ قد لاحظ الفرق إلاّ أنّ هناک إشکالاً آخر یرد علی هذا المجیب وهو أنّه کیف فرّق بین الأثر الشرعی والأثر التکوینی؟ فإنّ الأثر التکوینی أیضاً بمقتضی قاعدة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الواحد لا یصدر إلاّ من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من أن یکون فیه المسبّب الواحد کاشفاً عن وحدة السبب فلا وجه للفرق بین الأثر الشرعی والأثر التکوینی بأیّ وجه من الوجوه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فالمحقق العراقی إنّما أورد علی الشیخ الأنصاری بانّ ما استدلّ به لیس فی الواقع دلیلاً وبالتالی یبقی کلام الشیخ ادّعاءً من غیر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فإنّ إشکالی المحقق العراقی علی کلام الشیخ الأنصاری لا غبار علیهما، وبالتالی لا یکون دلیل الشیخ الأنصاری تامّاً، ومن هنا لابدّ من التعرّض فیما یأتی للوجوه الأخری للجمع بین الصحیحة والموثقة</w:t>
      </w:r>
      <w:r>
        <w:rPr>
          <w:rFonts w:eastAsia="IRNazanin" w:cs="IRNazanin"/>
          <w:color w:val="111111"/>
          <w:sz w:val="28"/>
          <w:szCs w:val="28"/>
          <w:rtl w:val="true"/>
          <w:lang w:bidi="fa-IR"/>
        </w:rPr>
        <w:t>.</w:t>
      </w:r>
    </w:p>
    <w:p>
      <w:pPr>
        <w:pStyle w:val="Heading2"/>
        <w:numPr>
          <w:ilvl w:val="1"/>
          <w:numId w:val="1"/>
        </w:numPr>
        <w:rPr/>
      </w:pPr>
      <w:bookmarkStart w:id="285" w:name="__RefHeading___Toc2082466_581953129"/>
      <w:bookmarkStart w:id="286" w:name="_Toc111"/>
      <w:bookmarkEnd w:id="285"/>
      <w:r>
        <w:rPr>
          <w:rtl w:val="true"/>
        </w:rPr>
        <w:t>دراسة الوجوه الأخری للجمع بین الصحیحة والموثّقة</w:t>
      </w:r>
      <w:r>
        <w:rPr>
          <w:rtl w:val="true"/>
        </w:rPr>
        <w:t>:</w:t>
      </w:r>
      <w:bookmarkEnd w:id="286"/>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 للجمع بین صحیحة زرارة وموثقة ابن أبی یعفور هو أنّ الجمع الدلالی بینهما غیر متیّسر فیما نحن فیه ومن هنا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الموثقة مخالفة للعامّة بینما الروایة الصحیحة موافقة لهم فیکون صدورها علی وجه التقیّة فلابدّ من الأخذ بالموثّقة وطرح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الوجه لا صحّة له إذ لو کانت العامة متّفقةً علی القول الواحد لصحّ هذا الوجه إلاّ أنّ العامة مختلفة علی أقوال متعدّدة فلا یجوز علی هذا حملُ الصحیحة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الثالث للجمع علی ما قیل هو أنّ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فأعد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صحیحة زرارة لابدّ من حمله علی الاستحباب بقرینة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الموثّقة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إذا شککت فی شیءٍ من الوضوء ودخلت فی غیره فلیس شکّک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والإشکال الوارد علی هذا الوجه هو أنّ الحمل علی الاستحباب إنّما یتم فیما لو أحرزنا أنّ الحکم من الأحکام التکلیفیّة، أمّا لو احتملنا کون الحکم إرشادیاً فلا مجال للحمل علی الاستحباب فإنّ الحکم الموجود فی صحیحة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القائل بأنّ المکلّف طالماً لم یفرغ من الوضوء بل هو منشغل به وجب علیه الاعتناء بشکّه ولابدّ من إعادة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إلی 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من أنّ موثقة ابن أبی یعفور تسقط عن الحجّیة والاعتبار بسبب وجود الإجماع المستفیض فی هذه المسألة فلابدّ من الأخذ بالحکم الوارد فی صحیحة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فإنّ إعراض المشهور عن العمل بمضمون الموثّقة یوجب کسرها وتضعیفها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بالنسبة إلی هذا الوجه لابدّ من القول بأنّ المسألة مبنائیة حیث إنّ مبنی المشهور أنّ إعراض المشهور یؤدّی إلی ضعف الروایة، هذا مضافاً إلی أنّ الإجماع هنا یحتمل استناده إلی صحیحة زرارة فیکون إجماعاً مدرکیاً کما</w:t>
      </w:r>
    </w:p>
    <w:p>
      <w:pPr>
        <w:pStyle w:val="BookText"/>
        <w:rPr/>
      </w:pPr>
      <w:r>
        <w:rPr>
          <w:rFonts w:ascii="IRNazanin" w:hAnsi="IRNazanin" w:eastAsia="IRNazanin"/>
          <w:color w:val="111111"/>
          <w:sz w:val="28"/>
          <w:sz w:val="28"/>
          <w:szCs w:val="28"/>
          <w:rtl w:val="true"/>
          <w:lang w:bidi="fa-IR"/>
        </w:rPr>
        <w:t>ذکرنا ذلک فیما سبق، ومن المعلوم أنّ الإجماع المدرکی والشهرة المذکورة لا یقدحان بالروایة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أوضح إنّ الشهرة إنمّا تکون قادحة فیما لو لم یُعلَمْ مستند المشهور والمجمعین أمّا لو أحرزنا مستندهم فلا یکون الإجماع هو الأساس والعمدة بل یرتکز البحث حینئذٍ علی صحة مدرک عمل المشهور ومستنده وعلی هذا فلا صحة لهذا الوجه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الخامس للجمع ما ذکره الشیخ الأعظم</w:t>
      </w:r>
      <w:r>
        <w:rPr>
          <w:rStyle w:val="FootnoteAnchor"/>
          <w:rtl w:val="true"/>
        </w:rPr>
        <w:footnoteReference w:id="237"/>
      </w:r>
      <w:r>
        <w:rPr>
          <w:rFonts w:ascii="IRNazanin" w:hAnsi="IRNazanin" w:eastAsia="IRNazanin"/>
          <w:color w:val="111111"/>
          <w:sz w:val="28"/>
          <w:sz w:val="28"/>
          <w:szCs w:val="28"/>
          <w:rtl w:val="true"/>
          <w:lang w:bidi="fa-IR"/>
        </w:rPr>
        <w:t>وأقرّه المحقق العراقی</w:t>
      </w:r>
      <w:r>
        <w:rPr>
          <w:rStyle w:val="FootnoteAnchor"/>
          <w:rtl w:val="true"/>
        </w:rPr>
        <w:footnoteReference w:id="238"/>
      </w:r>
      <w:r>
        <w:rPr>
          <w:rFonts w:ascii="IRNazanin" w:hAnsi="IRNazanin" w:eastAsia="IRNazanin"/>
          <w:color w:val="111111"/>
          <w:sz w:val="28"/>
          <w:sz w:val="28"/>
          <w:szCs w:val="28"/>
          <w:rtl w:val="true"/>
          <w:lang w:bidi="fa-IR"/>
        </w:rPr>
        <w:t xml:space="preserve">وهو أن نلتزم بإرجاع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 فی الموثقة إلی الوضوء لا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أنّ الأقرب یمنع الأبعد، وعلیه فیکون مفاد الروایة أنّک لو لم تدخل فی غیر الوضوء کان شکّک معتبراً ویجب الاعتناء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هناک اختلاف بسیط بین الشیخ والمحقق العراقی فی المقام وهو أنّ الشیخ یری أنّ المراد بالتجاوز فی الوضوء هو التجاوز عن جمیع أفعال الوضوء، وذلک بقرینة أنّ مجموع الوضوء عنده یعتبر عملاً واحداً ولم یلاحظ فیه الأجزاء علی نحو الاستقلالیة، أمّا العراقی فإنه یتمسّک علی کلامه بقرینة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البیان لکلام الشیخ الأنصاری والمحقق العراقی یمکن أن یجاب عن إشکالات عدیدة</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کیف یمکن أن یُقیّد المصداق مع إبقاء الکبری الواردة فی الروایة علی إطلاقها، فیما لو ذُکر المصداق لکبری کلّیّة فإنّ المصداق المذکور فی هذه الروایة هو التجاوز عن الوضوء المقیّد بالتجاوز الخاصّ وهو التجاوز عن</w:t>
      </w:r>
    </w:p>
    <w:p>
      <w:pPr>
        <w:pStyle w:val="BookText"/>
        <w:rPr/>
      </w:pPr>
      <w:r>
        <w:rPr>
          <w:rFonts w:ascii="IRNazanin" w:hAnsi="IRNazanin" w:eastAsia="IRNazanin"/>
          <w:color w:val="111111"/>
          <w:sz w:val="28"/>
          <w:sz w:val="28"/>
          <w:szCs w:val="28"/>
          <w:rtl w:val="true"/>
          <w:lang w:bidi="fa-IR"/>
        </w:rPr>
        <w:t>مجموع أفعال الوضوء مع أنّ الکبری تبیّن مطلق التجاوز الشامل للتجاوز عن الجزء والتجاوز عن الکلّ؟</w:t>
      </w:r>
    </w:p>
    <w:p>
      <w:pPr>
        <w:pStyle w:val="BookText"/>
        <w:rPr/>
      </w:pPr>
      <w:r>
        <w:rPr>
          <w:rFonts w:ascii="Amiri" w:hAnsi="Amiri" w:eastAsia="Amiri" w:cs="Amiri"/>
          <w:color w:val="111111"/>
          <w:sz w:val="28"/>
          <w:sz w:val="28"/>
          <w:szCs w:val="28"/>
          <w:rtl w:val="true"/>
          <w:lang w:bidi="ar-SA"/>
        </w:rPr>
        <w:t xml:space="preserve">أجاب المحقق العراقی عن هذا الإشکال بأنّه لا مانع من تقیید المصداق مع إبقاء الکبری علی إطلاقها وقد وردت أمثال ذلک فی موارد من الفقه منها آیة النبأ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جَاءکُمْ فَاسِقٌ بِنَبَأٍ فَتَبَیَّنُوا</w:t>
      </w:r>
      <w:r>
        <w:rPr>
          <w:rFonts w:eastAsia="Amiri" w:cs="Amiri" w:ascii="Amiri" w:hAnsi="Amiri"/>
          <w:color w:val="111111"/>
          <w:sz w:val="28"/>
          <w:szCs w:val="28"/>
          <w:rtl w:val="true"/>
          <w:lang w:bidi="ar-SA"/>
        </w:rPr>
        <w:t xml:space="preserve">) </w:t>
      </w:r>
      <w:r>
        <w:rPr>
          <w:rStyle w:val="FootnoteAnchor"/>
          <w:rtl w:val="true"/>
        </w:rPr>
        <w:footnoteReference w:id="239"/>
      </w:r>
      <w:r>
        <w:rPr>
          <w:rFonts w:ascii="IRNazanin" w:hAnsi="IRNazanin" w:eastAsia="IRNazanin"/>
          <w:color w:val="111111"/>
          <w:sz w:val="28"/>
          <w:sz w:val="28"/>
          <w:szCs w:val="28"/>
          <w:rtl w:val="true"/>
          <w:lang w:bidi="fa-IR"/>
        </w:rPr>
        <w:t>حیث یدلّ مفهومها علی عدم وجوب التبیّن فیما لو جاء العادل بنبأ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والمستفاد من هذا المفهوم الذی هو کبری کلّیة أنّ خبر العادل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إنّ مورد الآیة ومصداقها هو الإخبار فی الموضوعات الخارجیة لا فی الأحکام مع أنّ الثابت من خلال الأدلّة التی بین أیدینا عدم کفایة خبر العادل الواحد فی الموضوعات الخارجیة بل لابدّ من وجود شاهدین عادلین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یجب تقیید مورد الآیة فی الموضوعات الخارجیة بانضمام عادل آخر لیتمّ قبول خبر العادل مع أنّ الکبری باقیة علی إطلاقها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الحال فیما نحن فیه فإنّ الکبری أعنی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الشکّ فی شیءٍ لم تجزه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باقیة علی إطلاقها بینما أنّ موردها وهو الوضوء قد قُیّد بمجموع الوضوء، وبهذا البیان ینحل إشکال خروج المورد من الکبری الکلّیّة</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ینحلّ إشکال التهافت والتعارض بین موثقة ابن أبی یعفور وصحیحة زرارة، وقد سبق بیان ذلک آنفاً</w:t>
      </w:r>
      <w:r>
        <w:rPr>
          <w:rFonts w:eastAsia="IRNazanin" w:cs="IRNazanin"/>
          <w:color w:val="111111"/>
          <w:sz w:val="28"/>
          <w:szCs w:val="28"/>
          <w:rtl w:val="true"/>
          <w:lang w:bidi="fa-IR"/>
        </w:rPr>
        <w:t>.</w:t>
      </w:r>
      <w:bookmarkStart w:id="287" w:name="pg5466_52882"/>
    </w:p>
    <w:p>
      <w:pPr>
        <w:pStyle w:val="BookText"/>
        <w:rPr/>
      </w:pPr>
      <w:bookmarkEnd w:id="287"/>
      <w:r>
        <w:rPr>
          <w:rFonts w:ascii="IRNazanin" w:hAnsi="IRNazanin" w:eastAsia="IRNazanin"/>
          <w:color w:val="111111"/>
          <w:sz w:val="28"/>
          <w:sz w:val="28"/>
          <w:szCs w:val="28"/>
          <w:rtl w:val="true"/>
          <w:lang w:bidi="fa-IR"/>
        </w:rPr>
        <w:t>وبهذا الجواب ینحلّ عند المحقق العراقی إشکال ثالث أیضاً وهو أنّ بین منطوق صدر الموثّقة ومفهوم ذیلها تعارضاً حیث یدلّ منطوق قوله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إذا شککت فی شیءٍ من الوضوء وقد دخلت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عدم الاعتناء بالشک فیما لو خرج المکلّف من جزء ودخل فی جزء آخر وشک فی صحّة ذلک الجزء السابق قبل الفراغ من العمل کلّه، مع أنّ مفهوم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إنّما الشکّ فی شیءٍ لم تجزه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وجوب الاعتناء بالشک فیما لو لم یفرغ المکلّف من العمل، وعلیه یحصل التعارض بین منطوق هذه الموثقة ومفهومها فیما لو شک قبل الفراغ من العمل فی صحّة الجزء لا فی أصل وجود الجزء</w:t>
      </w:r>
      <w:r>
        <w:rPr>
          <w:rFonts w:eastAsia="IRNazanin" w:cs="IRNazanin"/>
          <w:color w:val="111111"/>
          <w:sz w:val="28"/>
          <w:szCs w:val="28"/>
          <w:rtl w:val="true"/>
          <w:lang w:bidi="fa-IR"/>
        </w:rPr>
        <w:t>.</w:t>
      </w:r>
    </w:p>
    <w:p>
      <w:pPr>
        <w:pStyle w:val="Heading2"/>
        <w:numPr>
          <w:ilvl w:val="1"/>
          <w:numId w:val="1"/>
        </w:numPr>
        <w:rPr/>
      </w:pPr>
      <w:bookmarkStart w:id="288" w:name="__RefHeading___Toc2082468_581953129"/>
      <w:bookmarkStart w:id="289" w:name="_Toc112"/>
      <w:bookmarkEnd w:id="288"/>
      <w:r>
        <w:rPr>
          <w:rtl w:val="true"/>
        </w:rPr>
        <w:t>الإشکالات علی الوجه الخامس</w:t>
      </w:r>
      <w:bookmarkEnd w:id="289"/>
    </w:p>
    <w:p>
      <w:pPr>
        <w:pStyle w:val="BookText"/>
        <w:rPr/>
      </w:pPr>
      <w:r>
        <w:rPr>
          <w:rFonts w:ascii="IRNazanin" w:hAnsi="IRNazanin" w:eastAsia="IRNazanin"/>
          <w:color w:val="111111"/>
          <w:sz w:val="28"/>
          <w:sz w:val="28"/>
          <w:szCs w:val="28"/>
          <w:rtl w:val="true"/>
          <w:lang w:bidi="fa-IR"/>
        </w:rPr>
        <w:t>للجمع بین صحیحة زرارة وموثقة ابن أبی یعفور المذکور فی کلمات الشیخ الأنصاری والمحقق العراقی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لفظ الوضوء فی موثقة ابن أبی یعفور أقرب من لفظ الشیء الوارد فیها والأقرب یمنع الأبعد إلاّ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الروایة إنمّا هو فی مقام بیان حکم الشیء لا بیان حکم نفس الوضوء، وهذا أقوی من قرینة الأقربیة لإرجاع الضمیر إلی نفس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أوضح فإنّ کون الإمام فی مقام بیان حکم ما شُکّ فی صحّته قرینة أقوی من قرینة الأقربیة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الثانی إنّما یرد علی کلام المحقّق العراقی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تقیید المورد والمصداق مع بقاء الکبری علی إطلاقها أمر شائع وکثیر فإنّ هذا الادّعاء منه مجرّد دعوی لا دلیل علیها ولا صحّة لها</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والإنصاف قلة وقوع ذلک، مضافاً إلی أنّه لو سلّمنا کثرته إلاّ أنّ وقوع ذلک</w:t>
      </w:r>
    </w:p>
    <w:p>
      <w:pPr>
        <w:pStyle w:val="BookText"/>
        <w:rPr/>
      </w:pPr>
      <w:r>
        <w:rPr>
          <w:rFonts w:ascii="IRNazanin" w:hAnsi="IRNazanin" w:eastAsia="IRNazanin"/>
          <w:color w:val="111111"/>
          <w:sz w:val="28"/>
          <w:sz w:val="28"/>
          <w:szCs w:val="28"/>
          <w:rtl w:val="true"/>
          <w:lang w:bidi="fa-IR"/>
        </w:rPr>
        <w:t>فیما لو کان المولی فی مقام البیان أمر مستهجن وقبیح ویستنکف العرف أن یکون المورد المبیّن مقیّداً بینما تکون الکبری الکلّیّة غیر مقیدة وهذا نظیر ما 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إکرام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یشترط فی المصداق الذی هو إکرام زید خصوصیة العدالة بینما لا وجود لهذه الخصوصیة فی الکبری، فإنّ العرف لا یقبل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قیاس ما نحن فیه بمفهوم آیة النبأ قیاس مع الفارق إذ مفهوم آیة النبأ أجنبی عن مسألة البیّنة والشهادة، بل مفهومها أنّ خبر غیر الفاسق واجب القبول، أمّا ضمیمة خبر عادل آخر فی باب البیّنة فلیست من جهة أنّ حجیّة خبر العادل مقیّدة بانضمام خبر عادل آخر بل لأنّ الأدلّة فی باب الشهادة تدلّ علی عدم کفایة إخبار العادل الواحد ولابدّ من شهادة عادلین اثنین أی أنّ خبر العادل حجة فی نفسه إلاّ أنّ الشهادة تحتاج إلی عادلین ولا یکفی فیها العادل الواحد، وعلی هذا فالظاهر أنّ القیاس فی کلام المحقق العراقی فی غیر محلّه، لأنّه قیاس مع الفارق، وبالجملة فوجه الجمع المذکور فی کلمات الشیخ الأنصاری والمحقق الأنصاری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للجمع بین الصحیحة والوثقة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المراد بالشک فی موثقة ابن أبی یعفور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الشکّ إذا کنت فی شیءٍ لم تجزه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الشکّ فی الصحة، والمراد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مجموع العمل، وعلیه فیکون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الروایة فی صدد بیان حکم الشکّ فی صحة مجموع العمل بعد الفراغ منه فیکون هذا قرینة علی رجوع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الوضوء، وبالتالی تکون الروایة دالة علی قاعدة الفراغ لا علی قاعدة التجاوز ویکون مضمونها أنّک إذا شککت فی جزءٍ من أجزاء الوضوء وأنت قد دخلت فی غیر الوضوء فلا تعتن</w:t>
      </w:r>
    </w:p>
    <w:p>
      <w:pPr>
        <w:pStyle w:val="BookText"/>
        <w:rPr/>
      </w:pPr>
      <w:r>
        <w:rPr>
          <w:rFonts w:ascii="IRNazanin" w:hAnsi="IRNazanin" w:eastAsia="IRNazanin"/>
          <w:color w:val="111111"/>
          <w:sz w:val="28"/>
          <w:sz w:val="28"/>
          <w:szCs w:val="28"/>
          <w:rtl w:val="true"/>
          <w:lang w:bidi="fa-IR"/>
        </w:rPr>
        <w:t>بشکک وبهذا یتمّ التوفیق بین هذه الموثقة وبین صحیحة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الوارد علی هذا الوجه هو أن الشکّ فی شیءٍ ظاهر أولاً وبالذات إلی الشکّ فی وجود ذلک الشیء لا الشکّ فی صحته هذا مضافاً إلی أنّ استعمال لفظة من للبیان إنما هو علی خلاف الأصل حیث إنّ الأصل الأوّلی فی معنی من هو التبعیض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السابع للجمع بین الموثقة والصحیحة أن یقال بأنّ المراد من الشکّ فی الموثقة هو الشکّ بعد الفراغ من العمل، لکنّه فی جزءٍ من أجزائه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أخری یکون مفاد الروایة مفاد کان التامّة وعلیه فإنّ صدر الروایة ظاهر فی أنّ للشیء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إذا شککت فی شیءٍ من الوضوء وقد دخلت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محلاً قد تجاوز المکلّف عنه ثمّ شک فیه بعد تجاوز محلّه لا أنّه قد شکّ بعد الانتهاء من کلّ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والإشکال علی هذا الوجه أیضاً أنّه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المختار فی الجمع بین الموثّقة وصحیحة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نختاره هو أن ذیل الموثقة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الشکّ إذا کنت فی شیءٍ لم تجزه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 کلّیّة تبیّن قاعدة التجاوز أمّا صدر الروایة</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شککت فی شیءٍ من الوضوء وقد دخلت فی غیره فلیس شکک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من التصرف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بقرینة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نلتزم أنّ مجموع أفعال الوضوء یُعتبر عملاً واحداً ولم یلاحظ الشارع أجزاءها علی نحو الاستقلال لکن لمّا سبق وأنْ بیّنا بأنّ الإجماع لا یمکن أن یصبح دلیلاً علی التصرف فی مدلول الروایة الاستعمالی فلابدّ من التفکیک فی الحجّیة بأن یُطرح صدر الروایة لمخالفته مع الإجماع فتثبت الحجیة لذیل الروایة المفید لقاعدة التجاوز ویؤخذ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غایة ما یمکن بیانه فیما یتعلق بالموثقة</w:t>
      </w:r>
      <w:r>
        <w:rPr>
          <w:rFonts w:eastAsia="IRNazanin" w:cs="IRNazanin"/>
          <w:color w:val="111111"/>
          <w:sz w:val="28"/>
          <w:szCs w:val="28"/>
          <w:rtl w:val="true"/>
          <w:lang w:bidi="fa-IR"/>
        </w:rPr>
        <w:t>.</w:t>
      </w:r>
      <w:bookmarkStart w:id="290" w:name="pg5466_52885"/>
    </w:p>
    <w:p>
      <w:pPr>
        <w:pStyle w:val="BookText"/>
        <w:rPr/>
      </w:pPr>
      <w:bookmarkEnd w:id="290"/>
      <w:r>
        <w:rPr>
          <w:rFonts w:ascii="IRNazanin" w:hAnsi="IRNazanin" w:eastAsia="IRNazanin"/>
          <w:color w:val="111111"/>
          <w:sz w:val="28"/>
          <w:sz w:val="28"/>
          <w:szCs w:val="28"/>
          <w:rtl w:val="true"/>
          <w:lang w:bidi="fa-IR"/>
        </w:rPr>
        <w:t>نعم قد یقال بأنّ هذا الإجماع یحتمل أن یکون مدرکیاً فلا یمکن التمسّک به ولا یجوز الاستناد إلیه لکنّنا نقول بأنّ صدر الروایة لابدّ من طرحه لإعراض المشهور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إعراض المشهور إنّما نشأ من صحیحة زرارة والمشهور باستناده إلیها قد أعرض عن صدر الموثقة فلا فائدة من هذا الإعراض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کلّه تصبح الموثقة مجملة ولا یمکن الاستناد إلیها ولا بد من التمسّک بالصحیحة لأنّ المجمل لا یقاوم المبیّن ولا یعارضه</w:t>
      </w:r>
      <w:r>
        <w:rPr>
          <w:rFonts w:eastAsia="IRNazanin" w:cs="IRNazanin"/>
          <w:color w:val="111111"/>
          <w:sz w:val="28"/>
          <w:szCs w:val="28"/>
          <w:rtl w:val="true"/>
          <w:lang w:bidi="fa-IR"/>
        </w:rPr>
        <w:t>.</w:t>
      </w:r>
    </w:p>
    <w:p>
      <w:pPr>
        <w:pStyle w:val="Heading2"/>
        <w:numPr>
          <w:ilvl w:val="1"/>
          <w:numId w:val="1"/>
        </w:numPr>
        <w:rPr/>
      </w:pPr>
      <w:bookmarkStart w:id="291" w:name="__RefHeading___Toc2082470_581953129"/>
      <w:bookmarkStart w:id="292" w:name="_Toc113"/>
      <w:bookmarkEnd w:id="291"/>
      <w:r>
        <w:rPr>
          <w:rtl w:val="true"/>
        </w:rPr>
        <w:t>بحث حول جریان قاعدة التجاوز فی الغُسل والتیمّم</w:t>
      </w:r>
      <w:r>
        <w:rPr>
          <w:rtl w:val="true"/>
        </w:rPr>
        <w:t>:</w:t>
      </w:r>
      <w:bookmarkEnd w:id="292"/>
    </w:p>
    <w:p>
      <w:pPr>
        <w:pStyle w:val="BookText"/>
        <w:rPr/>
      </w:pPr>
      <w:r>
        <w:rPr>
          <w:rFonts w:ascii="IRNazanin" w:hAnsi="IRNazanin" w:eastAsia="IRNazanin"/>
          <w:color w:val="111111"/>
          <w:sz w:val="28"/>
          <w:sz w:val="28"/>
          <w:szCs w:val="28"/>
          <w:rtl w:val="true"/>
          <w:lang w:bidi="fa-IR"/>
        </w:rPr>
        <w:t>اختلف الفقهاء فی إلحاق الغسل والتیمم بالوضوء فی عدم جریان قاعدة التجاوز أو أنّهما لا یُلحقان به فتجری فیهما قاعدة التجاوز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صرّح الشیخ الأنصاری فی کتاب الطهارة</w:t>
      </w:r>
      <w:r>
        <w:rPr>
          <w:rStyle w:val="FootnoteAnchor"/>
          <w:rtl w:val="true"/>
        </w:rPr>
        <w:footnoteReference w:id="241"/>
      </w:r>
      <w:r>
        <w:rPr>
          <w:rFonts w:ascii="IRNazanin" w:hAnsi="IRNazanin" w:eastAsia="IRNazanin"/>
          <w:color w:val="111111"/>
          <w:sz w:val="28"/>
          <w:sz w:val="28"/>
          <w:szCs w:val="28"/>
          <w:rtl w:val="true"/>
          <w:lang w:bidi="fa-IR"/>
        </w:rPr>
        <w:t>بأنّ المشهور إلحاق الغسل والتیمم بالوضوء وعلیه فلا تجری قاعدة التجاوز فیهما کما لا تجری فی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کبار المعاصرین أمثال 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 xml:space="preserve">والمحقق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فقد ذهبوا إلی عدم إلحاق الغسل والتیمم بالوضوء فتجری قاعدة التجاوز فیهما وعلیه فلو شک المکلّف أثناء الغُسل حین غَسل الطرف الأیمن من جسمه فی أنّه هل غسل رأسه وعنقه أولا؟ جرت فی حقّه قاعدة التجاوز وحُکِمَ بأنّه قد غسلهما، وهکذا الحال فی التیمّم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یمکن إجراء قاعدة التجاوز هنا علی مذهب من لا یری الترتیب واجباً</w:t>
      </w:r>
    </w:p>
    <w:p>
      <w:pPr>
        <w:pStyle w:val="BookText"/>
        <w:rPr/>
      </w:pPr>
      <w:r>
        <w:rPr>
          <w:rFonts w:ascii="IRNazanin" w:hAnsi="IRNazanin" w:eastAsia="IRNazanin"/>
          <w:color w:val="111111"/>
          <w:sz w:val="28"/>
          <w:sz w:val="28"/>
          <w:szCs w:val="28"/>
          <w:rtl w:val="true"/>
          <w:lang w:bidi="fa-IR"/>
        </w:rPr>
        <w:t xml:space="preserve">بین غَسْل الطرف الأیمن والطرف الأیسر کما ذهب إلیه بعض الأعاظم مثل المحقق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فعلی مبنی هؤلاء الأعاظم لو شک المکلّف أثناء غَسل الطرف الأیسر من الجسم فی أنّه هل غسل طرفه الأیمن أولا؟ وجب علیه أن یعید غسل الطرف الأیمن لعدم تحقق التجاوز عن المحل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بالنظر إلی 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إلی دلیل المسألة وأنّ الدلیل ماذا یقتضی؟ فإنّ ما یدلّ علی عدم جریان قاعدة التجاوز فی باب الوضوء أمران أحدهما الإجماع، والآخر صحیحة زرارة ولا شک فی اختصاص مورد هذین الدلیلین بالوضوء ولا وجه فیهما لإلحاق الغسل والتیمم بباب الوضوء فی عدم جریان قاعدة التجاوز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فإنّ إلغاء الخصوصیة فی التعبّدیات أمر مشکل جدّاً ولا وجه له فی هذا البحث کما أنّ تنقیح المناط هنا غیر ممکن لعدم إحراز وحدة المناط فی الوضوء والمناط فی الغسل والتیمّم فإنّ اختلاف الأحکام والخصوصیات بین الوضوء من جهة والغسل والتیمم من جهة أخری دلیل علی عدم الیقین بتنقیح المناط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ذلک کلّه فإنّ هناک دلیلین علی الإلحاق لابد من دراستهما والبحث حولهما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الأوّل المختصّ بالتیمّم هو أنّ التیمّم بدل الوضوء له عنوان البدلیة ولا استقلالیة له والبدلیّة تقتضی عدم جریان قاعدة التجاوز فی البدل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لم تجز فی المبدل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 هذا الدلیل إشکالان</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أنّه لا دلیل یدل علی أنّ التیمم لمّا کان بدلاً عن الوضوء فلابدّ من أنْ</w:t>
      </w:r>
    </w:p>
    <w:p>
      <w:pPr>
        <w:pStyle w:val="BookText"/>
        <w:rPr/>
      </w:pPr>
      <w:r>
        <w:rPr>
          <w:rFonts w:ascii="IRNazanin" w:hAnsi="IRNazanin" w:eastAsia="IRNazanin"/>
          <w:color w:val="111111"/>
          <w:sz w:val="28"/>
          <w:sz w:val="28"/>
          <w:szCs w:val="28"/>
          <w:rtl w:val="true"/>
          <w:lang w:bidi="fa-IR"/>
        </w:rPr>
        <w:t>یتصف بجمیع أحکام الوضوء بل البدلیة معناها أنّ التیمم کالوضوء فی أنّه مبیح للدخول فی الصلاة فالتیمّم یحمل عنوان البدلیة عن الوضوء فی هذا المقدار من الإباحة، ومن هنا تختلف أحکام التیمم عن أحکام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ذکره بعضهم علی نحو الاحتمال من أنّ التیمّم کالوضوء فلا تجری فیه قاعدة التجاوز أمّا الغسل فتجری فیه تلک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یُتساءل هنا علی هذا المبنی فی التیمم بدل الغسل حیث لا یمکن القول بالتفصیل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تجری قاعدة التجاوز فی التیمم بدل الوضوء بینما تجری فی التیمم بدل الغسل لأنّ التیمّم فعل واحد ولا یجوز فیه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وهو ما ذکره واستند إلیه الشیخ الأنصاری فإنّه ذکر لإثبات أنّ قاعدة التجاوز لا تجری فی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بأن الشارع إنّما لاحظ جمیع أفعال الوضوء فعلاً واحداً ولم یلاحظها علی نحو الاستقلال لأنّ الوضوء له أثر واحد یسمّی بالطهارة ومع وحدة الأثر فإنّ المؤثّر واحد وهذا کلّه جارٍ فی الغسل والتیمم أیضاً إذ لهما أثر واحد هو الطهارة فیکون الشارع قد لاحظ کلّاً منهما عملاً واحداً ولا تجری قاعدة التجاوز فی کلّ ما اعتبره الشارع شیئاً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وقد أورد المحقق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علی هذا الدلیل إشکالین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متعلّق التکلّیف فی الوضوء علی ما یستفاد من ظاهر الآیات والروایات فی باب الوضوء هو أفعال الوضوء من الغسلات والمسحات لا الطهارة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 فإنّ المأمور به فی باب الوضوء نفس الغسلات والمسحات لا</w:t>
      </w:r>
    </w:p>
    <w:p>
      <w:pPr>
        <w:pStyle w:val="BookText"/>
        <w:rPr/>
      </w:pPr>
      <w:r>
        <w:rPr>
          <w:rFonts w:ascii="IRNazanin" w:hAnsi="IRNazanin" w:eastAsia="IRNazanin"/>
          <w:color w:val="111111"/>
          <w:sz w:val="28"/>
          <w:sz w:val="28"/>
          <w:szCs w:val="28"/>
          <w:rtl w:val="true"/>
          <w:lang w:bidi="fa-IR"/>
        </w:rPr>
        <w:t>الطهارة التی هی أثر تلک الغسلات والمسحات</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الجدیر بالذکر هنا فی إشکال السید الخوئی أنّ بعض تلامذة السید قد صرّحوا بأنّ هذا الإشکال منه إنّما نشأ من عدم ذکره نظریة الشیخ الأنصاری علی وجهها الصحیح فی تقریراته، فإنّ السید الخوئی قال فی تقریره لدلیل الشیخ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ذکره شیخنا الأنصاری وهو أنّ التکلّیف إنّما تعلق بالطهارة وإنّما الغسل والمسح مقدّمة لحصولها فالشک فی تحقق شیءٍ من الغسل والمسح یرجع إلی الشکّ فی حصول الطهارة وهی أمر بسیط فلا تجری فیه قاعدة التجاوز</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بالرجوع إلی کلام الشیخ الأنصاری الذی ذکرناه فی الأبحاث السابقة یتّضح لنا أنّ الشیخ لم یرکّز نظره علی أنّ المأمور به فی باب الوضوء هل هو أفعال الوضوء أو الطهارة بل نظر إلی أنّ الوضوء فی الخارج وإن اعتبر عملاً مرکباً إلاّ أنّ الشارع لاحظه شیئاً واحداً واعتبر لأفعاله وحدة اعتباریة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فإن إشکال المحقق الخوئی الأوّل غیر وارد علی نظریة الشیخ الأعظم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المحقق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بأنّ المأمور به فی باب الوضوء هو الطهارة وأنّ أفعال الوضوء من الغسلات والمسحات مقدمة للمأمور به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لابدّ من الالتزام بأنّ قاعدة التجاوز إنّما لا تجری فی هذه المقدمات فیما لو کانت مقدمات عقلیة خارجیة کما لو أمر المولی عبده بقتل رجلٍ وکان قتله</w:t>
      </w:r>
    </w:p>
    <w:p>
      <w:pPr>
        <w:pStyle w:val="BookText"/>
        <w:rPr/>
      </w:pPr>
      <w:r>
        <w:rPr>
          <w:rFonts w:ascii="IRNazanin" w:hAnsi="IRNazanin" w:eastAsia="IRNazanin"/>
          <w:color w:val="111111"/>
          <w:sz w:val="28"/>
          <w:sz w:val="28"/>
          <w:szCs w:val="28"/>
          <w:rtl w:val="true"/>
          <w:lang w:bidi="fa-IR"/>
        </w:rPr>
        <w:t>متوقّفاً علی مقدمات فإنّه لو شک فی هذه المقدمات لم تجر قاعدة التجاوز لأنّ ذا المقدمة أی القتل عنوان بسیط والشک فی المقدمات یکون من قبیل الشکّ فی محصّل العنوان وهو مجری الاحتیاط، لکن الغسلات والمسحات التی هی مقدمة للطهارة فی باب الوضوء تعتبر مقدّمات شرعیة لأنّ الشارع هو الذی أمر بها، ومن الواضح جریان قاعدة التجاوز فی الأجزاء والمقدمات الشرعیة المرکبّة</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یمکن القول فی هذا الإشکال هو أن صحّة هذا الإشکال مبتنیة علی القول بأنّ قاعدة التجاوز قاعدة تعبّدیة محضة وعلی هذا یکون من وجوه التفریق بین قاعدتی الفراغ والتجاوز أنّ قاعدة الفراغ أمر عقلائی دون قاعدة التجاوز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لا یرد هذا الإشکال علی قول من یری قاعدة الفراغ والتجاوز قاعدة واحدة ترجعان إلی عنوان واحد هو عدم الاعتناء بالشک بعد تجاوز المحل وهو عنوان عقلائی کما هو مذهب الإمام الخمینی والمحقق البجنوردی، لأنّ التفریق بین المقدمات العقلیة والمقدمات الشرعیة إنّما یتمّ فیما لو کانت هاتان القاعدتان قاعدتین مستقلتین</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ما سبق فی الإشکال السابق من أنّ إشکالات السید الخوئی إنّما نشأت من تفسیره الخاطئ لنظریة الشیخ الأنصاری فلو فُسِّرتْ نظریته علی الوجه الصحیح لم ترد علیه هذه الإشکالات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ننکر تلک الإشکالات</w:t>
      </w:r>
      <w:bookmarkStart w:id="293" w:name="pg5466_52890"/>
    </w:p>
    <w:p>
      <w:pPr>
        <w:pStyle w:val="BookText"/>
        <w:rPr/>
      </w:pPr>
      <w:bookmarkEnd w:id="293"/>
      <w:r>
        <w:rPr>
          <w:rFonts w:ascii="IRNazanin" w:hAnsi="IRNazanin" w:eastAsia="IRNazanin"/>
          <w:color w:val="111111"/>
          <w:sz w:val="28"/>
          <w:sz w:val="28"/>
          <w:szCs w:val="28"/>
          <w:rtl w:val="true"/>
          <w:lang w:bidi="fa-IR"/>
        </w:rPr>
        <w:t>السابقة التی أوردها المحقق العراقی علی نظریة الشیخ الأنصاری فأنّها تامة مقبولة ولا داعی إلی إعادتها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 ما ذکرنا إلی هنا عدم إلحاق الغسل والتیمم بالوضوء وأنّ قاعدة التجاوز تجری فی هذه الأبواب الفقهیة، وقد خرج منها باب الوضوء بالدلیل الخاصّ الدال علی عدم جریان قاعدة التجاوز فی الوضوء خاصة</w:t>
      </w:r>
      <w:r>
        <w:rPr>
          <w:rFonts w:eastAsia="IRNazanin" w:cs="IRNazanin"/>
          <w:color w:val="111111"/>
          <w:sz w:val="28"/>
          <w:szCs w:val="28"/>
          <w:rtl w:val="true"/>
          <w:lang w:bidi="fa-IR"/>
        </w:rPr>
        <w:t>.</w:t>
      </w:r>
    </w:p>
    <w:p>
      <w:pPr>
        <w:pStyle w:val="Heading2"/>
        <w:numPr>
          <w:ilvl w:val="1"/>
          <w:numId w:val="1"/>
        </w:numPr>
        <w:rPr/>
      </w:pPr>
      <w:bookmarkStart w:id="294" w:name="__RefHeading___Toc2082472_581953129"/>
      <w:bookmarkStart w:id="295" w:name="_Toc114"/>
      <w:bookmarkEnd w:id="294"/>
      <w:r>
        <w:rPr>
          <w:rtl w:val="true"/>
        </w:rPr>
        <w:t>المؤیّد لجریان قاعدة التجاوز فی الغُسل</w:t>
      </w:r>
      <w:r>
        <w:rPr>
          <w:rtl w:val="true"/>
        </w:rPr>
        <w:t>:</w:t>
      </w:r>
      <w:bookmarkEnd w:id="295"/>
    </w:p>
    <w:p>
      <w:pPr>
        <w:pStyle w:val="BookText"/>
        <w:rPr/>
      </w:pPr>
      <w:r>
        <w:rPr>
          <w:rFonts w:ascii="IRNazanin" w:hAnsi="IRNazanin" w:eastAsia="IRNazanin"/>
          <w:color w:val="111111"/>
          <w:sz w:val="28"/>
          <w:sz w:val="28"/>
          <w:szCs w:val="28"/>
          <w:rtl w:val="true"/>
          <w:lang w:bidi="fa-IR"/>
        </w:rPr>
        <w:t>یذکر الإمام الخمینی بعد هذا الکلام بعض الروایات التی یستفاد منها جریان قاعدة التجاوز فی الغسل کصحیحة زرارة التی ذکرناها سابقاً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ترک بعض ذراعه أو بعض جسده فی غسل الجنابة؟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شک ثمّ کانت به بلّة وهو فی صلاته مسح بها علیه، وإن کان استیقن رجع وأعاد علیه الماء ما لم یُصب بلّةً فإنْ دخله الشکّ وقد دخل فی حال أخری فلیمض فی صلاته ولا شیء علیه</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الإمام الخمینی یری أنّ المستفاد من إطلاق عبارة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فإن دخله الشکّ وقد دخل فی حال أخری فلیمض فی صلاته ولا 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قاعدة التجاوز تجری من دون أیّ مانع فیما لو کان المکلّف منشغلاً بغسل الجنابة قبل الصلاة وقد دخل من جزءٍ إلی جزءٍ آخر ثمّ شک فی الجزء السابق</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الإمام الخمینی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عبارة أخری فی صحیحة زرارة هذه عدا تلک العبارة السابقة یستفاد منها أن الشکّ بعد تجاوز المحلّ لا اعتبار به فی غسل الجنابة</w:t>
      </w:r>
      <w:r>
        <w:rPr>
          <w:rFonts w:eastAsia="IRNazanin" w:cs="IRNazanin"/>
          <w:color w:val="111111"/>
          <w:sz w:val="28"/>
          <w:szCs w:val="28"/>
          <w:rtl w:val="true"/>
          <w:lang w:bidi="fa-IR"/>
        </w:rPr>
        <w:t>.</w:t>
      </w:r>
      <w:bookmarkStart w:id="296" w:name="pg5466_52891"/>
    </w:p>
    <w:p>
      <w:pPr>
        <w:pStyle w:val="Heading2"/>
        <w:numPr>
          <w:ilvl w:val="1"/>
          <w:numId w:val="1"/>
        </w:numPr>
        <w:rPr/>
      </w:pPr>
      <w:bookmarkStart w:id="297" w:name="__RefHeading___Toc2082474_581953129"/>
      <w:bookmarkStart w:id="298" w:name="_Toc115"/>
      <w:bookmarkEnd w:id="296"/>
      <w:bookmarkEnd w:id="297"/>
      <w:r>
        <w:rPr>
          <w:rtl w:val="true"/>
        </w:rPr>
        <w:t>بحث جریان قاعدة التجاوز فی جزء الجزء</w:t>
      </w:r>
      <w:r>
        <w:rPr>
          <w:rtl w:val="true"/>
        </w:rPr>
        <w:t>:</w:t>
      </w:r>
      <w:bookmarkEnd w:id="298"/>
    </w:p>
    <w:p>
      <w:pPr>
        <w:pStyle w:val="Heading3"/>
        <w:numPr>
          <w:ilvl w:val="2"/>
          <w:numId w:val="1"/>
        </w:numPr>
        <w:rPr/>
      </w:pPr>
      <w:bookmarkStart w:id="299" w:name="__RefHeading___Toc2082476_581953129"/>
      <w:bookmarkStart w:id="300" w:name="_Toc116"/>
      <w:bookmarkEnd w:id="299"/>
      <w:r>
        <w:rPr>
          <w:rtl w:val="true"/>
        </w:rPr>
        <w:t>اشارة</w:t>
      </w:r>
      <w:bookmarkEnd w:id="300"/>
    </w:p>
    <w:p>
      <w:pPr>
        <w:pStyle w:val="BookText"/>
        <w:rPr/>
      </w:pPr>
      <w:r>
        <w:rPr>
          <w:rFonts w:ascii="IRNazanin" w:hAnsi="IRNazanin" w:eastAsia="IRNazanin"/>
          <w:color w:val="111111"/>
          <w:sz w:val="28"/>
          <w:sz w:val="28"/>
          <w:szCs w:val="28"/>
          <w:rtl w:val="true"/>
          <w:lang w:bidi="fa-IR"/>
        </w:rPr>
        <w:t>من جملة ما یُبحَث عنه فی قاعدة التجاوز هو أنّ قاعدة التجاوز هل هی مختصّة بالأجزاء الأصلیة للعمل أو أنّها تجری فی أجزاء الأجزاء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الأجزاء الأصلیة بعد تجاوز المحلّ کما لو شکّ المکلّف حین السجود فی إتیان الرکوع، أمّا الشکّ فی جزء الجزء فکما لو شک أثناء قراءة السورة فی الصلاة فی أنّه هل قرأ الآیة السابقة أولا؟ فی هذا البحث آراء مختلفة فی کلمات الأعاظم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اختلفت کلمات الأعاظم وتضاربت آراؤهم فی هذه المسألة</w:t>
      </w:r>
    </w:p>
    <w:p>
      <w:pPr>
        <w:pStyle w:val="Heading3"/>
        <w:numPr>
          <w:ilvl w:val="2"/>
          <w:numId w:val="1"/>
        </w:numPr>
        <w:rPr/>
      </w:pPr>
      <w:bookmarkStart w:id="301" w:name="__RefHeading___Toc2082478_581953129"/>
      <w:bookmarkStart w:id="302" w:name="_Toc117"/>
      <w:bookmarkEnd w:id="301"/>
      <w:r>
        <w:rPr>
          <w:rtl w:val="true"/>
        </w:rPr>
        <w:t>نظریة المحقق النائینی</w:t>
      </w:r>
      <w:r>
        <w:rPr>
          <w:rtl w:val="true"/>
        </w:rPr>
        <w:t>:</w:t>
      </w:r>
      <w:bookmarkEnd w:id="302"/>
    </w:p>
    <w:p>
      <w:pPr>
        <w:pStyle w:val="BookText"/>
        <w:rPr/>
      </w:pPr>
      <w:r>
        <w:rPr>
          <w:rFonts w:ascii="IRNazanin" w:hAnsi="IRNazanin" w:eastAsia="IRNazanin"/>
          <w:color w:val="111111"/>
          <w:sz w:val="28"/>
          <w:sz w:val="28"/>
          <w:szCs w:val="28"/>
          <w:rtl w:val="true"/>
          <w:lang w:bidi="fa-IR"/>
        </w:rPr>
        <w:t>ذهب المحقق النائینی ومن تبعه من الأعاظم إلی أنّ قاعدة التجاوز مختصّة بالشک فی أجزاء العمل الأصلیة ولا تجری فی جزء الجزء کالشک فی الآیة السابقة بعد الدخول فی غیرها</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والدلیل علی هذا المنع کما یستفاد من کلماته أمران</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روایات التجاوز حاکمة علی روایات الفراغ وهی أی روایات التجاوز تلحق الشکّ فی الجزء بالشک فی الجزء فإنّ الشارع أمر بعدم الاعتناء بالشک فی أجزاء الصلاة أثناء الصلاة کما لا اعتناء بالشک فی کلّ الصلاة بعد الفراغ منها ولم یجعل الشارع جزء الجزء بمنزلة کلّ العمل فلا تجری قاعدة التجاوز فی جزء الجزء، وبعبارة أخری فإنّ أدلّة التنزیل لا تشمل الشکّ فی جزء الجزء</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ونحن أوردنا فیما سبق علی هذا الدلیل وذکرنا أنّ قاعدة الفراغ والتجاوز إنّما یستفاد کلّ منهما علی نحو الاستقلال من الروایات ولا ناظریة لإحداهما إلی الأخری وقد ناقشنا مسألة التنزیل وعلیه فلابدّ من طرح هذا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روایات قاعدة التجاوز إنّا لو دخلنا من الجزء إلی الجزء الآخر فلابدّ من استفادة عنوان الخروج من المحل والدخول فی غیره، والمراد بالمحل هو المحل الذی حدّده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إن لرکوع الصلاة خصوصیّتین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مأمور به،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 محلاً معیّناً من قبل الشارع، ففی مثل هذه الأجزاء التی لها محلّ معین شرعاً مضافاً إلی کونها مأموراً بها تجری قاعدة التجاوز بحیث أن یکون هذا المحل المعیّن من قبل الشارع دخیلاً فی کونها مأموراً بها بمعنی أنّ المکلّف لو أتی بالرکوع بعد السجود کان آتیاً بجزء المأمور به لکنّه قد أخلّ بترتیب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فلا تجری قاعدة التجاوز فی الأجزاء التی لیس لها محل معیّن شرعاً، کما لو قدّم وأخرّ المکلّف ألفاظ السورة وقال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الصمدُ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أکبر الله، لم یمکن الالتزام بأنّه قد أتی بالمأمور به لکنّه أخلّ بالترتیب، لأنه لم یأت بالمأمور به هنا علی الإطلاق فإن الترتیب بین الکلمات له مدخلیة فی ماهیة السورة والکلام فلا تجری فی هذه الموارد قاعدة التجاوز لأنّ الشکّ فیها یساوی الشکّ فی أصل إتیان المأمور به ووجوده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الدلیل أیضاً غیر تام إذ سیأتی فی الأبحاث اللاحقة أنّ المراد بالمحل</w:t>
      </w:r>
      <w:bookmarkStart w:id="303" w:name="pg5466_52893"/>
    </w:p>
    <w:p>
      <w:pPr>
        <w:pStyle w:val="BookText"/>
        <w:rPr/>
      </w:pPr>
      <w:bookmarkEnd w:id="303"/>
      <w:r>
        <w:rPr>
          <w:rFonts w:ascii="IRNazanin" w:hAnsi="IRNazanin" w:eastAsia="IRNazanin"/>
          <w:color w:val="111111"/>
          <w:sz w:val="28"/>
          <w:sz w:val="28"/>
          <w:szCs w:val="28"/>
          <w:rtl w:val="true"/>
          <w:lang w:bidi="fa-IR"/>
        </w:rPr>
        <w:t>فی قاعدة التجاوز لیس خصوص المحل المقرر شرعاً بل المراد به مطلق التجاوز عن محل جزءٍ من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وسنبحث فی الأبحاث القادمة مفصّلاً عما هو المراد بالمحلّ فی قاعدة التجاوز إن شاء الله</w:t>
      </w:r>
      <w:r>
        <w:rPr>
          <w:rFonts w:eastAsia="IRNazanin" w:cs="IRNazanin"/>
          <w:color w:val="111111"/>
          <w:sz w:val="28"/>
          <w:szCs w:val="28"/>
          <w:rtl w:val="true"/>
          <w:lang w:bidi="fa-IR"/>
        </w:rPr>
        <w:t>.</w:t>
      </w:r>
    </w:p>
    <w:p>
      <w:pPr>
        <w:pStyle w:val="Heading3"/>
        <w:numPr>
          <w:ilvl w:val="2"/>
          <w:numId w:val="1"/>
        </w:numPr>
        <w:rPr/>
      </w:pPr>
      <w:bookmarkStart w:id="304" w:name="__RefHeading___Toc2082480_581953129"/>
      <w:bookmarkStart w:id="305" w:name="_Toc118"/>
      <w:bookmarkEnd w:id="304"/>
      <w:r>
        <w:rPr>
          <w:rtl w:val="true"/>
        </w:rPr>
        <w:t>نظریة المحقق الأصفهانی</w:t>
      </w:r>
      <w:r>
        <w:rPr>
          <w:rtl w:val="true"/>
        </w:rPr>
        <w:t>:</w:t>
      </w:r>
      <w:bookmarkEnd w:id="305"/>
    </w:p>
    <w:p>
      <w:pPr>
        <w:pStyle w:val="BookText"/>
        <w:rPr/>
      </w:pPr>
      <w:r>
        <w:rPr>
          <w:rFonts w:ascii="IRNazanin" w:hAnsi="IRNazanin" w:eastAsia="IRNazanin"/>
          <w:color w:val="111111"/>
          <w:sz w:val="28"/>
          <w:sz w:val="28"/>
          <w:szCs w:val="28"/>
          <w:rtl w:val="true"/>
          <w:lang w:bidi="fa-IR"/>
        </w:rPr>
        <w:t xml:space="preserve">الدلیل الثالث ما ذکره المحقق الأصفهانی کدلیل علی عدم جریان قاعدة التجاوز فی جزء الجزء حیث قال بأن کلمة الشیء الواردة فی روایة قاعدة التجاوز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شککت فی شیءٍ ودخلت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منصرفة إلی الجزء نفسه الشامل للأجزاء الأوّلیة المبوّبة کالشک فی التکبیر والقراءة والرکوع والسجود ولا یشمل جزء الجزء الذی هو من الأجزاء الثانویة فالشیء کنایة عن أجزاء الصلاة ویشمل أجزاء الصلاة الأصلیة المبوّبة دون أجزاء الصلاة</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 هذا الدلیل حسن لا بأس به وإن وقع مخدوشاً فیه من قبل بعض الأعاظم لأنّ الانصراف لیس ممّا یمکن للمرء إنکاره أو قبوله بسهولة بحیث یدّعی أحدٌ الانصراف وینکره الآخر فإنّ الانصراف أمر وجدانی، والذی یبدو هنا أنّ الحق مع المحقق الأصفهانی فی عدم شمول لفظ الشیء لجزء الجزء</w:t>
      </w:r>
      <w:r>
        <w:rPr>
          <w:rFonts w:eastAsia="IRNazanin" w:cs="IRNazanin"/>
          <w:color w:val="111111"/>
          <w:sz w:val="28"/>
          <w:szCs w:val="28"/>
          <w:rtl w:val="true"/>
          <w:lang w:bidi="fa-IR"/>
        </w:rPr>
        <w:t>.</w:t>
      </w:r>
      <w:bookmarkStart w:id="306" w:name="pg5466_52894"/>
    </w:p>
    <w:p>
      <w:pPr>
        <w:pStyle w:val="BookText"/>
        <w:rPr/>
      </w:pPr>
      <w:bookmarkEnd w:id="306"/>
      <w:r>
        <w:rPr>
          <w:rFonts w:ascii="IRNazanin" w:hAnsi="IRNazanin" w:eastAsia="IRNazanin"/>
          <w:color w:val="111111"/>
          <w:sz w:val="28"/>
          <w:sz w:val="28"/>
          <w:szCs w:val="28"/>
          <w:rtl w:val="true"/>
          <w:lang w:bidi="fa-IR"/>
        </w:rPr>
        <w:t xml:space="preserve">والذی یؤیّد هذا الانصراف تعبیر الدخول فی غیره الذی لا ینطبق عرفاً علی التجاوز من جزء الجزء وبعبارة أخری فإنّ جزء الجزء عند العرف شیء واحد لا شیئان والعرف یری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شیئاً واحداً ولا یفکّک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یشکّ المکلّف حین التلفظ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أنّه هل تلفّظ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 ولو شک کذلک وجب الاعتناء بشکه ولابدّ من إعادة مجموعة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یمکن القول بانفصال کلّ آیة عن الأخری فی القرآن فیصحّ التفکیک فیها عرفاً، وعلیه فلو شک حین 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أتی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جرتْ فی حقه قاعدة التجاوز لأنّ العرف یری هاتین الآیتین شیئین مستقلین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 رأینا هو أنّه لا یلزم فی جریان قاعدة التجاوز أن یلاحظ المحل مقرراً شرعاً بل المحل مطلق وإنما تجری قاعدة التجاوز فی الأجزاء التی یلاحظها العرف علی نحو الاستقلال من حیث الدخول والخروج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یمکن أن یتساءل المرء بأنّه هل یمکن أن یستفاد من عنوان الأذکریة الوارد فی الروایات جریان قاعدة التجاوز فی جزء الجزء أیضاً؟</w:t>
      </w:r>
    </w:p>
    <w:p>
      <w:pPr>
        <w:pStyle w:val="BookText"/>
        <w:rPr/>
      </w:pPr>
      <w:r>
        <w:rPr>
          <w:rFonts w:ascii="IRNazanin" w:hAnsi="IRNazanin" w:eastAsia="IRNazanin"/>
          <w:color w:val="111111"/>
          <w:sz w:val="28"/>
          <w:sz w:val="28"/>
          <w:szCs w:val="28"/>
          <w:rtl w:val="true"/>
          <w:lang w:bidi="fa-IR"/>
        </w:rPr>
        <w:t>ویمکن الإجابة عن هذا التساؤل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 سابقاً فی الأبحاث الماضیة أنّ الأذکریة تتعلّق بروایات قاعدة الفراغ ولا تجری فی قاعدة التجاوز، وهذا هو أحد الفروق بین هاتین القاعدتین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الأذکریة لها عنوان الحکمة لا عنوان العلیّة</w:t>
      </w:r>
      <w:r>
        <w:rPr>
          <w:rFonts w:eastAsia="IRNazanin" w:cs="IRNazanin"/>
          <w:color w:val="111111"/>
          <w:sz w:val="28"/>
          <w:szCs w:val="28"/>
          <w:rtl w:val="true"/>
          <w:lang w:bidi="fa-IR"/>
        </w:rPr>
        <w:t>.</w:t>
      </w:r>
    </w:p>
    <w:p>
      <w:pPr>
        <w:pStyle w:val="Heading2"/>
        <w:numPr>
          <w:ilvl w:val="1"/>
          <w:numId w:val="1"/>
        </w:numPr>
        <w:rPr/>
      </w:pPr>
      <w:bookmarkStart w:id="307" w:name="__RefHeading___Toc2082482_581953129"/>
      <w:bookmarkStart w:id="308" w:name="_Toc119"/>
      <w:bookmarkEnd w:id="307"/>
      <w:r>
        <w:rPr>
          <w:rtl w:val="true"/>
        </w:rPr>
        <w:t>جریان قاعدة الفراغ والتجاوز فی الجزء الأخیر من المرکّب</w:t>
      </w:r>
      <w:bookmarkEnd w:id="308"/>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الأبحاث الهامّة فی هاتین القاعدتین أنّ قاعدة التجاوز والفراغ هل</w:t>
      </w:r>
    </w:p>
    <w:p>
      <w:pPr>
        <w:pStyle w:val="BookText"/>
        <w:rPr/>
      </w:pPr>
      <w:r>
        <w:rPr>
          <w:rFonts w:ascii="IRNazanin" w:hAnsi="IRNazanin" w:eastAsia="IRNazanin"/>
          <w:color w:val="111111"/>
          <w:sz w:val="28"/>
          <w:sz w:val="28"/>
          <w:szCs w:val="28"/>
          <w:rtl w:val="true"/>
          <w:lang w:bidi="fa-IR"/>
        </w:rPr>
        <w:t>تجریان فی الجزء الأخیر من المرکب أولا؟ مثلاً لو شک المصلّی بعد الفراغ من الصلاة فی أنّه هل سلّم أولا؟ أو أنّه هل جاء بالتسلیم علی الوجه الصحیح أولا؟ وکذا لو شک الحاج فی باب الحج فی أنّه هل جاء بطواف النساء وصلاته اللذی هو الجزء الأخیر من واجبات الحجّ؟ وکما لو غلب النعاس علی المصلّی فی السجود بحیث لا یعلم هل هذا هو سجود صلاته الأخیر أو کان سجود الشکر؟ فهل تجری قاعدة الفراغ والتجاوز فی هذه الموارد؟</w:t>
      </w:r>
    </w:p>
    <w:p>
      <w:pPr>
        <w:pStyle w:val="BookText"/>
        <w:rPr/>
      </w:pPr>
      <w:r>
        <w:rPr>
          <w:rFonts w:ascii="IRNazanin" w:hAnsi="IRNazanin" w:eastAsia="IRNazanin"/>
          <w:color w:val="111111"/>
          <w:sz w:val="28"/>
          <w:sz w:val="28"/>
          <w:szCs w:val="28"/>
          <w:rtl w:val="true"/>
          <w:lang w:bidi="fa-IR"/>
        </w:rPr>
        <w:t xml:space="preserve">الحق فی الإجابة عن هذا السؤال هو عدم إمکان جریان قاعدة الفراغ بمقتضی التعبیرات الواردة فی روایات هذه القاعدة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بعد ما تفرغ من صلاتک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ما ینصرف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ما 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لوجود التردید والشک فی تحقق عنوان الفراغ أو الانصراف فی الموارد السابقة فلا مجال لجریان هذه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حملنا الدخول فی الغیر الوارد فی قاعدة التجاوز بالمعنی الأعمّ وحملنا المحلّ علی الأعم من المحل الشرعی والعادی وکان المصلی قد خرج من محلّ صلاته ودخل فی عمل آخر أو کان الحاج قد خرج من مکة جاز لنا إجراء قاعدة التجاوز إلاّ أن نلتزم باختصاص قاعدة التجاوز بأثناء العمل فلا یکون للعمل بعد الفراغ منه محل کما استفدنا ذلک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فصّل بعض المحققین</w:t>
      </w:r>
      <w:r>
        <w:rPr>
          <w:rStyle w:val="FootnoteAnchor"/>
          <w:rtl w:val="true"/>
        </w:rPr>
        <w:footnoteReference w:id="254"/>
      </w:r>
      <w:r>
        <w:rPr>
          <w:rFonts w:ascii="IRNazanin" w:hAnsi="IRNazanin" w:eastAsia="IRNazanin"/>
          <w:color w:val="111111"/>
          <w:sz w:val="28"/>
          <w:sz w:val="28"/>
          <w:szCs w:val="28"/>
          <w:rtl w:val="true"/>
          <w:lang w:bidi="fa-IR"/>
        </w:rPr>
        <w:t>فی هذه المسألة وذکر عدة صور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تدارک العمل المشکوک فیه فیما لو شک فی الجزء الأخیر ولما یدخل المکلّف فی العمل الآخر</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لو دخل المکلّف فی العمل الآخر فللمسألة صور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یشکّ فی التسلیم بعد الدخول فی تعقیبات الصلاة أو فی سجدتی السهو أو صلاة الاحتیاط مما شرعه الشارع بعد الفراغ من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شک هنا فی جریان قاعدة الفراغ لأنّ الشکّ هنا من مصادیق الشکّ فی الشیء وبعد الدخول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یبدو أنّ هذا الکلام تام بالنسبة إلی قاعدة التجاوز، وقد ذکرنا سابقاً أنّ أحد وجوه الفرق بین قاعدتی التجاوز والفراغ أنّ الدخول فی الغیر غیر معتبر فی قاعدة التجاوز خلافاً لقاعدة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یرد هذا الإشکال علی من یعتبر فی قاعدة الفراغ الدخول فی الغیر کالمحقق النائینی</w:t>
      </w:r>
      <w:r>
        <w:rPr>
          <w:rStyle w:val="FootnoteAnchor"/>
          <w:rtl w:val="true"/>
        </w:rPr>
        <w:footnoteReference w:id="255"/>
      </w:r>
      <w:r>
        <w:rPr>
          <w:rFonts w:ascii="IRNazanin" w:hAnsi="IRNazanin" w:eastAsia="IRNazanin"/>
          <w:color w:val="111111"/>
          <w:sz w:val="28"/>
          <w:sz w:val="28"/>
          <w:szCs w:val="28"/>
          <w:rtl w:val="true"/>
          <w:lang w:bidi="fa-IR"/>
        </w:rPr>
        <w:t xml:space="preserve">الذی یعتقد بأنّ هذا الاشتراط یستفاد من أدلّة قاعدة الفراغ بغض النظر عن اتّحاد القاعدتین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لا یمکن أن یکون منشأ لهذه النظریة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أدلّة قاعدة الفراغ طائفتان فقد ورد هذا القید فی بعضها کصحیحة زرارة حیث یقول فیها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إذا خرجت من شیءٍ ثمّ دخلت فی غیره فشکک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لا وجود لهذا القید فی بعضها الآخر کموثقة ابن بکیر حیث جاء فیها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کلّما شککت فیه مما قد مضی فامضه کما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موثقة ابن أبی یعفور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إنّما الشکّ إذا کنت فی شیءٍ لم تجزه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بد هنا إمّا من حمل المطلق علی المقیّد أو جعل القید من القیود الواردة فی مقام الغالب، وبالتالی لا یکون مقیّداً للإطلاقات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والتحقیق هو الأوّل لا لأجل وجود المفهوم فی القید ولا لأجل حمل المطلق علی المقید بل إنّ هذا المطلّق ینصرف إلی الفرد الغالب لقصوره الذاتی بالنسبة إلی الفرد غیر الغالب، بمعنی أن التجاوز عن الشیء غالباً ما یصدق مع الدخول</w:t>
      </w:r>
    </w:p>
    <w:p>
      <w:pPr>
        <w:pStyle w:val="BookText"/>
        <w:rPr/>
      </w:pPr>
      <w:r>
        <w:rPr>
          <w:rFonts w:ascii="IRNazanin" w:hAnsi="IRNazanin" w:eastAsia="IRNazanin"/>
          <w:color w:val="111111"/>
          <w:sz w:val="28"/>
          <w:sz w:val="28"/>
          <w:szCs w:val="28"/>
          <w:rtl w:val="true"/>
          <w:lang w:bidi="fa-IR"/>
        </w:rPr>
        <w:t>فی الشیء الآخر، ونادراً ما یحصل مع عدم الدخول فی الشیء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من الواضح أنّ مجرد الغلبة فی الوجود الخارجی لا یکون سبباً للانصراف إلاّ أنّنا ندّعی أن المطلق فی حقیقته وماهیته له قصور عن الفرد النادر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وتحقیق القول هو أنّنا ذکرنا فی دراستنا لروایات قاعدة التجاوز أنّ صحیحة زرارة هی من الروایات الدالة علی قاعدة التجاوز فقط ولا تستفاد منها قاعدة الفراغ کما أنّ الأمثلة الواردة فی صدر الروایة هی من مصادیق قاعدة التجاوز والشک فی أثناء العمل، وهذه الأمثلة قرینة جلیّة علی أنّ القاعدة الکلّیّة المذکورة فی ذیل الروایة أیضاً محمولة علی قاعدة التجاوز وعلیه فلا یمکن الالتزام بأنّ من روایات قاعدة الفراغ ما یدل علی اعتبار الدخول فی الغیر بل إنّ روایات قاعدة الفراغ أمّا صریحة فی الانصراف عن أصل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بعدما ینصرف من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أنّها صریحة فی الفراغ من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بعدما تفرغ من صلاتک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أنّ الوارد فیها مجرد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هناک صحیحة أخری لزرارة تقول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إذا کنت قاعداً علی وضوئک فلم تدر أغسلتَ ذراعیک أم لا؟ فأعد علیهما فإذا قمت من الوضوء وفرغت منه وقد صرت فی حال أخری فی الصلاة أو غیرها فشککت فلا شیء علیک</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وهی کما ذکرنا سابقاً تدلّ علی قاعدة الفراغ وقد جاء فیها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صرت فی حال أخری فی الصلاة أو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یمکن اعتبار الدخول فی الغیر فی قاعدة الفراغ بناءً علی هذه الروایة فلا تفترق عن قاعدة التجاوز من هذه الناحیة إلاّ من جهة أنّ الغیر فی قاعدة التجاوز هو العمل المترتّب شرعاً علی الجزء السابق بینما فی قاعدة الفراغ هو الفعل المباین للعمل المشکوک فبحسب هذه الروایة</w:t>
      </w:r>
      <w:bookmarkStart w:id="309" w:name="pg5466_52898"/>
    </w:p>
    <w:p>
      <w:pPr>
        <w:pStyle w:val="BookText"/>
        <w:rPr/>
      </w:pPr>
      <w:bookmarkEnd w:id="309"/>
      <w:r>
        <w:rPr>
          <w:rFonts w:ascii="IRNazanin" w:hAnsi="IRNazanin" w:eastAsia="IRNazanin"/>
          <w:color w:val="111111"/>
          <w:sz w:val="28"/>
          <w:sz w:val="28"/>
          <w:szCs w:val="28"/>
          <w:rtl w:val="true"/>
          <w:lang w:bidi="fa-IR"/>
        </w:rPr>
        <w:t>یمکن إجراء قاعدة الفراغ لمن کان منشغلاً بالتعقیبات وشک فی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المحقق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وقد ذهب المیرزا النائینی إلی جریان قاعدة التجاوز فی هذه المسألة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انشغال المکلّف بتعقیبات الصلاة مع الشکّ فی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مستدلاً علی ما جاء فی کتاب أجود التقریرات</w:t>
      </w:r>
      <w:r>
        <w:rPr>
          <w:rStyle w:val="FootnoteAnchor"/>
          <w:rtl w:val="true"/>
        </w:rPr>
        <w:footnoteReference w:id="257"/>
      </w:r>
      <w:r>
        <w:rPr>
          <w:rFonts w:ascii="IRNazanin" w:hAnsi="IRNazanin" w:eastAsia="IRNazanin"/>
          <w:color w:val="111111"/>
          <w:sz w:val="28"/>
          <w:sz w:val="28"/>
          <w:szCs w:val="28"/>
          <w:rtl w:val="true"/>
          <w:lang w:bidi="fa-IR"/>
        </w:rPr>
        <w:t xml:space="preserve">بأنّ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روایات التجاوز قد ألحق الأذان والإقامة بأجزاء الصلاة مما یجعل الفقیه یقطع بعدم خصوصیة للأذان والإقامة بل کلّما ألحق بالصلاة من المقدمات والتوابع کالتعقیبات المترتبة علی الصلاة شرعاً یصدق علیها الدخول فی الغیر وهو قد صرّح فی فوائد الأصول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بین الدخول فی الإقامة والدخول فی التعقیب کلّیهما عن حقیقة الصلاة</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عدم تمامیة هذه النظریة إذ کما بیّنا مراراً بأن روایات قاعدة التجاوز لها عنوان تعبّدی ولا یمکن لنا تحصیل ذلک القطع الذی ادّعاه المیرزا وکیف یمکن إلحاق توابع الصلاة بمقدماتها مع أنّ المقدمات لها عنوان الدخول فی الصلاة بینما تقع التعقیبات بعد الفراغ من الصلاة؟</w:t>
      </w:r>
    </w:p>
    <w:p>
      <w:pPr>
        <w:pStyle w:val="BookText"/>
        <w:rPr/>
      </w:pPr>
      <w:r>
        <w:rPr>
          <w:rFonts w:ascii="IRNazanin" w:hAnsi="IRNazanin" w:eastAsia="IRNazanin"/>
          <w:color w:val="111111"/>
          <w:sz w:val="28"/>
          <w:sz w:val="28"/>
          <w:szCs w:val="28"/>
          <w:rtl w:val="true"/>
          <w:lang w:bidi="fa-IR"/>
        </w:rPr>
        <w:t>وعلیه فاالظاهر هنا عدم جریان قاعدة التجاوز نعم یمکن إجراء قاعدة الفراغ بمقتضی صحیحة زرارة الثانیة الواردة فی الشکّ فی الذراعین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صرت فی حال أخری من الصلاة أو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 هذا المورد من دون شک وتردید</w:t>
      </w:r>
      <w:r>
        <w:rPr>
          <w:rFonts w:eastAsia="IRNazanin" w:cs="IRNazanin"/>
          <w:color w:val="111111"/>
          <w:sz w:val="28"/>
          <w:szCs w:val="28"/>
          <w:rtl w:val="true"/>
          <w:lang w:bidi="fa-IR"/>
        </w:rPr>
        <w:t>.</w:t>
      </w:r>
    </w:p>
    <w:p>
      <w:pPr>
        <w:pStyle w:val="Heading2"/>
        <w:numPr>
          <w:ilvl w:val="1"/>
          <w:numId w:val="1"/>
        </w:numPr>
        <w:rPr/>
      </w:pPr>
      <w:bookmarkStart w:id="310" w:name="__RefHeading___Toc2082484_581953129"/>
      <w:bookmarkStart w:id="311" w:name="_Toc120"/>
      <w:bookmarkEnd w:id="310"/>
      <w:r>
        <w:rPr>
          <w:rtl w:val="true"/>
        </w:rPr>
        <w:t>وقد أورد المحقق الخوئی أیضاً إشکالین علی رأی أستاذه هنا</w:t>
      </w:r>
      <w:r>
        <w:rPr>
          <w:rtl w:val="true"/>
        </w:rPr>
        <w:t>:</w:t>
      </w:r>
      <w:bookmarkEnd w:id="311"/>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إشکال نقضی بأنّ المکلّف لو شک أثناء الانشغال بالتعقیبات</w:t>
      </w:r>
    </w:p>
    <w:p>
      <w:pPr>
        <w:pStyle w:val="BookText"/>
        <w:rPr/>
      </w:pPr>
      <w:r>
        <w:rPr>
          <w:rFonts w:ascii="IRNazanin" w:hAnsi="IRNazanin" w:eastAsia="IRNazanin"/>
          <w:color w:val="111111"/>
          <w:sz w:val="28"/>
          <w:sz w:val="28"/>
          <w:szCs w:val="28"/>
          <w:rtl w:val="true"/>
          <w:lang w:bidi="fa-IR"/>
        </w:rPr>
        <w:t>فی أنّه هل أتی بأصل الصلاة أولا؟ فإنّ أحداً من الفقهاء لم یلتزم بجریان قاعدة التجاوز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الذبّ عن هذا الإشکال أولاً بأنّه لا علاقة لهذا النقض بالإلحاق وعدم الإلحاق بل إنّ الإشکال وارد علی کلّ من یجری قاعدة التجاوز فی الشکّ فی إتیان أصل العمل سواء ألحقنا التوابع بالمقدمات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أنّ المحقق النائینی یلتزم بحکومة روایات قاعدة التجاوز علی روایات قاعدة الفراغ ولابد فی باب الحکومة من التعبّد بمقدار دائرة الدلیل الحاکم والدلیل الحاکم لا یشمل ذلک الفرض الذی ذکره السید الخوئی تحت عنوان النقض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فإنّ قاعدة التجاوز تجری فی الأجزاء المشکوکة المترتب علیها جزء آخر ولا تجری فی أصل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التزم المحقق النائینی بأنّ ملاک التجاوز عن الشیء شامل للتجاوز عن محلّ الشیء وعن أصل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صرح بذلک فی أجود التقریرات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لزمه القول بجریان قاعدة التجاوز فی هذه الصورة أیضاً لصدق التجاوز عن الشیء مع الانشغال بالتعقیبات، وعلیه فلا استبعاد لجریان القاعدة فی هذا الفرض أیضاً وإن کان لابدّ من الإتیان بالصلاة هنا من سائر الجهات ومع وجود سائر الأدلّة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حلّی ویتّضح بالفرق بین المقدمات والتوابع فإنّ الإقامة مترتبة علی الأذان شرعاً وتقع بعده ویکون الشکّ فی الأذان بعد الدخول فی الإقامة من صغریات قاعدة التجاوز بخلاف التعقیبات حیث یعتبر تقدیم التسلیم علیها دون تأخر التعقیبات عن التسلیم وعلیه فإنّ التعقیب لیس له محل معیّن مترتب علی التسلیم فی نظر الشارع فلا تجری قاعدة التجاوز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أخری لم یحرز عنوان الفراغ وبالتالی لا تجری قاعدة الفراغ ویجب علی المکلّف أن یتدارک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للمحقق النائینی أن یجیب عن هذا الإشکال بأنّ الغرض من الإلحاق هو هذا المطلب بمعنی أنّنا نلحق الجزء غیر المترتب علی الجزء السابق شرعاً کالتعقیب بالمقدمات التی یتوفّر فیها الترتب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فالأوّلی فی النظر هو الإشکال الذی قدمنّاه نحن وهو أنّ لروایات التجاوز عنواناً تعبّدیاً فلا یمکننا التعدّی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 التی ذکرها هی أنْ یشکّ المکلّف فی تسلیم الصلاة بعد إتیان الفعل المنافی المبطل للصلاة سواء کان ذلک الفعل عن عمد أم سهواً کالحدث أو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یعتقد المحقق الخوئی والمحقق العراقی بعدم جریان القاعدة فی هذه الصورة أمّا المحقق النائینی فقد التزم بجریان هذه القاعدة فی هذه الصورة فی الدورة الأوّلی من الأصول لکنّه عدل عن ذلک فی الدورة الثانیة وهو قد ذکر وجهین علی جریان القاعدة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 لجریان قاعدة التجاوز أنّ ترتّب الفعل المنافی علی التسلیم إنّما هو من أجل أنّ التسلیم له عنوان المحلّل ویکون ترتب المحلّل من باب ترتب المحلّل بالمحلّل، وبالتالی یصدق هنا التجاوز عن الشیء والدخول فی غیره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أورد المحقق النائینی إشکالاً علی هذا الوجه وهو أنّ القدر المتیقّن من أدلّة قاعدة التجاوز هو الدخول فی الغیر الذی یعتبر أحد أجزاء المرکّب أو ملحقاته فلا تشمل قاعدة التجاوز الدخول فی الغیر مطلقاً وبعبارة أخری أنّه لا یحصل لنا الظن فضلاً عن القطع بکفایة الدخول فی الغیر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 لجریان قاعدة التجاوز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فعل المبطل أثناء الصلاة لمّا کان موجباً لفسادها بل الأحوط وجوباً حرمته فلابدّ من أن یکون محلّه بعد التسلیم ویکون من الأجزاء ویکون من الأجزاء المترتبة علی الجزء الأخیر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جیء بالمبطل وشک فی الجزء الأخیر صدق حینئذٍ العنوان الکلّی للشک فی الشیء بعد الدخول فی غیره وجرتْ قاعدة التجاوز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وجه عدم جریان قاعدة التجاوز فهو أنّ المبطلیّة أثناء العمل أو حرمته مستلزمة لأن یکون المحل الشرعی للمبطل بعد الجزء الأخیر ولا یمکن أن یکون المبطل کالتعقیبات بحیث یکون محلّه الشرعی بعد الجزء الأخیر، وبینها فرق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استقرب بعضهم الوجه الأوّل إذ لو فرضنا وقوع الفعل المبطل قبل التسلیم لم یمکن للمصلّی الإتیان بالتسلیم ولا بدّ من أن یکون محلّ التسلیم قبل المبطل، فلو شکّ فی التسلیم بعد إتیان الفعل المبطل کان ذلک من مصادیق الشکّ فی الشیء بعد الدخول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هو أنّ القول بعدم الجریان هو الأقوی، إذ لا ملازمة بین عدم صحّة التسلیم بعد المبطل وبین کون محلّ التسلیم قبل المبطل ولا یمکن الالتزام بأنّ ما کان مبطلاً لشیءٍ لابدّ أن یکون محلّ ذلک الشیء شرعاً قبل المبطل</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 أنّه لو جاء المکلّف فی أثناء الصلاة بما یُبطل الصلاة کما لو جاء به قبل رکوعها فإنّ أحداً لم یلتزم هنا بأنّ محلّ الرکوع شرعاً هو قبل المبطل، هذا مع أنّ المبطل لا اختصاص له بالجزء الأخیر بل له عنوان المبطلیة بالنسبة لمجموع العمل، مع أنّ قاعدة التجاوز إنّما تجری فی الجزء المعیّن</w:t>
      </w:r>
    </w:p>
    <w:p>
      <w:pPr>
        <w:pStyle w:val="BookText"/>
        <w:rPr/>
      </w:pPr>
      <w:r>
        <w:rPr>
          <w:rFonts w:ascii="IRNazanin" w:hAnsi="IRNazanin" w:eastAsia="IRNazanin"/>
          <w:color w:val="111111"/>
          <w:sz w:val="28"/>
          <w:sz w:val="28"/>
          <w:szCs w:val="28"/>
          <w:rtl w:val="true"/>
          <w:lang w:bidi="fa-IR"/>
        </w:rPr>
        <w:t>المشکوک، وعلیه فالظاهر أنّ قاعدة التجاوز غیر جاریة فی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ذهب السید الخوئی</w:t>
      </w:r>
      <w:r>
        <w:rPr>
          <w:rStyle w:val="FootnoteAnchor"/>
          <w:rtl w:val="true"/>
        </w:rPr>
        <w:footnoteReference w:id="260"/>
      </w:r>
      <w:r>
        <w:rPr>
          <w:rFonts w:ascii="IRNazanin" w:hAnsi="IRNazanin" w:eastAsia="IRNazanin"/>
          <w:color w:val="111111"/>
          <w:sz w:val="28"/>
          <w:sz w:val="28"/>
          <w:szCs w:val="28"/>
          <w:rtl w:val="true"/>
          <w:lang w:bidi="fa-IR"/>
        </w:rPr>
        <w:t>إلی هذا الرأی إذ یعتبر فی جریان هذه القاعدة أن یکون الجزء المشکوک قبل الجزء الآخر من وجهة نظر الشارع مع أنّ تسلیم الصلاة لا یعتبر فیه أن یقع قبل إتیان المبطل عمداً کان أم سهواً وإن اعتبر فی صحّته عدم وقوع الفعل المنافی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لا تجری قاعدة التجاوز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قلنا بأنّ وقوع الحدث قبل التسلیم یوجب فساد الصلاة کما یراه المحقق النائینی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جرتْ قاعدة الفراغ هنا أمّا لو لم نلتزم بإبطاله للصلاة لم تبق لجریان قاعدة الفراغ ثمرة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المحقق النائینی بعد أن التزم بعدم جریان قاعدة التجاوز فی هذا المورد بأنّ قاعدة الفراغ هی الجاریة هنا إذ یُعتبر فی جریان قاعدة الفراغ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التجاوز عن الشیء والفراغ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الدخول فی غیره المباین مع ذلک الشیء وکلا الأمرین متوفر فیما نحن فیه فإنّ عنوان الدخول فی الغیر ثابت من أنّه لو أتی بفعل مستحب أو مباح وإن کان غیر مناف صدق عنوان الدخول فی الغیر فضلاً عن إتیان الفعل المنافی فإن عنوان التجاوز عن الشیء صادق معه أیضاً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تحقق معظم الأجزاء کافٍ فی إحرازه ولا أثر لإحراز الجزء الأخیر کما یقول فی استمرار حدیثه بأنّه لا فرق فی جریان قاعدة الفراغ بین أن یکون الشکّ فی الجزء الأخیر إلی الشکّ فی بطلان العمل، کما لو شک فی الجزء الأخیر من الوضوء مع فوات شرط الموالاة أو لم یؤدِّ الشکّ فی الجزء الأخیر إلی الشکّ فی بطلان مجموع العمل کالشک فی غسل الطرف الأیسر فی الغُسل فیما لو کانت</w:t>
      </w:r>
    </w:p>
    <w:p>
      <w:pPr>
        <w:pStyle w:val="BookText"/>
        <w:rPr/>
      </w:pPr>
      <w:r>
        <w:rPr>
          <w:rFonts w:ascii="IRNazanin" w:hAnsi="IRNazanin" w:eastAsia="IRNazanin"/>
          <w:color w:val="111111"/>
          <w:sz w:val="28"/>
          <w:sz w:val="28"/>
          <w:szCs w:val="28"/>
          <w:rtl w:val="true"/>
          <w:lang w:bidi="fa-IR"/>
        </w:rPr>
        <w:t>عادة المکلّف أن یغسل جمیع الأعضاء فی الغسل دفعة واحدة ممّا توجب هذه العادة صدقَ عنوان التجاوز عن العمل ولمّا کان القطع بإتیان معظم الأجزاء حاصلاً جرت قاعدة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یلاحظ علی نظریة المحقق النائینی هو أنّه ما الدلیل علی کفایة تحقق معظم الأجزاء فی جریان قاعدة الفراغ؟ بل الظاهر من أدلّة هذه القاعدة انصرافها إلی تمام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أورد المحقق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جریان قاعدة الفراغ الوارد فی کلام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ملاک جریان قاعدة الفراغ هو إحراز الفراغ وعنوان المضیّ من العمل ولا یحرز هذا العنوان مع الشکّ فی تحقق الجزء الأخیر، یتابع السید الخوئی کلامه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بأننا لا نعتبر عنوان الدخول فی الغیر فی جریان قاعدة الفراغ، والمعتبر هو إحراز المضیّ من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احتمل بعضهم أنّ المراد لیس المضیّ واقعاً وحقیقة، إذ لو اعتبرنا هذا العنوان لزم أن تکون هذه القاعدة لغواً وعبثاً ولا یکون لها أیّ مصداق إذ بمجرّد الشکّ فی صحّة العمل لا یکون عنوان المضی الواقعی قابلاً للإحراز، وعلیه فإنّ المراد بالمضیّ فی هذه القاعدة هو المضیّ بحسب الاعتقاد بمعنی أن یعتقد المصلّی بالفراغ من الصلاة حین اشتغاله بالتعقیب أو العمل المنافی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یری السید الحکیم</w:t>
      </w:r>
      <w:r>
        <w:rPr>
          <w:rStyle w:val="FootnoteAnchor"/>
          <w:rtl w:val="true"/>
        </w:rPr>
        <w:footnoteReference w:id="261"/>
      </w:r>
      <w:r>
        <w:rPr>
          <w:rFonts w:ascii="IRNazanin" w:hAnsi="IRNazanin" w:eastAsia="IRNazanin"/>
          <w:color w:val="111111"/>
          <w:sz w:val="28"/>
          <w:sz w:val="28"/>
          <w:szCs w:val="28"/>
          <w:rtl w:val="true"/>
          <w:lang w:bidi="fa-IR"/>
        </w:rPr>
        <w:t>بأنّ المضی الواقعی غیر مقصود فی المقام لأنّه بمعنی الفراغ من العمل الصحیح ومع هذا الوصف فلا معنی للشک أبداً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التحقیق أن المراد بالمضیّ هو مضیّ ذات العمل سواء علی نحو التام أو الناقص وسواء وقع صحیحاً أم فاسداً، وعلیه فإنّ المصلی یکون متیقّناً من الفراغ</w:t>
      </w:r>
      <w:bookmarkStart w:id="312" w:name="pg5466_52904"/>
    </w:p>
    <w:p>
      <w:pPr>
        <w:pStyle w:val="BookText"/>
        <w:rPr/>
      </w:pPr>
      <w:bookmarkEnd w:id="312"/>
      <w:r>
        <w:rPr>
          <w:rFonts w:ascii="IRNazanin" w:hAnsi="IRNazanin" w:eastAsia="IRNazanin"/>
          <w:color w:val="111111"/>
          <w:sz w:val="28"/>
          <w:sz w:val="28"/>
          <w:szCs w:val="28"/>
          <w:rtl w:val="true"/>
          <w:lang w:bidi="fa-IR"/>
        </w:rPr>
        <w:t>من ذات العمل فلا یمکن لنا أن نفسّر لفظ المضیّ بالمضیّ بحسب الاعتقاد</w:t>
      </w:r>
      <w:r>
        <w:rPr>
          <w:rFonts w:eastAsia="IRNazanin" w:cs="IRNazanin"/>
          <w:color w:val="111111"/>
          <w:sz w:val="28"/>
          <w:szCs w:val="28"/>
          <w:rtl w:val="true"/>
          <w:lang w:bidi="fa-IR"/>
        </w:rPr>
        <w:t>.</w:t>
      </w:r>
    </w:p>
    <w:p>
      <w:pPr>
        <w:pStyle w:val="Heading2"/>
        <w:numPr>
          <w:ilvl w:val="1"/>
          <w:numId w:val="1"/>
        </w:numPr>
        <w:rPr/>
      </w:pPr>
      <w:bookmarkStart w:id="313" w:name="__RefHeading___Toc2082486_581953129"/>
      <w:bookmarkStart w:id="314" w:name="_Toc121"/>
      <w:bookmarkEnd w:id="313"/>
      <w:r>
        <w:rPr>
          <w:rtl w:val="true"/>
        </w:rPr>
        <w:t>تحلیل نظریة صاحب منتقی الأصول</w:t>
      </w:r>
      <w:r>
        <w:rPr>
          <w:rtl w:val="true"/>
        </w:rPr>
        <w:t>:</w:t>
      </w:r>
      <w:bookmarkEnd w:id="314"/>
    </w:p>
    <w:p>
      <w:pPr>
        <w:pStyle w:val="Heading3"/>
        <w:numPr>
          <w:ilvl w:val="2"/>
          <w:numId w:val="1"/>
        </w:numPr>
        <w:rPr/>
      </w:pPr>
      <w:bookmarkStart w:id="315" w:name="__RefHeading___Toc2082488_581953129"/>
      <w:bookmarkStart w:id="316" w:name="_Toc122"/>
      <w:bookmarkEnd w:id="315"/>
      <w:r>
        <w:rPr>
          <w:rtl w:val="true"/>
        </w:rPr>
        <w:t>اشارة</w:t>
      </w:r>
      <w:bookmarkEnd w:id="316"/>
    </w:p>
    <w:p>
      <w:pPr>
        <w:pStyle w:val="BookText"/>
        <w:rPr/>
      </w:pPr>
      <w:r>
        <w:rPr>
          <w:rFonts w:ascii="IRNazanin" w:hAnsi="IRNazanin" w:eastAsia="IRNazanin"/>
          <w:color w:val="111111"/>
          <w:sz w:val="28"/>
          <w:sz w:val="28"/>
          <w:szCs w:val="28"/>
          <w:rtl w:val="true"/>
          <w:lang w:bidi="fa-IR"/>
        </w:rPr>
        <w:t>سلک بعض المحققین</w:t>
      </w:r>
      <w:r>
        <w:rPr>
          <w:rStyle w:val="FootnoteAnchor"/>
          <w:rtl w:val="true"/>
        </w:rPr>
        <w:footnoteReference w:id="262"/>
      </w:r>
      <w:r>
        <w:rPr>
          <w:rFonts w:ascii="IRNazanin" w:hAnsi="IRNazanin" w:eastAsia="IRNazanin"/>
          <w:color w:val="111111"/>
          <w:sz w:val="28"/>
          <w:sz w:val="28"/>
          <w:szCs w:val="28"/>
          <w:rtl w:val="true"/>
          <w:lang w:bidi="fa-IR"/>
        </w:rPr>
        <w:t>فی جریان القاعدة مسلکاً آخر یتوقف علی ثلاثة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المراد من الفراغ من الصلاة هو الاشتغال بغیرها لا إتمامها والانتهاء منها إذ هما مدلولان التزامیان للفراغ ولا یدلاّن علیه بالمطابقة کما أنّ التعبیر بالفراغ لم یرد إلاّ فی روایة زرارة المفصّلة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فی تفسیر الفراغ بأنْ لیس المراد من الفراغ إتمام العمل وأنهاءَه إذ أولاً هذا العنوان مدلول التزامی للفراغ ولیس مدلولاً مطابقیاً لأنّ الفراغ بمعنی الخلوّ یرادف إنهاء العمل وإتمامه، فی مقابل أثناء العمل وبینه، وعلیه فإنّ الفراغ إنّما یصدق علی الإتمام من جهة استلزامه للخلوّ وعدم الاشتغال بمعنی أنّ بعد إتمام العمل یکون المکلّف خالیاً من الاشتغال بالعمل</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 فإنّ عنوان الفراغ إنّما ورد فی روایة زرارة التی فرّقت بین الشکّ فی أثناء الوضوء والشک بعد الوضوء، ومن الواضح أنّ المقصود من الفراغ فی هذه الروایة هو الاشتغال بغیر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ویتابع المحقق المذکور کلامه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أغمضنا النظر عن هذا المطلب وفسرّنا الفراغ بمعنی الإتمام والإنهاء إلاّ أنّ الإتمام حسبما نراه إنّما یتحقّق بإتیان معظم الأجزاء لأنّ المراد من الفراغ عن العمل هو الفراغ من العمل الصحیح أو الفاسد، ومن هنا صحّ کلّام المحقق النائینی حیث فسّر العمل بمعظم الأجزاء، ذلک لأنّ عنوان الإتمام والانتهاء عامّ یشمل ما لو تحقق معظم الأجزاء، وعلیه فلو دخل المصلّی فی قاطع الصلاة ثمّ</w:t>
      </w:r>
      <w:bookmarkStart w:id="317" w:name="pg5466_52905"/>
    </w:p>
    <w:p>
      <w:pPr>
        <w:pStyle w:val="BookText"/>
        <w:rPr/>
      </w:pPr>
      <w:bookmarkEnd w:id="317"/>
      <w:r>
        <w:rPr>
          <w:rFonts w:ascii="IRNazanin" w:hAnsi="IRNazanin" w:eastAsia="IRNazanin"/>
          <w:color w:val="111111"/>
          <w:sz w:val="28"/>
          <w:sz w:val="28"/>
          <w:szCs w:val="28"/>
          <w:rtl w:val="true"/>
          <w:lang w:bidi="fa-IR"/>
        </w:rPr>
        <w:t>شک فی صحتها جرت قاعدة الفراغ فیما لو أتی بمعظم الأجزاء ولیس هذا إلاّ لأجل أنّ الإتمام بالمعنی الأعم من الصحیح والفاسد یصدق مع تحقق معظم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 أنّ ما ذکره السید الخوئی فی تفسیر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علیه فإنّ المحقق الخوئی فسرّ المضی من العمل بالفوت وعدم التدارک مع أنّ المضی معناه تحقق الفعل فی الزمان السابق ولذا لو دخل المکلّف فی الفعل المنافی بعد إتیان معظم الأجزاء لا یُفرّق بین أن یکون المنافی عمداً أم سهواً لصدق المعنیّ حین الانشغال بالعمل المنافی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 أنّه لو سلّمنا بأنّ الفراغ من العمل هو الاشتغال بغیره استنتجنا بأنّ المراد من الفراغ هو الفراغ البنائی لا الفراغ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المعنی للفراغ أی الاشتغال بالغیر لا یمکن أن یتحقّق إلاّ إذا بنی المکلّف علی تمامیة العمل، وبتعبیر أوضح فإنّ الفراغ الحقیقی بالمعنی المذکور آنفاً لا یتحقق إلاّ مع البناء علی تمامیة العمل فطالما یکون المکلّف منشغلاً بالعمل نفسه وینوی ذلک فهو مشغول بذلک ولم یحصل له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البیان یتّضح لنا أنّ لفظ الفراغ قد استعمل فی الفراغ الحقیقی ولیس هذا الاستعمال مجازیاً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والمهم هنا البحث أنّ الفراغ الحقیقی إنّما یتحقق بالفراغ البنائی</w:t>
      </w:r>
      <w:r>
        <w:rPr>
          <w:rFonts w:eastAsia="IRNazanin" w:cs="IRNazanin"/>
          <w:color w:val="111111"/>
          <w:sz w:val="28"/>
          <w:szCs w:val="28"/>
          <w:rtl w:val="true"/>
          <w:lang w:bidi="fa-IR"/>
        </w:rPr>
        <w:t>.</w:t>
      </w:r>
    </w:p>
    <w:p>
      <w:pPr>
        <w:pStyle w:val="Heading3"/>
        <w:numPr>
          <w:ilvl w:val="2"/>
          <w:numId w:val="1"/>
        </w:numPr>
        <w:rPr/>
      </w:pPr>
      <w:bookmarkStart w:id="318" w:name="__RefHeading___Toc2082490_581953129"/>
      <w:bookmarkStart w:id="319" w:name="_Toc123"/>
      <w:bookmarkEnd w:id="318"/>
      <w:r>
        <w:rPr>
          <w:rtl w:val="true"/>
        </w:rPr>
        <w:t>الإشکالات الواردة علی رأی صاحب منتقی الأصول</w:t>
      </w:r>
      <w:r>
        <w:rPr>
          <w:rtl w:val="true"/>
        </w:rPr>
        <w:t>:</w:t>
      </w:r>
      <w:bookmarkEnd w:id="319"/>
    </w:p>
    <w:p>
      <w:pPr>
        <w:pStyle w:val="BookText"/>
        <w:rPr/>
      </w:pPr>
      <w:r>
        <w:rPr>
          <w:rFonts w:ascii="IRNazanin" w:hAnsi="IRNazanin" w:eastAsia="IRNazanin"/>
          <w:color w:val="111111"/>
          <w:sz w:val="28"/>
          <w:sz w:val="28"/>
          <w:szCs w:val="28"/>
          <w:rtl w:val="true"/>
          <w:lang w:bidi="fa-IR"/>
        </w:rPr>
        <w:t>والظاهر أنّ هناک عدّة ملاحظات علی کلام صاحب منتقی الأصول</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تتعلّق بالأمر الأوّل من الأمور الثلاثة المذکورة فی کلماته وهی أنّ</w:t>
      </w:r>
    </w:p>
    <w:p>
      <w:pPr>
        <w:pStyle w:val="BookText"/>
        <w:rPr/>
      </w:pPr>
      <w:r>
        <w:rPr>
          <w:rFonts w:ascii="IRNazanin" w:hAnsi="IRNazanin" w:eastAsia="IRNazanin"/>
          <w:color w:val="111111"/>
          <w:sz w:val="28"/>
          <w:sz w:val="28"/>
          <w:szCs w:val="28"/>
          <w:rtl w:val="true"/>
          <w:lang w:bidi="fa-IR"/>
        </w:rPr>
        <w:t>الاشتغال بغیر العمل لا علاقة له فی معنی الفراغ، وهناک موارد کثیرة یحصل فیها الفراغ من العمل من غیر أن ینشغل المکلّف بعمل آخر، فمثلاً من جاء بتسلیم الصلاة ثمّ شکّ مباشرة فی صحة الرکوع أو السجود فإنّ قاعدة الفراغ جاریة فی حقّه من دون أی محذور مع أنّ المکلّف لم یشتغل بالغیر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المتبادر عرفاً من الفراغ المذکور فی الروایات هو تمامیة العمل ولا بد من حمل لفظ الفراغ علی هذا المعنی وإن کان هذا المعنی مدلولاً التزامیاً للمعنی الأوّلی اللّغوی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فی جریان قاعدة الفراغ هو أنّ المصلّی لا بدّ له من أن یعتبر عمله تاماً بحیث یفرغ من ذات العمل، وعلیه فلو شک فی صحة بعض الأجزاء جرت فی حقه قاعدة الفراغ وإنْ لم یقطع بإتیان معظم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أخری فلو شکّ فی التشهّد وهو فی الرکعة الأخیرة من الصلاة وقد أتی بمعظم الأجزاء لم یمکنه إجراء قاعدة الفراغ، وعلیه فإنّ ما التزم به تبعاً للمحقق النائینی من کفایة تحقق معظم الأجزاء فی جریان قاعدة الفراغ، أمر مردود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قاله من أنّ تعبیر الفراغ إنمّا ورد فی روایة زرارة فقط من بین جمیع الروایات ولابدّ من أنّ یراد بالفراغ فی هذه الروایة الاشتغال بالغیر محلّ تعجب منه إذ ورد لفظ الفراغ فی عدة روایات أخری کصحیحة محمد بن مسلم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ما شککت فیه بعدما تفرغ من صلاتک فامض ولا تعد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فی تسلیم الصلاة مع عدم انشغاله بالمبطل ومن جهة ثانیة لم یصدر منه سکوت طویل یؤدّی إلی فوات الموالاة فإنّ مقتضی قاعدتی</w:t>
      </w:r>
      <w:bookmarkStart w:id="320" w:name="pg5466_52907"/>
    </w:p>
    <w:p>
      <w:pPr>
        <w:pStyle w:val="BookText"/>
        <w:rPr/>
      </w:pPr>
      <w:bookmarkEnd w:id="320"/>
      <w:r>
        <w:rPr>
          <w:rFonts w:ascii="IRNazanin" w:hAnsi="IRNazanin" w:eastAsia="IRNazanin"/>
          <w:color w:val="111111"/>
          <w:sz w:val="28"/>
          <w:sz w:val="28"/>
          <w:szCs w:val="28"/>
          <w:rtl w:val="true"/>
          <w:lang w:bidi="fa-IR"/>
        </w:rPr>
        <w:t>الاشتغال والاستصحاب الإتیان بالتسلیم، ومن الواضح هنا عدم جریان قاعدة التجاوز لعدم تحقق موضوعها وهو الدخول فی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إلی جریان قاعدة الفراغ أو عدم جریانها فقد احتمل بعضهم جریانها لأنّ هذا الشکّ إنمّا یرجع إلی أنّ المصلی هل یجوز له الاکتفاء بصلاة شکّ فی تسلیمها أو لا؟ فإنّ مقتضی قاعدة الفراغ الاکتفاء بصلاة کهذه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الکلام لیس بتام، لأنّ هذه النتیجة لقاعدة الفراغ إنّما هی فیما لو کان أصل جریان القاعدة أمراً مسلّماً مع احتمال عدم جریانها أمر وارد فی المقام لأنّ المصلّی لو لم یأت بالسّلام فإنّه لا یزال فی أثناء العمل ولا تجری هذه القاعدة فی أثناء العمل، وقد ذکرنا فیما سبق من الأبحاث بأنّ المعتبر فی جریان هذه القاعدة فراغ المکلّف من العمل ولا بد من تحقّق الفراغ العملی مع أنّ هذا العنوان لم یُحرزْ فی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یشکّ المکلّف فی تسلیم الصلاة ولم یفعل بعدُ ما یبطل الصلاة بل انشغل بما لا یبطلها کما لو بدأ بقراءة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 هذه الصورة یظهر من حکم الصورة الثالثة</w:t>
      </w:r>
      <w:r>
        <w:rPr>
          <w:rFonts w:eastAsia="IRNazanin" w:cs="IRNazanin"/>
          <w:color w:val="111111"/>
          <w:sz w:val="28"/>
          <w:szCs w:val="28"/>
          <w:rtl w:val="true"/>
          <w:lang w:bidi="fa-IR"/>
        </w:rPr>
        <w:t>.</w:t>
      </w:r>
    </w:p>
    <w:p>
      <w:pPr>
        <w:pStyle w:val="Heading2"/>
        <w:numPr>
          <w:ilvl w:val="1"/>
          <w:numId w:val="1"/>
        </w:numPr>
        <w:rPr/>
      </w:pPr>
      <w:bookmarkStart w:id="321" w:name="__RefHeading___Toc2082492_581953129"/>
      <w:bookmarkStart w:id="322" w:name="_Toc124"/>
      <w:bookmarkEnd w:id="321"/>
      <w:r>
        <w:rPr>
          <w:rtl w:val="true"/>
        </w:rPr>
        <w:t>جریان قاعدة الفراغ والتجاوز عند الشکّ فی صحّة الأجزاء</w:t>
      </w:r>
      <w:r>
        <w:rPr>
          <w:rtl w:val="true"/>
        </w:rPr>
        <w:t>:</w:t>
      </w:r>
      <w:bookmarkEnd w:id="322"/>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ظهر لنا حکم جریان قاعدة التجاوز عند الشکّ فی أصل وجود الجزء کالشک فی أصل وجود الرکوع بعد الدخول فی السجود أو الشکّ فی أصل وجود القراءة بعد الدخول فی الرکوع ولا إشکال فی ذلک وإنّما النزاع والإشکال فی جریان هذه القاعدة فیما لو شک فی صحّة الجزء بسبب احتمال الخلل فی شروط ذلک الجزء کما لو شک المکلّف أثناء السجود فی أنّه هل کان رکوعه المأتی به صحیحاً أو کان فاسداً بسبب عدم شموله علی الطمأنینة فهل</w:t>
      </w:r>
    </w:p>
    <w:p>
      <w:pPr>
        <w:pStyle w:val="BookText"/>
        <w:rPr/>
      </w:pPr>
      <w:r>
        <w:rPr>
          <w:rFonts w:ascii="IRNazanin" w:hAnsi="IRNazanin" w:eastAsia="IRNazanin"/>
          <w:color w:val="111111"/>
          <w:sz w:val="28"/>
          <w:sz w:val="28"/>
          <w:szCs w:val="28"/>
          <w:rtl w:val="true"/>
          <w:lang w:bidi="fa-IR"/>
        </w:rPr>
        <w:t>یمکن الحکم بالصحّة فی هذه الموارد تمسکاً بقاعدة التجاوز؟</w:t>
      </w:r>
    </w:p>
    <w:p>
      <w:pPr>
        <w:pStyle w:val="BookText"/>
        <w:rPr/>
      </w:pPr>
      <w:r>
        <w:rPr>
          <w:rFonts w:ascii="IRNazanin" w:hAnsi="IRNazanin" w:eastAsia="IRNazanin"/>
          <w:color w:val="111111"/>
          <w:sz w:val="28"/>
          <w:sz w:val="28"/>
          <w:szCs w:val="28"/>
          <w:rtl w:val="true"/>
          <w:lang w:bidi="fa-IR"/>
        </w:rPr>
        <w:t>نجیب عن هذا التساؤل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بأنّنا لو جعلنا قاعدتی الفراغ والتجاوز قاعدة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ذهب إلی ذلک المحقق البجنوردی والإمام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التزمنا بعدم التفریق بین الشکّ فی صحّة الکلّ والشک فی صحّة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المستفاد من الروایات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شککت فیه مما 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الحکم الکلّی والقاعدة العامّة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الاعتناء بالشکّ بعد المضیّ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الحکم الکلّی یشمل الأجزاء کما یشمل کلّ العمل أی سواء کان الشکّ بعد الفراغ من العمل أم بعد التجاوز من محل الشیء، وسواء کان الشکّ فی أصل وجود ذلک الجزء أم کان الشکّ فی صحة الجزء المأتی به فإنّ هذه الموارد کلّها مشمولة للحکم الکلّی المستفاد من قاعدة الفراغ والتجاوز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لم نعتبرهما قاعدة واحدة کما ارتأینا ذلک وقلنا بأنّ قاعدة الفراغ متعلّقة بکلّ العمل وبما بعد العمل، بینما تختصّ قاعدة التجاوز بالشک فی الأجزاء وبأثناء العمل فمن المشکل إجراء قاعدة التجاوز عند الشکّ فی صحّة الجزء لأنّ أخبار قاعدة التجاوز ظاهرة فی الشکّ فی أصل وجود الجزء لا فی صحّته بعد الفراغ من أصل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الأخبار وإن کان لها ظهور بدوی فی الشکّ فی أصل وجود الجزء إلاّ أنّنا نحکم من خلال تنقیح المناط بعدم التفریق بین الشکّ فی أصل وجود الجزء والشک فی صحّته، بل ربّما یدّعی الأولویّة هنا، لأنّ الشکّ فی أصل الوجود إذا کان داخلاً فی القاعدة فإنّ الشکّ فی صحة الجزء بعد الفراغ من وجوده یکون داخلاً فی القاعدة بطریق أولی</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وقد شکّک بعض الأعاظم فی هذا الدلیل من جهة أنّ هذه الأولویّة لو</w:t>
      </w:r>
    </w:p>
    <w:p>
      <w:pPr>
        <w:pStyle w:val="BookText"/>
        <w:rPr/>
      </w:pPr>
      <w:r>
        <w:rPr>
          <w:rFonts w:ascii="IRNazanin" w:hAnsi="IRNazanin" w:eastAsia="IRNazanin"/>
          <w:color w:val="111111"/>
          <w:sz w:val="28"/>
          <w:sz w:val="28"/>
          <w:szCs w:val="28"/>
          <w:rtl w:val="true"/>
          <w:lang w:bidi="fa-IR"/>
        </w:rPr>
        <w:t>کانت أولویة قطعیة لأمکن قبولها لکن لمّا کانت قاعدة التجاوز أمراً تعبّدیاً شرعیاً ولا یمکن تحصیل القطع بالملاک فی الأمور التعبّدیة فإن الأولویّة المذکورة لا تکون قطعیة ولا یصحّ التمسّک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جریان قاعدة الفراغ فی هذا البحث ففیه رأیان فقد ذهب بعض الأعاظم إلی عدم جریان قاعدة الفراغ فی هذا الفرع لأنّها مختصّة بما إذا شک المکلّف فی صحّة مجموع العمل بعد الفراغ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تمسّک بعض آخر من الأعاظم کالمحقق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وبعض تلامذته بإطلاق موثّقة ابن بکیر فی هذا الفرض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لجملة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 شککت فیه ممّا 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إطلاقاً یشمل الجزء کما یشمل کلّ العمل ومن هنا فإنّهم صرّحوا بأنّ قاعدة الفراغ کما تجری عند الشک فی صحّة کلّ العمل کذلک تجری عند الشک فی صحّة الجزء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هذا الاستدلال غیر تام أولاً لأنّا قد ذکرنا مراراً بأنّ لفظة من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بیانیة ولیست تبعیضیة والفاعل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کلّ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لا إطلاق لهذه الروایة وعلیه فلا تجری قاعدة الفراغ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إطلاق هذه الروایة إلاّ أنّ هناک تعبیرات فی الروایات الأخری فی هذا الباب تکون مقیّدة لإطلاق هذه الروایة مثل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ما تفرغ من صلاتک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ما ینصرف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ما 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إنّ التعبیر بالأذکریة المذکور فی روایات الفراغ له ظهور فیما بعد العمل</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قاعدة الفراغ تکون مختصّة بما بعد العمل ولا تجری فی الشک فی صحّة الأجزاء أثناء العمل</w:t>
      </w:r>
      <w:r>
        <w:rPr>
          <w:rFonts w:eastAsia="IRNazanin" w:cs="IRNazanin"/>
          <w:color w:val="111111"/>
          <w:sz w:val="28"/>
          <w:szCs w:val="28"/>
          <w:rtl w:val="true"/>
          <w:lang w:bidi="fa-IR"/>
        </w:rPr>
        <w:t>.</w:t>
      </w:r>
      <w:bookmarkStart w:id="323" w:name="pg5466_52910"/>
    </w:p>
    <w:p>
      <w:pPr>
        <w:pStyle w:val="BookText"/>
        <w:rPr/>
      </w:pPr>
      <w:bookmarkEnd w:id="323"/>
      <w:r>
        <w:rPr>
          <w:rFonts w:ascii="IRNazanin" w:hAnsi="IRNazanin" w:eastAsia="IRNazanin"/>
          <w:color w:val="111111"/>
          <w:sz w:val="28"/>
          <w:sz w:val="28"/>
          <w:szCs w:val="28"/>
          <w:rtl w:val="true"/>
          <w:lang w:bidi="fa-IR"/>
        </w:rPr>
        <w:t>الرأی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ما استفدناه من روایات قاعدة الفراغ والتجاوز من الفرق بین القاعدتین حیث إنّ قاعدة الفراغ مختصّة بالشک فیما بعد العمل وقاعدة التجاوز بالشک فی أثناء العمل وأنکرنا نظریة المشهور فی الفرق بین القاعدتین من جهة أنّ مورد قاعدة التجاوز هو الشک فی أصل الوجود ومورد قاعدة الفراغ هو الشک فی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نستنتج أنّ قاعدة التجاوز تجری فی الشک أثناء العمل مطلقاً سواءً کان الشک فی وجود الشیء أم فی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داعی حینئذٍ إلی تنقیح المناط والأولویة فی البحث</w:t>
      </w:r>
      <w:r>
        <w:rPr>
          <w:rFonts w:eastAsia="IRNazanin" w:cs="IRNazanin"/>
          <w:color w:val="111111"/>
          <w:sz w:val="28"/>
          <w:szCs w:val="28"/>
          <w:rtl w:val="true"/>
          <w:lang w:bidi="fa-IR"/>
        </w:rPr>
        <w:t>.</w:t>
      </w:r>
    </w:p>
    <w:p>
      <w:pPr>
        <w:pStyle w:val="Heading2"/>
        <w:numPr>
          <w:ilvl w:val="1"/>
          <w:numId w:val="1"/>
        </w:numPr>
        <w:rPr/>
      </w:pPr>
      <w:bookmarkStart w:id="324" w:name="__RefHeading___Toc2082494_581953129"/>
      <w:bookmarkStart w:id="325" w:name="_Toc125"/>
      <w:bookmarkEnd w:id="324"/>
      <w:r>
        <w:rPr>
          <w:rtl w:val="true"/>
        </w:rPr>
        <w:t>ما المراد من المحلّ فی قاعدة التجاوز؟</w:t>
      </w:r>
      <w:bookmarkEnd w:id="325"/>
    </w:p>
    <w:p>
      <w:pPr>
        <w:pStyle w:val="BookText"/>
        <w:rPr/>
      </w:pPr>
      <w:r>
        <w:rPr>
          <w:rFonts w:ascii="IRNazanin" w:hAnsi="IRNazanin" w:eastAsia="IRNazanin"/>
          <w:color w:val="111111"/>
          <w:sz w:val="28"/>
          <w:sz w:val="28"/>
          <w:szCs w:val="28"/>
          <w:rtl w:val="true"/>
          <w:lang w:bidi="fa-IR"/>
        </w:rPr>
        <w:t>لابدّ من قاعدة التجاوز من التجاوز عن المحلّ والسؤال هنا هو إنّه ما معنی التجاوز عن المحل؟ وما معنی المحلّ؟</w:t>
      </w:r>
    </w:p>
    <w:p>
      <w:pPr>
        <w:pStyle w:val="BookText"/>
        <w:rPr/>
      </w:pPr>
      <w:r>
        <w:rPr>
          <w:rFonts w:ascii="IRNazanin" w:hAnsi="IRNazanin" w:eastAsia="IRNazanin"/>
          <w:color w:val="111111"/>
          <w:sz w:val="28"/>
          <w:sz w:val="28"/>
          <w:szCs w:val="28"/>
          <w:rtl w:val="true"/>
          <w:lang w:bidi="fa-IR"/>
        </w:rPr>
        <w:t>ذُکِرَ فی الجواب عن هذا السؤال ثلاثة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بالمحل هو المحل الشرعی المقرر الذی حدّده وعیّنه الشارع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هو المحلّ العقلی فإنّ العقل یجعل للأشیاء والأشیاء محلاً معیناً عن طریق الملاکات المختلفة فعلی سبیل المثال إن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الوضع اللغوی لهذه الهیئة الترکیبیة یکون لفظ الجلالة مقدّماً فیها علی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بالمحلّ العقلی هو المحلّ الذی لم یتعیّن من قبل الشارع بل تعیّن وفقاً لضابطة أخری کالقانون الوضعی</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بالمحلّ هو المحلّ العادی وهو ما تحقّق بحسب العادة سواء کانت عادةً شخصیة أم نوعیة، فمثلاً من کانت عادته التوضؤ</w:t>
      </w:r>
    </w:p>
    <w:p>
      <w:pPr>
        <w:pStyle w:val="BookText"/>
        <w:rPr/>
      </w:pPr>
      <w:r>
        <w:rPr>
          <w:rFonts w:ascii="IRNazanin" w:hAnsi="IRNazanin" w:eastAsia="IRNazanin"/>
          <w:color w:val="111111"/>
          <w:sz w:val="28"/>
          <w:sz w:val="28"/>
          <w:szCs w:val="28"/>
          <w:rtl w:val="true"/>
          <w:lang w:bidi="fa-IR"/>
        </w:rPr>
        <w:t>بعد کلّ حدثٍ أصغر، فلو صدر منه الحدث الأصغر ومضی علیه نصف ساعةٍ مثلاً فهل تجری فی حقّه قاعدة التجاوز؟ وبالنسبة إلی هذه الاحتمالات وجریان قاعدة التجاوز فیها لابدّ من القول بأنّ قاعدة التجاوز جاریة من غیر شکّ وتردید فیما تجاوز محلّه الشرعی فإنّ محل الرکوع فی الصلاة قبل السجود، فلو شکّ المصلّی حال السجود فی إتیان الرکوع جرت فی حقّه قاعدة التجاوز لمضیّ محلّ 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الکلّام فی الاحتمالین الثانی والثالث فهل تجری قاعدة التجاوز مع تجاوز المحلّ العقلی أو العادی أولا؟</w:t>
      </w:r>
    </w:p>
    <w:p>
      <w:pPr>
        <w:pStyle w:val="BookText"/>
        <w:rPr/>
      </w:pPr>
      <w:r>
        <w:rPr>
          <w:rFonts w:ascii="IRNazanin" w:hAnsi="IRNazanin" w:eastAsia="IRNazanin"/>
          <w:color w:val="111111"/>
          <w:sz w:val="28"/>
          <w:sz w:val="28"/>
          <w:szCs w:val="28"/>
          <w:rtl w:val="true"/>
          <w:lang w:bidi="fa-IR"/>
        </w:rPr>
        <w:t xml:space="preserve">فقد بیّنا بالنسبة إلی المحل العقلی بأنّ العقل بنفسه لا یعیّن محلّ الأشیاء والأجزاء بوجه من الوجوه بل یحکم بوجوب مراعاة القانون والضابط الموجود فی المقام، وبالتالی یرجع المحلّ العقلی إلی المحلّ الشرعی فإنّ القانون فی المقام قد یکون هو الشرع کما لو عیّن الشارع محلّ الرکوع فی الصلاة، وقد یکون هو الوضع کما لو حکم الوضع بتقدیم لفظ الجلالة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ذلک هو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المحل العادی فقد مثّلنا له بمن کانت عادته التوضؤ بعد الحدث الأصغر فإنّ محلّ الوضوء العادی یکون بعد الحدث الأصغر فلو شک هذا الشخص بعد مضی نصف ساعة علی الحدث الأصغر فی أنّه هل توضأ أو لا فهل تجری فی حقه قاعدة التجاوز من جهة تجاوز محلّ الوضوء العادی عنده؟</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أظهر الشیخ الأنصاری</w:t>
      </w:r>
      <w:r>
        <w:rPr>
          <w:rStyle w:val="FootnoteAnchor"/>
          <w:rtl w:val="true"/>
        </w:rPr>
        <w:footnoteReference w:id="264"/>
      </w:r>
      <w:r>
        <w:rPr>
          <w:rFonts w:ascii="IRNazanin" w:hAnsi="IRNazanin" w:eastAsia="IRNazanin"/>
          <w:color w:val="111111"/>
          <w:sz w:val="28"/>
          <w:sz w:val="28"/>
          <w:szCs w:val="28"/>
          <w:rtl w:val="true"/>
          <w:lang w:bidi="fa-IR"/>
        </w:rPr>
        <w:t>تأملّه فی ذلک وذکر أدلّة علی جریان قاعدة التجاوز وأخری علی عدم جریأنّها فی هذا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ذکر دلیلین علی جریان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الإطلاق حیث إنّ إطلاق روایات الباب یشمل التجاوز عن المحلّ العادی أیضاً فإنّ المراد بالشیء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جاوزت عن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مطلق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التعلیل الوارد فی روایة زرارة الصحیحة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یری الشیخ أنّ هذا التعلیل یدلّ علی أنّ الظاهر هو المقدّم فیما لو دار الأمر بین الظاهر والأصل، فمثلاً من توضأ ثمّ شکّ بعد الانتهاء من الوضوء فی أنّه هل مسح رأسه أولا؟ فإنّ الأصل عدم إتیان المسح فلابدّ له من الإتیان بالمسح ثانیة لکنّ ظاهر حال المکلّف فی مقام امتثال أمر المولی یشهد بأنّ المکلّف قد جاء بجمیع الأجزاء والشرائط، وبعبارة أخری فإن الظاهر علی إتیان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التعلیل یدلّ علی أنّ الظاهر مقدّم علی الأصل فیما لو تعارضا حتی لو کان منشأ هذا الظهور عادة المکلّف</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هذان الدلیلان ذکرهما الشیخ علی جریان قاعدة التجاوز فی التجاوز عن المحل العادی لکنه یذکر دلیلین آخرین علی عدم جریان القاعدة فی المقام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ذلک یستلزم إحداث فقه جدید حیث لم یُفتِ أحدٌ من الفقهاء بأنّ من کانت عادته أن یتوضأ بعد الحدث الأصغر وشک بعد مرور نصف ساعة علی الحدث فی أنّه هل توضأ بعد ذلک الحدث الأصغر أولا حُکِمَ</w:t>
      </w:r>
      <w:bookmarkStart w:id="326" w:name="pg5466_52913"/>
    </w:p>
    <w:p>
      <w:pPr>
        <w:pStyle w:val="BookText"/>
        <w:rPr/>
      </w:pPr>
      <w:bookmarkEnd w:id="326"/>
      <w:r>
        <w:rPr>
          <w:rFonts w:ascii="IRNazanin" w:hAnsi="IRNazanin" w:eastAsia="IRNazanin"/>
          <w:color w:val="111111"/>
          <w:sz w:val="28"/>
          <w:sz w:val="28"/>
          <w:szCs w:val="28"/>
          <w:rtl w:val="true"/>
          <w:lang w:bidi="fa-IR"/>
        </w:rPr>
        <w:t>علی أنه متطهرٌ وجاز له الدخول فی الصلاة</w:t>
      </w:r>
      <w:r>
        <w:rPr>
          <w:rStyle w:val="FootnoteAnchor"/>
          <w:rtl w:val="true"/>
        </w:rPr>
        <w:footnoteReference w:id="267"/>
      </w:r>
      <w:r>
        <w:rPr>
          <w:rFonts w:ascii="IRNazanin" w:hAnsi="IRNazanin" w:eastAsia="IRNazanin"/>
          <w:color w:val="111111"/>
          <w:sz w:val="28"/>
          <w:sz w:val="28"/>
          <w:szCs w:val="28"/>
          <w:rtl w:val="true"/>
          <w:lang w:bidi="fa-IR"/>
        </w:rPr>
        <w:t>، وعلیه فإنّ إجراء قاعدة التجاوز فی التجاوز عن المحل العادی مستلزم لتأسیس فقه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جریان القاعدة فی المقام یخالف الاطلاقات الکثیرة الدالة علی وجوب الإتیان بالوضوء کلّما شک المکلّف قبل الصلاة فی أنّه هل توضأ أولا سواء کانت عادة المکلّف أن یتوضأ بعد کلّ حدث أصغر أم لم تکن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فإن الشیخ الأنصاری رأی أنّ الأمر مشکل وأمر بالتأمل فهو متوقف عملیاً ولا بد حینئذٍ من الرجوع إلی أصل الاستصحاب</w:t>
      </w:r>
      <w:r>
        <w:rPr>
          <w:rFonts w:eastAsia="IRNazanin" w:cs="IRNazanin"/>
          <w:color w:val="111111"/>
          <w:sz w:val="28"/>
          <w:szCs w:val="28"/>
          <w:rtl w:val="true"/>
          <w:lang w:bidi="fa-IR"/>
        </w:rPr>
        <w:t>.</w:t>
      </w:r>
    </w:p>
    <w:p>
      <w:pPr>
        <w:pStyle w:val="Heading2"/>
        <w:numPr>
          <w:ilvl w:val="1"/>
          <w:numId w:val="1"/>
        </w:numPr>
        <w:rPr/>
      </w:pPr>
      <w:bookmarkStart w:id="327" w:name="__RefHeading___Toc2082496_581953129"/>
      <w:bookmarkStart w:id="328" w:name="_Toc126"/>
      <w:bookmarkEnd w:id="327"/>
      <w:r>
        <w:rPr>
          <w:rtl w:val="true"/>
        </w:rPr>
        <w:t>أدلة اختصاص القاعدة بالمحل الشرعی</w:t>
      </w:r>
      <w:r>
        <w:rPr>
          <w:rtl w:val="true"/>
        </w:rPr>
        <w:t>:</w:t>
      </w:r>
      <w:bookmarkEnd w:id="328"/>
    </w:p>
    <w:p>
      <w:pPr>
        <w:pStyle w:val="BookText"/>
        <w:rPr/>
      </w:pPr>
      <w:r>
        <w:rPr>
          <w:rFonts w:ascii="IRNazanin" w:hAnsi="IRNazanin" w:eastAsia="IRNazanin"/>
          <w:color w:val="111111"/>
          <w:sz w:val="28"/>
          <w:sz w:val="28"/>
          <w:szCs w:val="28"/>
          <w:rtl w:val="true"/>
          <w:lang w:bidi="fa-IR"/>
        </w:rPr>
        <w:t>وهناک أدلّة أخری یستفاد منها أنّ قاعدة التجاوز مختصّة بالتجاوز عن المحل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فی مسألة تعدّد القاعدتین أنّ المستند الوحید لقاعدة التجاوز هی الروایات، ومن هنا کانت هذه القاعدة أمراً تعبدیّاً شرعیاً، وبالرجوع إلی روایات قاعدة التجاوز یتّضح لنا أنّ المحلّ العادی لم یذکر فی أیة واحدةٍ من تلک الروایات، والمذکور فی جمیع الروایات هو التجاوز عن المحل الشرعی، وقد ذکرنا سابقاً أنّ کثرة الأمثلة توجب تحدید الضابطة</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مبنی المحقق النائینی القائل بحکومة روایات قاعدة التجاوز علی روایات قاعدة الفراغ وإلحاق الشک فی الجزء بالشک فی الکلّ فإنّ</w:t>
      </w:r>
      <w:bookmarkStart w:id="329" w:name="pg5466_52914"/>
    </w:p>
    <w:p>
      <w:pPr>
        <w:pStyle w:val="BookText"/>
        <w:rPr/>
      </w:pPr>
      <w:bookmarkEnd w:id="329"/>
      <w:r>
        <w:rPr>
          <w:rFonts w:ascii="IRNazanin" w:hAnsi="IRNazanin" w:eastAsia="IRNazanin"/>
          <w:color w:val="111111"/>
          <w:sz w:val="28"/>
          <w:sz w:val="28"/>
          <w:szCs w:val="28"/>
          <w:rtl w:val="true"/>
          <w:lang w:bidi="fa-IR"/>
        </w:rPr>
        <w:t>الحکومة لمّا کانت أمراً تعبّدیاً فلابدّ من الالتزام بدائرة التعبّد الدالة علی المحل الشرعی فقط وإن کنّا قد ناقشنا مبنی المحقق النائینی هذا فی المباحث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أشار 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المشرّع إذا عین محلاً لأفعال قد أوجبها هو ثمّ أعطانا قاعدة کلّیّة بأنّه کلّما تجاوز عن محل تلک الأفعال ثمّ شککتم فیها لم یجب الاعتناء بها فإنّ العرف والعقلاء إنّما یفهمون من هذا المحلّ ذلک الذی ذکره المشرّع نفسه لا المحل العادی بحسب عادة الشخص أو النوع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فإنّ القول بجریان قاعدة التجاوز فی التجاوز عن المحلّ العادی لإطلاق الأدلة مشکل وغیر قابل للقبول</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0" w:name="__RefHeading___Toc2082498_581953129"/>
      <w:bookmarkStart w:id="331" w:name="_Toc127"/>
      <w:bookmarkEnd w:id="330"/>
      <w:r>
        <w:rPr>
          <w:rtl w:val="true"/>
        </w:rPr>
        <w:t>ما المراد بالغیر فی قاعدة التجاوز؟</w:t>
      </w:r>
      <w:bookmarkEnd w:id="331"/>
    </w:p>
    <w:p>
      <w:pPr>
        <w:pStyle w:val="BookText"/>
        <w:rPr/>
      </w:pPr>
      <w:r>
        <w:rPr>
          <w:rFonts w:ascii="IRNazanin" w:hAnsi="IRNazanin" w:eastAsia="IRNazanin"/>
          <w:color w:val="111111"/>
          <w:sz w:val="28"/>
          <w:sz w:val="28"/>
          <w:szCs w:val="28"/>
          <w:rtl w:val="true"/>
          <w:lang w:bidi="fa-IR"/>
        </w:rPr>
        <w:t xml:space="preserve">مما وقع فیه الخلاف فی بحث قاعدة التجاوز هو أنّه ما المراد من الغیر الذی لابدّ من الدخول فیه فی قاعدة التجاوز؟ وهل التعبیر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توضیحی بمعنی أن التجاوز عن الشیء إنّما یتحقّق بالدخول فی الغیر ولولا الدخول فی الغیر لما حصل التجاوز</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أنّ التجاوز عن المحل عنوان مستقل سواء حصل الدخول فی الغیر أم لم یحصل؟</w:t>
      </w:r>
    </w:p>
    <w:p>
      <w:pPr>
        <w:pStyle w:val="BookText"/>
        <w:rPr/>
      </w:pPr>
      <w:r>
        <w:rPr>
          <w:rFonts w:ascii="IRNazanin" w:hAnsi="IRNazanin" w:eastAsia="IRNazanin"/>
          <w:color w:val="111111"/>
          <w:sz w:val="28"/>
          <w:sz w:val="28"/>
          <w:szCs w:val="28"/>
          <w:rtl w:val="true"/>
          <w:lang w:bidi="fa-IR"/>
        </w:rPr>
        <w:t>المستفاد من کلمات الشیخ الأعظم الأنصاری هو أنّ الدخول فی الغیر قد یکون محصّلاً للتجاوز، وقد یحصل التجاوز من غیر أن یحصل الدخول فی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وحتی یتّضح هذا البحث لابدّ من توضیح المراد من الغیر، فهل المراد به هو الغیر الذی یترتّب علی الجزء المشکوک شرعاً أو أنّ المراد به مطلق الغیر والجزء التالی وإن لم یترتب شرعاً علی الجزء المشکوک؟ فإنّ السجود فی الصلاة جزءٌ مترتّب شرعاً علی الرکوع مع أنّ العمل الواقع قبل السجود أی الهویّ إلیه جزء آخر غیر مترتّب شرعاً علی 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هل یراد بالغیر الأجزاء الأصلیة کالرکوع والسجود والقیام أو أنّه یشمل الأجزاء غیر الأصلیة أیضاً کالهویّ إلی السجود والنهوض للقیام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الشیخ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یری أنّ المراد به هو الأجزاء الأصلیة للعمل وهو ظاهر صحیحة إسماعیل بن جابر إذ یقول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صدر الروایة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إنّ شک فی الرکوع بعدما سجد فلیمض وإن شک فی السجود بعدما قام فلیمض</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العبارة مقدّمة للقاعدة الکلّیّة المذکورة فی ذیل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شکّ فیه مما قد جاوزه ودخل فی غیره فلیمض علیه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الشیخ الأعظم بأنّ صدر الروایة فی صدد تشخیص المصادیق بینما یبیّن ذیل الروایة قاعدتها الکلّیّة أی أنّ المراد من الدخول فی الغیر هو الدخول فی الأجزاء الأصلیة یعنی الغیر الذی رتّبه الشارع علی الجزء المشکوک کالرکوع والسجود والقیام لا أیّ جزء وإنْ لم یکن أصلیاً</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هذا فمن شک حال الهویّ إلی السجود فی أنّه هل رکع أو لا یجب علیه الاعتناء بشکه ولابد من الإتیان بالرکوع ولا تجری حینئذٍ قاعدة التجاوز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 هذا الرأی روایة أخری یسأل فیها الراوی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رجل رفع رأسه من السجود فشک قبل أن یستوی جالساً فلم یدر أسجد أم لم یسجد؟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یسجد،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فرجل نهض من سجود فشکّ قبل أن یستوی قائماً فلم یدر أسجد أم لم یسجد؟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الروایة صریحة فی أنّ الدخول فی الأجزاء غیر الأصلیة غیر 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المحقق الأصفهانی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المحقق الأصفهانی فی مقابل الشیخ الأنصاری بأنّ الموارد والأمثلة المذکورة فی صدر الروایة لیست لتحدید القاعدة الکلّیّة المذکورة فی ذیل الروایة بل ذُکرت من باب الأمثلة توطئةً لذکر القاعدة الکلّیة</w:t>
      </w:r>
      <w:r>
        <w:rPr>
          <w:rStyle w:val="FootnoteAnchor"/>
          <w:rtl w:val="true"/>
        </w:rPr>
        <w:footnoteReference w:id="272"/>
      </w:r>
      <w:r>
        <w:rPr>
          <w:rFonts w:ascii="IRNazanin" w:hAnsi="IRNazanin" w:eastAsia="IRNazanin"/>
          <w:color w:val="111111"/>
          <w:sz w:val="28"/>
          <w:sz w:val="28"/>
          <w:szCs w:val="28"/>
          <w:rtl w:val="true"/>
          <w:lang w:bidi="fa-IR"/>
        </w:rPr>
        <w:t>وعلیه فإنّه یری أنّ قاعدة التجاوز تجری فی الأجزاء غیر الأصلیة أیضاً، فلو شک المکلّف حال الهویّ إلی السجود فی أنّه هل رکع أولا یجب علیه الإتیان بالرکوع</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یقال ردّاً علی المحقق الأصفهانی بأنّه لو کان الأمر کما تقولون فلِمَ لم یمثّلْ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الروایة بالأجزاء غیر الأصلیة فلا أقلّ من ذکر مثال واحد علی ذلک؟ ألیس عدم ذکره دلیلاً علی عدم جریان القاعدة فی الأجزاء غیر الأصلیة؟</w:t>
      </w:r>
    </w:p>
    <w:p>
      <w:pPr>
        <w:pStyle w:val="BookText"/>
        <w:rPr/>
      </w:pPr>
      <w:r>
        <w:rPr>
          <w:rFonts w:ascii="IRNazanin" w:hAnsi="IRNazanin" w:eastAsia="IRNazanin"/>
          <w:color w:val="111111"/>
          <w:sz w:val="28"/>
          <w:sz w:val="28"/>
          <w:szCs w:val="28"/>
          <w:rtl w:val="true"/>
          <w:lang w:bidi="fa-IR"/>
        </w:rPr>
        <w:t>وقد التفت المحقق الأصفهانی إلی هذا الإشکال وأجاب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لم یذکر هذه الموارد فی صدر الروایة لندرة وجودها فإنّ الشک فی إتیان الرکوع وعدمه عادةً یقع حال السجود ولا یقع لمن هو فی حالة الهویّ إلی السجود وقبل وضع الجبهة علی ما یصحّ السجود لقرب عهده من الجزء المشکوک فهذا الشک الذی منشؤه الغفلة غالباً ما یقع فی السجود والجزء التالی للسجود</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فی مقام الإشکال علی الشیخ الأنصاری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قبول کلام الشیخ الأنصاری یوجب الاکتفاء بتلک الموارد والأمثلة المذکورة فی صدر الروایة من غیر إمکانیة التعدّی إلی موارد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بأنّ ذکر موردی الشک إنّما هو من باب التمثیل ولا اختصاص بهذین الموردین بل لو شککنا حالة القیام بأنّه هل کبّرنا أولا، لابدّ من عدم الاعتناء بهذا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ثانیة لو التزمنا بوجوب حمل الغیر علی التحدید وفکّکنا بالتالی بین موضوع الشک من جهة ومعنی الغیر من جهة أخری فإنّ هذا التفکیک لا دلیل علیه بل هو تحکّم محض</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ویقول أخیراً بأنّ هناک روایات تدلّ علی أنّ الدخول فی مقدمات الأفعال والأجزاء غیر الأصلیة کافٍ ویوافق القاعدة کروایة عبد الرحمن حیث یسأل</w:t>
      </w:r>
    </w:p>
    <w:p>
      <w:pPr>
        <w:pStyle w:val="BookText"/>
        <w:rPr/>
      </w:pP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اهوی إلی السجود فلم یدر أرکع أم لم یرکع؟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رکع</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فی روایة عبد الرحمن الأخری یسأل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رفع رأسه من السجود فشک قبل أن یستوی جالساً فلم یدر أسجد أم لم یسجد؟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یسجد</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یستفاد من هذه الروایة بأنّ المکلّف لو رفع رأسه من السجود وشکّ فی أنّه هل سجد أولا؟ وجب علیه أن یعود ویسجد، ولعلّه لهاتین الروایتین لعبد الرحمن فصّل صاحب المدارک بین الهویّ إلی السجود والنهوض إلی القیام وقال 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الاعتناء بشکّه والبناء علی أنّه قد أتی بالرکوع، وأمّا فی الثانی فقد حکم بوجوب الرجوع والإتیان بالسجود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الرأی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بین هاتین النظریتین یبدو لأوّل وهلة أنّ الحقّ مع الشیخ الأنصاری وأنّ قاعدة التجاوز لا تجری فی موارد الهویّ إلی السجود والنهوض للقیام والأجزاء غیر الأصلیة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وضّحنا ذلک فی الأبحاث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الأهمیة بمکان والذی ینفعنا فی موارد کثیرة هو أنّ المورد لا یقیّد وأنّه لو سألنا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حکم موردٍ ما وأجاب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بذکر قاعدة کلّیّة فإنّ مورد السؤال لا یمکن أن یقیّد القاعدة أمّا لو ذُکرت موارد ونماذج عدیدة لها جهة اشتراک واحدة قبل بیان القاعدة الکلّیّة من قبل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القاعدة الکلّیّة تتحدّد من قبل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بتلک المسائل المشترکة فما نحن فیه من هذا القبیل</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بالنسبة لما ذکره المحقّق الأصفهانی من لزوم التفکیک فنقول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الإشکال فیما لو علمنا من جهةٍ بأنّ لا خصوصیة لمثال الرکوع والسجود</w:t>
      </w:r>
    </w:p>
    <w:p>
      <w:pPr>
        <w:pStyle w:val="BookText"/>
        <w:rPr/>
      </w:pPr>
      <w:r>
        <w:rPr>
          <w:rFonts w:ascii="IRNazanin" w:hAnsi="IRNazanin" w:eastAsia="IRNazanin"/>
          <w:color w:val="111111"/>
          <w:sz w:val="28"/>
          <w:sz w:val="28"/>
          <w:szCs w:val="28"/>
          <w:rtl w:val="true"/>
          <w:lang w:bidi="fa-IR"/>
        </w:rPr>
        <w:t>وحکمنا بسبب علمنا هذا بأنّ القاعدة المذکور فی الذیل لیست مختصّة بالرکوع والسجود، ومن جهة ثانیة نری أنّ هذه الأمثلة مشترکة فی محور خاص وبینها قدر جامع مشترک والعرف یفهم منها تقیید الکبری الکلّیّة وعلیه فلا بد من ارتکاب هذا التفکیک ولا تحکّم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رأی الشیخ الأعظم الأنصاری قابل للقبول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یدّعی أحدهم فی مقام الإشکال بأنّ هناک تعارضاً بین روایة عبد الرحمن فی الهویّ إلی السجود وبین روایة إسماعیل بن 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یجاب بأنّ فی روایة إسماعیل بن جابر إنّما یجب الإتیان بالسجود، لأن الشکّ قد وقع قبل الاستواء والقیام ولم یحصل الغیر بعدُ عرفاً، أمّا الهویّ للسجود فهو من المقدّمات القریبة للسجود عرفاً فلم یحصل الدخول فی غیره، وعلیه فلا تعارض بین هاتین الروایتین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یری المحقق النائینی بأنّ الهویّ إلی السجود له مراتب إذ من أوّل الانحناء وحالة التقوّس إلی وضع الجبهة علی ما یصحّ السجود کلّها من مصادیق الهویّ للسجود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حمل عنوان الهویّ فی روایة عبد الرحمن علی المرتبة الأخیرة القریبة إلی فعلیة السجود وعلیه یرتفع التنافی والتعارض</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 حصر الهویّ فی المرتبة الأخیرة منه غیر صحیح کما أنّ التفریق بین المرتبة الأولی والأخیرة غیر دقیق عرفاً بل لابد من القول بأنّ ابتداء الهویّ أیضاً له عنوان مقدمیّة السجود وأنّ الأخذ بالاستواء والقیام لا یعتبر مقدمةً للرکوع</w:t>
      </w:r>
      <w:r>
        <w:rPr>
          <w:rFonts w:eastAsia="IRNazanin" w:cs="IRNazanin"/>
          <w:color w:val="111111"/>
          <w:sz w:val="28"/>
          <w:szCs w:val="28"/>
          <w:rtl w:val="true"/>
          <w:lang w:bidi="fa-IR"/>
        </w:rPr>
        <w:t>.</w:t>
      </w:r>
      <w:bookmarkStart w:id="332" w:name="pg5466_52920"/>
    </w:p>
    <w:p>
      <w:pPr>
        <w:pStyle w:val="BookText"/>
        <w:rPr/>
      </w:pPr>
      <w:bookmarkEnd w:id="332"/>
      <w:r>
        <w:rPr>
          <w:rFonts w:ascii="IRNazanin" w:hAnsi="IRNazanin" w:eastAsia="IRNazanin"/>
          <w:color w:val="111111"/>
          <w:sz w:val="28"/>
          <w:sz w:val="28"/>
          <w:szCs w:val="28"/>
          <w:rtl w:val="true"/>
          <w:lang w:bidi="fa-IR"/>
        </w:rPr>
        <w:t>وأخیراً یمکن القول بأنّ ما سُئل عنه فی الروایة هی الموارد التی تحصل غالباً ولا تکون حینئذٍ صالحة لتقیید القاعدة الکلّیة کما لابدّ من القول بأنّ لا خصوصیة فی تحقق معنی الغیر سنشیر إلی ذلک فی مبحث اعتبار الدخول فی الغیر بأنّ للغیر معنی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فإنّ رأی المحقق الأصفهانی هو الرأی المختار لدینا</w:t>
      </w:r>
      <w:r>
        <w:rPr>
          <w:rFonts w:eastAsia="IRNazanin" w:cs="IRNazanin"/>
          <w:color w:val="111111"/>
          <w:sz w:val="28"/>
          <w:szCs w:val="28"/>
          <w:rtl w:val="true"/>
          <w:lang w:bidi="fa-IR"/>
        </w:rPr>
        <w:t>.</w:t>
      </w:r>
    </w:p>
    <w:p>
      <w:pPr>
        <w:pStyle w:val="Heading2"/>
        <w:numPr>
          <w:ilvl w:val="1"/>
          <w:numId w:val="1"/>
        </w:numPr>
        <w:rPr/>
      </w:pPr>
      <w:bookmarkStart w:id="333" w:name="__RefHeading___Toc2082500_581953129"/>
      <w:bookmarkStart w:id="334" w:name="_Toc128"/>
      <w:bookmarkEnd w:id="333"/>
      <w:r>
        <w:rPr>
          <w:rtl w:val="true"/>
        </w:rPr>
        <w:t>بحث اعتبار الدخول فی الغیر فی قاعدة الفراغ والتجاوز</w:t>
      </w:r>
      <w:r>
        <w:rPr>
          <w:rtl w:val="true"/>
        </w:rPr>
        <w:t>:</w:t>
      </w:r>
      <w:bookmarkEnd w:id="334"/>
    </w:p>
    <w:p>
      <w:pPr>
        <w:pStyle w:val="BookText"/>
        <w:rPr/>
      </w:pPr>
      <w:r>
        <w:rPr>
          <w:rFonts w:ascii="IRNazanin" w:hAnsi="IRNazanin" w:eastAsia="IRNazanin"/>
          <w:color w:val="111111"/>
          <w:sz w:val="28"/>
          <w:sz w:val="28"/>
          <w:szCs w:val="28"/>
          <w:rtl w:val="true"/>
          <w:lang w:bidi="fa-IR"/>
        </w:rPr>
        <w:t>من الأبحاث الهامّة الأخری فی هذه القاعدة هو أنّه هل یعتبر الدخول فی الغیر فی جریان کلٍّ من هاتین القاعدتین مضافاً علی صدق عنوان التجاوز عن الشیء أو الفراغ عنه؟ أو أنّه معتبر فی قاعدة التجاوز دون قاعدة الفراغ؟ أو أنّ هذا العنوان أی عنوان الدخول فی الغیر غیر معتبر فی کلتا القاعدتین؟</w:t>
      </w:r>
    </w:p>
    <w:p>
      <w:pPr>
        <w:pStyle w:val="BookText"/>
        <w:rPr/>
      </w:pPr>
      <w:r>
        <w:rPr>
          <w:rFonts w:ascii="IRNazanin" w:hAnsi="IRNazanin" w:eastAsia="IRNazanin"/>
          <w:color w:val="111111"/>
          <w:sz w:val="28"/>
          <w:sz w:val="28"/>
          <w:szCs w:val="28"/>
          <w:rtl w:val="true"/>
          <w:lang w:bidi="fa-IR"/>
        </w:rPr>
        <w:t>وهل أنّ هذا النزاع نزاع واقعی معنوی أو أنّه مجرّد نزاع لفظی من غیر أثر؟</w:t>
      </w:r>
    </w:p>
    <w:p>
      <w:pPr>
        <w:pStyle w:val="BookText"/>
        <w:rPr/>
      </w:pPr>
      <w:r>
        <w:rPr>
          <w:rFonts w:ascii="IRNazanin" w:hAnsi="IRNazanin" w:eastAsia="IRNazanin"/>
          <w:color w:val="111111"/>
          <w:sz w:val="28"/>
          <w:sz w:val="28"/>
          <w:szCs w:val="28"/>
          <w:rtl w:val="true"/>
          <w:lang w:bidi="fa-IR"/>
        </w:rPr>
        <w:t>لو التزمنا هنا بوحدة قاعدتی الفراغ والتجاوز کان لابدّ من تحلیل جمیع الروایات برؤیة واحدة وأنْ نلاحظ بأنّ قید الدخول فی الغیر هل یستفاد من مجموع هذه الروایات أولا؟</w:t>
      </w:r>
    </w:p>
    <w:p>
      <w:pPr>
        <w:pStyle w:val="BookText"/>
        <w:rPr/>
      </w:pPr>
      <w:r>
        <w:rPr>
          <w:rFonts w:ascii="IRNazanin" w:hAnsi="IRNazanin" w:eastAsia="IRNazanin"/>
          <w:color w:val="111111"/>
          <w:sz w:val="28"/>
          <w:sz w:val="28"/>
          <w:szCs w:val="28"/>
          <w:rtl w:val="true"/>
          <w:lang w:bidi="fa-IR"/>
        </w:rPr>
        <w:t>أمّا لو اعتبرناهما قاعدتین مستقلّتین فلابدّ من دراسة روایات کلٍّ من القاعدتین بدقّة علی نحو الاستقلال، ولو اتّبعنا هذا المسلک الثانی لاستغنینا عن تحلیل الروایات علی النحو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یرد الإشکال علی المحقّق النائینی أنّه کیف فکّک فی هذا البحث بین قاعدتی الفراغ والتجاوز مع أنّه حصل علی کبری کلیّة من مجموع الروایات الواردة فی هذا البحث وهو یعتقد بوحدة هاتین القاعدتین</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 أنّه لا مانع من الالتزام بوحدة الکبری المجعولة الشرعیة</w:t>
      </w:r>
      <w:bookmarkStart w:id="335" w:name="pg5466_52921"/>
    </w:p>
    <w:p>
      <w:pPr>
        <w:pStyle w:val="BookText"/>
        <w:rPr/>
      </w:pPr>
      <w:bookmarkEnd w:id="335"/>
      <w:r>
        <w:rPr>
          <w:rFonts w:ascii="IRNazanin" w:hAnsi="IRNazanin" w:eastAsia="IRNazanin"/>
          <w:color w:val="111111"/>
          <w:sz w:val="28"/>
          <w:sz w:val="28"/>
          <w:szCs w:val="28"/>
          <w:rtl w:val="true"/>
          <w:lang w:bidi="fa-IR"/>
        </w:rPr>
        <w:t>وربّما تترتب علی ذلک ثمرات مهمّة</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کلامه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الإنصاف أنّ القول بتعدّد الکبری المجعولة الشرعیّة بعید الغایة فإنّ ملاحظة مجموع الأخبار الواردة فی الباب یوجب القطع بأنّ الشارع فی مقام ضرب قاعدة کلّیة للشک فی الشیء بعد التجاوز عنه</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یمکن الدفاع عن المحقّق النائینی بأنّه قد استفاد من مجموع الروایات أنّ التجاوز عن الجزء منزّل منزلة التجاوز عن الکلّ وهذا تنزیل شرعی فی أصل جریان عدم الاعتناء بالشک لکن لا ضیر فی أن یختص التجاوز عن الجزء بأحکام أخری کما یعتقدون بأنّ قاعدة التجاوز یختصّ جریانها بأجزاء الصلاة فلا تجری فی سائر المرکّبات لاختصاص مورد التعبّد والتنزیل بالصلاة ولهذا تخرج الطهارات الثلاث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والغسل والتیمّم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قاعدة التجاوز تخصّصاً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یعتقد فی النهایة بأنّ الدخول فی الغیر معتبر فی قاعدة الفراغ علی نحو الشرط الشرعی التعبّدی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 فإنّ الدخول فی الغیر لیس سبباً لصدق عنوان الفراغ فی قاعدة الفراغ بل یتحقّق هذا العنوان من غیر الدخول فی الغیر أیضاً أمّا فی قاعدة التجاوز فلا یتحقّق عنوان التجاوز من غیر الدخول فی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لابدّ لنا من البحث حول کلٍّ من القاعدتین علی نحو الاستقلال</w:t>
      </w:r>
      <w:r>
        <w:rPr>
          <w:rFonts w:eastAsia="IRNazanin" w:cs="IRNazanin"/>
          <w:color w:val="111111"/>
          <w:sz w:val="28"/>
          <w:szCs w:val="28"/>
          <w:rtl w:val="true"/>
          <w:lang w:bidi="fa-IR"/>
        </w:rPr>
        <w:t>.</w:t>
      </w:r>
    </w:p>
    <w:p>
      <w:pPr>
        <w:pStyle w:val="Heading2"/>
        <w:numPr>
          <w:ilvl w:val="1"/>
          <w:numId w:val="1"/>
        </w:numPr>
        <w:rPr/>
      </w:pPr>
      <w:bookmarkStart w:id="336" w:name="__RefHeading___Toc2082502_581953129"/>
      <w:bookmarkStart w:id="337" w:name="_Toc129"/>
      <w:bookmarkEnd w:id="336"/>
      <w:r>
        <w:rPr>
          <w:rtl w:val="true"/>
        </w:rPr>
        <w:t>بحث اعتبار الدخول فی الغیر فی مجری قاعدة التجاوز</w:t>
      </w:r>
      <w:r>
        <w:rPr>
          <w:rtl w:val="true"/>
        </w:rPr>
        <w:t>:</w:t>
      </w:r>
      <w:bookmarkEnd w:id="337"/>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یستفاد من الروایات المتعدّدة التی استدلّلنا بها علی قاعدة التجاوز أنّ الدخول فی الغیر معتبر فی جریان هذه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ذکر فی بعض الروایات أنّ المصلّی بعد أن دخل فی السجود قد شکّ فی أنه هل رکع أولا؟ وهذا التعبیر مفاده أنّ مجری قاعدة التجاوز هو الدخول فی الغیر، وکذلک المستفاد من صدر صحیحة زرارة الواردة فی الشک فی الجزء السابق بعد الدخول فی الجزء اللاحق، کما لو شکّ وهو فی الإقامة هل أذّن أولا؟ أو شکّ حال التکبیرة هل أذّن وأقام أولا؟ أو شکّ حال القراءة هل کبّر أولا؟ یستفاد من ذلک أنّ مجری قاعدة التجاوز هو تحقّق الدخول فی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الأهمّ من صدر روایة زرارة تلک القاعدة الکلیّة فی ذیل 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وبعض الروایات الأخری حیث یقول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إذا خرجت من شیءٍ ثمّ دخلت فی غیره فشکّک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نُصّ فی هذه العبارة علی الدخول فی الغیر ویستفاد من ظاهره أنّه جزء الموضوع أی أنّ الموضوع فی قاعدة التجاوز له جزآن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الخروج من الشیء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الدخول فی غیر ذلک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نُصّ فی موثقة إسماعیل بن جابر علی الدخول فی الغیر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 شیءٍ شک فیه مّما قد جاوزه ودخل فی غیره فلیمض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موثقة ابن أبی یعفور حیث یقول فیها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إذا شککت فی شیءٍ من الوضوء وقد دخلتَ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ذکرنا فیما سبق بأنّنا یمکن أن نستخرج من هذه الروایة قاعدة التجاوز، کما یمکن استفادة قاعدة الفراغ منها، وبعبارة أخری فإنّ هذه الروایة قابلة للدلالة علی حجّیة کلتا القاعدتین</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 أنّ المستفاد من موارد السؤال فی روایات التجاوز ومن القاعدة الکلیّة المذکورة فیها إنّ الدخول فی الغیر شرط فی قاعدة التجاوز</w:t>
      </w:r>
      <w:r>
        <w:rPr>
          <w:rFonts w:eastAsia="IRNazanin" w:cs="IRNazanin"/>
          <w:color w:val="111111"/>
          <w:sz w:val="28"/>
          <w:szCs w:val="28"/>
          <w:rtl w:val="true"/>
          <w:lang w:bidi="fa-IR"/>
        </w:rPr>
        <w:t>.</w:t>
      </w:r>
      <w:bookmarkStart w:id="338" w:name="pg5466_52923"/>
    </w:p>
    <w:p>
      <w:pPr>
        <w:pStyle w:val="Heading2"/>
        <w:numPr>
          <w:ilvl w:val="1"/>
          <w:numId w:val="1"/>
        </w:numPr>
        <w:rPr/>
      </w:pPr>
      <w:bookmarkStart w:id="339" w:name="__RefHeading___Toc2082504_581953129"/>
      <w:bookmarkStart w:id="340" w:name="_Toc130"/>
      <w:bookmarkEnd w:id="338"/>
      <w:bookmarkEnd w:id="339"/>
      <w:r>
        <w:rPr>
          <w:rtl w:val="true"/>
        </w:rPr>
        <w:t>هل الدخول فی الغیر شرط شرعی أو عقلی ؟</w:t>
      </w:r>
      <w:bookmarkEnd w:id="340"/>
    </w:p>
    <w:p>
      <w:pPr>
        <w:pStyle w:val="BookText"/>
        <w:rPr/>
      </w:pPr>
      <w:r>
        <w:rPr>
          <w:rFonts w:ascii="IRNazanin" w:hAnsi="IRNazanin" w:eastAsia="IRNazanin"/>
          <w:color w:val="111111"/>
          <w:sz w:val="28"/>
          <w:sz w:val="28"/>
          <w:szCs w:val="28"/>
          <w:rtl w:val="true"/>
          <w:lang w:bidi="fa-IR"/>
        </w:rPr>
        <w:t>المهم هنا هو أنّ اعتبار الدخول فی الغیر هل هو بعنوان أنّه شرط شرعی تعبّدی أو أنّه شرط عقلی؟ کما ذکرنا سابقاً أنّ قاعدة التجاوز قاعدة تعبّدیة محضة فلابدّ من معرفة أنّ اعتبار هذا الشرط تعبّدی أیضاً أو أنّ لهذا الشرط مدخلیّة فی عنوان التجاوز بحیث لا یصدق عنوان التجاوز عن الشیء من غیر الدخول فی الغیر؟</w:t>
      </w:r>
    </w:p>
    <w:p>
      <w:pPr>
        <w:pStyle w:val="BookText"/>
        <w:rPr/>
      </w:pPr>
      <w:r>
        <w:rPr>
          <w:rFonts w:ascii="IRNazanin" w:hAnsi="IRNazanin" w:eastAsia="IRNazanin"/>
          <w:color w:val="111111"/>
          <w:sz w:val="28"/>
          <w:sz w:val="28"/>
          <w:szCs w:val="28"/>
          <w:rtl w:val="true"/>
          <w:lang w:bidi="fa-IR"/>
        </w:rPr>
        <w:t>ظاهر روایات قاعدة التجاوز أنّ الدخول فی الغیر لیس عنواناً جعلیاً شرعیاً تعبّدیاً وإنّما هو لتحقیق عنوان التجاوز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أوضح أنّه ما لم یتحقّق الدخول فی الغیر یکون محلّ إتیان الجزء باقیاً ولم یتحقّق التجاوز عنه، ومن هنا لو شککنا فی إتیان ذلک الجزء وجب الإتیان به وبمجرد الدخول فی غیره ینتفی محلّ الجزء السابق ویتحقق التجاوز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اختار المحقق النائینی هذا الرأی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إشکال فی اعتبار الدخول فی الغیر فی قاعدة التجاوز لعدم صدق التجاوز عن الجزء المشکوک فیه بدون الدخول فی الجزء المترتّب علیه</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1" w:name="__RefHeading___Toc2082506_581953129"/>
      <w:bookmarkStart w:id="342" w:name="_Toc131"/>
      <w:bookmarkEnd w:id="341"/>
      <w:r>
        <w:rPr>
          <w:rtl w:val="true"/>
        </w:rPr>
        <w:t>البحث فی اعتبار الدخول فی الغیر فی مجری قاعدة الفراغ</w:t>
      </w:r>
      <w:r>
        <w:rPr>
          <w:rtl w:val="true"/>
        </w:rPr>
        <w:t>:</w:t>
      </w:r>
      <w:bookmarkEnd w:id="342"/>
    </w:p>
    <w:p>
      <w:pPr>
        <w:pStyle w:val="Heading3"/>
        <w:numPr>
          <w:ilvl w:val="2"/>
          <w:numId w:val="1"/>
        </w:numPr>
        <w:rPr/>
      </w:pPr>
      <w:bookmarkStart w:id="343" w:name="__RefHeading___Toc2082508_581953129"/>
      <w:bookmarkStart w:id="344" w:name="_Toc132"/>
      <w:bookmarkEnd w:id="343"/>
      <w:r>
        <w:rPr>
          <w:rtl w:val="true"/>
        </w:rPr>
        <w:t>اشارة</w:t>
      </w:r>
      <w:bookmarkEnd w:id="344"/>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یری المحقق النائینی وجمع آخر من العلماء أنّ الدخول فی الغیر معتبر فی جریان قاعدة الفراغ علی نحو الشرط الشرعی التعبّدی، بینما ذهب آخرون کالمحقق العراقی</w:t>
      </w:r>
      <w:r>
        <w:rPr>
          <w:rStyle w:val="FootnoteAnchor"/>
          <w:rtl w:val="true"/>
        </w:rPr>
        <w:footnoteReference w:id="281"/>
      </w:r>
      <w:r>
        <w:rPr>
          <w:rFonts w:ascii="IRNazanin" w:hAnsi="IRNazanin" w:eastAsia="IRNazanin"/>
          <w:color w:val="111111"/>
          <w:sz w:val="28"/>
          <w:sz w:val="28"/>
          <w:szCs w:val="28"/>
          <w:rtl w:val="true"/>
          <w:lang w:bidi="fa-IR"/>
        </w:rPr>
        <w:t>إلی خلاف هذا الرأی لأنّهم یرون کفایة مجرّد الفراغ من أصل العمل فی جریان قاعدة الفراغ، وعلیه فلا حاجة إلی الدخول فی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 فی ذلک یستدعی تحلیل ودراسة جهات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هناک روایات تدلّ بإطلاقها علی جریان قاعدة الفراغ بحیث لم یُذکر فیها الدخول فی الغیر؟</w:t>
      </w:r>
    </w:p>
    <w:p>
      <w:pPr>
        <w:pStyle w:val="BookText"/>
        <w:rPr/>
      </w:pPr>
      <w:r>
        <w:rPr>
          <w:rFonts w:ascii="IRNazanin" w:hAnsi="IRNazanin" w:eastAsia="IRNazanin"/>
          <w:color w:val="111111"/>
          <w:sz w:val="28"/>
          <w:sz w:val="28"/>
          <w:szCs w:val="28"/>
          <w:rtl w:val="true"/>
          <w:lang w:bidi="fa-IR"/>
        </w:rPr>
        <w:t>وهل هناک مانع کالانصراف أو ما یمنع انعقاد الإطلاق أولا؟</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وجود روایات مطلقة فهل بین روایات قاعدة الفراغ ما یدلّ علی التقیید؟</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وجود روایات دالّة علی التقیید فهل هناک ما یدلّ علی رفع الید عن هذا التقیید؟</w:t>
      </w:r>
    </w:p>
    <w:p>
      <w:pPr>
        <w:pStyle w:val="BookText"/>
        <w:rPr/>
      </w:pPr>
      <w:r>
        <w:rPr>
          <w:rFonts w:ascii="IRNazanin" w:hAnsi="IRNazanin" w:eastAsia="IRNazanin"/>
          <w:color w:val="111111"/>
          <w:sz w:val="28"/>
          <w:sz w:val="28"/>
          <w:szCs w:val="28"/>
          <w:rtl w:val="true"/>
          <w:lang w:bidi="fa-IR"/>
        </w:rPr>
        <w:t xml:space="preserve">بحث فی الجهة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روایات 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لاشک فی وجود روایات مطلقة بین تلک الروایات الواردة فی خصوص قاعدة الفراغ 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إطلاق موثّقة محمد بن مسلم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 ما شککت فیه مّما قد مضی فامضه کما هو</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صحیحة محمّد بن مسلم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 الرجل یشکّ بعد ما ینصرف من صلاته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تعید ولاشیء علیه</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صحیحة محمد بن مسلم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 ما شککت فیه بعدما تفرغ من صلاتک فامض ولا تعد</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محمّد بن مسلم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ما مضی من صلاتک</w:t>
      </w:r>
    </w:p>
    <w:p>
      <w:pPr>
        <w:pStyle w:val="BookText"/>
        <w:rPr/>
      </w:pPr>
      <w:r>
        <w:rPr>
          <w:rFonts w:ascii="IRNazanin" w:hAnsi="IRNazanin" w:eastAsia="IRNazanin"/>
          <w:color w:val="111111"/>
          <w:sz w:val="28"/>
          <w:sz w:val="28"/>
          <w:szCs w:val="28"/>
          <w:rtl w:val="true"/>
          <w:lang w:bidi="fa-IR"/>
        </w:rPr>
        <w:t>وطهورک فذکرته تذکّراً فأمضه ولا إعادة علیک فیه</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هذا فلا شکّ فی أصل وجود الإطلاق بحسب ظاهر روایات قاعدة الفراغ لکنّ البحث الأهم هو أنّه هل هناک مانع من هذا الإطلاق کالانصراف أو ما أشبهه أولا؟</w:t>
      </w:r>
    </w:p>
    <w:p>
      <w:pPr>
        <w:pStyle w:val="BookText"/>
        <w:rPr/>
      </w:pPr>
      <w:r>
        <w:rPr>
          <w:rFonts w:ascii="IRNazanin" w:hAnsi="IRNazanin" w:eastAsia="IRNazanin"/>
          <w:color w:val="111111"/>
          <w:sz w:val="28"/>
          <w:sz w:val="28"/>
          <w:szCs w:val="28"/>
          <w:rtl w:val="true"/>
          <w:lang w:bidi="fa-IR"/>
        </w:rPr>
        <w:t>قد ذُکر فی کلمات الأعاظم وجود مانع من انعقاد الإطلاق لابدّ من التعرّض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المحقّق النائینی</w:t>
      </w:r>
      <w:r>
        <w:rPr>
          <w:rStyle w:val="FootnoteAnchor"/>
          <w:rtl w:val="true"/>
        </w:rPr>
        <w:footnoteReference w:id="286"/>
      </w:r>
      <w:r>
        <w:rPr>
          <w:rFonts w:ascii="IRNazanin" w:hAnsi="IRNazanin" w:eastAsia="IRNazanin"/>
          <w:color w:val="111111"/>
          <w:sz w:val="28"/>
          <w:sz w:val="28"/>
          <w:szCs w:val="28"/>
          <w:rtl w:val="true"/>
          <w:lang w:bidi="fa-IR"/>
        </w:rPr>
        <w:t>أنّه إن کان صدق العنوان علی جمیع إفراد الطبیعة علی حدّ سواء فلاشک فی شمول ذلک العنوان المطلق لجمیع الأفراد، فمثلاً لفظ الماء شامل لماء البحر وماء المطر وماء البئر علی حدٍّ سواء، فلو ورد فی کلام الشارع أنّ الماء طاهر کان شاملاً لجمیع هذه المیاه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لم یکن شمول العنوان وصدقه علی جمیع الأفراد علی حدّ سواء کعنوان الحیوانیة الذّی لا یصدق علی البقر والغنم والإنسان علی حدّ سواء إذ فی شموله للإنسان نوعٌ من الخفاء بحیث لو قیل عند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حیواناً وقد أرید به الإنسان لم یتقبّله العرف، ففی مثل هذه الموارد لا یشمل اللفظ جمیع الموارد بل ینصرف إلی غیر الفرد الخفیّ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النائینی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غلبة الوجود وإن لم توجب الانصراف کما حقّقناه فی محلّه إلاّ أنّه فیما إذا کانت الغلبة لأمر خارج</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کانت من جهة قصور الماهیة ونقصها فی الفرد النادر وکانت الماهیة تشکیکیة بحیث کان شمول الطبیعة له خفیاً فی نظر العرف فلا محالة یوجب</w:t>
      </w:r>
    </w:p>
    <w:p>
      <w:pPr>
        <w:pStyle w:val="BookText"/>
        <w:rPr/>
      </w:pPr>
      <w:r>
        <w:rPr>
          <w:rFonts w:ascii="IRNazanin" w:hAnsi="IRNazanin" w:eastAsia="IRNazanin"/>
          <w:color w:val="111111"/>
          <w:sz w:val="28"/>
          <w:sz w:val="28"/>
          <w:szCs w:val="28"/>
          <w:rtl w:val="true"/>
          <w:lang w:bidi="fa-IR"/>
        </w:rPr>
        <w:t>ذلک انصراف المطلق إلیه، ولا أقلّ من کونه القدر المتیقّن فی مقام التخاطب، ومحلّ الکلام من هذا القبیل فإنّ صدق التجاوز عن الشیء مع الدخول فی الغیر أظهر من صدقه مع عدم الدخول فالمطلق فی حدّ ذاته قاصرٌ عن الشمول مع عدم الدخول فی الغیر ولو لم یکن هناک دلیل المقیّد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إشکال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ننکر أصل کلام المحقق النائینی لکنّنا لا نوافقه فی أنّ ما نحن فیه من هذا القبیل إذ لا شکّ فی صدق عنوان الفراغ عرفاً فیما لو لم یتحقّق الدخول فی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أنّ العرف لا یفرّق فی صدق هذه العناوین وشمولها بین ما تحقّق فیه الدخول فی الغیر وما لم یتحقق فیه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بخلاف عنوان الحیوانیة الذی یری العرف فرقاً واضحاً بین شموله وصدقه علی الغنم والبقر وبین دلالته علی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المحقق الخراسانی</w:t>
      </w:r>
      <w:r>
        <w:rPr>
          <w:rStyle w:val="FootnoteAnchor"/>
          <w:rtl w:val="true"/>
        </w:rPr>
        <w:footnoteReference w:id="287"/>
      </w:r>
      <w:r>
        <w:rPr>
          <w:rFonts w:ascii="IRNazanin" w:hAnsi="IRNazanin" w:eastAsia="IRNazanin"/>
          <w:color w:val="111111"/>
          <w:sz w:val="28"/>
          <w:sz w:val="28"/>
          <w:szCs w:val="28"/>
          <w:rtl w:val="true"/>
          <w:lang w:bidi="fa-IR"/>
        </w:rPr>
        <w:t>قد دخل عن طریق وجود القدر المتیقّن فی مقام التخاطب فیکون ذلک برأیه مانعاً من انعقاد الإطلاق، والقدر المتیقّن فی مقام التخاطب بالنسبة إلی الدخول فی الغیر أمرٌ متحقّق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إشکال الوجه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تبیّن فی الأبحاث السابقة أنّ وجود القدر المتیقّن فی مقام التخاطب لا یمنع من انعقاد الإطلاق</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الدخول فی الغیر له هذا 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واضح لاسیّما أنّ مصطلح الدخول فی الغیر قد جاء فی کلمات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الروایات ولا وجود له فی کلمات السائل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موثقة ابن بکیر دلالة علی نحو العموم الوضعی حیث استعمل فیها ألفاظ العموم کلفظة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البحث عن الإطلاق فضلاً عن مسألة القدر المتیقّن فی مقام التخاطب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إطلاق بعض الروایات أمر مسلّم إلاّ أنّ الغالب وقوع الشک فی الفراغ مع فرض الدخول فی الغیر، وعلی هذا فإنّ غلبة الوجود الخارجی سببٌ لانصراف هذا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إشکال 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الغلبة الاستعمالیة إنّما تکون منشأ للإنصراف دون غلبة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المحقق النائینی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کون الغالب حصول الشکّ بعد الدخول فی الغیر لا یوجب انصراف المطلق إلی الغالب فإنّه لا عبرة بغلبة الوجود ما لم تقتض صرف ظهور اللفظ</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فالحاصل أنّ هذه الوجوه الثلاثة لا تکون مانعةً عن انعقاد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ذُکر فی کلمات بعض المحقّقین</w:t>
      </w:r>
      <w:r>
        <w:rPr>
          <w:rStyle w:val="FootnoteAnchor"/>
          <w:rtl w:val="true"/>
        </w:rPr>
        <w:footnoteReference w:id="289"/>
      </w:r>
      <w:r>
        <w:rPr>
          <w:rFonts w:ascii="IRNazanin" w:hAnsi="IRNazanin" w:eastAsia="IRNazanin"/>
          <w:color w:val="111111"/>
          <w:sz w:val="28"/>
          <w:sz w:val="28"/>
          <w:szCs w:val="28"/>
          <w:rtl w:val="true"/>
          <w:lang w:bidi="fa-IR"/>
        </w:rPr>
        <w:t>وجهٌ آخر للمنع من الإطلاق فإنّه قد ذکر أنّ الإطلاق تامّ لا شک فیه 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المشکوک جزءاً من أجزاء المرکب وقد فرغ المکلف من المرکب</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المشکوک شرطاً من شروط بعض أجزاء المرکّب والمکلف قد فرغ من المرکب فإنّ هذین الموردین تشملهما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شککت فیه مّما قد مضی فامضه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المراد بالشک الشکّ فی وصفٍ من أوصاف</w:t>
      </w:r>
    </w:p>
    <w:p>
      <w:pPr>
        <w:pStyle w:val="BookText"/>
        <w:rPr/>
      </w:pPr>
      <w:r>
        <w:rPr>
          <w:rFonts w:ascii="IRNazanin" w:hAnsi="IRNazanin" w:eastAsia="IRNazanin"/>
          <w:color w:val="111111"/>
          <w:sz w:val="28"/>
          <w:sz w:val="28"/>
          <w:szCs w:val="28"/>
          <w:rtl w:val="true"/>
          <w:lang w:bidi="fa-IR"/>
        </w:rPr>
        <w:t>الشیء أو کان الشک فی أصل وجود الشک، وسواء کان المراد بالمضیّ مضیّ المشکوک نفسه أو مضیّ محل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أنّ الجزء أو الوصف فی هذا المورد کان مشکوکاً وقد تجاوز هو أو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أیّ حال فلا شک فی أنّ إطلاق الروایات یشمل الشک فی الشرط بعد الإتیان بالمشروط، وکذا الشک فی جزءٍ من أجزاء المرکّب بعد الفراغ من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هناک مورد واحد یُشَکّ فی شمول الإطلاق له وهو ما لو شکّ المکلّف فی جزءٍ من أجزاء المرکّب بعد مضیّ المحلّ وقبل الفراغ من المرکّب فإنّ شمول موثقة محمد بن مسلم لهذا المورد أمرٌ غیر واضح لوجود احتمالین إمّا التصرّف فی صدر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بحمله علی الشک فی وصف من الأوصاف لا علی الشک فی أصل الوجود، وعلیه نُبقی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ظاهره أی المضیّ أصل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عکس ذلک هو الصحیح بأن نحمل المضیّ علی مضیّ المحلّ ونحمل الشکّ علی الشک فی أصل الوجود، ولمّا لم یکنْ ترجیحٌ لأحد هذین الاحتمالین فلا یکون هذا المورد مشمولاً للروایة ولا یثبت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یجیب عن هذا الإشکال بأجوبة خمسة أهمّها علی الإطلاق جوابان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الموثّقة هو مضی زمان المشکوک ومحلّه وهو شایع فی استعمالات العرف، فعندما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مضی زمان الحجّ وإن لم یحجّ المکلف نفسه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والشاهد علی ذلک أن الخروج والتجاوز الحقیقی فی مجری روایات هذا الباب مستلزم لإتیان ذلک الجزء بمعنی أنّ المکلّف لو أتی بالجزء واقعاً قیل فی حقّه</w:t>
      </w:r>
    </w:p>
    <w:p>
      <w:pPr>
        <w:pStyle w:val="BookText"/>
        <w:rPr/>
      </w:pPr>
      <w:r>
        <w:rPr>
          <w:rFonts w:ascii="IRNazanin" w:hAnsi="IRNazanin" w:eastAsia="IRNazanin"/>
          <w:color w:val="111111"/>
          <w:sz w:val="28"/>
          <w:sz w:val="28"/>
          <w:szCs w:val="28"/>
          <w:rtl w:val="true"/>
          <w:lang w:bidi="fa-IR"/>
        </w:rPr>
        <w:t xml:space="preserve">حینئذٍ أنّه قد خرج عن ذلک الشیء وتجاوز عنه مع أنّ المفروض فی الروایات أنّ إتیان الجزء أمر مشکوک فیه، وعلیه فلابدّ من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مضیّ زمان ذلک الجزء لا علی مضیّ أصل العمل حتّی لا تشمل الروایة هذا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ذیل موثقة ابن أبی یعفور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الشکّ إذا کنت فی شیءٍ لم تجزه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الحصر بمعنی أنّ الاعتناء بالشک إنّما یجب فیما لم یتجاوز عنه، أمّا لو تجاوز عنه فلابدّ من عدم الاعتناء به ففی المورد المفروض وإن لم یفرغ المکلّف من مجموع المرکّب إلاّ أنّه یجب عدم الاعتناء بالشیءِ لأنّه قد مضی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ظهر أولاً أنّه لا إشکال فی إطلاق الروایات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مفاد هذه الروایات هو أنّ أصل المضیّ والتجاوز هو الملاک ولا عبرة بالدخول فی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والآن لابدّ من البحث فی أن بین سائر الروایات هل هناک ما یدلّ علی التقیید أولا؟</w:t>
      </w:r>
    </w:p>
    <w:p>
      <w:pPr>
        <w:pStyle w:val="BookText"/>
        <w:rPr/>
      </w:pPr>
      <w:r>
        <w:rPr>
          <w:rFonts w:ascii="IRNazanin" w:hAnsi="IRNazanin" w:eastAsia="IRNazanin"/>
          <w:color w:val="111111"/>
          <w:sz w:val="28"/>
          <w:sz w:val="28"/>
          <w:szCs w:val="28"/>
          <w:rtl w:val="true"/>
          <w:lang w:bidi="fa-IR"/>
        </w:rPr>
        <w:t xml:space="preserve">بحث الجهة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روایات دالة علی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بین الروایات هناک ثلاث روایات توهم الدلالة علی التقیید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صحیحة زرارة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إذا خرجت من شیءٍ ثم دخلت فی غیره فشکّک لیس بشیءٍ</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 xml:space="preserve">حیث إنّ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الروایة ظاهرة فی التقیید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یری</w:t>
      </w:r>
      <w:r>
        <w:rPr>
          <w:rStyle w:val="FootnoteAnchor"/>
          <w:rtl w:val="true"/>
        </w:rPr>
        <w:footnoteReference w:id="291"/>
      </w:r>
      <w:r>
        <w:rPr>
          <w:rFonts w:ascii="IRNazanin" w:hAnsi="IRNazanin" w:eastAsia="IRNazanin"/>
          <w:color w:val="111111"/>
          <w:sz w:val="28"/>
          <w:sz w:val="28"/>
          <w:szCs w:val="28"/>
          <w:rtl w:val="true"/>
          <w:lang w:bidi="fa-IR"/>
        </w:rPr>
        <w:t>بعضٌ أنّه لو أرید الاقتصار علی ظاهر هذه الروایة وجب القول بأنّ المعتبر فی جریان قاعدة الفراغ والتجاوز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الخروج عن الشیء،</w:t>
      </w:r>
    </w:p>
    <w:p>
      <w:pPr>
        <w:pStyle w:val="BookText"/>
        <w:rPr/>
      </w:pPr>
      <w:r>
        <w:rPr>
          <w:rFonts w:ascii="IRNazanin" w:hAnsi="IRNazanin" w:eastAsia="IRNazanin"/>
          <w:color w:val="111111"/>
          <w:sz w:val="28"/>
          <w:sz w:val="28"/>
          <w:szCs w:val="28"/>
          <w:rtl w:val="true"/>
          <w:lang w:bidi="fa-IR"/>
        </w:rPr>
        <w:t>والآخر هو الدخول فی غیره مع أنّ ظاهر هذین العنوانین لا ینطبق علی شیءٍ من الأمثلة المذکورة فی صدر هذه الروایة، لأنّ الخروج من الأذان هو الدخول فی الإقامة، والخروج من الأذان والإقامة هو الدخول فی تکبیرة الإحرام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الدخول فی الغیر یوجب الخروج من تلک الأشیاء ولیس هناک شیء آخر یوجب تحقّق الخروج ولهذا لابدّ من أن نفسّر الروایة علی النحو التالی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 نفسک خارجاً عن الشیء ولذا دخلت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المکلف یری نفسه خارجاً عن الشی أی أنّ الخروج اعتقادی وتخیّلی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فمن الواضح أنّ الاقتصار علی ظاهر هذه الروایة أمرٌ غیر ممکن، لأنّ هذا الاقتصار یؤدّی إلی اللغویة إذ الخروج من الشیء لیس شیئاً آخر عدا الدخول فی الشیء الآخر فلا یمکن التمسّک بظاهر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والخروج عن الشیء فی الواقع هو الدخول فی الغیر والدخول فی الغیر لیس فعلاً آخر غیر الخروج من الشیء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الروایة الأخری مصحّحة إسماعیل بن جابر من حیث الصدر والذیل إمّا من جهة صدرها فإنّ جمیع الأمثلة المذکورة فی صدر هذه الروایة مقرونة بذکر الدخول فی الغیر، کما لو شک فی الرکوع وهو فی السجود ولم یذکر قبله، وأمّا من حیث ذیل الروایة فإنّ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 شیءٍ شکّ فیه ممّا قد جاوزه ودخل فی غیره فلیمض علیه</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حیث صرّح بالدخول فی الغیر</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اجیب عن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الذیل لابدّ من جعل الدخول فی الغیر</w:t>
      </w:r>
    </w:p>
    <w:p>
      <w:pPr>
        <w:pStyle w:val="BookText"/>
        <w:rPr/>
      </w:pPr>
      <w:r>
        <w:rPr>
          <w:rFonts w:ascii="IRNazanin" w:hAnsi="IRNazanin" w:eastAsia="IRNazanin"/>
          <w:color w:val="111111"/>
          <w:sz w:val="28"/>
          <w:sz w:val="28"/>
          <w:szCs w:val="28"/>
          <w:rtl w:val="true"/>
          <w:lang w:bidi="fa-IR"/>
        </w:rPr>
        <w:t>عطفاً تفسیریاً علی التجاوز أی أنّ ما یوجب حصول التجاوز هو الدخول فی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أنّ التجاوز الخیالی والعادی الظاهری غیر کافٍ بل لابدّ من التجاوز الواقعی والخارجی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ظهر الجواب المتعلّق بصدر الروایة، لأنّ السجود موجب لتحقّق التجاوز، ولیس کذلک الهویّ إلی السجود، ومن هنا لو توهّم المکلف أنّه قد أتی بالرکوع فهوی إلی السجود والتفت بعد ذلک وجب علیه الرجوع والإتیان بالرکوع، لأنّ محلّ الرکوع لا زال باقیاً ولم یحصل هنا زیادة توجب سجدتی السهو إذ لیس الهویّ بقصد السجود من أجزاء الصلاة لیصدق علیه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الجواب الصحیح عن هاتین الروایتین هو أنّهما غیر متعلقتین بقاعدة الفراغ بل هما من روایات وأدلة قاعدة التجاوز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جاء فی صحیحة زرارة الواردة فی الوضوء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فإذا قمت من الوضوء وفرغت منه وقد صرت فی حال أخری فی الصلاة أو غیرها فشککت فلا شیء علیک</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حیث إنّ مفاد هذه الروایة اعتبار الدخول فی الغیر فتکون مقیّدة للروایات المطلّقة</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أجاب المحقّق الحائری عن هذه الروایة بأنّ ذیل هذه الروایة معارض مع صدرها لأنّ الصدر یدلّ بمفهومه علی عدم وجوب إعادة الوضوء فیما لو قام من الوضوء وإن لم یدخل فی الغیر، وعلیه فلیس المراد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الدخول فی الغیر بل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حال غیر الوضوء فلو کان حال التعطّل المضرّ بالموالاة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الموجب لصدق التجاوز</w:t>
      </w:r>
      <w:r>
        <w:rPr>
          <w:rFonts w:eastAsia="IRNazanin" w:cs="IRNazanin"/>
          <w:color w:val="111111"/>
          <w:sz w:val="28"/>
          <w:szCs w:val="28"/>
          <w:rtl w:val="true"/>
          <w:lang w:bidi="fa-IR"/>
        </w:rPr>
        <w:t>.</w:t>
      </w:r>
      <w:bookmarkStart w:id="345" w:name="pg5466_52932"/>
    </w:p>
    <w:p>
      <w:pPr>
        <w:pStyle w:val="BookText"/>
        <w:rPr/>
      </w:pPr>
      <w:bookmarkEnd w:id="345"/>
      <w:r>
        <w:rPr>
          <w:rFonts w:ascii="IRNazanin" w:hAnsi="IRNazanin" w:eastAsia="IRNazanin"/>
          <w:color w:val="111111"/>
          <w:sz w:val="28"/>
          <w:sz w:val="28"/>
          <w:szCs w:val="28"/>
          <w:rtl w:val="true"/>
          <w:lang w:bidi="fa-IR"/>
        </w:rPr>
        <w:t>وللمحقق الخوئی</w:t>
      </w:r>
      <w:r>
        <w:rPr>
          <w:rStyle w:val="FootnoteAnchor"/>
          <w:rtl w:val="true"/>
        </w:rPr>
        <w:footnoteReference w:id="294"/>
      </w:r>
      <w:r>
        <w:rPr>
          <w:rFonts w:ascii="IRNazanin" w:hAnsi="IRNazanin" w:eastAsia="IRNazanin"/>
          <w:color w:val="111111"/>
          <w:sz w:val="28"/>
          <w:sz w:val="28"/>
          <w:szCs w:val="28"/>
          <w:rtl w:val="true"/>
          <w:lang w:bidi="fa-IR"/>
        </w:rPr>
        <w:t xml:space="preserve">هنا کلام قریب من هذا حیث یری دفعاً للتهافت بین صدر الروایة وذیلها لابدّ من جعل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قمت من الوضوء وفرغت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تفسیراً وبیاناً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 دمت فی حال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عبارة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صرت فی حال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 لهذا البیان من باب ذکر أوضح الأفراد وغالبها</w:t>
      </w:r>
      <w:r>
        <w:rPr>
          <w:rFonts w:eastAsia="IRNazanin" w:cs="IRNazanin"/>
          <w:color w:val="111111"/>
          <w:sz w:val="28"/>
          <w:szCs w:val="28"/>
          <w:rtl w:val="true"/>
          <w:lang w:bidi="fa-IR"/>
        </w:rPr>
        <w:t>.</w:t>
      </w:r>
    </w:p>
    <w:p>
      <w:pPr>
        <w:pStyle w:val="Heading3"/>
        <w:numPr>
          <w:ilvl w:val="2"/>
          <w:numId w:val="1"/>
        </w:numPr>
        <w:rPr/>
      </w:pPr>
      <w:bookmarkStart w:id="346" w:name="__RefHeading___Toc2082510_581953129"/>
      <w:bookmarkStart w:id="347" w:name="_Toc133"/>
      <w:bookmarkEnd w:id="346"/>
      <w:r>
        <w:rPr>
          <w:rtl w:val="true"/>
        </w:rPr>
        <w:t>الإشکال علی رأی المحقّق الخوئی والمحقق الحائری</w:t>
      </w:r>
      <w:r>
        <w:rPr>
          <w:rtl w:val="true"/>
        </w:rPr>
        <w:t>:</w:t>
      </w:r>
      <w:bookmarkEnd w:id="347"/>
    </w:p>
    <w:p>
      <w:pPr>
        <w:pStyle w:val="BookText"/>
        <w:rPr/>
      </w:pPr>
      <w:r>
        <w:rPr>
          <w:rFonts w:ascii="IRNazanin" w:hAnsi="IRNazanin" w:eastAsia="IRNazanin"/>
          <w:color w:val="111111"/>
          <w:sz w:val="28"/>
          <w:sz w:val="28"/>
          <w:szCs w:val="28"/>
          <w:rtl w:val="true"/>
          <w:lang w:bidi="fa-IR"/>
        </w:rPr>
        <w:t>الظاهر أنّ کلام هذین العلَمیَن لا یخلو من إشکال إذ لا یمکن من وجهة نظر العقلاء حمل الکلام قبل انتهائه علی معنیً بل لابدّ من ملاحظة الکلام بأکمله، ومن الواضح أنّ ذیل الکلام دائماً أو غالباً یکون قرینة علی صدره، وعلیه فلا تدافع بین الصدر والذیل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لنا بوضوح أنّ الدخول فی الغیر شرط فی قاعدة الفراغ، نعم یمکن أن تکون هذه الشرطیة فی مورد الوضوء فقط اقتصاراً علی مورد الروایة إلاّ أنّ هذا الاقتصار غیر مستندٍ إلی الذوق الفقهی حیث لا یمکن التفریق فی قاعدة الفراغ بین الوضوء وسائر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لاسیّما أنّ هذا القید فی قاعدة الفراغ لو کان أمراً تعبّدیاً والشارع قد اعتنی به کان لابدّ من التنبیه علیه فی أغلب الروایات مع أنّ أکثر الروایات الواردة فی قاعدة الفراغ مطلّقة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متابعة کلام المحقق الحائری فهو یقول فی الختام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أنّا قد أجبنا عن هذه الروایة الدالة علی التقیید لکن لو سلّمنا ظهور هذه الروایات فی التقیید وجب رفع الید عن ظهورها بسبب ذیل موثقة ابن أبی یعفور لأنّ الموثّقة فی مقام جعل</w:t>
      </w:r>
      <w:bookmarkStart w:id="348" w:name="pg5466_52933"/>
    </w:p>
    <w:p>
      <w:pPr>
        <w:pStyle w:val="BookText"/>
        <w:rPr/>
      </w:pPr>
      <w:bookmarkEnd w:id="348"/>
      <w:r>
        <w:rPr>
          <w:rFonts w:ascii="IRNazanin" w:hAnsi="IRNazanin" w:eastAsia="IRNazanin"/>
          <w:color w:val="111111"/>
          <w:sz w:val="28"/>
          <w:sz w:val="28"/>
          <w:szCs w:val="28"/>
          <w:rtl w:val="true"/>
          <w:lang w:bidi="fa-IR"/>
        </w:rPr>
        <w:t>القاعدة الکلیّة فیکون لها ظهورٌ فی إلغاء الخصوصیة عن الصغری وتدلّ علی أنّ ما جاء فی الصغری فهو أحد مصادیق الکبری ثم استنتج المحقق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الدخول فی الغیر غیر معتبر وإنّما العبرة بصدق التجاوز والفراغ وعلیه فإنّ السکوت الطویل المضرّ بالقراءة غیر المخلّ بالصلاة یوجب تحقّق التجاوز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اعتبار الدخول فی الغیر فإنّ الغیر عنوان عام یشمل کلّ حالة وجودیة أو عدمیة منافیة شرعاً للجزء المشکوک، ومن هنا فلا فرق بین اعتبار هذا الشرط وعدم اعتباره</w:t>
      </w:r>
      <w:r>
        <w:rPr>
          <w:rFonts w:eastAsia="IRNazanin" w:cs="IRNazanin"/>
          <w:color w:val="111111"/>
          <w:sz w:val="28"/>
          <w:szCs w:val="28"/>
          <w:rtl w:val="true"/>
          <w:lang w:bidi="fa-IR"/>
        </w:rPr>
        <w:t>.</w:t>
      </w:r>
    </w:p>
    <w:p>
      <w:pPr>
        <w:pStyle w:val="Heading2"/>
        <w:numPr>
          <w:ilvl w:val="1"/>
          <w:numId w:val="1"/>
        </w:numPr>
        <w:rPr/>
      </w:pPr>
      <w:bookmarkStart w:id="349" w:name="__RefHeading___Toc2082512_581953129"/>
      <w:bookmarkStart w:id="350" w:name="_Toc134"/>
      <w:bookmarkEnd w:id="349"/>
      <w:r>
        <w:rPr>
          <w:rtl w:val="true"/>
        </w:rPr>
        <w:t>مناقشة رأی المحقّق الحائری</w:t>
      </w:r>
      <w:r>
        <w:rPr>
          <w:rtl w:val="true"/>
        </w:rPr>
        <w:t>:</w:t>
      </w:r>
      <w:bookmarkEnd w:id="350"/>
    </w:p>
    <w:p>
      <w:pPr>
        <w:pStyle w:val="BookText"/>
        <w:rPr/>
      </w:pPr>
      <w:r>
        <w:rPr>
          <w:rFonts w:ascii="Amiri" w:hAnsi="Amiri" w:eastAsia="Amiri" w:cs="Amiri"/>
          <w:color w:val="111111"/>
          <w:sz w:val="28"/>
          <w:sz w:val="28"/>
          <w:szCs w:val="28"/>
          <w:rtl w:val="true"/>
          <w:lang w:bidi="ar-SA"/>
        </w:rPr>
        <w:t>هناک عدّة ملاحظات نسجّلها علی کلمات هذا المحقّق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نعتبر عنوان الدخول فی الغیر قیداً تعبّدیاً بل جعلناه من الأمور الموجبة لتحقق الخروج عن الشیء فلا حاجة حینئذٍ إلی بحث الروایات المطلّقة والمقیّدة وتحلیلها ودراستها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إنّ البحث فی هذه الروایات إنّما یکون فی محلّه فیما لو کان عنوان الدخول فی الغیر المذکور فی بعض الروایات عنواناً تعبدیّاً واحترازیاً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إنّما الشکّ إذا کنت فی شیءٍ لم تجزه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قاعدة کلیّة وجب الإقرار بأنّ ما جاء فی مصحّحة إسماعیل بن جابر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شیءٍ شکّ فیه ممّا قد جاوزه ودخل فی غیره فلیمض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قاعدة کلیّة</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والسؤال المطروح هنا أنّه لِمَ لم ینظروا إلی هذه العبارة علی أنّها قاعدة کلیّة مع شمول هذه القاعدة علی الدخول فی الغیر؟ وهل یمکن الالتزام بوجود الاختلاف بین هاتین القاعدتین أو لابدّ من حمل موثّقة ابن أبی یعفور علی هذا العنوان بقرینة روایة إسماعیل بن 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سلّمنا بأنّ عنوان الدخول فی الغیر قید تعبّدی احترازی وجب تقیید جمیع الروایات المطلّقة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ظهر من هذا کلّه أنّ مقتضی التحقیق هو أنّ هذا العنوان إنّما هو بمنزلة قید توضیحی من العناوین الموجبة لتحقّق المضیّ والخروج من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أنّه من علامات الخروج من الشیء ولاسیّما إذا فسرّنا الغیر بالمعنی العام کان الأمر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فإنّ الدخول فی الغیر کما هو شرطٌ عقلی فی قاعدة التجاوز فکذلک هو شرط عقلی فی قاعدة الفراغ، ومن البعید عن الذوق الفقهی أن یعتبر هذا الشرط فی القاعدتین لکن نراه عنواناً تعبّدیاً فی إحداهما وعنواناً عقلیاً فی الأخری کما صرّح بذلک المحقق النائینی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هذا ظهر عدم صحّة ما تمسّک بعض المحققیّن بموثقة ابن أبی یعفور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شککت فی شیءٍ من الوضوء وقد دخلت فی غیره فلیس شکک بشیءٍ إنّما الشکّ إذا کنت فی شیءٍ لم تجزه</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استفادة أنّ قید الدخول فی الغیر قید تعبّدی وأنّ الدخول فی الغیر معتبر فی جریان قاعدة الفراغ فی باب الوضوء وغیر معتبر فی سائر الواجبات کالصلاة</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تقیید فی باب الصلاة بالدخول فی الغیر فیقوی القول بکفایة الفراغ فی الصلاة دون الوضوء</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لأن عنوان الدخول فی الغیر بصفته أمراً واقعیاً وخارجیاً له مدخلیة فی حقیقة المضیّ والفراغ والتجاوز وللغیر معنی عام یشمل السکوت الطویل أیضاً وبعبارة أخری أنّ الغیر هو کلّ أمر وجودی أو عدمی ینافی الشیء المشکوک ویخالفه شرعاً</w:t>
      </w:r>
      <w:r>
        <w:rPr>
          <w:rFonts w:eastAsia="IRNazanin" w:cs="IRNazanin"/>
          <w:color w:val="111111"/>
          <w:sz w:val="28"/>
          <w:szCs w:val="28"/>
          <w:rtl w:val="true"/>
          <w:lang w:bidi="fa-IR"/>
        </w:rPr>
        <w:t>.</w:t>
      </w:r>
      <w:bookmarkStart w:id="351" w:name="pg5466_52935"/>
    </w:p>
    <w:p>
      <w:pPr>
        <w:pStyle w:val="BookText"/>
        <w:rPr/>
      </w:pPr>
      <w:bookmarkEnd w:id="351"/>
      <w:r>
        <w:rPr>
          <w:rFonts w:ascii="IRNazanin" w:hAnsi="IRNazanin" w:eastAsia="IRNazanin"/>
          <w:color w:val="111111"/>
          <w:sz w:val="28"/>
          <w:sz w:val="28"/>
          <w:szCs w:val="28"/>
          <w:rtl w:val="true"/>
          <w:lang w:bidi="fa-IR"/>
        </w:rPr>
        <w:t>ولعلّ بهذا البیان یُستنتج أنّ أساس هذا النزاع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بین اعتبار الدخول فی الغیر وعدم اعتباره</w:t>
      </w:r>
      <w:r>
        <w:rPr>
          <w:rFonts w:eastAsia="IRNazanin" w:cs="IRNazanin"/>
          <w:color w:val="111111"/>
          <w:sz w:val="28"/>
          <w:szCs w:val="28"/>
          <w:rtl w:val="true"/>
          <w:lang w:bidi="fa-IR"/>
        </w:rPr>
        <w:t>.</w:t>
      </w:r>
    </w:p>
    <w:p>
      <w:pPr>
        <w:pStyle w:val="Heading2"/>
        <w:numPr>
          <w:ilvl w:val="1"/>
          <w:numId w:val="1"/>
        </w:numPr>
        <w:rPr/>
      </w:pPr>
      <w:bookmarkStart w:id="352" w:name="__RefHeading___Toc2082514_581953129"/>
      <w:bookmarkStart w:id="353" w:name="_Toc135"/>
      <w:bookmarkEnd w:id="352"/>
      <w:r>
        <w:rPr>
          <w:rtl w:val="true"/>
        </w:rPr>
        <w:t xml:space="preserve">جریان قاعدة التجاوز والفراغ فی الشکّ فی الشروط </w:t>
      </w:r>
      <w:r>
        <w:rPr>
          <w:rtl w:val="true"/>
        </w:rPr>
        <w:t>:</w:t>
      </w:r>
      <w:bookmarkEnd w:id="353"/>
    </w:p>
    <w:p>
      <w:pPr>
        <w:pStyle w:val="BookText"/>
        <w:rPr/>
      </w:pPr>
      <w:r>
        <w:rPr>
          <w:rFonts w:ascii="IRNazanin" w:hAnsi="IRNazanin" w:eastAsia="IRNazanin"/>
          <w:color w:val="111111"/>
          <w:sz w:val="28"/>
          <w:sz w:val="28"/>
          <w:szCs w:val="28"/>
          <w:rtl w:val="true"/>
          <w:lang w:bidi="fa-IR"/>
        </w:rPr>
        <w:t>ظهر ممّا سبق أنّه لاشکّ فی جریان قاعدة التجاوز فی الأجزاء أثناء الصلاة لکن النزاع والبحث فی جریان هذه القاعدة عند الشک فی الشروط أثناء الصلاة أو بعدها؟ وهل تجری قاعدة الفراغ فی الشک فی الشروط؟</w:t>
      </w:r>
    </w:p>
    <w:p>
      <w:pPr>
        <w:pStyle w:val="Heading2"/>
        <w:numPr>
          <w:ilvl w:val="1"/>
          <w:numId w:val="1"/>
        </w:numPr>
        <w:rPr/>
      </w:pPr>
      <w:bookmarkStart w:id="354" w:name="__RefHeading___Toc2082516_581953129"/>
      <w:bookmarkStart w:id="355" w:name="_Toc136"/>
      <w:bookmarkEnd w:id="354"/>
      <w:r>
        <w:rPr>
          <w:rtl w:val="true"/>
        </w:rPr>
        <w:t>تحلیل الاحتمالات الموجودة فی المسألة</w:t>
      </w:r>
      <w:r>
        <w:rPr>
          <w:rtl w:val="true"/>
        </w:rPr>
        <w:t>:</w:t>
      </w:r>
      <w:bookmarkEnd w:id="355"/>
    </w:p>
    <w:p>
      <w:pPr>
        <w:pStyle w:val="BookText"/>
        <w:rPr/>
      </w:pPr>
      <w:r>
        <w:rPr>
          <w:rFonts w:ascii="IRNazanin" w:hAnsi="IRNazanin" w:eastAsia="IRNazanin"/>
          <w:color w:val="111111"/>
          <w:sz w:val="28"/>
          <w:sz w:val="28"/>
          <w:szCs w:val="28"/>
          <w:rtl w:val="true"/>
          <w:lang w:bidi="fa-IR"/>
        </w:rPr>
        <w:t>فی هذا البحث احتمالات بل أقوال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 بعضهم إلی أنّ قاعدة التجاوز لا تجری فی أیّ شرط من الشروط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 آخرون منهم الشیخ محمد حسین کاشف الغطاء فی حاشیته علی العروة إلی جریان هذه القاعدة فی جمیع الشروط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 الکثیر من الفقهاء والأعاظم إلی التفصیل بین أنواع الشروط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لتوضیح هذا التفصیل لابدّ من بیان أقسام الشروط فإنّ المحقّقین ذکروا أقساماً، ثلاثة أقسام عند بعضهم وأربعة عند آخرین وأوصلها بعض الأعاظم کالمحقق العراقی إلی سبعة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المحقّق النائینی الشروط المعتبرة فی الصلاة إلی ثلاثة أقسام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شرط للأجزاء فی حال الصلاة کالطهارة والستر والاستقبال بمعنی وجوب اقتران کلٍّ من أجزاء الصلاة بهذه الشروط</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شرط عقلی للأجزاء أی ما یتوقّف علیه الأجزاء عقلاً بحیث لا یتحقّق الجزء من دون تلک الشروط کالموالاة بین حروف الکلمة الواحدة</w:t>
      </w:r>
      <w:r>
        <w:rPr>
          <w:rFonts w:eastAsia="IRNazanin" w:cs="IRNazanin"/>
          <w:color w:val="111111"/>
          <w:sz w:val="28"/>
          <w:szCs w:val="28"/>
          <w:rtl w:val="true"/>
          <w:lang w:bidi="fa-IR"/>
        </w:rPr>
        <w:t>.</w:t>
      </w:r>
      <w:bookmarkStart w:id="356" w:name="pg5466_52936"/>
    </w:p>
    <w:p>
      <w:pPr>
        <w:pStyle w:val="BookText"/>
        <w:rPr/>
      </w:pPr>
      <w:bookmarkEnd w:id="356"/>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شرط شرعی للأجزاء کالجهر والإخفات وهما شرطان للقراءة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الأول أی ما هو شرط للأجزاء حال الصلاة فهو علی قسمین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محلّ مقرّر شرعاً وهو لا یستبعد أن تکون الطهارة من الحدث من هذا القسم ویستفاد من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إِلَی الصَّلاَةِ فَاغْسِلُوا وُجُوهَکُمْ</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أن محلّ الطهارة قبل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لیس له محلّ شرعاً کالاستقبال والستر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وینقسم کلّ من هذین القسمین علی نوعین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یُشکّ فیه أثناء المشروط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یُشک فیه بعد الفراغ من المشروط</w:t>
      </w:r>
      <w:r>
        <w:rPr>
          <w:rFonts w:eastAsia="IRNazanin" w:cs="IRNazanin"/>
          <w:color w:val="111111"/>
          <w:sz w:val="28"/>
          <w:szCs w:val="28"/>
          <w:rtl w:val="true"/>
          <w:lang w:bidi="fa-IR"/>
        </w:rPr>
        <w:t>.</w:t>
      </w:r>
    </w:p>
    <w:p>
      <w:pPr>
        <w:pStyle w:val="Heading2"/>
        <w:numPr>
          <w:ilvl w:val="1"/>
          <w:numId w:val="1"/>
        </w:numPr>
        <w:rPr/>
      </w:pPr>
      <w:bookmarkStart w:id="357" w:name="__RefHeading___Toc2082518_581953129"/>
      <w:bookmarkStart w:id="358" w:name="_Toc137"/>
      <w:bookmarkEnd w:id="357"/>
      <w:r>
        <w:rPr>
          <w:rtl w:val="true"/>
        </w:rPr>
        <w:t>دراسة حکم القسم الأول</w:t>
      </w:r>
      <w:r>
        <w:rPr>
          <w:rtl w:val="true"/>
        </w:rPr>
        <w:t>:</w:t>
      </w:r>
      <w:bookmarkEnd w:id="3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الشرط الشرعی المتعلّق بمجموع العمل ذو المحلّ المعیّن فی أثناء المشروط وهو قابل لأنْ یرادَ مستقلاً نظیر الأعمال المستحبّة المستقلّة کالطهارة من الحدث التی هی شرط لصحة الصلاة وکصلاة الظهر التی هی شرط لصحة صلاة العصر حسبما یستفاد من أدلّة وجوب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فالمثالان لهذا القسم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یشکّ أثناء الصلاة فی الإتیان بالطهارة الحدثیة التی هی شروط صحّة الصلاة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یشکّ فی صلاة العصر أنّه هل صلّی الظهر أولا؟</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والسؤال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تجری قاعدة التجاوز فی هذین الموردین؟ وعلی فرض</w:t>
      </w:r>
    </w:p>
    <w:p>
      <w:pPr>
        <w:pStyle w:val="BookText"/>
        <w:rPr/>
      </w:pPr>
      <w:r>
        <w:rPr>
          <w:rFonts w:ascii="IRNazanin" w:hAnsi="IRNazanin" w:eastAsia="IRNazanin"/>
          <w:color w:val="111111"/>
          <w:sz w:val="28"/>
          <w:sz w:val="28"/>
          <w:szCs w:val="28"/>
          <w:rtl w:val="true"/>
          <w:lang w:bidi="fa-IR"/>
        </w:rPr>
        <w:t>جریانها فهل یترتب علیها جمیع آثار وجود الشرط أو فقط تلک الآثار التی کان المکلّف مشتغلاً بها أمّا سائر الأعمال فلا یترتّب آثارها؟ فلو التزمنا بعدم جریان قاعدة التجاوز وجب علی من شکّ فی الطهارة الحدثیة أثناء الاشتغال بالصلاة أن یقطع صلاته ویتوضأ ثم یصلّی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التزمنا بجریان قاعدة التجاوز والتزمنا بترتّب جمیع الآثار حکمنا بصّحة تلک الصلاة کما لا حاجة إلی التوضؤ فی الصلوات القادمة، لکن لو التزمنا بجریان قاعدة التجاوز بالنسبة إلی الفعل الذی یشتغل به المکلّف حکمنا بصحّة تلک الصلاة فقط ولابدّ من التوضؤ للصلوات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الأقوال فی القسم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الأنسب هنا قبل تحقیق المسألة أن نشیر إلی الاحتمالات بل الأقوال 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جریان قاعدة التجاوز فی الشکّ فی أثناء المشروط سواء کان الشرط عقلیاً أم شرعیاً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الفراغ من العمل فتجری قاعدة التجاوز فی الشروط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تجری فی المشروط نفسه إن کان الشرط عقلیاً</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للشروط أقسام أربعة لابدّ من التفصیل بینها فی جریان قاعدة التجاوز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الشروط التی لها عنوان زائد علی شرطیتها مضافاً إلی الشرطیة کأجزاء الصلاة فهی مأمور بها بأنفسها وشروط أیضاً لغیرها</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إشکال فی جریان قاعدة التجاوز فی هذا القسم وهی تصحّح ذلک الجزء تعبّداً لیکون شرطاً للأجزاء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الشروط المتمحضّة فی الشرطیة ولها وجود واحد مستمر وهی شروط علی نحو الوجود المجموعی لکلّ جزءٍ من أجزاء المرکّب کالاستقبال ولا تجری قاعدة التجاوز فی هذا القسم من الشروط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الشروط التی لها جهة الشرطیة فقط وهی شروط لکل جزءٍ فی ظرف ذلک الجزء کالستر ولا مانع من جریان قاعدة التجاوز فی هذا القسم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الشروط التی لها جهة الشرطیة لکن لابدّ من إحرازها قبل العمل کالوضوء والحقّ هنا عدم جریان القاعدة إذ لا طائل من جریانها، وهذا التفصیل ما ذهب إلیه المحقّق الروحانی</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دراسة رأی المحقّق النائینی</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قد ذکر فی هذا المجال ثلاثة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یجب ترتیب جمیع آثار وجود الشرط علی مبنی کون قاعدة التجاوز من الأصول المحرزة ففی المثال السابق لابدّ من الحکم بصحّة صلاة الظهر وعدم الحاجة إلی الوضوء الجدید فی الصلوات اللاحقة لکنّ الالتزام بهذه النتیجة فی غایة الإشکال</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التزمنا بعدم جریان قاعدة التجاوز فی هذا المورد إطلاقاً وحصرنا مجری هذه القاعدة بالشکّ فی الأجزاء أو الشروط التی لا تتعلّق بها الإرادة الاستقلالیة زاد الإشکال هنا أکثر من إشکال الأمر الأوّل إذ أنّ الشکّ فی الطهارة من الحدث لیس بأقلّ من الشکّ فی الأذان والإقامة وهما من المستحبّات الخارجة من الصلاة</w:t>
      </w:r>
      <w:r>
        <w:rPr>
          <w:rFonts w:eastAsia="IRNazanin" w:cs="IRNazanin"/>
          <w:color w:val="111111"/>
          <w:sz w:val="28"/>
          <w:szCs w:val="28"/>
          <w:rtl w:val="true"/>
          <w:lang w:bidi="fa-IR"/>
        </w:rPr>
        <w:t>.</w:t>
      </w:r>
      <w:bookmarkStart w:id="359" w:name="pg5466_52939"/>
    </w:p>
    <w:p>
      <w:pPr>
        <w:pStyle w:val="BookText"/>
        <w:rPr/>
      </w:pPr>
      <w:bookmarkEnd w:id="359"/>
      <w:r>
        <w:rPr>
          <w:rFonts w:ascii="IRNazanin" w:hAnsi="IRNazanin" w:eastAsia="IRNazanin"/>
          <w:color w:val="111111"/>
          <w:sz w:val="28"/>
          <w:sz w:val="28"/>
          <w:szCs w:val="28"/>
          <w:rtl w:val="true"/>
          <w:lang w:bidi="fa-IR"/>
        </w:rPr>
        <w:t>وبعبارة أخری لابدّ من الالتزام بأنّ ملاک جریان قاعدة التجاوز أن یمکن تعلّق الإرادة التبعیّة بالمشکوک لا أن یقال بوجوب تعلّق الإرادة التبعیة بالمورد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الراجح فی النظر هو أن نختار الحدّ الوسط بین الأمر الأول والأمر الثانی بأن نلتزم بجریان قاعدة التجاوز فی خصوص العمل الذی یشتغل به المکلف دون الأعمال اللاحقة، وعلیه فلابدّ فی المثال الأوّل من إکمال الصلاة والحکم علیها بالصحّة، أمّا الصلوات اللاحقة فیجب علیه أن یتوضّأ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المثال الثانی لو کان الوقت باقیاً وجب إکمال الصلاة بنیّة صلاة الظهر ثم یصلّی العصر وأمّا مع ضیق الوقت فلابد من إکمال تلک الصلاة بنیّة صلاة العصر ویبنی علی أنّه قد أتی بصلاة الظهر اعتماداً علی قاعدة التجاوز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الختام بأنّ المسألة تحتاج إلی تأمّلٍ أکثر</w:t>
      </w:r>
      <w:r>
        <w:rPr>
          <w:rFonts w:eastAsia="IRNazanin" w:cs="IRNazanin"/>
          <w:color w:val="111111"/>
          <w:sz w:val="28"/>
          <w:szCs w:val="28"/>
          <w:rtl w:val="true"/>
          <w:lang w:bidi="fa-IR"/>
        </w:rPr>
        <w:t>.</w:t>
      </w:r>
    </w:p>
    <w:p>
      <w:pPr>
        <w:pStyle w:val="Heading2"/>
        <w:numPr>
          <w:ilvl w:val="1"/>
          <w:numId w:val="1"/>
        </w:numPr>
        <w:rPr/>
      </w:pPr>
      <w:bookmarkStart w:id="360" w:name="__RefHeading___Toc2082520_581953129"/>
      <w:bookmarkStart w:id="361" w:name="_Toc138"/>
      <w:bookmarkEnd w:id="360"/>
      <w:r>
        <w:rPr>
          <w:rtl w:val="true"/>
        </w:rPr>
        <w:t>مناقشة نظریة المحقق النائینی</w:t>
      </w:r>
      <w:r>
        <w:rPr>
          <w:rtl w:val="true"/>
        </w:rPr>
        <w:t>:</w:t>
      </w:r>
      <w:bookmarkEnd w:id="361"/>
    </w:p>
    <w:p>
      <w:pPr>
        <w:pStyle w:val="BookText"/>
        <w:rPr/>
      </w:pPr>
      <w:r>
        <w:rPr>
          <w:rFonts w:ascii="IRNazanin" w:hAnsi="IRNazanin" w:eastAsia="IRNazanin"/>
          <w:color w:val="111111"/>
          <w:sz w:val="28"/>
          <w:sz w:val="28"/>
          <w:szCs w:val="28"/>
          <w:rtl w:val="true"/>
          <w:lang w:bidi="fa-IR"/>
        </w:rPr>
        <w:t>هناک عدة إشکالات یمکن إیرادها علی کلام المحقّق النائینی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مقتضی الصناعة فی البحث أن نبحث هذا الفرض علی جمیع المبانی بمعنی أنّه لابدّ من البحث فی النتیجة تارةً علی القول باتّحاد قاعدتی الفراغ والتجاوز، وتارةً علی القول بتغایرهما وتعدّدهما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جعلناهما قاعدة واحدة والعنوان المشترک والوجه الجامع بینهما هو التجاوز أی عدم الاعتناء بالشک بعد التجاوز عن الشیء أو عن محلّ الشیء فإنّ هذا العنوان ینطبق علی ما نحن فیه بکلّ وضوح لحصول التجاوز عن محل الشیء وهو وقوع الطهارة قبل الدخول فی الصلاة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جعلنا العنوان المشترک هو الفراغ أی عدم الاعتناء بالشک فی الشیء بعد</w:t>
      </w:r>
    </w:p>
    <w:p>
      <w:pPr>
        <w:pStyle w:val="BookText"/>
        <w:rPr/>
      </w:pPr>
      <w:r>
        <w:rPr>
          <w:rFonts w:ascii="IRNazanin" w:hAnsi="IRNazanin" w:eastAsia="IRNazanin"/>
          <w:color w:val="111111"/>
          <w:sz w:val="28"/>
          <w:sz w:val="28"/>
          <w:szCs w:val="28"/>
          <w:rtl w:val="true"/>
          <w:lang w:bidi="fa-IR"/>
        </w:rPr>
        <w:t>الفراغ منه لم یجز لنا إجراء هذه القاعدة فیما نحن فیه إذ الفراغ من الشیء إنّما هو فیما لو کان حدوث الشیء أمراً متیقّناً، فلو شککنا بعد الفراغ منه فی صحته أو وجود جزءٍ من الأجزاء حکمنا بصحّة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أنّ ما نحن فیه هو الشک فی أثناء المشروط مع أنّ قاعدة الفراغ إنّما تجری بعد الانتهاء من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أنّه إن جعلنا العنوان المشترک عدم الاعتناء بعد التجاوز عن الشیء أو محل الشیء جرت القاعدة فیما نحن فیه وإن جعلناه عدم الاعتناء بالشک بعد الفراغ من الشیء لم تجر هذه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لو اعتبرنا القاعدتین مستقلتین ومتغایرتین وجب الرجوع إلی أدلّة کلّ من القاعدتین علی نحو الاستقلال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ذکرنا سابقاً بأنّ قاعدة الفراغ ترتبط بالشک بعد انتهاء العمل فهی لا تجری فی هذا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قاعدة التجاوز فلمّا کانت أمراً تعبّدیاً وجب الاقتصار علی مورد التعبّد هو جریان القاعدة فی الشک فی الأجزاء، ویستفاد من الأدلّة الخاصّة عدم جریان هذه القاعدة فی الشکّ فی الشرط</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تفضّل به المحقّق النائینی من أنّ الشک فی الطهارة من الحدث لیس بأقلّ من الشکّ فی الأذان والإقامة فبعید جدّاً إذ یمکن القول بأنّ المستفاد من روایات قاعدة التجاوز أنّ فی المرکب إذا انتقل المکلّف إلی الجزء الآخر وشکّ فی الجزء السابق کان محکوماً بالصحّة، والأذان والإقامة بمنزلة أجزاء الصلاة المرتبطة بها إلاّ أنّ الطهارة من الحدث فعلٌ خارج من المرکّب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ولها عنوان الشرطیة</w:t>
      </w:r>
      <w:r>
        <w:rPr>
          <w:rFonts w:eastAsia="IRNazanin" w:cs="IRNazanin"/>
          <w:color w:val="111111"/>
          <w:sz w:val="28"/>
          <w:szCs w:val="28"/>
          <w:rtl w:val="true"/>
          <w:lang w:bidi="fa-IR"/>
        </w:rPr>
        <w:t>.</w:t>
      </w:r>
      <w:bookmarkStart w:id="362" w:name="pg5466_52941"/>
    </w:p>
    <w:p>
      <w:pPr>
        <w:pStyle w:val="BookText"/>
        <w:rPr/>
      </w:pPr>
      <w:bookmarkEnd w:id="362"/>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لم یقدّم أیّ دلیل علی الأمور الثلاثة التی ذکرها بل اکتفی بکون کلٍّ واحدٍ منها أمراً مشکلاً والمفروض أن نعرف ما هو مقتضی أدلّة هاتین القاعدتین؟ فهو لم یقدّم الدلیل حتّی علی الأمر الثالث الذی کان راجحاً برأیه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القول بانّ الأمر الأول والثانی فی کلماته لم یکونا متوافقین مع الذوق الفقهی أو أنّ أحداً من الفقهاء لم یلتزم بهما</w:t>
      </w:r>
      <w:r>
        <w:rPr>
          <w:rFonts w:eastAsia="IRNazanin" w:cs="IRNazanin"/>
          <w:color w:val="111111"/>
          <w:sz w:val="28"/>
          <w:szCs w:val="28"/>
          <w:rtl w:val="true"/>
          <w:lang w:bidi="fa-IR"/>
        </w:rPr>
        <w:t>.</w:t>
      </w:r>
    </w:p>
    <w:p>
      <w:pPr>
        <w:pStyle w:val="Heading2"/>
        <w:numPr>
          <w:ilvl w:val="1"/>
          <w:numId w:val="1"/>
        </w:numPr>
        <w:rPr/>
      </w:pPr>
      <w:bookmarkStart w:id="363" w:name="__RefHeading___Toc2082522_581953129"/>
      <w:bookmarkStart w:id="364" w:name="_Toc139"/>
      <w:bookmarkEnd w:id="363"/>
      <w:r>
        <w:rPr>
          <w:rtl w:val="true"/>
        </w:rPr>
        <w:t>بحث نظریة المحقق العراقی</w:t>
      </w:r>
      <w:r>
        <w:rPr>
          <w:rtl w:val="true"/>
        </w:rPr>
        <w:t>:</w:t>
      </w:r>
      <w:bookmarkEnd w:id="364"/>
    </w:p>
    <w:p>
      <w:pPr>
        <w:pStyle w:val="Heading3"/>
        <w:numPr>
          <w:ilvl w:val="2"/>
          <w:numId w:val="1"/>
        </w:numPr>
        <w:rPr/>
      </w:pPr>
      <w:bookmarkStart w:id="365" w:name="__RefHeading___Toc2082524_581953129"/>
      <w:bookmarkStart w:id="366" w:name="_Toc140"/>
      <w:bookmarkEnd w:id="365"/>
      <w:r>
        <w:rPr>
          <w:rtl w:val="true"/>
        </w:rPr>
        <w:t>اشارة</w:t>
      </w:r>
      <w:bookmarkEnd w:id="366"/>
    </w:p>
    <w:p>
      <w:pPr>
        <w:pStyle w:val="BookText"/>
        <w:rPr/>
      </w:pPr>
      <w:r>
        <w:rPr>
          <w:rFonts w:ascii="IRNazanin" w:hAnsi="IRNazanin" w:eastAsia="IRNazanin"/>
          <w:color w:val="111111"/>
          <w:sz w:val="28"/>
          <w:sz w:val="28"/>
          <w:szCs w:val="28"/>
          <w:rtl w:val="true"/>
          <w:lang w:bidi="fa-IR"/>
        </w:rPr>
        <w:t>ذهب المحقّق العراقی</w:t>
      </w:r>
      <w:r>
        <w:rPr>
          <w:rStyle w:val="FootnoteAnchor"/>
          <w:rtl w:val="true"/>
        </w:rPr>
        <w:footnoteReference w:id="301"/>
      </w:r>
      <w:r>
        <w:rPr>
          <w:rFonts w:ascii="IRNazanin" w:hAnsi="IRNazanin" w:eastAsia="IRNazanin"/>
          <w:color w:val="111111"/>
          <w:sz w:val="28"/>
          <w:sz w:val="28"/>
          <w:szCs w:val="28"/>
          <w:rtl w:val="true"/>
          <w:lang w:bidi="fa-IR"/>
        </w:rPr>
        <w:t>إلی عدم جریان قاعدة التجاوز فی الشک فی الشرط الشرعی أثناء المشروط کما فی المثالین السابقین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ویبدو أنّ المحقّق العراقی دخل فی هذا البحث بشکل أدقّ من المحقق النائینی لأنّه تابع المسألة بالنسبة إلی کلٍ من قاعدة التجاوز وقاعدة الفراغ علی نحو الاستقلال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هنا نلخّص کلامه فی مطلبین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قاعدة التجاوز إنّما تجری فیما یصدق عنوان التجاوز عن المحل ولا یصدق التجاوز عن المحلّ بحسب الذات فی صلاة العصر بالنسبة إلی صلاة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یصدق التجاوز هنا من جهة أنّ لتقدّم الظهر شرطیة لصلاة العصر وهذا غیر کاف</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 إنّ صلاة الظهر بحسب نفسها لا محلّ لها مقرّراً شرعاً، ومن هنا فلو أنّ المکلّف قد صلّی العصر ثمّ تذکّر أنّه لم یأت بصلاة الظهر وجب علیه أن یصلّی صلاة واحدة بنیّة صلاة الظهر لأنّ الترتیب بین صلاتی الظهر والعصر</w:t>
      </w:r>
    </w:p>
    <w:p>
      <w:pPr>
        <w:pStyle w:val="BookText"/>
        <w:rPr/>
      </w:pPr>
      <w:r>
        <w:rPr>
          <w:rFonts w:ascii="IRNazanin" w:hAnsi="IRNazanin" w:eastAsia="IRNazanin"/>
          <w:color w:val="111111"/>
          <w:sz w:val="28"/>
          <w:sz w:val="28"/>
          <w:szCs w:val="28"/>
          <w:rtl w:val="true"/>
          <w:lang w:bidi="fa-IR"/>
        </w:rPr>
        <w:t>ترتیب ذکری لا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قد استنتج من هذا المطلب بأنّ مَن یعتقد فی هذا المثال بوجوب البناء من جهة علی وجود الظهر وإنّ هذه الصلاة إنّما یؤتی بها بنیّة العصر، ومن جهة أخری لو کان الوقت باقیاً بعد الإتیان بالصلاة وجب الإتیان بصلاة الظهر بمقتضی استصحاب عدم إتیانها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تنافی بین هاتین الجهتین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قاعدة التجاوز واستصحاب عدم إتیان الظهر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اشتهر من حکومة قاعدة التجاوز علی استصحاب العدم فلا ینطبق علی هذا المثال بالنسبة إلی صلاة الظهر فلا حکومة هنا، نعم لقاعدة التجاوز حکومة بالنسبة إلی شرطیة تقدّم صلاة الظهر علی صلاة العصر فإنّ العلم الإجمالی بکذب أحدهما موجود، إمّا أولاً فلا یستلزم محذور المخالفة العملیة، وثانیاً لا مانع بالتفکیک بین المتلازمین فی الأحکام الظاهریة، ولهذا التفکیک موارد کثیرة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فیه البحث من خلال مثالین علی نحو الاستقلال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المثال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استفدنا وجوب الترتیب من أدلّة صلاتی الظهر والعصر نستفید من أدلّة مشروعیة العدول فیما لو اشتغل بصلاة العصر وتذکّر أنّه نسی الظهر وجب العدول إلی صلاة الظهر، یستفاد من ذلک شرطیة تقدّم صلاة الظهر علی صلاة العصر بالنسبة إلی جمیع أجزائها بمعنی أنّ کلّ جزء من أجزاء صلاة العصر مشروط مستقلاً، ویستفاد من هذه الشرطیة اشتراطات متعدّدة بحسب تعدّد الأجزاء</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 أنّه لا وجود لمشروط واحد اسمه صلاة العصر وهی لا تلاحظ علی أنها عمل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اتّضح ذلک استنتجنا أنّ فی أثناء صلاة العصر لا إشکال فی إجراء قاعدة التجاوز فی الأجزاء السابقة لصدق التجاوز عن المحلّ بالنسبة إلیها لکن لا یمکن إجراء قاعدة التجاوز فی الأجزاء اللاحقة إذ لم یصدق فی حقّها عنوان التجاوز عن المحلّ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والنتیجة الأخیرة أنّ بعد عدم جریان قاعدة التجاوز یجب علی المکلّف العدول إلی صلاة الظهر وإکمال الصلاة بنیّة الظهر ثم الإتیان بصلاة أخری بنیّة صلاة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یجیب عن هذا الإشکال بأنّه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مجری أدلّة العدول ما کان المکلّف منشغلاً بصلاة العصر وتیقّن بعدم إتیان الظهر، أمّا ما لو شک فیه فهو خارج عن دائرة أدلة العدول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العدول من لوازم عدم الإتیان الواقعی لصلاة الظهر أمّا العلم والیقین فهو مجرّد طریق ولمّا أحرزنا عدم إتیان الظهر بواسطة استصحاب العدم وجب العدول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والنقطة الأساسیة فی کلامه فی هذا البحث هی أنّ قاعدة التجاوز غیر قابلة للجریان فی هذا المثال من الأساس لعدم صدق عنوان التجاوز عن المحلّ علی الأجزاء المتبقیّة من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المثال الثانی</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شرطیة الطهارة للصلاة والشک أثناء الصلاة فی أنّه علی طهارة أولا؟ لو اعتبرنا الوضوء الخارجی شرطاً وجعلنا الصلاة علی أنّها فعل واحد مشروطاً بحیث لا تجعل کلّ جزء من أجزائها مستقلاً مشروطاً صدق التجاوز عن المحلّ بهذین القیدین وجرتْ قاعدة التجاوز، وعلیه فلابدّ من عدم الاعتناء بهذا الشک</w:t>
      </w:r>
      <w:bookmarkStart w:id="367" w:name="pg5466_52944"/>
    </w:p>
    <w:p>
      <w:pPr>
        <w:pStyle w:val="BookText"/>
        <w:rPr/>
      </w:pPr>
      <w:bookmarkEnd w:id="367"/>
      <w:r>
        <w:rPr>
          <w:rFonts w:ascii="IRNazanin" w:hAnsi="IRNazanin" w:eastAsia="IRNazanin"/>
          <w:color w:val="111111"/>
          <w:sz w:val="28"/>
          <w:sz w:val="28"/>
          <w:szCs w:val="28"/>
          <w:rtl w:val="true"/>
          <w:lang w:bidi="fa-IR"/>
        </w:rPr>
        <w:t>فی أثناء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اعتبرنا الوضوء الخارجی شرطاً ولم نجعل مجموع الصلاة مشروطاً بل کلّ جزء من أجزاء الصلاة تعنون بعنوان المشروط لم تجر هنا قاعدة التجاوز ولابدّ من قطع الصلاة عند الشک فی أثناء الصلاة فیجب التوضؤ من جدید والإتیان بصلاة جدیدة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اعتبرنا الشرط ما هو مسبّب عن الوضوء أی الطهارة القلبیة کان هذا الشرط من الشروط المقارنة للصلاة کالستر والاستقبال لکنّه یعتقد بأن المستفاد من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إِلَی الصَّلاَةِ فَاغْسِلُوا وُجُوهَکُمْ</w:t>
      </w:r>
      <w:r>
        <w:rPr>
          <w:rFonts w:eastAsia="Amiri" w:cs="Amiri" w:ascii="Amiri" w:hAnsi="Amiri"/>
          <w:color w:val="111111"/>
          <w:sz w:val="28"/>
          <w:szCs w:val="28"/>
          <w:rtl w:val="true"/>
          <w:lang w:bidi="ar-SA"/>
        </w:rPr>
        <w:t xml:space="preserve">) </w:t>
      </w:r>
      <w:r>
        <w:rPr>
          <w:rStyle w:val="FootnoteAnchor"/>
          <w:rtl w:val="true"/>
        </w:rPr>
        <w:footnoteReference w:id="302"/>
      </w:r>
      <w:r>
        <w:rPr>
          <w:rFonts w:ascii="IRNazanin" w:hAnsi="IRNazanin" w:eastAsia="IRNazanin"/>
          <w:color w:val="111111"/>
          <w:sz w:val="28"/>
          <w:sz w:val="28"/>
          <w:szCs w:val="28"/>
          <w:rtl w:val="true"/>
          <w:lang w:bidi="fa-IR"/>
        </w:rPr>
        <w:t>هو أنّ الشرط إنّما هو الوضوء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المستفاد من روایة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Style w:val="FootnoteAnchor"/>
          <w:rtl w:val="true"/>
        </w:rPr>
        <w:footnoteReference w:id="303"/>
      </w:r>
      <w:r>
        <w:rPr>
          <w:rFonts w:ascii="IRNazanin" w:hAnsi="IRNazanin" w:eastAsia="IRNazanin"/>
          <w:color w:val="111111"/>
          <w:sz w:val="28"/>
          <w:sz w:val="28"/>
          <w:szCs w:val="28"/>
          <w:rtl w:val="true"/>
          <w:lang w:bidi="fa-IR"/>
        </w:rPr>
        <w:t>أنّ الشرط هو الطهارة والوضوء الخارجی یوجب تحقّق هذه الطهارة القلبیة وعلیه فلا محل معیّن شرعاً لشرط الطهارة فلا تجری قاعدة التجاوز</w:t>
      </w:r>
      <w:r>
        <w:rPr>
          <w:rFonts w:eastAsia="IRNazanin" w:cs="IRNazanin"/>
          <w:color w:val="111111"/>
          <w:sz w:val="28"/>
          <w:szCs w:val="28"/>
          <w:rtl w:val="true"/>
          <w:lang w:bidi="fa-IR"/>
        </w:rPr>
        <w:t>.</w:t>
      </w:r>
    </w:p>
    <w:p>
      <w:pPr>
        <w:pStyle w:val="Heading3"/>
        <w:numPr>
          <w:ilvl w:val="2"/>
          <w:numId w:val="1"/>
        </w:numPr>
        <w:rPr/>
      </w:pPr>
      <w:bookmarkStart w:id="368" w:name="__RefHeading___Toc2082526_581953129"/>
      <w:bookmarkStart w:id="369" w:name="_Toc141"/>
      <w:bookmarkEnd w:id="368"/>
      <w:r>
        <w:rPr>
          <w:rtl w:val="true"/>
        </w:rPr>
        <w:t>الإشکالات علی نظریة المحقق العراقی</w:t>
      </w:r>
      <w:r>
        <w:rPr>
          <w:rtl w:val="true"/>
        </w:rPr>
        <w:t>:</w:t>
      </w:r>
      <w:bookmarkEnd w:id="369"/>
    </w:p>
    <w:p>
      <w:pPr>
        <w:pStyle w:val="BookText"/>
        <w:rPr/>
      </w:pPr>
      <w:r>
        <w:rPr>
          <w:rFonts w:ascii="IRNazanin" w:hAnsi="IRNazanin" w:eastAsia="IRNazanin"/>
          <w:color w:val="111111"/>
          <w:sz w:val="28"/>
          <w:sz w:val="28"/>
          <w:szCs w:val="28"/>
          <w:rtl w:val="true"/>
          <w:lang w:bidi="fa-IR"/>
        </w:rPr>
        <w:t>الظاهر أنّ کلام المحقق العراقی أیضاً لا یخلو من إشکالات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صوّر المشروط فی المثالین علی نحو المتعدّد وجعل کلّ جزءٍ من أجزاء صلاة العصر مشروطاً مستقلاً لشرطیة صلاة الظهر، کما صوّر کلّ جزء من أجزاء الصلاة مشروطاً مستقلاً للطهارة</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بعید جدّاً بل خلاف ظاهر الأدلّة لأنّ الشارع جعل الصلاة عملاً واحداً واعتبرهما شیئاً واحداً والشاهد علی ذلک هو أنّ المکلّف لو فقد الطهارة فی أحد</w:t>
      </w:r>
    </w:p>
    <w:p>
      <w:pPr>
        <w:pStyle w:val="BookText"/>
        <w:rPr/>
      </w:pPr>
      <w:r>
        <w:rPr>
          <w:rFonts w:ascii="IRNazanin" w:hAnsi="IRNazanin" w:eastAsia="IRNazanin"/>
          <w:color w:val="111111"/>
          <w:sz w:val="28"/>
          <w:sz w:val="28"/>
          <w:szCs w:val="28"/>
          <w:rtl w:val="true"/>
          <w:lang w:bidi="fa-IR"/>
        </w:rPr>
        <w:t>السکونات المتخلّلة أثناء الصلاة لا یمکن الحکم علیه بأن یتوضّأ فی تلک الحالة ویکمّل صلاته ویُحکم بصحّة صلاته بل یکون مجموع الصلاة باطلاً ویجب استئناف الصلاة بعد أن یتوضّأ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 أنّه لم یُقمْ أیّ دلیلٍ علی مدّعاه فی أنّ کلّ جزءٍ من أجزاء الصلاة علی نحو الاستقلال یکون المشروط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ذهب صاحب منتقی الأصول إلی عدم جریان قاعدة التجاوز فی هذین المثالین ووافق المحقّق العراقی فی رأیه لکنّه جاء بذلک فی عبارة 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لأنّ ذات الشرط لا یکون مأموراً به بنفسه وإلاّ لکان دخیلاً فی المرکّب فیکون جزءاً وهو خلاف الفرض، وإنّما أخذ التقیید به دخیلاً وجزءاً فی الصلاة فالشرطیة تنتزع عن أخذ التقیید بالعمل ومعنی التقیید فی هذا النحو من الشروط هو کون العمل المرکّب مسبوقاً بالعمل وهو الوضوء فحیث إنّ العمل المرکّب عبارة عن أجزائه فکلّ جزءٍ أخذ فیه مسبوقیة بالوضوء فإحراز المسبوقیة بالقاعدة بالنسبة إلی الأجزاء السابقة لا یجدی بالنسبة إلی اللاحقة لأنّها لم تتجاوز عن محلّها فلا یتحقّق موضوع القاعدة بالنسبة إلیها</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وأصل هذا الکلام مأخوذ من کلمات المحقّق العراقی ولابدّ من ذکر هذه الملاحظة وهی أنّه إذا کان المرکّب هو هذه الأجزاء فإنّ الشارع ألم یعتبر هذا المرکب وهذه الأجزاء عنواناً وعملاً واحداً؟ نعم لو لم یکن هذا الاعتبار کان الحقّ إلی جانبه وإلی جانب المحقق العراقی</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التحقیق هو أنّ الوضوء الخارجی لا شرطیة له والشرط هو حصول الطهارة القلبیة النفسانیة ومع هذا فإنّه لا یلازم أن نعتبر الطهارة شرطاً</w:t>
      </w:r>
    </w:p>
    <w:p>
      <w:pPr>
        <w:pStyle w:val="BookText"/>
        <w:rPr/>
      </w:pPr>
      <w:r>
        <w:rPr>
          <w:rFonts w:ascii="IRNazanin" w:hAnsi="IRNazanin" w:eastAsia="IRNazanin"/>
          <w:color w:val="111111"/>
          <w:sz w:val="28"/>
          <w:sz w:val="28"/>
          <w:szCs w:val="28"/>
          <w:rtl w:val="true"/>
          <w:lang w:bidi="fa-IR"/>
        </w:rPr>
        <w:t xml:space="preserve">مقارناً کالستر والاستقبال بل یمکن أن یستفاد من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Style w:val="FootnoteAnchor"/>
          <w:rtl w:val="true"/>
        </w:rPr>
        <w:footnoteReference w:id="305"/>
      </w:r>
      <w:r>
        <w:rPr>
          <w:rFonts w:ascii="IRNazanin" w:hAnsi="IRNazanin" w:eastAsia="IRNazanin"/>
          <w:color w:val="111111"/>
          <w:sz w:val="28"/>
          <w:sz w:val="28"/>
          <w:szCs w:val="28"/>
          <w:rtl w:val="true"/>
          <w:lang w:bidi="fa-IR"/>
        </w:rPr>
        <w:t>أیضاً أنّ الطهور یجب أن لا یحصل قبل الصلاة وعلی هذا یمکن الالتزام بأنّ التجاوز عن المحلّ صادق فی هذین المثالین، ومن هنا فلا إشکال فی جریان قاعدة التجاوز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لمّا کانت قاعدة التجاوز قاعدة تعبّدیة وظاهر الأدلّة اختصاصها بالشک فی الأجزاء الشرعیة لم تجر هذه القاعدة فی الشرط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السید فی العروة الوثقی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 فی أثناء العصر فی أنّه أتی بالظهر أم لا، بنی علی عدم الإتیان وعدل إلیها إن کان فی الوقت المشترک ولا تجری قاعدة التجاوز، نعم لو کان فی الوقت المختصّ یمکن البناء علی الإتیان باعتبار کونه من الشک بعد الوقت</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وافق السید صاحب العروة کثیر من المحشّین علی العروة فی هذه المسألة ولم یکن لهم تعلیق ومنهم الوالد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قال فی الوقت المختص بأنّ الاحتیاط فی قضاء صلاة الظهر وهو کذلک إذ فی کون هذا المورد من موارد الشک بعد الوقت تأمّل وإشکالٌ فلابدّ من الاحتیاط، هذا وقد خالفه السید الحکیم وقال فی هذا المجال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البناء علی الإتیان ولا حاجة إلی العدول ولا إلی فعل الظهر بعد الفراغ من العصر وإن کان الاحتیاط فیما ذکره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المرحوم السید هذه المسألة بعینها فی مباحث الخلل فی الصلاة فی کتاب العروة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عن حکم القسم الثانی</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الشرط شرعی وقد تعلّق بالأجزاء نفسها أو</w:t>
      </w:r>
    </w:p>
    <w:p>
      <w:pPr>
        <w:pStyle w:val="BookText"/>
        <w:rPr/>
      </w:pPr>
      <w:r>
        <w:rPr>
          <w:rFonts w:ascii="IRNazanin" w:hAnsi="IRNazanin" w:eastAsia="IRNazanin"/>
          <w:color w:val="111111"/>
          <w:sz w:val="28"/>
          <w:sz w:val="28"/>
          <w:szCs w:val="28"/>
          <w:rtl w:val="true"/>
          <w:lang w:bidi="fa-IR"/>
        </w:rPr>
        <w:t>بمجموع حالات الصلاة الأعمّ من الأجزاء وغیرها وإن کان ذلک حال السکونات أثناء الصلاة ولم یکن ذا محلّ معین شرعاً کالستر والاستقبال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المحقق العراقی فی هذا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لا شک فی عدم جریان قاعدة التجاوز لأنّ ملاک جریان القاعدة هو وجود المحلّ المعین شرعاً ثم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فرق فی عدم الجریان بین الشک فی الأثناء والشک بعد الفراغ من العمل إلاّ أنّ قاعدة الفراغ لو خصّصناها بما بعد الفراغ من العمل کان من الواضح جریانها فی المشروط نفسه أی الصلاة لرجوع ذلک إلی الشک فی الصحّة والفساد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تجری قاعدة الفراغ فی أثناء العمل بالنسبة إلی المشروط فیما لو کانت الأجزاء السابقة بحیث لها عنوان مستقلّ عند العرف وتعتبر عملاً من الأعمال کالرکعة الواحدة حیث لها عنوان مستقلّ بخلاف الآیة الواحدة إذ لا استقلالیة لها عند العرف، نعم یختصّ جریان قاعدة الفراغ فی الأثناء بما إذا أحرز وجود الشرط فی ذلک الجزء هو فیه وإلاّ فلو شکّ فی ذلک أیضاً لم یترتّب أیّ أثر عملی علی جریان قاعدة الفراغ فی الأجزاء السابقة وذلک کما فی جزءٍ من الأجزاء السابقة فی أنّه هل کان مقترناً بالستر أو الاستقبال أولا</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والتحقیق أنّه لا فرق بین مسألة الجهر والإخفات وشرطیة الستر والاستقبال ولابدّ من الحکم الواحد فی کلاهما، فکما أنّ الجهر والإخفات من شروط الجزء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القراءة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وسنشیر إلی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الستر والاستقبال فإنّهما وإن کانا من شروط مجموع المرکّب بحسب الظاهر إلاّ أنّهما فی الواقع شرطان لکلّ جزءٍ من أجزاء الصلاة حتّی للسکونات المتخللّة لأفعال الصلاة، فکما تجری قاعدة التجاوز فی شرط الجزء المعیّن تجری فی هذه الموارد أیضاً، وعلیه فلو شکّ المکلّف أثناء الصلاة فی أنّه هل راعی شرط الاستقبال فی الأفعال السابقة أولا؟</w:t>
      </w:r>
      <w:bookmarkStart w:id="370" w:name="pg5466_52948"/>
    </w:p>
    <w:p>
      <w:pPr>
        <w:pStyle w:val="BookText"/>
        <w:rPr/>
      </w:pPr>
      <w:bookmarkEnd w:id="370"/>
      <w:r>
        <w:rPr>
          <w:rFonts w:ascii="IRNazanin" w:hAnsi="IRNazanin" w:eastAsia="IRNazanin"/>
          <w:color w:val="111111"/>
          <w:sz w:val="28"/>
          <w:sz w:val="28"/>
          <w:szCs w:val="28"/>
          <w:rtl w:val="true"/>
          <w:lang w:bidi="fa-IR"/>
        </w:rPr>
        <w:t>جاز له التمسّک بقاعدة التجاوز والحکم علی صلاته بالصحّة وعدم الاعتناء بشکّه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الشیخ محمد حسین کاشف الغطاء فی ذیل المسألة العاشرة من أحکام الشکوک فی کتاب العروة الوثقی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کون الشکّ فی الشروط قبل الشک فی الأجزاء، تجری فی قاعدة التجاوز فلو شکّ فی الطهارة وهو فی تکبیرة الإحرام لم یعتن، وهکذا فی الساتر والقبلة لو شکّ فیما مضی من الصلاة وأنّه کان مستتراً أم لا، وهکذا لأنّ محلّ الطهارة والساتر ونحوهما قبل الصلاة وقد تجاوزه فلا یُعتنی بالشکّ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المرحوم السید فیری أنّه لو شکّ فی الشرائط أثناء العمل فلابدّ من الإحراز، وبدونه لا یمکنه استمرار العمل</w:t>
      </w:r>
      <w:r>
        <w:rPr>
          <w:rFonts w:eastAsia="IRNazanin" w:cs="IRNazanin"/>
          <w:color w:val="111111"/>
          <w:sz w:val="28"/>
          <w:szCs w:val="28"/>
          <w:rtl w:val="true"/>
          <w:lang w:bidi="fa-IR"/>
        </w:rPr>
        <w:t>.</w:t>
      </w:r>
    </w:p>
    <w:p>
      <w:pPr>
        <w:pStyle w:val="Heading2"/>
        <w:numPr>
          <w:ilvl w:val="1"/>
          <w:numId w:val="1"/>
        </w:numPr>
        <w:rPr/>
      </w:pPr>
      <w:bookmarkStart w:id="371" w:name="__RefHeading___Toc2082528_581953129"/>
      <w:bookmarkStart w:id="372" w:name="_Toc142"/>
      <w:bookmarkEnd w:id="371"/>
      <w:r>
        <w:rPr>
          <w:rtl w:val="true"/>
        </w:rPr>
        <w:t>بحث نظریة صاحب منتقی الأصول</w:t>
      </w:r>
      <w:r>
        <w:rPr>
          <w:rtl w:val="true"/>
        </w:rPr>
        <w:t>:</w:t>
      </w:r>
      <w:bookmarkEnd w:id="372"/>
    </w:p>
    <w:p>
      <w:pPr>
        <w:pStyle w:val="Heading3"/>
        <w:numPr>
          <w:ilvl w:val="2"/>
          <w:numId w:val="1"/>
        </w:numPr>
        <w:rPr/>
      </w:pPr>
      <w:bookmarkStart w:id="373" w:name="__RefHeading___Toc2082530_581953129"/>
      <w:bookmarkStart w:id="374" w:name="_Toc143"/>
      <w:bookmarkEnd w:id="373"/>
      <w:r>
        <w:rPr>
          <w:rtl w:val="true"/>
        </w:rPr>
        <w:t>اشارة</w:t>
      </w:r>
      <w:bookmarkEnd w:id="374"/>
    </w:p>
    <w:p>
      <w:pPr>
        <w:pStyle w:val="BookText"/>
        <w:rPr/>
      </w:pPr>
      <w:r>
        <w:rPr>
          <w:rFonts w:ascii="IRNazanin" w:hAnsi="IRNazanin" w:eastAsia="IRNazanin"/>
          <w:color w:val="111111"/>
          <w:sz w:val="28"/>
          <w:sz w:val="28"/>
          <w:szCs w:val="28"/>
          <w:rtl w:val="true"/>
          <w:lang w:bidi="fa-IR"/>
        </w:rPr>
        <w:t>یظهر من کلمات بعض المحققّین</w:t>
      </w:r>
      <w:r>
        <w:rPr>
          <w:rStyle w:val="FootnoteAnchor"/>
          <w:rtl w:val="true"/>
        </w:rPr>
        <w:footnoteReference w:id="307"/>
      </w:r>
      <w:r>
        <w:rPr>
          <w:rFonts w:ascii="IRNazanin" w:hAnsi="IRNazanin" w:eastAsia="IRNazanin"/>
          <w:color w:val="111111"/>
          <w:sz w:val="28"/>
          <w:sz w:val="28"/>
          <w:szCs w:val="28"/>
          <w:rtl w:val="true"/>
          <w:lang w:bidi="fa-IR"/>
        </w:rPr>
        <w:t>التفریق بین الستر والاستقبال إذ المستفاد من الأدلّة أنّ الاستقبال متمحّض فی الشرطیة وهو شرط لکلّ جزء من أجزاء الصلاة بالوجود الواحد المستمرّ أو بالوجود المجموعی بخلاف الستر فإنّه شرط لکلّ جزءٍ فی ظرفه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قاعدة التجاوز غیر جاریة فی المقام بدلیلین</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ترتّب الأثر شرعاً علی جریان قاعدة التجاوز لترتّب الأثر فی هذا المورد علی الوجود المستمّر ولا یترتّب شرعاً أیّ أثر بجریان القاعدة فی الأجزاء السابقة إلاّ بالملازمة</w:t>
      </w:r>
      <w:r>
        <w:rPr>
          <w:rFonts w:eastAsia="IRNazanin" w:cs="IRNazanin"/>
          <w:color w:val="111111"/>
          <w:sz w:val="28"/>
          <w:szCs w:val="28"/>
          <w:rtl w:val="true"/>
          <w:lang w:bidi="fa-IR"/>
        </w:rPr>
        <w:t>.</w:t>
      </w:r>
      <w:bookmarkStart w:id="375" w:name="pg5466_52949"/>
    </w:p>
    <w:p>
      <w:pPr>
        <w:pStyle w:val="BookText"/>
        <w:rPr/>
      </w:pPr>
      <w:bookmarkEnd w:id="375"/>
      <w:r>
        <w:rPr>
          <w:rFonts w:ascii="IRNazanin" w:hAnsi="IRNazanin" w:eastAsia="IRNazanin"/>
          <w:color w:val="111111"/>
          <w:sz w:val="28"/>
          <w:sz w:val="28"/>
          <w:szCs w:val="28"/>
          <w:rtl w:val="true"/>
          <w:lang w:bidi="fa-IR"/>
        </w:rPr>
        <w:t>والدلیل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فی جریان هذه القاعدة صدق عنوان التجاوز عن المحل المشکوک فلو جعلنا الشرط وجود المجموع أو الوجود الواحد المستمرّ لم یتحقق هذا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إلی الستر فلا مانع من أجزاء قاعدة التجاوز فی الأجزاء اللاحقة، لأنّ المفروض کون الستر شرطاً لکلّ جزءٍ فی ظرفه الخاصّ به وقد حصل التجاوز بالنسبة لذلک الجزء</w:t>
      </w:r>
      <w:r>
        <w:rPr>
          <w:rFonts w:eastAsia="IRNazanin" w:cs="IRNazanin"/>
          <w:color w:val="111111"/>
          <w:sz w:val="28"/>
          <w:szCs w:val="28"/>
          <w:rtl w:val="true"/>
          <w:lang w:bidi="fa-IR"/>
        </w:rPr>
        <w:t>.</w:t>
      </w:r>
    </w:p>
    <w:p>
      <w:pPr>
        <w:pStyle w:val="Heading3"/>
        <w:numPr>
          <w:ilvl w:val="2"/>
          <w:numId w:val="1"/>
        </w:numPr>
        <w:rPr/>
      </w:pPr>
      <w:bookmarkStart w:id="376" w:name="__RefHeading___Toc2082532_581953129"/>
      <w:bookmarkStart w:id="377" w:name="_Toc144"/>
      <w:bookmarkEnd w:id="376"/>
      <w:r>
        <w:rPr>
          <w:rtl w:val="true"/>
        </w:rPr>
        <w:t>الإشکالات علی نظریة صاحب منتقی الأصول</w:t>
      </w:r>
      <w:r>
        <w:rPr>
          <w:rtl w:val="true"/>
        </w:rPr>
        <w:t>:</w:t>
      </w:r>
      <w:bookmarkEnd w:id="377"/>
    </w:p>
    <w:p>
      <w:pPr>
        <w:pStyle w:val="BookText"/>
        <w:rPr/>
      </w:pPr>
      <w:r>
        <w:rPr>
          <w:rFonts w:ascii="IRNazanin" w:hAnsi="IRNazanin" w:eastAsia="IRNazanin"/>
          <w:color w:val="111111"/>
          <w:sz w:val="28"/>
          <w:sz w:val="28"/>
          <w:szCs w:val="28"/>
          <w:rtl w:val="true"/>
          <w:lang w:bidi="fa-IR"/>
        </w:rPr>
        <w:t>والظاهر أنّ کلام صاحب منتقی الأصول لا یخلو من إشکالات وملاحظات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الستر والاستقبال هما من الشروط المقارنة ولا یمکن أن یستفاد من الأدلّة الاختلاف فی کیفیة شرطیتهما، وبعبارة أخری إنّ شرطیة کلیهما بالوجود الواحد المستمر أو بالوجود المجموعی ولم یُقم هو دلیلاً علی اختلاف أدلّتهما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جریان الأثر تحقق الوجود الواحد فی الأجزاء السابقة وقد وقع هنا خلط بین کون الشیء تامّ الأثر وکونه مؤثراً فی الجملة إذ لا یترتّب الأثر التام علی جریان قاعدة التجاوز فی الأجزاء السابقة لکن یکفی فی جریان هذه القاعدة شرعاً أنّها تربط الأجزاء السابقة بالأجزاء اللاحقة وتوجب وجود الشرط فی مجموع الأجزاء السابقة واللاحقة</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جعلنا الشرط هو الوجود المستمرّ أو المجموع فإنّ التجاوز عن المحلّ یصدق علی الأجزاء السابقة بالنظر إلی نفس الأجزاء ویکفی بذلک إجراء قاعدة التجاوز فی 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حکم القسم الثالث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الشک فی الشرط الشرعی المختصّ بالجزء کالجهر والإخفات من شروط القراءة التی هی جزءٌ من الصلاة، وذلک کما لو شکّ المکلّف فی صلاة الصبح بعد الفراغ من الحمد وأثناء قراءة السورة فی أنّه هل جهر بالحمد أو أخفت بها؟</w:t>
      </w:r>
    </w:p>
    <w:p>
      <w:pPr>
        <w:pStyle w:val="BookText"/>
        <w:rPr/>
      </w:pPr>
      <w:r>
        <w:rPr>
          <w:rFonts w:ascii="IRNazanin" w:hAnsi="IRNazanin" w:eastAsia="IRNazanin"/>
          <w:color w:val="111111"/>
          <w:sz w:val="28"/>
          <w:sz w:val="28"/>
          <w:szCs w:val="28"/>
          <w:rtl w:val="true"/>
          <w:lang w:bidi="fa-IR"/>
        </w:rPr>
        <w:t>یری المحقّق النائینی</w:t>
      </w:r>
      <w:r>
        <w:rPr>
          <w:rStyle w:val="FootnoteAnchor"/>
          <w:rtl w:val="true"/>
        </w:rPr>
        <w:footnoteReference w:id="308"/>
      </w:r>
      <w:r>
        <w:rPr>
          <w:rFonts w:ascii="IRNazanin" w:hAnsi="IRNazanin" w:eastAsia="IRNazanin"/>
          <w:color w:val="111111"/>
          <w:sz w:val="28"/>
          <w:sz w:val="28"/>
          <w:szCs w:val="28"/>
          <w:rtl w:val="true"/>
          <w:lang w:bidi="fa-IR"/>
        </w:rPr>
        <w:t>فی هذا المقام بأنّه لم یجد مثالاً آخر عدا هذا المثال ولا فائدة فی البحث فی هذا المثال لقیام النصّ المعتبر علی أنّ من تیقّن بعدم مراعاة الجهر والاخفات لم یجب علیه الإعادة والتکرار وبطریق أولی لابدّ من الحکم کذلک فی حالة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لابدّ من ذکر البحث العلمی للمسألة إذ یمکن العثور علی مثال آخر بالتتبّع والاستقراء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أنّ هناک مثالاً آخر عدا مثال الجهر والاخفات وهو شرطیة الطمأنینة فی الأذکار الواجبة وهو یعتقد بجریان قاعدة التجاوز فی الشرط من هذا القبیل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الشک بعد الدخول فی الرکن فلا إشکال فی الصحة لأنّ العلم بفواته نسیاناً بعد الدخول فی الرکن لا أثر له فضلاً عن الشکّ فی الفوات وإن کان الشکّ قبل الدخول فی الرکن وبعد الدخول فی الغیر المترتّب علی الجزء المشروط بالمشکوک فیه فالأقوی جریان قاعدة التجاوز فیه</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یترقّی ذلک ویقول</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یصحّ جریان القاعدة فی کلّ من الشرط والمشروط، لأنّ الشک فی وجود الشرط الشرعی یستتبع الشک فی وجود المشروط بوصف کونه صحیحاً</w:t>
      </w:r>
    </w:p>
    <w:p>
      <w:pPr>
        <w:pStyle w:val="BookText"/>
        <w:rPr/>
      </w:pPr>
      <w:r>
        <w:rPr>
          <w:rFonts w:ascii="IRNazanin" w:hAnsi="IRNazanin" w:eastAsia="IRNazanin"/>
          <w:color w:val="111111"/>
          <w:sz w:val="28"/>
          <w:sz w:val="28"/>
          <w:szCs w:val="28"/>
          <w:rtl w:val="true"/>
          <w:lang w:bidi="fa-IR"/>
        </w:rPr>
        <w:t>والمفروض أنّ المکلف قد دخل فی الغیر المترتّب علی المشکوک فیه فهو قد تجاوز محل الشرط والمشروط</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مراده أنّ قاعدة التجاوز کما تجری فی الشرط فکذلک تجری فی المشروط إذ الشک فی الشرط یوجب الشک فی صحة 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ببیانٍ آخر إنّ الشک فی شرط کالجهر یوجب الشک فی صحّة القراءة ولمّا قد تجاوز محلّ کلیهما جرت قاعدة التجاوز فی الشرط والمشروط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ذهب المحقّق العراقی</w:t>
      </w:r>
      <w:r>
        <w:rPr>
          <w:rStyle w:val="FootnoteAnchor"/>
          <w:rtl w:val="true"/>
        </w:rPr>
        <w:footnoteReference w:id="311"/>
      </w:r>
      <w:r>
        <w:rPr>
          <w:rFonts w:ascii="IRNazanin" w:hAnsi="IRNazanin" w:eastAsia="IRNazanin"/>
          <w:color w:val="111111"/>
          <w:sz w:val="28"/>
          <w:sz w:val="28"/>
          <w:szCs w:val="28"/>
          <w:rtl w:val="true"/>
          <w:lang w:bidi="fa-IR"/>
        </w:rPr>
        <w:t xml:space="preserve">خلافاً للمحقق النائینی إلی عدم جریان القاعدة فی الشرط واستدلّ بأنّ عنوان الشیء لا یصدق علی الشروط من هذا القبیل أی لا یصدق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من شیءٍ ودخلت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المورد،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قاعدة التجاوز لا تجری فی المشروط أی القاعدة من جهة الشک فی الوجود، إذ لا شک فی وجود القراءة بینما تجری قاعدة الفراغ فی المشروط من ناحیة الشک فی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ویستفاد من کلام المحقق العراقی أنّه یری جریان قاعدة الفراغ مطلقاً بعد العمل وأثناء العمل</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کلام المحقق النائینی فی هذا المقام أوفق مع التحقیق وأنّ کلام المحقّق العراقی قابل للنقد والمناقشة إذ لیس من الواضح عدم صدق عنوان الشیء علی هذا الشرط، والخروج من هذا الشرط إنمّا هو باعتبار الخروج من المشروط، وهذا مطابق مع فهم العرف فإنّ العرف یری فی الشرط المتعلّق بالجزء بأنّ الخروج من الجزء والدخول فی الجزء الآخر مساوق مع الخروج من</w:t>
      </w:r>
    </w:p>
    <w:p>
      <w:pPr>
        <w:pStyle w:val="BookText"/>
        <w:rPr/>
      </w:pPr>
      <w:r>
        <w:rPr>
          <w:rFonts w:ascii="IRNazanin" w:hAnsi="IRNazanin" w:eastAsia="IRNazanin"/>
          <w:color w:val="111111"/>
          <w:sz w:val="28"/>
          <w:sz w:val="28"/>
          <w:szCs w:val="28"/>
          <w:rtl w:val="true"/>
          <w:lang w:bidi="fa-IR"/>
        </w:rPr>
        <w:t>شرط ذلک الجزء، وهذا المقدار کافٍ فی جریان قاعدة التجاوز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ذکرنا سابقاً بأنّ أدلّة هذه القاعدة لا تشمل الشروط أمّا شرط الجزء فله حکم ذلک الجزء ویختلف عن الشرط الخارج عن المرکّب،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السید فی هذا المجال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المنسیّ الجهر أو الإخفات لم یجب التدارک بإعادة القراءة أو الذکر علی الأقوی، وإن کان أحوط إذا لم یدخل فی الرکوع</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یحب التدارک فیما لو نسی الجهر أو الإخفات، لکنّ الاحتیاط المستحب هو الإعادة ما لم یدخل فی 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وکما ذکرنا سابقاً أنّ صحیحة زرارة أیضاً قد وردت فی هذا المقام من غیر التمسّک بقاعدة التجاوز 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أی ذلک فعل متعمّداً نقض صلاته وإن فعل ناسیاً أو جاهلاً أو لا یدری فلیس علیه شیء وقد تمّتْ صلاته</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حیث إنّ المستفاد منها عدم وجوب الإعادة والتدارک فیما لو عرض النسیان فی ظرف اعتبار الشرط وحین لزوم الإتیان به ومراعاته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نستنتجه هو کالتالی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تذکّر فی القنوت أنّه کان علیه الجهر بالقراءة ولکنّه أخفت بها لم یجب علیه إعادة 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فی قراءة السورة وتذکّر أنّه لم یجهر بفاتحة الکتاب لم تجب الإعادة</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الآیة التی هو فیها أو تذکّر بأنّه لم یأت بالآیة السابقة علی</w:t>
      </w:r>
    </w:p>
    <w:p>
      <w:pPr>
        <w:pStyle w:val="BookText"/>
        <w:rPr/>
      </w:pPr>
      <w:r>
        <w:rPr>
          <w:rFonts w:ascii="IRNazanin" w:hAnsi="IRNazanin" w:eastAsia="IRNazanin"/>
          <w:color w:val="111111"/>
          <w:sz w:val="28"/>
          <w:sz w:val="28"/>
          <w:szCs w:val="28"/>
          <w:rtl w:val="true"/>
          <w:lang w:bidi="fa-IR"/>
        </w:rPr>
        <w:t>النحو المطلوب من جهة الجهر والإخفات لم تجب علیه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حصل ذلک فی الکلمة التی هو فیها بالنسبة إلی الکلمة السابقة لم تجب علیه الإعادة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حاشیته علی هذه المسألة فی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خصوصاً لو تذکّر فی أثناء القراءة فإنّه لا ینبغی ترک الاحتیاط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هذه الحالة لو جرت أثناء القراءة کان الاحتیاط وجوباً فی الإعادة والتدارک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یُعلّل هذا الاحتیاط الوجوبی بأنّ شرطیة القراءة إنّما اعتُبرت فی مجموع القراءة ومع فرض المسألة أثناء القراءة لم یُعلم صدق الخروج عن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والدقیق فی المقام هو أنّه مع جریان قاعدة التجاوز فی هذا المورد لم یبق وجهٌ للاحتیاط المستحبّ ولا للاحتیاط الواجب إذ بیّنا سابقاً بأنّ هذه القاعدة معتبرة علی نحو العزیمة، ومع هذا العنوان فلا وجه إلی الاحتیاط إلاّ الإتیان بعنوان الرجاء أو بقصد القربة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جعلنا مستند عدم الإعادة صحیحة زرارة لزم کذلک الالتزام بما ذُکر إذ یُحکم بصحة الصلاة فی هذه الموارد بمقتضی صحیحة زرارة ولا وجه للإعادة من باب الامتثال، نعم لا بأس بالإتیان من باب الرجاء أو مطلق قصد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لو شککنا فی جریان القاعدة فی هذه الموارد من الأساس لم یکن وجه للاحتیاط أیضاً ولابدّ من الحکم والإفتاء بوجوب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حکم القسم الرابع</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الصورة الرابعة أن یکون الشکّ فی الشرط العقلی المتعلّق بالمأمور به نفسه کالنیّة التی لها مدخلیّة فی تحقّق الصلاتیة وفی عنوان العصریة والظهریة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المحقق العراقی إلی عدم جریان قاعدة التجاوز فی هذا المورد لاختصاص هذه القاعدة بما إذا کان المشکوک فعلاً شرعیاً له محلّ شرعی ولا یمکن إحراز عنوان المشروط کالصلاتیة والظهریة من خلال قاعدة التجاوز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من وجهة نظر العقل لو وُجّه قصد الصلاتیة تحقّق لذلک الفعل عنوان الصلاة، أمّا بمجرّد التعبّد بالصلاتیة فلا یمکن إحراز وجود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إنّ التعبّد بوجود القصد والنیّة لا یقتضی إثباته وعلیه فلو شک فی أنّ هذا العمل هل یتّصف بعنوان الصلاة أولا؟ یکون فی الواقع قد شکّ من الأساس فی أنّه کان معنوناً بهذا العنوان أم لا؟</w:t>
      </w:r>
    </w:p>
    <w:p>
      <w:pPr>
        <w:pStyle w:val="BookText"/>
        <w:rPr/>
      </w:pPr>
      <w:r>
        <w:rPr>
          <w:rFonts w:ascii="IRNazanin" w:hAnsi="IRNazanin" w:eastAsia="IRNazanin"/>
          <w:color w:val="111111"/>
          <w:sz w:val="28"/>
          <w:sz w:val="28"/>
          <w:szCs w:val="28"/>
          <w:rtl w:val="true"/>
          <w:lang w:bidi="fa-IR"/>
        </w:rPr>
        <w:t>ویتابع العراقی کلامه بأنّ قاعدة الفراغ أیضاً غیر جاریة فی المقام لاختصاص هذه القاعدة بما إذا أُحرز عنوان العمل وکان الشک فی صحّته وفساده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استنتج العراقی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فی أنّ ما هو منشغل به صلاةٌ أم عمل آخر بطل هذا العمل بعنوان الصلاتیة ویجب الإتیان بالصلاة من جدید بمقتضی قاعدة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بأنّ ما هو مشغول به هل صلاة ظهر أو عصر فلو کان عالماً بأنّه قد أتی بالظهر أولاً بطلت هذه الصلاة لأنّه یشک فی هذه الصلاة هل أنّه جاء بها من البدایة بنیّة صلاة العصر أم لا؟ نعم لو علم بأنّه لم یأت بالظهر أو شک فی إتیانها وجب العدول إلی الظهر وصحّت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النیّة بمعنی قصد القربة، فلو شک فی أثناء الصلاة هل دخل فیها بقصد القربة أولا؟ لم تجر قاعدة التجاوز وإن کان قصد القربة شرطاً شرعیاً ولم یکن شرطاً عقلیاً فی مقام الامتثال</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والدلیل علی عدم جریان قاعدة التجاوز هو أنّ النیّة وإن کانت شرطاً شرعیاً</w:t>
      </w:r>
      <w:bookmarkStart w:id="378" w:name="pg5466_52955"/>
    </w:p>
    <w:p>
      <w:pPr>
        <w:pStyle w:val="BookText"/>
        <w:rPr/>
      </w:pPr>
      <w:bookmarkEnd w:id="378"/>
      <w:r>
        <w:rPr>
          <w:rFonts w:ascii="IRNazanin" w:hAnsi="IRNazanin" w:eastAsia="IRNazanin"/>
          <w:color w:val="111111"/>
          <w:sz w:val="28"/>
          <w:sz w:val="28"/>
          <w:szCs w:val="28"/>
          <w:rtl w:val="true"/>
          <w:lang w:bidi="fa-IR"/>
        </w:rPr>
        <w:t>إلاّ أنّها لیس لها محلّ مقرّر شرعاً ولا یصدق فی حقّها عنوان التجاوز عن المحل والدخول فی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جعلنا قصد القربة شرطاً شرعیاً جرت قاعدة الفراغ وإن جعلناه شرطاً عقلیاً لم تجر قاعدة الفراغ لاختصاص هذه القاعدة بالشک فی صحّة عملٍ لِم یُعلم شموله علی جمیع الأجزاء والشروط الشرعیة وعدمه وعلی القول بأنّ قصد القربة شرط عقلی یحصل لنا الیقین بأنّ هذا العمل واحدٌ لجمیع الأجزاء والشرائط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نوافق المحقق العراقی فیما ذکره ونؤکّد مضافاً إلی ذلک أنّ مستند عدم جریان قاعدة التجاوز فی الموارد المذکورة هو انعدام المحل الشرعی المعیّن ونؤکّد علی أنّ المستند المهمّ هو انعدام عنوان الخروج من الشیء والدخول فی الغیر الذی هو من مقوّمات قاعدة التجاوز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هذه الموارد نعم لو التزمنا بجریان قاعدة الفراغ فی أثناء العمل کما یری ذلک المحقّق العراقی أمکن إجراء قاعدة الفراغ فی الأجزاء السابقة لکنّنا ذکرنا سابقاً أنّ مقتضی التحقیق اختصاص جریان قاعدة الفراغ بما بعد الانتهاء من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یستفاد بوضوح من أدلّة قاعدة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فعلی رأینا لو شک المکلّف أثناء الصلاة فی أنّ صلاته منذ البدایة هل کانت مع قصد القربة أولا؟ لم تجر فی حقّه قاعدة الفراغ، أمّا لو شک بعد الفراغ من الصلاة فی أنّ صلاته هل کانت مقرونة بقصد القربة أولا؟ جرتْ فی حقّه هذه القاعدة</w:t>
      </w:r>
      <w:r>
        <w:rPr>
          <w:rFonts w:eastAsia="IRNazanin" w:cs="IRNazanin"/>
          <w:color w:val="111111"/>
          <w:sz w:val="28"/>
          <w:szCs w:val="28"/>
          <w:rtl w:val="true"/>
          <w:lang w:bidi="fa-IR"/>
        </w:rPr>
        <w:t>.</w:t>
      </w:r>
    </w:p>
    <w:p>
      <w:pPr>
        <w:pStyle w:val="Heading2"/>
        <w:numPr>
          <w:ilvl w:val="1"/>
          <w:numId w:val="1"/>
        </w:numPr>
        <w:rPr/>
      </w:pPr>
      <w:bookmarkStart w:id="379" w:name="__RefHeading___Toc2082534_581953129"/>
      <w:bookmarkStart w:id="380" w:name="_Toc145"/>
      <w:bookmarkEnd w:id="379"/>
      <w:r>
        <w:rPr>
          <w:rtl w:val="true"/>
        </w:rPr>
        <w:t>هل أنّ لزوم المضیّ وعدم الاعتناء بالشک فی قاعدة التجاوز رخصة أم عزیمة ؟</w:t>
      </w:r>
      <w:bookmarkEnd w:id="380"/>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آخر من الفروع المتعلّقة بقاعدة التجاوز أن نبحث بأنّ جریان قاعدة</w:t>
      </w:r>
      <w:bookmarkStart w:id="381" w:name="pg5466_52956"/>
    </w:p>
    <w:p>
      <w:pPr>
        <w:pStyle w:val="BookText"/>
        <w:rPr/>
      </w:pPr>
      <w:bookmarkEnd w:id="381"/>
      <w:r>
        <w:rPr>
          <w:rFonts w:ascii="IRNazanin" w:hAnsi="IRNazanin" w:eastAsia="IRNazanin"/>
          <w:color w:val="111111"/>
          <w:sz w:val="28"/>
          <w:sz w:val="28"/>
          <w:szCs w:val="28"/>
          <w:rtl w:val="true"/>
          <w:lang w:bidi="fa-IR"/>
        </w:rPr>
        <w:t xml:space="preserve">التجاوز هل هو رخصة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من شکّ فی السجود هل أتی بالرکوع؟</w:t>
      </w:r>
    </w:p>
    <w:p>
      <w:pPr>
        <w:pStyle w:val="BookText"/>
        <w:rPr/>
      </w:pPr>
      <w:r>
        <w:rPr>
          <w:rFonts w:ascii="IRNazanin" w:hAnsi="IRNazanin" w:eastAsia="IRNazanin"/>
          <w:color w:val="111111"/>
          <w:sz w:val="28"/>
          <w:sz w:val="28"/>
          <w:szCs w:val="28"/>
          <w:rtl w:val="true"/>
          <w:lang w:bidi="fa-IR"/>
        </w:rPr>
        <w:t xml:space="preserve">أو شک فی أیّ جزءٍ لاحق هل أتی بالجزء السابق جاز له عدم الاعتناء بالجزء المشکوک فلا یأتی به کما یجوز له الاعتناء بالجزء المشکوک فیأتی به احتیاطاً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 عزیمة فلا یجوز الاحتیاط والإتیان بذلک الجزء؟</w:t>
      </w:r>
    </w:p>
    <w:p>
      <w:pPr>
        <w:pStyle w:val="BookText"/>
        <w:rPr/>
      </w:pPr>
      <w:r>
        <w:rPr>
          <w:rFonts w:ascii="Amiri" w:hAnsi="Amiri" w:eastAsia="Amiri" w:cs="Amiri"/>
          <w:color w:val="111111"/>
          <w:sz w:val="28"/>
          <w:sz w:val="28"/>
          <w:szCs w:val="28"/>
          <w:rtl w:val="true"/>
          <w:lang w:bidi="ar-SA"/>
        </w:rPr>
        <w:t>احتمالات المسألة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المسألة ثلاثة احتمالات بل ثلاثة آراء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مفاد القاعدة هی الرخصة فیجری الاحتیاط فی جمیع الأجزاء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مفادها العزیمة ولا یجوز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بذلک المحقّق العراقی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التفصیل فی الأجزاء فیکون عزیمة فی بعض الأجزاء کالرکوع والسجود ورخصة فی سائر أجزاء الصلاة</w:t>
      </w:r>
      <w:r>
        <w:rPr>
          <w:rFonts w:eastAsia="IRNazanin" w:cs="IRNazanin"/>
          <w:color w:val="111111"/>
          <w:sz w:val="28"/>
          <w:szCs w:val="28"/>
          <w:rtl w:val="true"/>
          <w:lang w:bidi="fa-IR"/>
        </w:rPr>
        <w:t>.</w:t>
      </w:r>
    </w:p>
    <w:p>
      <w:pPr>
        <w:pStyle w:val="Heading2"/>
        <w:numPr>
          <w:ilvl w:val="1"/>
          <w:numId w:val="1"/>
        </w:numPr>
        <w:rPr/>
      </w:pPr>
      <w:bookmarkStart w:id="382" w:name="__RefHeading___Toc2082536_581953129"/>
      <w:bookmarkStart w:id="383" w:name="_Toc146"/>
      <w:bookmarkEnd w:id="382"/>
      <w:r>
        <w:rPr>
          <w:rtl w:val="true"/>
        </w:rPr>
        <w:t>بحث نظریة المحقّق العراقی</w:t>
      </w:r>
      <w:r>
        <w:rPr>
          <w:rtl w:val="true"/>
        </w:rPr>
        <w:t>:</w:t>
      </w:r>
      <w:bookmarkEnd w:id="383"/>
    </w:p>
    <w:p>
      <w:pPr>
        <w:pStyle w:val="BookText"/>
        <w:rPr/>
      </w:pPr>
      <w:r>
        <w:rPr>
          <w:rFonts w:ascii="IRNazanin" w:hAnsi="IRNazanin" w:eastAsia="IRNazanin"/>
          <w:color w:val="111111"/>
          <w:sz w:val="28"/>
          <w:sz w:val="28"/>
          <w:szCs w:val="28"/>
          <w:rtl w:val="true"/>
          <w:lang w:bidi="fa-IR"/>
        </w:rPr>
        <w:t>یری المحقّق العراقی أنّ قاعدة التجاوز عزیمة ولا یجوز الإتیان بالجزء المشکوک وإن کان برجاء إدراک الواقع، وبالتالی یکون إتیان ذلک الجزء زیادة عمدیة بالنسبة لنفس الجزء وبالنسبة للجزء اللاحق الذی قد دخل فیه فیکون سبباً لبطلان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العراقی فی التنبیه الحادی عشر فی هذه القاعدة</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الظاهر أنّ المضیّ علی المشکوک فیه فی قاعدة التجاوز عزیمة لا رخصة فلا یجوز الإتیان بالمشکوک ولو برجاء الواقع لظهور الأمر بالمضیّ فی أخبار الباب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قد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وجوب البناء علی وجود المشکوک فیه وتحقّقه فی محلّه وإلغاء الشکّ فیه فإنّه مع هذا الأمر وهذا البناء لا یجوز العود إلی المشکوک فیه ولو رجاءً لأنّه لا موضوع له مع حکم الشارع بوجوده فیکون</w:t>
      </w:r>
      <w:bookmarkStart w:id="384" w:name="pg5466_52957"/>
    </w:p>
    <w:p>
      <w:pPr>
        <w:pStyle w:val="BookText"/>
        <w:rPr/>
      </w:pPr>
      <w:bookmarkEnd w:id="384"/>
      <w:r>
        <w:rPr>
          <w:rFonts w:ascii="IRNazanin" w:hAnsi="IRNazanin" w:eastAsia="IRNazanin"/>
          <w:color w:val="111111"/>
          <w:sz w:val="28"/>
          <w:sz w:val="28"/>
          <w:szCs w:val="28"/>
          <w:rtl w:val="true"/>
          <w:lang w:bidi="fa-IR"/>
        </w:rPr>
        <w:t>الإتیان به حینئذٍ من الزیادة العمدیة بالنسبة إلی نفس المشکوک فیه وبالنسبة إلی الغیر الذی دخل فیه وهی موجبة لبطلان الصلاة مع أنّ الظاهر کون المسألة اتفاقیة فلا یعتنی حینئذٍ بما یختلج بالبال من الاحتمالات</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ویتلخّص استدلاله فی النقاط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الأمر بالمضیّ فی الروایات ظاهر بنفسه فی العزیمة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البناء علی عدم جواز العود إلی المشکوک فیه لعدم بقاء موضوع العود بعد أن حکم الشارع بوجوده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الإتیان بالجزء المشکوک یوجب زیادتین عمدیتیین أولاهما أنّ الجزء المشکوک علی فرض الإتیان به واقعاً وقد أُتی به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والثانیة أنّ الجزء اللاحق الذی قد دخل فیه جیء به 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الزیادة العمدیة توجب بطلان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 أخیراً بأنّ عدم جواز العود الذی هو معنی العزیمة متّفق علیه عند الفقهاء</w:t>
      </w:r>
      <w:r>
        <w:rPr>
          <w:rFonts w:eastAsia="IRNazanin" w:cs="IRNazanin"/>
          <w:color w:val="111111"/>
          <w:sz w:val="28"/>
          <w:szCs w:val="28"/>
          <w:rtl w:val="true"/>
          <w:lang w:bidi="fa-IR"/>
        </w:rPr>
        <w:t>.</w:t>
      </w:r>
    </w:p>
    <w:p>
      <w:pPr>
        <w:pStyle w:val="Heading2"/>
        <w:numPr>
          <w:ilvl w:val="1"/>
          <w:numId w:val="1"/>
        </w:numPr>
        <w:rPr/>
      </w:pPr>
      <w:bookmarkStart w:id="385" w:name="__RefHeading___Toc2082538_581953129"/>
      <w:bookmarkStart w:id="386" w:name="_Toc147"/>
      <w:bookmarkEnd w:id="385"/>
      <w:r>
        <w:rPr>
          <w:rtl w:val="true"/>
        </w:rPr>
        <w:t>إشکال صاحب منتقی الأصول علی نظریة المحقّق العراقی</w:t>
      </w:r>
      <w:r>
        <w:rPr>
          <w:rtl w:val="true"/>
        </w:rPr>
        <w:t>:</w:t>
      </w:r>
      <w:bookmarkEnd w:id="386"/>
    </w:p>
    <w:p>
      <w:pPr>
        <w:pStyle w:val="BookText"/>
        <w:rPr/>
      </w:pPr>
      <w:r>
        <w:rPr>
          <w:rFonts w:ascii="IRNazanin" w:hAnsi="IRNazanin" w:eastAsia="IRNazanin"/>
          <w:color w:val="111111"/>
          <w:sz w:val="28"/>
          <w:sz w:val="28"/>
          <w:szCs w:val="28"/>
          <w:rtl w:val="true"/>
          <w:lang w:bidi="fa-IR"/>
        </w:rPr>
        <w:t>أورد بعض المحقّقین</w:t>
      </w:r>
      <w:r>
        <w:rPr>
          <w:rStyle w:val="FootnoteAnchor"/>
          <w:rtl w:val="true"/>
        </w:rPr>
        <w:footnoteReference w:id="315"/>
      </w:r>
      <w:r>
        <w:rPr>
          <w:rFonts w:ascii="IRNazanin" w:hAnsi="IRNazanin" w:eastAsia="IRNazanin"/>
          <w:color w:val="111111"/>
          <w:sz w:val="28"/>
          <w:sz w:val="28"/>
          <w:szCs w:val="28"/>
          <w:rtl w:val="true"/>
          <w:lang w:bidi="fa-IR"/>
        </w:rPr>
        <w:t>الإشکال علی کلمات المحقق العراقی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علی الاستدلال الأول فبأنّ الأمر بالمضیّ من مصادیق الأمر الوارد بعد توهّم الخطر لأنّ ما یتوهمّ فی مثل هذه الموارد من الشک أنّ الجزء المشکوک واجب الإتیان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 هذا التوهّم بالأمر بالمضیّ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علی الاستدلال الثانی بأنّ الظاهر من تعبیر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قد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w:t>
      </w:r>
      <w:bookmarkStart w:id="387" w:name="pg5466_52958"/>
    </w:p>
    <w:p>
      <w:pPr>
        <w:pStyle w:val="BookText"/>
        <w:rPr/>
      </w:pPr>
      <w:bookmarkEnd w:id="387"/>
      <w:r>
        <w:rPr>
          <w:rFonts w:ascii="IRNazanin" w:hAnsi="IRNazanin" w:eastAsia="IRNazanin"/>
          <w:color w:val="111111"/>
          <w:sz w:val="28"/>
          <w:sz w:val="28"/>
          <w:szCs w:val="28"/>
          <w:rtl w:val="true"/>
          <w:lang w:bidi="fa-IR"/>
        </w:rPr>
        <w:t>إخبار الشارع المقدس عن تحقّق الرکوع فی الواقع بل هو تعبّد ظاهری من موارد الأحکام الظاهریة، ومن الواضح عدم وجود المانع من الاحتیاط فی مثل هذه الأحکام لأنّ الأحکام الظاهریة غایتها التأمین والتعذیر وبالتالی یکون لها عنوان الرخصة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بالنسبة إلی الثمرة الّتی رتّبها هو لابدّ من القول بأنّ الأجزاء قسمان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یوجب تکراره الزیادة فیما لو قصد المصلّی الجزئیة فیه کالقراءة والتشهد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یقصد الجزئیة فی هذه الأجزاء وجیء بها بمجرّد داعی الاحتیاط لم تصدق علیها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یجب فیه قصد الجزئیة بل تصدق الزیادة بمجرد الإتیان به ثانیة وإن لم یقصد فیه الجزئیة کالرکوع والسجود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یصحِّ کلام المحقق العراقی فی هذا القسم الثانی دون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الممکن فی القسم الثانی إجراء أصالة عدم الزیادة مع الإتیان بالرکوع والحکم بصحة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یأمرنا بالتأمّل فی هذا الکلام الأخیر فی الختام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وجه هذا التأمّل هو أنّ المورد إذا کان من موارد قاعدة التجاوز لم یبق مجالٌ لاستصحاب عدم الزیادة لتقدّم قاعدة التجاوز علی الاستصحاب</w:t>
      </w:r>
      <w:r>
        <w:rPr>
          <w:rFonts w:eastAsia="IRNazanin" w:cs="IRNazanin"/>
          <w:color w:val="111111"/>
          <w:sz w:val="28"/>
          <w:szCs w:val="28"/>
          <w:rtl w:val="true"/>
          <w:lang w:bidi="fa-IR"/>
        </w:rPr>
        <w:t>.</w:t>
      </w:r>
    </w:p>
    <w:p>
      <w:pPr>
        <w:pStyle w:val="Heading2"/>
        <w:numPr>
          <w:ilvl w:val="1"/>
          <w:numId w:val="1"/>
        </w:numPr>
        <w:rPr/>
      </w:pPr>
      <w:bookmarkStart w:id="388" w:name="__RefHeading___Toc2082540_581953129"/>
      <w:bookmarkStart w:id="389" w:name="_Toc148"/>
      <w:bookmarkEnd w:id="388"/>
      <w:r>
        <w:rPr>
          <w:rtl w:val="true"/>
        </w:rPr>
        <w:t>مناقشة إشکالات صاحب المنتقی</w:t>
      </w:r>
      <w:r>
        <w:rPr>
          <w:rtl w:val="true"/>
        </w:rPr>
        <w:t>:</w:t>
      </w:r>
      <w:bookmarkEnd w:id="389"/>
    </w:p>
    <w:p>
      <w:pPr>
        <w:pStyle w:val="BookText"/>
        <w:rPr/>
      </w:pPr>
      <w:r>
        <w:rPr>
          <w:rFonts w:ascii="IRNazanin" w:hAnsi="IRNazanin" w:eastAsia="IRNazanin"/>
          <w:color w:val="111111"/>
          <w:sz w:val="28"/>
          <w:sz w:val="28"/>
          <w:szCs w:val="28"/>
          <w:rtl w:val="true"/>
          <w:lang w:bidi="fa-IR"/>
        </w:rPr>
        <w:t>هناک عدة ملاحظات علی إشکالات صاحب المنتقی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من الواضح کیفیة استفادة مسألة توهّم الخطر من الروایات فما الدلیل علی أنّ الأمر بالمضیّ من مصادیق الأمر بعد توهّم الخطر</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 أنّ السائل یمکن أن یتوهّم فی نفسه بطلان الصلاة أو أمراً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توهم وجوب إعادة العمل أمرٌ غیر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بعض الروایات صرّحت بالنهی عن الإعادة مضافاً إلی الأمر بالمضیّ فلابدّ من حمل النهی عن الإعادة علی الإرشاد إلی عدم لزوم الإعادة حسب کلام هذا المحقق العظیم مع أنّ ذلک خلاف الظاهر فقد جاء فی صحیحة محمد بن مسلم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ما شککت فیه بعدما تفرغ من صلاتک فامض ولا تعد </w:t>
      </w:r>
      <w:r>
        <w:rPr>
          <w:rStyle w:val="FootnoteAnchor"/>
          <w:rtl w:val="true"/>
        </w:rPr>
        <w:footnoteReference w:id="316"/>
      </w:r>
      <w:r>
        <w:rPr>
          <w:rFonts w:ascii="IRNazanin" w:hAnsi="IRNazanin" w:eastAsia="IRNazanin"/>
          <w:color w:val="111111"/>
          <w:sz w:val="28"/>
          <w:sz w:val="28"/>
          <w:szCs w:val="28"/>
          <w:rtl w:val="true"/>
          <w:lang w:bidi="fa-IR"/>
        </w:rPr>
        <w:t>حیث إنّ ظاهرها أنّ الشارع قد تعبّد المکلّف فی هذه الموارد من الشک بالمضیّ وبعدم الإعادة فلا یمکن جعل ذلک إرشاداً إلی عدم لزوم الإعادة، ولاسیّما أنّ بعض الروایات علّلت هذا التعبّد بأنّ هذه الشکوک عادةً معلولة للشیطان ونفوذه فی الصلاة فقد جاء فی موثقة فضیل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أستتمّ قائماً فلا أدری رکعت أولا؟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قد رکعت فامض فی صلاتک فإنّما ذلک من الشیطان</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قیل من أن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ظاهری بإتیان الرکوع وهی حکم ظاهری موافق لأصل الاحتیاط وإن کان صحیحاً وواضحاً وأنّ الأحکام الظاهریة إنّما هی لأجل التأمین والمعذّریة لکن یمکن أن نستخرج من هذه الروایات أنّ الشارع فی خصوص هذه الموارد هو فی مقام النهی عن الاحتیاط، کما أنّه لو ترتّب علی الاحتیاط حرج أو ضررٌ لم یترتّب علیه حسنٌ وکان الشارع فی هذه الموارد حاکماً بعدم الاحتیاط</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 یمکن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الروایات التوسعة فی متعلّق</w:t>
      </w:r>
    </w:p>
    <w:p>
      <w:pPr>
        <w:pStyle w:val="BookText"/>
        <w:rPr/>
      </w:pPr>
      <w:r>
        <w:rPr>
          <w:rFonts w:ascii="IRNazanin" w:hAnsi="IRNazanin" w:eastAsia="IRNazanin"/>
          <w:color w:val="111111"/>
          <w:sz w:val="28"/>
          <w:sz w:val="28"/>
          <w:szCs w:val="28"/>
          <w:rtl w:val="true"/>
          <w:lang w:bidi="fa-IR"/>
        </w:rPr>
        <w:t>المأمور به بالنسبة إلی مورد الشک، فلو کان الشارع فی مقام التوسعة لم یتناسب ذلک مع الاحتیاط ویحصل الشک فی حسن الاحتیاط</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فلا یمکن للمکلّف إعادة العمل طالما هو فی حالة الشک الذی هو موضوع قاعدة التجاوز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ونستنتج من ذلک أنّ مفاد قاعدة التجاوز هو العزیمة ویکون رأی المحقّق العراقی هو الصحیح والرأی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5:291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کشاف اصطلاحات الفنون </w:t>
      </w:r>
      <w:r>
        <w:rPr>
          <w:rFonts w:eastAsia="IRNazanin" w:cs="IRNazanin"/>
          <w:b w:val="false"/>
          <w:bCs w:val="false"/>
          <w:i w:val="false"/>
          <w:iCs w:val="false"/>
          <w:color w:val="333333"/>
          <w:sz w:val="20"/>
          <w:szCs w:val="20"/>
        </w:rPr>
        <w:t>2:1295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القواعد الفقهیة للفقید الراحل آیة الله الشیخ الفاضل اللنکرانی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Pr>
        <w:t>575:3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62:27</w:t>
      </w:r>
      <w:r>
        <w:rPr>
          <w:rFonts w:ascii="IRNazanin" w:hAnsi="IRNazanin" w:eastAsia="IRNazanin"/>
          <w:b w:val="false"/>
          <w:b w:val="false"/>
          <w:bCs w:val="false"/>
          <w:i w:val="false"/>
          <w:i w:val="false"/>
          <w:iCs w:val="false"/>
          <w:color w:val="333333"/>
          <w:sz w:val="20"/>
          <w:sz w:val="20"/>
          <w:szCs w:val="20"/>
          <w:rtl w:val="true"/>
        </w:rPr>
        <w:t xml:space="preserve">، القواعد الفقهیة للبجنوردی </w:t>
      </w:r>
      <w:r>
        <w:rPr>
          <w:rFonts w:eastAsia="IRNazanin" w:cs="IRNazanin"/>
          <w:b w:val="false"/>
          <w:bCs w:val="false"/>
          <w:i w:val="false"/>
          <w:iCs w:val="false"/>
          <w:color w:val="333333"/>
          <w:sz w:val="20"/>
          <w:szCs w:val="20"/>
        </w:rPr>
        <w:t>187:4</w:t>
      </w:r>
      <w:r>
        <w:rPr>
          <w:rFonts w:ascii="IRNazanin" w:hAnsi="IRNazanin" w:eastAsia="IRNazanin"/>
          <w:b w:val="false"/>
          <w:b w:val="false"/>
          <w:bCs w:val="false"/>
          <w:i w:val="false"/>
          <w:i w:val="false"/>
          <w:iCs w:val="false"/>
          <w:color w:val="333333"/>
          <w:sz w:val="20"/>
          <w:sz w:val="20"/>
          <w:szCs w:val="20"/>
          <w:rtl w:val="true"/>
        </w:rPr>
        <w:t xml:space="preserve">، راجع أیضاً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المقدّمة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شعراء الغری للخالقانی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معارف الرجال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الإجازة الکبیرة للمرحوم آیة الله السید المرعشی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1333/2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مشارق الأنوار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مشارق الأنوار </w:t>
      </w:r>
      <w:r>
        <w:rPr>
          <w:rFonts w:eastAsia="IRNazanin" w:cs="IRNazanin"/>
          <w:b w:val="false"/>
          <w:bCs w:val="false"/>
          <w:i w:val="false"/>
          <w:iCs w:val="false"/>
          <w:color w:val="333333"/>
          <w:sz w:val="20"/>
          <w:szCs w:val="20"/>
        </w:rPr>
        <w:t>685:1</w:t>
      </w:r>
      <w:r>
        <w:rPr>
          <w:rFonts w:ascii="IRNazanin" w:hAnsi="IRNazanin" w:eastAsia="IRNazanin"/>
          <w:b w:val="false"/>
          <w:b w:val="false"/>
          <w:bCs w:val="false"/>
          <w:i w:val="false"/>
          <w:i w:val="false"/>
          <w:iCs w:val="false"/>
          <w:color w:val="333333"/>
          <w:sz w:val="20"/>
          <w:sz w:val="20"/>
          <w:szCs w:val="20"/>
          <w:rtl w:val="true"/>
        </w:rPr>
        <w:t xml:space="preserve">، مرآة‌العقول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نظرة تحلیلیة إلی القواعد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تراجم الرجال </w:t>
      </w:r>
      <w:r>
        <w:rPr>
          <w:rFonts w:eastAsia="IRNazanin" w:cs="IRNazanin"/>
          <w:b w:val="false"/>
          <w:bCs w:val="false"/>
          <w:i w:val="false"/>
          <w:iCs w:val="false"/>
          <w:color w:val="333333"/>
          <w:sz w:val="20"/>
          <w:szCs w:val="20"/>
        </w:rPr>
        <w:t>589:2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الشرق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الشرق </w:t>
      </w:r>
      <w:r>
        <w:rPr>
          <w:rFonts w:eastAsia="IRNazanin" w:cs="IRNazanin"/>
          <w:b w:val="false"/>
          <w:bCs w:val="false"/>
          <w:i w:val="false"/>
          <w:iCs w:val="false"/>
          <w:color w:val="333333"/>
          <w:sz w:val="20"/>
          <w:szCs w:val="20"/>
        </w:rPr>
        <w:t>810:1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تکملة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نظرة تحلیلیة إلی القواعد الفقهیة ص </w:t>
      </w:r>
      <w:r>
        <w:rPr>
          <w:rFonts w:eastAsia="IRNazanin" w:cs="IRNazanin"/>
          <w:b w:val="false"/>
          <w:bCs w:val="false"/>
          <w:i w:val="false"/>
          <w:iCs w:val="false"/>
          <w:color w:val="333333"/>
          <w:sz w:val="20"/>
          <w:szCs w:val="20"/>
        </w:rPr>
        <w:t>30/29/28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نظرة تحلیلیة إلی القواعد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محمد کاظم الطباطبائی الیزدی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تعلیقات عدّة من الفقهاء العظام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فصاعداً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سبیل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مرتضی الأنصاری، فرائد الأصول </w:t>
      </w:r>
      <w:r>
        <w:rPr>
          <w:rFonts w:eastAsia="IRNazanin" w:cs="IRNazanin"/>
          <w:b w:val="false"/>
          <w:bCs w:val="false"/>
          <w:i w:val="false"/>
          <w:iCs w:val="false"/>
          <w:color w:val="333333"/>
          <w:sz w:val="20"/>
          <w:szCs w:val="20"/>
        </w:rPr>
        <w:t>325:3</w:t>
      </w:r>
      <w:r>
        <w:rPr>
          <w:rFonts w:ascii="IRNazanin" w:hAnsi="IRNazanin" w:eastAsia="IRNazanin"/>
          <w:b w:val="false"/>
          <w:b w:val="false"/>
          <w:bCs w:val="false"/>
          <w:i w:val="false"/>
          <w:i w:val="false"/>
          <w:iCs w:val="false"/>
          <w:color w:val="333333"/>
          <w:sz w:val="20"/>
          <w:sz w:val="20"/>
          <w:szCs w:val="20"/>
          <w:rtl w:val="true"/>
        </w:rPr>
        <w:t xml:space="preserve">، الشیخ محمد کاظم الخراسانی، کفایة الأصول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السید أبوالقاسم الخوئی، مصباح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الأصول العملیة </w:t>
      </w:r>
      <w:r>
        <w:rPr>
          <w:rFonts w:eastAsia="IRNazanin" w:cs="IRNazanin"/>
          <w:b w:val="false"/>
          <w:bCs w:val="false"/>
          <w:i w:val="false"/>
          <w:iCs w:val="false"/>
          <w:color w:val="333333"/>
          <w:sz w:val="20"/>
          <w:szCs w:val="20"/>
        </w:rPr>
        <w:t>315:48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سبیل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میر فتّاح الحسینی المراغی، العناوین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یلی، السید محمد حسن البجنوردی، القواعد الفقهیة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یلیها، الشیخ ناصر مکارم الشیرازی، القواعد الفقهیة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یلیها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الجدیر بالذکر أن الأستاذ المحقق قد ذهب فی مباحثه الفقهیة والأصولیة إلی حجیة الإجماع الذی یحتمل کونه مدرکیاً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کاظم الخراسانی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محمود الهاشمی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الفراغ والتجاوز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 رضا الهمدانی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محمدحسن النجفی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648:2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الأنصاری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فصاعداً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محمدعلی الکاظمی الخراسانی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آیة الله النائینی </w:t>
      </w:r>
      <w:r>
        <w:rPr>
          <w:rFonts w:eastAsia="IRNazanin" w:cs="IRNazanin"/>
          <w:b w:val="false"/>
          <w:bCs w:val="false"/>
          <w:i w:val="false"/>
          <w:iCs w:val="false"/>
          <w:color w:val="333333"/>
          <w:sz w:val="20"/>
          <w:szCs w:val="20"/>
        </w:rPr>
        <w:t>653:4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فصاعداً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الأنصاری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360:3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 رضا الهمدانی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الإسلام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القهقهة وسوء الظنّ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302:12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 رضا الهمدانی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الجدیر بالذکر أنّ الأستاذ المعظّم ذکر فی کتابه قاعدة لا حرج أنّ هذه القاعدة مثبتة للحکم الشرعی، السید جواد حسینی خواه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الأستاذ المحقّق الحاج الشیخ محمد جواد الفاضل اللنکرانی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1443</w:t>
      </w:r>
      <w:r>
        <w:rPr>
          <w:rFonts w:ascii="IRNazanin" w:hAnsi="IRNazanin" w:eastAsia="IRNazanin"/>
          <w:b w:val="false"/>
          <w:b w:val="false"/>
          <w:bCs w:val="false"/>
          <w:i w:val="false"/>
          <w:i w:val="false"/>
          <w:iCs w:val="false"/>
          <w:color w:val="333333"/>
          <w:sz w:val="20"/>
          <w:sz w:val="20"/>
          <w:szCs w:val="20"/>
          <w:rtl w:val="true"/>
        </w:rPr>
        <w:t>، 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386:10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علی النجاشی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السید أبو القاسم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علی النجاشی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887</w:t>
      </w:r>
      <w:r>
        <w:rPr>
          <w:rFonts w:ascii="IRNazanin" w:hAnsi="IRNazanin" w:eastAsia="IRNazanin"/>
          <w:b w:val="false"/>
          <w:b w:val="false"/>
          <w:bCs w:val="false"/>
          <w:i w:val="false"/>
          <w:i w:val="false"/>
          <w:iCs w:val="false"/>
          <w:color w:val="333333"/>
          <w:sz w:val="20"/>
          <w:sz w:val="20"/>
          <w:szCs w:val="20"/>
          <w:rtl w:val="true"/>
        </w:rPr>
        <w:t>، 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علی النجاشی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السید أبو القاسم الموسوی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علی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الاستصحاب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1460</w:t>
      </w:r>
      <w:r>
        <w:rPr>
          <w:rFonts w:ascii="IRNazanin" w:hAnsi="IRNazanin" w:eastAsia="IRNazanin"/>
          <w:b w:val="false"/>
          <w:b w:val="false"/>
          <w:bCs w:val="false"/>
          <w:i w:val="false"/>
          <w:i w:val="false"/>
          <w:iCs w:val="false"/>
          <w:color w:val="333333"/>
          <w:sz w:val="20"/>
          <w:sz w:val="20"/>
          <w:szCs w:val="20"/>
          <w:rtl w:val="true"/>
        </w:rPr>
        <w:t>، محمد بن الحسن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علی النجاشی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علی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409:10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السید أبو القاسم الموسوی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ورقم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المعروف برجال الکشی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ورقم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حسین بن بابویه القمی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منصور بن أحمد بن إدریس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السرائر </w:t>
      </w:r>
      <w:r>
        <w:rPr>
          <w:rFonts w:eastAsia="IRNazanin" w:cs="IRNazanin"/>
          <w:b w:val="false"/>
          <w:bCs w:val="false"/>
          <w:i w:val="false"/>
          <w:iCs w:val="false"/>
          <w:color w:val="333333"/>
          <w:sz w:val="20"/>
          <w:szCs w:val="20"/>
        </w:rPr>
        <w:t>614:3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مشایخ الصدوق‌السید أبو القاسم الموسوی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252:11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7891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مشایخ الصدوق‌السید أبو القاسم الموسوی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فی نفسه ویروی عن الضعفاء وصنّف کتباًالسید أبو القاسم الموسوی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858</w:t>
      </w:r>
      <w:r>
        <w:rPr>
          <w:rFonts w:ascii="IRNazanin" w:hAnsi="IRNazanin" w:eastAsia="IRNazanin"/>
          <w:b w:val="false"/>
          <w:b w:val="false"/>
          <w:bCs w:val="false"/>
          <w:i w:val="false"/>
          <w:i w:val="false"/>
          <w:iCs w:val="false"/>
          <w:color w:val="333333"/>
          <w:sz w:val="20"/>
          <w:sz w:val="20"/>
          <w:szCs w:val="20"/>
          <w:rtl w:val="true"/>
        </w:rPr>
        <w:t>، أحمد بن علی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خالد البرقی‌له کتب‌أحمد بن علی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898</w:t>
      </w:r>
      <w:r>
        <w:rPr>
          <w:rFonts w:ascii="IRNazanin" w:hAnsi="IRNazanin" w:eastAsia="IRNazanin"/>
          <w:b w:val="false"/>
          <w:b w:val="false"/>
          <w:bCs w:val="false"/>
          <w:i w:val="false"/>
          <w:i w:val="false"/>
          <w:iCs w:val="false"/>
          <w:color w:val="333333"/>
          <w:sz w:val="20"/>
          <w:sz w:val="20"/>
          <w:szCs w:val="20"/>
          <w:rtl w:val="true"/>
        </w:rPr>
        <w:t>، 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العلاء بن رزین القلّاء جلیل القدرأحمد بن علی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ابن إدریس فی مستهلّ أحادیثه التی ینقلها من کتاب محمد بن علیّ بن محبوب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ومن ذلک ما استطرقناه من کتاب نوادر المصنّف تصنیف محمد بن علیّ بن محبوب الأشعری الجوهری القمی وهذا الکتاب کان بخطّ شیخنا أبی جعفر 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کتاب النهایة فنقلتُ هذه الأحادیث من خطّه من الکتاب المشار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منصور بن أحمد بن إدریس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السرائر </w:t>
      </w:r>
      <w:r>
        <w:rPr>
          <w:rFonts w:eastAsia="IRNazanin" w:cs="IRNazanin"/>
          <w:b w:val="false"/>
          <w:bCs w:val="false"/>
          <w:i w:val="false"/>
          <w:iCs w:val="false"/>
          <w:color w:val="333333"/>
          <w:sz w:val="20"/>
          <w:szCs w:val="20"/>
        </w:rPr>
        <w:t>601:3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وعلی هذا فإن ابن إدریس ینقل هذه الروایات عن المرحوم الشیخ الطوسی الذی طریقه إلی محمد بن علی بن محبوب هو کالتالی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فقد أخبرنی به الحسین بن عبید الله عن أحمد بن محمد بن یحیی العطّار عن أبیه محمد بن یحیی عن محمد بن علی بن محبوب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مشیخة تهذیب الأحکام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هذا الطریق یوجد أحمد بن محمد بن یحیی العطار الذی لم یُذکر فی حقه توثیق فی کتب الرجال للمتقدمین، هذا ولکنّ بعض الأعلام من أمثال الشهید الثانی والشیخ البهائی قد وثّقوه، والسید الخوئی یرفض هذا التوثیق لکون هذا التوثیق أمراً اجتهادیاً واستنباطیاً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أبو القاسم الموسوی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 المرحوم آیة الله العظمی البروجردی فقد أثبت وثاقة أحمد بن محمد بن یحیی العطّار من خلال روایة الشیخ الطوسی والشیخ الصدوق عنه ولاسیّما مع کثرة روایاته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فاضل اللنکرانی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التقریر فی مباحث الصلاة تقریراً لأبحاث السید حسین الطباطبائی البروجردی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1459</w:t>
      </w:r>
      <w:r>
        <w:rPr>
          <w:rFonts w:ascii="IRNazanin" w:hAnsi="IRNazanin" w:eastAsia="IRNazanin"/>
          <w:b w:val="false"/>
          <w:b w:val="false"/>
          <w:bCs w:val="false"/>
          <w:i w:val="false"/>
          <w:i w:val="false"/>
          <w:iCs w:val="false"/>
          <w:color w:val="333333"/>
          <w:sz w:val="20"/>
          <w:sz w:val="20"/>
          <w:szCs w:val="20"/>
          <w:rtl w:val="true"/>
        </w:rPr>
        <w:t>، محمد بن حسن بن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أحمد بن علی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أحمد بن علی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أحمد بن علی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أحمد بن علی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محسن الفیض الکاشانی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707462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الاستصحاب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سعید بن حمّاد بن مهران الأهوازی من موالی 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روی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وأبی جعفر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وأبی الحسن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کوفی وانتقل مع أخیه الحسن إلی الأهواز وله ثلاثون کتاباً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أحمد بن علی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المعروف برجال الکشی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1050</w:t>
      </w:r>
      <w:r>
        <w:rPr>
          <w:rFonts w:ascii="IRNazanin" w:hAnsi="IRNazanin" w:eastAsia="IRNazanin"/>
          <w:b w:val="false"/>
          <w:b w:val="false"/>
          <w:bCs w:val="false"/>
          <w:i w:val="false"/>
          <w:i w:val="false"/>
          <w:iCs w:val="false"/>
          <w:color w:val="333333"/>
          <w:sz w:val="20"/>
          <w:sz w:val="20"/>
          <w:szCs w:val="20"/>
          <w:rtl w:val="true"/>
        </w:rPr>
        <w:t>، وقد کتب الشیخ الطوسی فی الفهرست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أوثق أهل زمانه عند أصحاب الحدیث وأعبدهم وکان یصلّی کل یوم ولیلة خمسین ومئة رکعة ویصوم فی السنة ثلاثة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ویصفه النجاشی بأنّه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صفوان بن یحیی أبو محمد النخلی بیّاع السابری کوفی ثقة ثقة روی أبوه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هو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وکانت عنده منزلة شریفة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أحمد بن علی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المعروف برجال الکشی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جعفر الحمیری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الجدیر بالذکر أنّه لم یذکر له اسمٌ فی الکتب الرجالیة القدیمة لکن العلامة الحلی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 حدیثه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وثّقه الشهید الثانی والشیخ البهائی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الرعایة فی علم الدرایة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والحبل المتین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السید الخوئی فیری أن إثبات توثیق أحمد بن محمّد أمر غیر ممکن نهائیاً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2571:2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ذلک کلّه فإنّ الحکم بتوثیق أحمد بن محمد وجلالة قدره أمر ممکن بالنظر إلی القرائن الدالة علی وثاقته، ومنها کثرة روایاته وفتوی الفقهاء الأعاظم علی طبقها أمثال الشیخ المفید، وقد ذهب إلی ذلک أستاذنا المعظم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مامقانی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فی علم الرجال </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علی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علی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السید أبو القاسم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5048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علی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السید أبو القاسم الموسوی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علی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5051</w:t>
      </w:r>
      <w:r>
        <w:rPr>
          <w:rFonts w:ascii="IRNazanin" w:hAnsi="IRNazanin" w:eastAsia="IRNazanin"/>
          <w:b w:val="false"/>
          <w:b w:val="false"/>
          <w:bCs w:val="false"/>
          <w:i w:val="false"/>
          <w:i w:val="false"/>
          <w:iCs w:val="false"/>
          <w:color w:val="333333"/>
          <w:sz w:val="20"/>
          <w:sz w:val="20"/>
          <w:szCs w:val="20"/>
          <w:rtl w:val="true"/>
        </w:rPr>
        <w:t>، السید أبو القاسم الموسوی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65:10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6618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علی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3776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الشیخ المفید فی الرسالة العددیة من زمرة الفقهاء حیث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الفقهاء الأعلام والرؤساء المأخوذ منهم الحلال والحرام والفتیا والأحکام، الذین لا یطعن علیهم ولا طریق لذمّ واحدٍ منهم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سلسلة مؤلفات الشیخ المفید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جوابات أهل الموصل فی العدد والرؤیة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ولمزید من المعلومات عن أحوال عبد الله بن أبی یعفور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المعروف برجال الکشی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فی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96:10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6680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طریق الشیخ إلی محمد بن علیّ بن محبوب یقع أحمد بن محمد بن یحیی العطّار الذی رآه أستاذنا الجلیل فی ذیل الروایة الثالثة من الروایات المذکورة بأنّه غیر موثق، وعلیه یقع الإشکال فی سند هذه الروایة لکنّنا کما بیّنا فی هامش ذلک المطلب یمکن أن نلتزم بوثاقة أحمد بن محمد بن یحیی العطار نظراً إلی بعض القرائن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807</w:t>
      </w:r>
      <w:r>
        <w:rPr>
          <w:rFonts w:ascii="IRNazanin" w:hAnsi="IRNazanin" w:eastAsia="IRNazanin"/>
          <w:b w:val="false"/>
          <w:b w:val="false"/>
          <w:bCs w:val="false"/>
          <w:i w:val="false"/>
          <w:i w:val="false"/>
          <w:iCs w:val="false"/>
          <w:color w:val="333333"/>
          <w:sz w:val="20"/>
          <w:sz w:val="20"/>
          <w:szCs w:val="20"/>
          <w:rtl w:val="true"/>
        </w:rPr>
        <w:t>، أحمد بن علی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السید أبو القاسم الموسوی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147:20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13749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یراد به الشیخ المفید الذی هو من کبار فقهاء الإمامیة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فیه النجاشی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أبو القاسم من ثقات أصحابنا وأجلائهم فی الحدیث والفقه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 ما یوصف به الناس من جمیل وثقة وفقه فهو فوقه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فیه النجاشی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خیار أصحاب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ویقول فیه العلامة التقرشی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وأصحاب سعد علی ما یفهم أکثرهم 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فکأن قول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من خیار أصحاب سعد یدلّ علی توثیقه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661/5017</w:t>
      </w:r>
      <w:r>
        <w:rPr>
          <w:rFonts w:ascii="IRNazanin" w:hAnsi="IRNazanin" w:eastAsia="IRNazanin"/>
          <w:b w:val="false"/>
          <w:b w:val="false"/>
          <w:bCs w:val="false"/>
          <w:i w:val="false"/>
          <w:i w:val="false"/>
          <w:iCs w:val="false"/>
          <w:color w:val="333333"/>
          <w:sz w:val="20"/>
          <w:sz w:val="20"/>
          <w:szCs w:val="20"/>
          <w:rtl w:val="true"/>
        </w:rPr>
        <w:t>، وینقل السید ابن طاووس خلال ترجمته للحسن بن علی بن فضّال حدیثاً عن محمد بن قولویه ثم یقول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لم أتثبت حال محمد بن عبد الله بن زرارة وباقی الرجال موثقون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یقول صاحب المعالم فی الحاشیة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فهنا نصّ علی توثیق محمد بن قولویه وعلی بن 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الطاووسی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یراد به الشیخ الصدوق ویقول عنه النجاشی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نزیل الرّی شیخنا وفقیهنا ووجه الطائفة بخراسان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1049</w:t>
      </w:r>
      <w:r>
        <w:rPr>
          <w:rFonts w:ascii="IRNazanin" w:hAnsi="IRNazanin" w:eastAsia="IRNazanin"/>
          <w:b w:val="false"/>
          <w:b w:val="false"/>
          <w:bCs w:val="false"/>
          <w:i w:val="false"/>
          <w:i w:val="false"/>
          <w:iCs w:val="false"/>
          <w:color w:val="333333"/>
          <w:sz w:val="20"/>
          <w:sz w:val="20"/>
          <w:szCs w:val="20"/>
          <w:rtl w:val="true"/>
        </w:rPr>
        <w:t>، ویصفه الشیخ الطوسی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جلیل القدر یکنّی أبا جعفر کان جلیلاً حافظاً للأحادیث بصیراً بالرجال ناقداً للأخبار لم یُر فی القمیّین مثله فی حفظه وکثره 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الحسین بن موسی بن بابویه القمّی أبو الحسن وهو والد الشیخ الصدوق یقول النجاشی فی ترجمته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القمیّین فی عصره ومتقدّمهم وفقیههم وثقتهم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وقال عنه الشیخ الطوسی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فقیهاً جلیلاً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388:10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علی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أبو القاسم الموسوی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5048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علی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1076</w:t>
      </w:r>
      <w:r>
        <w:rPr>
          <w:rFonts w:ascii="IRNazanin" w:hAnsi="IRNazanin" w:eastAsia="IRNazanin"/>
          <w:b w:val="false"/>
          <w:b w:val="false"/>
          <w:bCs w:val="false"/>
          <w:i w:val="false"/>
          <w:i w:val="false"/>
          <w:iCs w:val="false"/>
          <w:color w:val="333333"/>
          <w:sz w:val="20"/>
          <w:sz w:val="20"/>
          <w:szCs w:val="20"/>
          <w:rtl w:val="true"/>
        </w:rPr>
        <w:t>، 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أبو القاسم الموسوی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2784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کوفی ثقة کثیر الروایة له کتاب مجموع 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أحمد بن علی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السید أبو القاسم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2983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المعروف برجال الکشی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سبیل المثال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لمحمد بن حسن الطوسی </w:t>
      </w:r>
      <w:r>
        <w:rPr>
          <w:rFonts w:eastAsia="IRNazanin" w:cs="IRNazanin"/>
          <w:b w:val="false"/>
          <w:bCs w:val="false"/>
          <w:i w:val="false"/>
          <w:iCs w:val="false"/>
          <w:color w:val="333333"/>
          <w:sz w:val="20"/>
          <w:szCs w:val="20"/>
        </w:rPr>
        <w:t>302:1</w:t>
      </w:r>
      <w:r>
        <w:rPr>
          <w:rFonts w:ascii="IRNazanin" w:hAnsi="IRNazanin" w:eastAsia="IRNazanin"/>
          <w:b w:val="false"/>
          <w:b w:val="false"/>
          <w:bCs w:val="false"/>
          <w:i w:val="false"/>
          <w:i w:val="false"/>
          <w:iCs w:val="false"/>
          <w:color w:val="333333"/>
          <w:sz w:val="20"/>
          <w:sz w:val="20"/>
          <w:szCs w:val="20"/>
          <w:rtl w:val="true"/>
        </w:rPr>
        <w:t xml:space="preserve">، وذکری الشیعة للشهید الأول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وجامع المقاصد للمحقّق الکرکی </w:t>
      </w:r>
      <w:r>
        <w:rPr>
          <w:rFonts w:eastAsia="IRNazanin" w:cs="IRNazanin"/>
          <w:b w:val="false"/>
          <w:bCs w:val="false"/>
          <w:i w:val="false"/>
          <w:iCs w:val="false"/>
          <w:color w:val="333333"/>
          <w:sz w:val="20"/>
          <w:szCs w:val="20"/>
        </w:rPr>
        <w:t>490:2</w:t>
      </w:r>
      <w:r>
        <w:rPr>
          <w:rFonts w:ascii="IRNazanin" w:hAnsi="IRNazanin" w:eastAsia="IRNazanin"/>
          <w:b w:val="false"/>
          <w:b w:val="false"/>
          <w:bCs w:val="false"/>
          <w:i w:val="false"/>
          <w:i w:val="false"/>
          <w:iCs w:val="false"/>
          <w:color w:val="333333"/>
          <w:sz w:val="20"/>
          <w:sz w:val="20"/>
          <w:szCs w:val="20"/>
          <w:rtl w:val="true"/>
        </w:rPr>
        <w:t xml:space="preserve">، ومفتاح الکرامة للسید محمد جواد الحسینی العاملی </w:t>
      </w:r>
      <w:r>
        <w:rPr>
          <w:rFonts w:eastAsia="IRNazanin" w:cs="IRNazanin"/>
          <w:b w:val="false"/>
          <w:bCs w:val="false"/>
          <w:i w:val="false"/>
          <w:iCs w:val="false"/>
          <w:color w:val="333333"/>
          <w:sz w:val="20"/>
          <w:szCs w:val="20"/>
        </w:rPr>
        <w:t>397:9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وجواهر الکلام لمحمد حسن النجفی </w:t>
      </w:r>
      <w:r>
        <w:rPr>
          <w:rFonts w:eastAsia="IRNazanin" w:cs="IRNazanin"/>
          <w:b w:val="false"/>
          <w:bCs w:val="false"/>
          <w:i w:val="false"/>
          <w:iCs w:val="false"/>
          <w:color w:val="333333"/>
          <w:sz w:val="20"/>
          <w:szCs w:val="20"/>
        </w:rPr>
        <w:t>274:12</w:t>
      </w:r>
      <w:r>
        <w:rPr>
          <w:rFonts w:ascii="IRNazanin" w:hAnsi="IRNazanin" w:eastAsia="IRNazanin"/>
          <w:b w:val="false"/>
          <w:b w:val="false"/>
          <w:bCs w:val="false"/>
          <w:i w:val="false"/>
          <w:i w:val="false"/>
          <w:iCs w:val="false"/>
          <w:color w:val="333333"/>
          <w:sz w:val="20"/>
          <w:sz w:val="20"/>
          <w:szCs w:val="20"/>
          <w:rtl w:val="true"/>
        </w:rPr>
        <w:t xml:space="preserve">، والعروة الوثقی للسید محمد کاظم الطباطبائی الیزدی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سبیل المثال راجع المبسوط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لمحمد بن حسن الطوسی، وقواعد الأحکام للعلامة الحلّی </w:t>
      </w:r>
      <w:r>
        <w:rPr>
          <w:rFonts w:eastAsia="IRNazanin" w:cs="IRNazanin"/>
          <w:b w:val="false"/>
          <w:bCs w:val="false"/>
          <w:i w:val="false"/>
          <w:iCs w:val="false"/>
          <w:color w:val="333333"/>
          <w:sz w:val="20"/>
          <w:szCs w:val="20"/>
        </w:rPr>
        <w:t>304:1</w:t>
      </w:r>
      <w:r>
        <w:rPr>
          <w:rFonts w:ascii="IRNazanin" w:hAnsi="IRNazanin" w:eastAsia="IRNazanin"/>
          <w:b w:val="false"/>
          <w:b w:val="false"/>
          <w:bCs w:val="false"/>
          <w:i w:val="false"/>
          <w:i w:val="false"/>
          <w:iCs w:val="false"/>
          <w:color w:val="333333"/>
          <w:sz w:val="20"/>
          <w:sz w:val="20"/>
          <w:szCs w:val="20"/>
          <w:rtl w:val="true"/>
        </w:rPr>
        <w:t xml:space="preserve">، وذکری الشیعة للشهید الأول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وجامع المقاصد للمحقق الکرکی </w:t>
      </w:r>
      <w:r>
        <w:rPr>
          <w:rFonts w:eastAsia="IRNazanin" w:cs="IRNazanin"/>
          <w:b w:val="false"/>
          <w:bCs w:val="false"/>
          <w:i w:val="false"/>
          <w:iCs w:val="false"/>
          <w:color w:val="333333"/>
          <w:sz w:val="20"/>
          <w:szCs w:val="20"/>
        </w:rPr>
        <w:t>488:3</w:t>
      </w:r>
      <w:r>
        <w:rPr>
          <w:rFonts w:ascii="IRNazanin" w:hAnsi="IRNazanin" w:eastAsia="IRNazanin"/>
          <w:b w:val="false"/>
          <w:b w:val="false"/>
          <w:bCs w:val="false"/>
          <w:i w:val="false"/>
          <w:i w:val="false"/>
          <w:iCs w:val="false"/>
          <w:color w:val="333333"/>
          <w:sz w:val="20"/>
          <w:sz w:val="20"/>
          <w:szCs w:val="20"/>
          <w:rtl w:val="true"/>
        </w:rPr>
        <w:t xml:space="preserve">، ومفتاح الکرامة للسید محمد جواد الحسینی العاملی </w:t>
      </w:r>
      <w:r>
        <w:rPr>
          <w:rFonts w:eastAsia="IRNazanin" w:cs="IRNazanin"/>
          <w:b w:val="false"/>
          <w:bCs w:val="false"/>
          <w:i w:val="false"/>
          <w:iCs w:val="false"/>
          <w:color w:val="333333"/>
          <w:sz w:val="20"/>
          <w:szCs w:val="20"/>
        </w:rPr>
        <w:t>268:9</w:t>
      </w:r>
      <w:r>
        <w:rPr>
          <w:rFonts w:ascii="IRNazanin" w:hAnsi="IRNazanin" w:eastAsia="IRNazanin"/>
          <w:b w:val="false"/>
          <w:b w:val="false"/>
          <w:bCs w:val="false"/>
          <w:i w:val="false"/>
          <w:i w:val="false"/>
          <w:iCs w:val="false"/>
          <w:color w:val="333333"/>
          <w:sz w:val="20"/>
          <w:sz w:val="20"/>
          <w:szCs w:val="20"/>
          <w:rtl w:val="true"/>
        </w:rPr>
        <w:t xml:space="preserve">، وجواهر الکلام لمحمد حسن النجفی </w:t>
      </w:r>
      <w:r>
        <w:rPr>
          <w:rFonts w:eastAsia="IRNazanin" w:cs="IRNazanin"/>
          <w:b w:val="false"/>
          <w:bCs w:val="false"/>
          <w:i w:val="false"/>
          <w:iCs w:val="false"/>
          <w:color w:val="333333"/>
          <w:sz w:val="20"/>
          <w:szCs w:val="20"/>
        </w:rPr>
        <w:t>238:12</w:t>
      </w:r>
      <w:r>
        <w:rPr>
          <w:rFonts w:ascii="IRNazanin" w:hAnsi="IRNazanin" w:eastAsia="IRNazanin"/>
          <w:b w:val="false"/>
          <w:b w:val="false"/>
          <w:bCs w:val="false"/>
          <w:i w:val="false"/>
          <w:i w:val="false"/>
          <w:iCs w:val="false"/>
          <w:color w:val="333333"/>
          <w:sz w:val="20"/>
          <w:sz w:val="20"/>
          <w:szCs w:val="20"/>
          <w:rtl w:val="true"/>
        </w:rPr>
        <w:t xml:space="preserve">، والعروة الوثقی للسید محمد کاظم الطباطبائی الیزدی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علی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850</w:t>
      </w:r>
      <w:r>
        <w:rPr>
          <w:rFonts w:ascii="IRNazanin" w:hAnsi="IRNazanin" w:eastAsia="IRNazanin"/>
          <w:b w:val="false"/>
          <w:b w:val="false"/>
          <w:bCs w:val="false"/>
          <w:i w:val="false"/>
          <w:i w:val="false"/>
          <w:iCs w:val="false"/>
          <w:color w:val="333333"/>
          <w:sz w:val="20"/>
          <w:sz w:val="20"/>
          <w:szCs w:val="20"/>
          <w:rtl w:val="true"/>
        </w:rPr>
        <w:t>، 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5092</w:t>
      </w:r>
      <w:r>
        <w:rPr>
          <w:rFonts w:ascii="IRNazanin" w:hAnsi="IRNazanin" w:eastAsia="IRNazanin"/>
          <w:b w:val="false"/>
          <w:b w:val="false"/>
          <w:bCs w:val="false"/>
          <w:i w:val="false"/>
          <w:i w:val="false"/>
          <w:iCs w:val="false"/>
          <w:color w:val="333333"/>
          <w:sz w:val="20"/>
          <w:sz w:val="20"/>
          <w:szCs w:val="20"/>
          <w:rtl w:val="true"/>
        </w:rPr>
        <w:t>، السید أبو القاسم الموسوی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271:13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9328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المعروف برجال الکشی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علی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السید أبو القاسم الموسوی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السید أبو القاسم الموسوی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359:3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المعروف برجال الکشی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ورقم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ورقم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جعفر الحمیری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علی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السید أبو القاسم الموسوی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139:10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6760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473:1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532:1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1355/5</w:t>
      </w:r>
      <w:r>
        <w:rPr>
          <w:rFonts w:ascii="IRNazanin" w:hAnsi="IRNazanin" w:eastAsia="IRNazanin"/>
          <w:b w:val="false"/>
          <w:b w:val="false"/>
          <w:bCs w:val="false"/>
          <w:i w:val="false"/>
          <w:i w:val="false"/>
          <w:iCs w:val="false"/>
          <w:color w:val="333333"/>
          <w:sz w:val="20"/>
          <w:sz w:val="20"/>
          <w:szCs w:val="20"/>
          <w:rtl w:val="true"/>
        </w:rPr>
        <w:t>، 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علی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ویقول عنه الشیخ الطوسی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حمّاد بن عثمان الناب ثقة جلیل القدر له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من کلمات العلامة الحلّی فی خلاصة الأقوال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داوود فی رجال ابن داوود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أنّهما جعلا لکلّ من حماد بن عثمان الناب وحمّاد بن عثمان الفزاری عنواناً مستقلاً فیستفاد أنّهما شخصان إلاّ أنّ السید الخوئی فی معجم رجال الحدیث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یذکر أنّهما شخص واحد بالاعتماد علی بعض القرائن، ولمّا کان کلاهما ثقة وجلیل القدر لا یفرق فی صحة الروایة سواء کانا شخصاً واحداً أو شخصین مختلفین، وذکره الکشّی أیضاً ضمن أصحاب الإجماع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المعروف برجال الکشی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533:1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1356/6</w:t>
      </w:r>
      <w:r>
        <w:rPr>
          <w:rFonts w:ascii="IRNazanin" w:hAnsi="IRNazanin" w:eastAsia="IRNazanin"/>
          <w:b w:val="false"/>
          <w:b w:val="false"/>
          <w:bCs w:val="false"/>
          <w:i w:val="false"/>
          <w:i w:val="false"/>
          <w:iCs w:val="false"/>
          <w:color w:val="333333"/>
          <w:sz w:val="20"/>
          <w:sz w:val="20"/>
          <w:szCs w:val="20"/>
          <w:rtl w:val="true"/>
        </w:rPr>
        <w:t>، 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علی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واختیار معرفة الرجال المعروف برجال الکشی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532:1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1354/4</w:t>
      </w:r>
      <w:r>
        <w:rPr>
          <w:rFonts w:ascii="IRNazanin" w:hAnsi="IRNazanin" w:eastAsia="IRNazanin"/>
          <w:b w:val="false"/>
          <w:b w:val="false"/>
          <w:bCs w:val="false"/>
          <w:i w:val="false"/>
          <w:i w:val="false"/>
          <w:iCs w:val="false"/>
          <w:color w:val="333333"/>
          <w:sz w:val="20"/>
          <w:sz w:val="20"/>
          <w:szCs w:val="20"/>
          <w:rtl w:val="true"/>
        </w:rPr>
        <w:t>، 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المعروف برجال الکشی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علی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السید أبو القاسم الموسوی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325:13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9436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محمد کاظم الطباطبائی الیزدی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صاحب الوسائل أیضاً فی ذیل هذه الروایة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 ویمکن الحمل علی کثیر السهو بقرینة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532:1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1359/9</w:t>
      </w:r>
      <w:r>
        <w:rPr>
          <w:rFonts w:ascii="IRNazanin" w:hAnsi="IRNazanin" w:eastAsia="IRNazanin"/>
          <w:b w:val="false"/>
          <w:b w:val="false"/>
          <w:bCs w:val="false"/>
          <w:i w:val="false"/>
          <w:i w:val="false"/>
          <w:iCs w:val="false"/>
          <w:color w:val="333333"/>
          <w:sz w:val="20"/>
          <w:sz w:val="20"/>
          <w:szCs w:val="20"/>
          <w:rtl w:val="true"/>
        </w:rPr>
        <w:t xml:space="preserve">، وتهذیب الأحکام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ومما یلزم ذکره أن الشیخ الطوسی قد نقل هذه الروایة فی الاستبصار عن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بینما یرویها فی تهذیب الأحکام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وینقلها صاحب الوسائل کما جاء فی الاستبصار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علی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السید أبو القاسم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5048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علی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السید أبو القاسم الموسوی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علی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905</w:t>
      </w:r>
      <w:r>
        <w:rPr>
          <w:rFonts w:ascii="IRNazanin" w:hAnsi="IRNazanin" w:eastAsia="IRNazanin"/>
          <w:b w:val="false"/>
          <w:b w:val="false"/>
          <w:bCs w:val="false"/>
          <w:i w:val="false"/>
          <w:i w:val="false"/>
          <w:iCs w:val="false"/>
          <w:color w:val="333333"/>
          <w:sz w:val="20"/>
          <w:sz w:val="20"/>
          <w:szCs w:val="20"/>
          <w:rtl w:val="true"/>
        </w:rPr>
        <w:t>، السید أبو القاسم الموسوی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الشهید الثانی صرّح بوثاقته فی شرح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مسالک الأفهام إلی تنقیح شرائح الإسلام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ویذکر الشیخ عبد النبی الجزائری بأنّ توثیق محمد بن عیسی أمر مستبعد نظراً إلی وجود القرائن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حاوی الأقوال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النجاشی فی ترجمته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کوفی ثقة ثقة لا یعدل به أحدٌ من جلالته ودینه وورعه روی عن أبی الحسن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ویعدّه الکشّی من أصحاب الإجماع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المعروف برجال الکشی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علی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أبو علی الحائری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المقال فی أحوال الرجال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السید أبو القاسم الموسوی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الاستصحاب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عبد الله الأشعری القمی ثقة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علی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ومحمد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سعید بن مهران الأهوازی ثقة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علی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والسید أبو القاسم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العلاء بن رزین القلاء ثقفی ثقة وجهاً جلیل القدر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علی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والسید أبو القاسم الموسوی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7763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533:1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1357/7</w:t>
      </w:r>
      <w:r>
        <w:rPr>
          <w:rFonts w:ascii="IRNazanin" w:hAnsi="IRNazanin" w:eastAsia="IRNazanin"/>
          <w:b w:val="false"/>
          <w:b w:val="false"/>
          <w:bCs w:val="false"/>
          <w:i w:val="false"/>
          <w:i w:val="false"/>
          <w:iCs w:val="false"/>
          <w:color w:val="333333"/>
          <w:sz w:val="20"/>
          <w:sz w:val="20"/>
          <w:szCs w:val="20"/>
          <w:rtl w:val="true"/>
        </w:rPr>
        <w:t>، 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السید أبو القاسم الموسوی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6326/6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160:2</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533:1</w:t>
      </w:r>
      <w:r>
        <w:rPr>
          <w:rFonts w:ascii="IRNazanin" w:hAnsi="IRNazanin" w:eastAsia="IRNazanin"/>
          <w:b w:val="false"/>
          <w:b w:val="false"/>
          <w:bCs w:val="false"/>
          <w:i w:val="false"/>
          <w:i w:val="false"/>
          <w:iCs w:val="false"/>
          <w:color w:val="333333"/>
          <w:sz w:val="20"/>
          <w:sz w:val="20"/>
          <w:szCs w:val="20"/>
          <w:rtl w:val="true"/>
        </w:rPr>
        <w:t>، 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الشیخ الصدوق فی طریقه إلی العلاء بن رزین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فقد رویته عن أبی ومحمد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سعد بن عبد الله والحمیری جمیعاً عن أحمد بن محمد بن عیسی عن محمد بن خالد عن العلاء بن رزین، وقد رویته عن أبی ومحمد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سعد بن عبد الله والحمیری جمیعاً عن محمد بن أبی الصهبان عن صفوان بن یحیی عن العلاء ورویته عن أبی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سلیمان الزراری الکوفی عن محمد بن خالد عن العلاء بن رزین القلاء، ورویته عن محمد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الحسن الصفّار عن أحمد بن محمد بن عیسی عن الحسن بن علی بن فضال والحسن بن محبوب عن العلاء بن رزین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طریق صحیح</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1006/23</w:t>
      </w:r>
      <w:r>
        <w:rPr>
          <w:rFonts w:ascii="IRNazanin" w:hAnsi="IRNazanin" w:eastAsia="IRNazanin"/>
          <w:b w:val="false"/>
          <w:b w:val="false"/>
          <w:bCs w:val="false"/>
          <w:i w:val="false"/>
          <w:i w:val="false"/>
          <w:iCs w:val="false"/>
          <w:color w:val="333333"/>
          <w:sz w:val="20"/>
          <w:sz w:val="20"/>
          <w:szCs w:val="20"/>
          <w:rtl w:val="true"/>
        </w:rPr>
        <w:t>، 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الرکوع</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بضعف سند هذه الروایة لأن طریق ابن إدریس إلی کتاب حریز غیر معلوم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محمود الهاشمی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الفراغ والتجاوز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إدریس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السرائر </w:t>
      </w:r>
      <w:r>
        <w:rPr>
          <w:rFonts w:eastAsia="IRNazanin" w:cs="IRNazanin"/>
          <w:b w:val="false"/>
          <w:bCs w:val="false"/>
          <w:i w:val="false"/>
          <w:iCs w:val="false"/>
          <w:color w:val="333333"/>
          <w:sz w:val="20"/>
          <w:szCs w:val="20"/>
        </w:rPr>
        <w:t>588:3</w:t>
      </w:r>
      <w:r>
        <w:rPr>
          <w:rFonts w:ascii="IRNazanin" w:hAnsi="IRNazanin" w:eastAsia="IRNazanin"/>
          <w:b w:val="false"/>
          <w:b w:val="false"/>
          <w:bCs w:val="false"/>
          <w:i w:val="false"/>
          <w:i w:val="false"/>
          <w:iCs w:val="false"/>
          <w:color w:val="333333"/>
          <w:sz w:val="20"/>
          <w:sz w:val="20"/>
          <w:szCs w:val="20"/>
          <w:rtl w:val="true"/>
        </w:rPr>
        <w:t>، 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طریق الشیخ الطوسی إلی موسی بن القاسم بن معاویة بن وهب هو کالتالی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أخبرنی به الشیخ أبو عبد الله عن أبی جعفر محمد بن علی بن الحسین بن بابویه عن محمد الحسن بن الولید عن محمد بن الحسن الصفار وسعد بن عبد الله عن الفضل بن عامر وأحمد بن محمد عن موسی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390:10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الطریق طریق صحیح</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بن القاسم بن معاویة بن وهب البَجلی ثقة ثقة جلیل واضح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علی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 السید أبو القاسم الموسوی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12863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المذکور فی الروایة عبد الرحمن بن سیابة الذی هو من 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لا یقع فی هذه الطبقة المذکورة فی الروایة بل یجب أن یکون الراوی هنا عبد الرحمن بن أبی نجران وهو من ثقات أصحاب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الذی یروی عن حماد بن عیسی ولیس عبد الرحمن بن سیابة وعلیه فالظاهر أنّ هنا حصل خلطٌ وسهوٌ ما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بن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الجهنی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الصادق والکاظم والرضا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رجع عن الوقف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علی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والسید أبو القاسم الموسوی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حریز بن عبد الله السجستانی أبو محمد الأزدی من أهل الکوفة، ثقة 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علی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السید أبو القاسم الموسوی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2637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359:13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الاستصحاب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کاظم الخراسانی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أبو القاسم الموسوی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المیرزا النائینی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315:4</w:t>
      </w:r>
      <w:r>
        <w:rPr>
          <w:rFonts w:ascii="IRNazanin" w:hAnsi="IRNazanin" w:eastAsia="IRNazanin"/>
          <w:b w:val="false"/>
          <w:b w:val="false"/>
          <w:bCs w:val="false"/>
          <w:i w:val="false"/>
          <w:i w:val="false"/>
          <w:iCs w:val="false"/>
          <w:color w:val="333333"/>
          <w:sz w:val="20"/>
          <w:sz w:val="20"/>
          <w:szCs w:val="20"/>
          <w:rtl w:val="true"/>
        </w:rPr>
        <w:t>، محمد علی الکاظمی الخراسانی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المیرزا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الأنصاری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أجاب بعض الفضلاء عن هذا الإشکال بأنّ هذا الجواب خروجٌ عن محل النزاع إذْ النزاع إنّما هو فی مقام الثبوت بینما یرتبط الجواب بمقام الإثبات ولعلّ هذا کان سبباً لعدم التعرض لإشکال المحقق النائینی هذا فی فوائد الأصول</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أبو القاسم الموسوی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312:4</w:t>
      </w:r>
      <w:r>
        <w:rPr>
          <w:rFonts w:ascii="IRNazanin" w:hAnsi="IRNazanin" w:eastAsia="IRNazanin"/>
          <w:b w:val="false"/>
          <w:b w:val="false"/>
          <w:bCs w:val="false"/>
          <w:i w:val="false"/>
          <w:i w:val="false"/>
          <w:iCs w:val="false"/>
          <w:color w:val="333333"/>
          <w:sz w:val="20"/>
          <w:sz w:val="20"/>
          <w:szCs w:val="20"/>
          <w:rtl w:val="true"/>
        </w:rPr>
        <w:t>، محمد علی کاظمی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621:4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أبو القاسم الموسوی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312:4</w:t>
      </w:r>
      <w:r>
        <w:rPr>
          <w:rFonts w:ascii="IRNazanin" w:hAnsi="IRNazanin" w:eastAsia="IRNazanin"/>
          <w:b w:val="false"/>
          <w:b w:val="false"/>
          <w:bCs w:val="false"/>
          <w:i w:val="false"/>
          <w:i w:val="false"/>
          <w:iCs w:val="false"/>
          <w:color w:val="333333"/>
          <w:sz w:val="20"/>
          <w:sz w:val="20"/>
          <w:szCs w:val="20"/>
          <w:rtl w:val="true"/>
        </w:rPr>
        <w:t>، محمد علی الکاظمی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621:4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محمد سرور الواعظ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تقریراً لأبحاث السید الخوئی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تقی 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تقریراً لأبحاث آقا ضیاء الدین العراقی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تقی البروجردی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تقریراً لأبحاث الشیخ ضیاء الدین العراقی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فی شرح الکفایة </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محمدحسین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السید عبد الصاحب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الأصول تقریراً لأبحاث السید محمد الحسینی الروحانی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محمد سرور الواعظ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269:3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علی الکاظمی الخراسانی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620:4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سبیل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أبو القاسم الموسوی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165:1</w:t>
      </w:r>
      <w:r>
        <w:rPr>
          <w:rFonts w:ascii="IRNazanin" w:hAnsi="IRNazanin" w:eastAsia="IRNazanin"/>
          <w:b w:val="false"/>
          <w:b w:val="false"/>
          <w:bCs w:val="false"/>
          <w:i w:val="false"/>
          <w:i w:val="false"/>
          <w:iCs w:val="false"/>
          <w:color w:val="333333"/>
          <w:sz w:val="20"/>
          <w:sz w:val="20"/>
          <w:szCs w:val="20"/>
          <w:rtl w:val="true"/>
        </w:rPr>
        <w:t>، السید محمد سرور واعظ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155:3</w:t>
      </w:r>
      <w:r>
        <w:rPr>
          <w:rFonts w:ascii="IRNazanin" w:hAnsi="IRNazanin" w:eastAsia="IRNazanin"/>
          <w:b w:val="false"/>
          <w:b w:val="false"/>
          <w:bCs w:val="false"/>
          <w:i w:val="false"/>
          <w:i w:val="false"/>
          <w:iCs w:val="false"/>
          <w:color w:val="333333"/>
          <w:sz w:val="20"/>
          <w:sz w:val="20"/>
          <w:szCs w:val="20"/>
          <w:rtl w:val="true"/>
        </w:rPr>
        <w:t>، حسن الصافی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فی الأصول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السید عبد الصاحب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السید مصطفی الخمینی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تحریرات فی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محمد سرور الواعظ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علی الکاظمی الخراسانی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624:4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هذا المطلب فی کلمات المحقّق العراقی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625:4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محمد سرور الواعظ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أبوالقاسم الموسوی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212:4</w:t>
      </w:r>
      <w:r>
        <w:rPr>
          <w:rFonts w:ascii="IRNazanin" w:hAnsi="IRNazanin" w:eastAsia="IRNazanin"/>
          <w:b w:val="false"/>
          <w:b w:val="false"/>
          <w:bCs w:val="false"/>
          <w:i w:val="false"/>
          <w:i w:val="false"/>
          <w:iCs w:val="false"/>
          <w:color w:val="333333"/>
          <w:sz w:val="20"/>
          <w:sz w:val="20"/>
          <w:szCs w:val="20"/>
          <w:rtl w:val="true"/>
        </w:rPr>
        <w:t>، محمد علی الکاظمی الخراسانی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أن الشارع نزّل فی الشکّ فی الجزء فی باب الصلاة منزلة الشک فی الکلّ فی الحکم بعدم الالتفات إلیه فیکون إطلاق الشیء علی الجزء باللحاظ السابق علی الترکیب وصار من مصادیق الشیء تعبداً وتنزیلاً فالکبری المجعولة الشرعیة لیست هی إلا عدم الاعتناء بالشیء المشکوک فیه بعد التجاوز عنه ولهذه الکبری صغریان وجدانیة تکوینیة وهی الشک فی الکلّ بعد الفراغ عنه من غیر فرق بین الصلاة وغیرها وصغری تعبدیة تنزیلیة وهی الشکّ فی الجزء فی خصوص باب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علی الکاظمی الخراسانی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أبوالقاسم الموسوی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محمد سرور الواعظ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محمد سرور الواعظ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بعض الفضلاء بأنّ عنوان عدم الاعتناء بالشکّ فی الشیء بعد المضی عنه لا یمکن أن یکون جامعاً بین قاعدتی الفراغ والتجاوز إذ کما ذکر الأستاذ المعظّم فی الأبحاث السابقة أنّ القدر الجامع یجب أن یکون قریباً بین عنوانی الصحة والوجود ولیس کذلک عنوان الشیء بعد المضیّ لشموله لعناوین أخری کالموالاة والترتیب أو الرکعة مع أنّ قاعدة الفراغ والتجاوز لا تجری فیها ولم یحکم أحدٌ بأنّ من شک فی الرکعة الثالثة من الثلاثیة هل جاء بالرکعة الثانیة أولا؟ بوجوب البناء علی الإتیان بل تبطل الصلاة بهذا الشک، إلا أن نقول بأنّ عنوان الشیء الوارد فی الروایات لا یشمل العناوین التی لیس لها ما بإزاء مستقل وکانت من العناوین الانتزاعیة کما التزم بذلک المحقق العراقی فی الموالاة والترتیب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نهایة الأفکار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یجب علیه حینئذٍ أن یلتزم بأن قاعدة الفراغ الجاریة فی الشک فی الشیء بعد الفراغ لا تجری فی کلّ من العبادات والمعاملات لأن عناوین العبادات کالصلاة والصوم والمعاملات کالبیع والنکاح برمّتها عناوین انتزاعیة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محمد سرور الواعظ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أبو القاسم الموسوی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215:4</w:t>
      </w:r>
      <w:r>
        <w:rPr>
          <w:rFonts w:ascii="IRNazanin" w:hAnsi="IRNazanin" w:eastAsia="IRNazanin"/>
          <w:b w:val="false"/>
          <w:b w:val="false"/>
          <w:bCs w:val="false"/>
          <w:i w:val="false"/>
          <w:i w:val="false"/>
          <w:iCs w:val="false"/>
          <w:color w:val="333333"/>
          <w:sz w:val="20"/>
          <w:sz w:val="20"/>
          <w:szCs w:val="20"/>
          <w:rtl w:val="true"/>
        </w:rPr>
        <w:t>، محمد علی الکاظمی الخراسانی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محمد سرور الواعظ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أبو القاسم الموسوی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216:4</w:t>
      </w:r>
      <w:r>
        <w:rPr>
          <w:rFonts w:ascii="IRNazanin" w:hAnsi="IRNazanin" w:eastAsia="IRNazanin"/>
          <w:b w:val="false"/>
          <w:b w:val="false"/>
          <w:bCs w:val="false"/>
          <w:i w:val="false"/>
          <w:i w:val="false"/>
          <w:iCs w:val="false"/>
          <w:color w:val="333333"/>
          <w:sz w:val="20"/>
          <w:sz w:val="20"/>
          <w:szCs w:val="20"/>
          <w:rtl w:val="true"/>
        </w:rPr>
        <w:t>، والجدیر بالذکر أنّ جواب المحقّق إنّما قرّره المحقق الکاظمی بوجه وبیان آخر حیث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المراد من التجاوز إنّما هو التجاوز عن محلّ المشکوک فیه مطلقاً فإنّ الشک فی قاعدة الفراغ أیضاً یکون بعد التجاوز عن محلّ الجزء المشکوک فیه الذی کان سبباً للشک فی وجود الکلّ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محمد سرور الواعظ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المحقق النائینی فی هذا المجال وتوضیحاً للإشکال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یلزم التدافع بناءً علی اتحاد الکبری فیما إذا شکّ بعد التجاوز عن محلّ المشکوک فإنّه باعتبار لحاظ الجزء نفسه کما هو مورد قاعدة التجاوز یصدق أنّه تجاوز عن محلّه فلا یعتنی بالشک وباعتبار لحاظ المرکّب بما هو یصدق إنّه لم یتجاوز فیجب علیه التدارک فیلزم التدافع من جهة الاعتبارین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أبو القاسم الموسوی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213:4</w:t>
      </w:r>
      <w:r>
        <w:rPr>
          <w:rFonts w:ascii="IRNazanin" w:hAnsi="IRNazanin" w:eastAsia="IRNazanin"/>
          <w:b w:val="false"/>
          <w:b w:val="false"/>
          <w:bCs w:val="false"/>
          <w:i w:val="false"/>
          <w:i w:val="false"/>
          <w:iCs w:val="false"/>
          <w:color w:val="333333"/>
          <w:sz w:val="20"/>
          <w:sz w:val="20"/>
          <w:szCs w:val="20"/>
          <w:rtl w:val="true"/>
        </w:rPr>
        <w:t>، محمد علی الکاظمی الخراسانی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623:3</w:t>
      </w:r>
      <w:r>
        <w:rPr>
          <w:rFonts w:ascii="IRNazanin" w:hAnsi="IRNazanin" w:eastAsia="IRNazanin"/>
          <w:b w:val="false"/>
          <w:b w:val="false"/>
          <w:bCs w:val="false"/>
          <w:i w:val="false"/>
          <w:i w:val="false"/>
          <w:iCs w:val="false"/>
          <w:color w:val="333333"/>
          <w:sz w:val="20"/>
          <w:sz w:val="20"/>
          <w:szCs w:val="20"/>
          <w:rtl w:val="true"/>
        </w:rPr>
        <w:t>، السید محمد سرور الواعظ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أبو القاسم الموسوی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أبو القاسم الموسوی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محمد سرور الواعظ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ذکر فی کتاب فوائد الأصول محذور خامس وقد أجاب عنه المیرزا النائینی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فوائد الأصول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فهول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أنّه لا یتمّ فیما لو کان الشک فی الصحّة من جهة الشکّ فی فقد الترتیب أو الموالاة مثلاً لا من جهة الشک فی فقد الجزءِ فإنّه من جهة انصراف الشیء عرفاً عن مثل هذه الإضافات إلی ما کان له وجود مستقلٌ لا یصدق علی الکلّ أنّه شیء مشکوک لأنه بما هو شیء بلحاظ أجزائه مقطوع الوجود والتحقّق وبلحاظ الترتیب والموالاة لا یصدق علیه الشیء عرفاً فما یکون الکلّ شیئاً عرفاً لا یکون مشکوکاً وما عنه یکون مشکوکاً لا یکون شیئاً فلا یمکن تصحیح الصلاة إلا بإثبات صحّة الموجود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تقی البروجردی النجفی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تقریراً لما أفاده المحقق العراقی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تقی البروجردی النجفی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محمد حسن البجبوردی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الفقهیة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تکبیرة الإحرام،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الاستصحاب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346:8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346:8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358:13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468:1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الاستصحاب،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الاستصحاب،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الاستصحاب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الاستصحاب،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فی هذا المبنی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لو انتفت حجیّة جزء من الروایة ولم یمکن الاستناد إلیه لم یخلّ بحجّیة باقی الروایة ویبقی سائر أجزاء الروایة علی حجیتها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الوضوء ج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أبو القاسم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467:2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نصّ کلامه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روایات الباب آبیة عن حملها علی جعل قاعدتین مستقلّتین فإنّ الرجوع إلیها یشرف الفقیه علی القطع بکون المجعول فیها أمراً واحداً ینطبق علی موارد الشک فی الأجزاء والشک بعد العمل فإنّ اتّحاد التعبیر فی موارد الأخبار الواردة فی موارد التجاوز عن الأجزاء والفراغ من العمل یکاد یوجب القطع بوحدة القاعدة المجعولة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نص کلام المحقق العراقی فی نهایة الأفکار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إنّه ممّا یترتّب علی اتّحاد القاعدتین وتعدّدهما أنّه لو علم بفوت سجدة واحدة أو التشهد وقد شکّ فی صحّة صلاته من جهة احتمال احتمال الإخلال بالترتیب أو الموالاة المعتبرة فیها فإنّه علی ما ذکرنا من تعدد القاعدة وتعدّد الکبری المجعولة فیهما تجری فی الصلاة قاعدة الفراغ الحاکمة بصحّتها ویترتب علی صحتها وجوب قضاء السجدة أو التشهد وسجدتی السهو وأمّا علی القول بوحدة القاعدتین ووحدة الکبری المجعولة فیهما کما هو مختار الشیخ ومَن تبعه فیشکل إثبات وجوب قضاء السجدة أو التشهد فی الفرض المزبور فإنّه بالنسبة إلی المشکوک فیه وهو الموالاة أو الترتیب لا یصدق علیه الشیء حتّی یجری فیه قاعدة الشک فی الشیء بعد تجاوز محلّه وأمّا بالنسبة إلی المرکّب الذی شکّ فی وجوده التام فکذلک لأنه بلحاظ ما یکون منه مشکوکاً أعنی الترتیب والموالاة لا یکون شیئاً حتی تجری فیه القاعدة وبلحاظ ما یکون منه شیئاً وهو الأجزاء لا یکون مشکوکاً وعلی فرض جریان القاعدة فیه واقتضائها لإثبات وجود العمل الصحیح لا یترتب علیه وجوب قضاء السجدة أو التشهد لأنها من آثار صحة الصلاة بمفاد کان الناقصة فلا یمکن ترتیب مثل هذا الأثر علیه إلا علی القول المثبت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النجفی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محمود الهاشمی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الفراغ والتجاوز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أبو القاسم الموسوی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479:2</w:t>
      </w:r>
      <w:r>
        <w:rPr>
          <w:rFonts w:ascii="IRNazanin" w:hAnsi="IRNazanin" w:eastAsia="IRNazanin"/>
          <w:b w:val="false"/>
          <w:b w:val="false"/>
          <w:bCs w:val="false"/>
          <w:i w:val="false"/>
          <w:i w:val="false"/>
          <w:iCs w:val="false"/>
          <w:color w:val="333333"/>
          <w:sz w:val="20"/>
          <w:sz w:val="20"/>
          <w:szCs w:val="20"/>
          <w:rtl w:val="true"/>
        </w:rPr>
        <w:t>، محمد علی الکاظمی الخراسانی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626:4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نصّ کلام المحقّق النائینی فی فوائد الأصول </w:t>
      </w:r>
      <w:r>
        <w:rPr>
          <w:rFonts w:eastAsia="IRNazanin" w:cs="IRNazanin"/>
          <w:b w:val="false"/>
          <w:bCs w:val="false"/>
          <w:i w:val="false"/>
          <w:iCs w:val="false"/>
          <w:color w:val="333333"/>
          <w:sz w:val="20"/>
          <w:szCs w:val="20"/>
        </w:rPr>
        <w:t>626:4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وبما ذکرنا ظهر اختصاص قاعدة التجاوز بأجزاء الصلاة ولا تجری فی أجزاء سائر المرکبات الأخر لاختصاص مورد التعبّد والتنزیل بأجزاء الصلاة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الاستصحاب،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النجفی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470/1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رأیه هو أنّه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خصوصیة للطهارات الثلاث حتی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خارجة عن عموم قاعدة التجاوز بالتخصیص للأخبار والإجماع فإنّه لا عموم فی القاعدة حتّی یکون خروجها بالتخصیص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626:4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سبیل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العراقی فی نهایة الأفکار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فإنّهم أجمعوا علی أن الشاکّ فی فعل من أفعال الوضوء قبل إتمام الوضوء یجب علیه العود لإتیان المشکوک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ویقول المحقّق البجنوردی فی القواعد الفقهیة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بالنسبة إلی الوضوء فمضافاً إلی الإجماع علی عدم جریان القاعدة صحیحة زرارة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ویقول الشیخ الأنصاری فی فرائد الأصول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فإنّهم أجمعوا علی أن الشاک فی فعلٍ من أفعال الوضوء قبل إتمام الوضوء یأتی به وإن دخل فی فعل آخر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سبیل المثال یقول المرحوم النجفی فی جواهر الکلام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وکذا لو تیقّن ترک غسل عضو أو مسحه أتی به إجماعاً محصّلاً ومنقولاً وسنةً بالخصوص</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نصّ کلام الشیخ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ویمکن أن یقال لدفع جمیع ما فی الخبر من الإشکال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الوضوء بتمامه فی نظر الشارع فعل واحد باعتبار وحدة مسبّبه وهی الطهارة فلا یلاحظ کل فعل منه بحیاله حتی یکون مورداً لتعارض هذا الخبر مع الأخبار السابقة ولا یلاحظ بعض أجزائه کغسل الید مثلاً شیئاً مستقلاً یشکّ فی بعض أجزائه قبل تجاوزه أو بعده لیوجب ذلک الإشکال فی الحصر المستفاد من الذیل وبالجملة فإذا فرض الوضوء فعلاً واحداً لم یلاحظ الشارع أجزاءه أفعالاً مستقلّة یجری فیها حکم الشک بعد تجاوز المحل لم یتوجّه شیء من الإشکالین فی الاعتماد علی الخبر ولم یکن حکم الوضوء مخالفاً للقاعدة إذ الشک فی أجزاء الوضوء قبل الفراغ لیس إلا شکاً واقعاً فی الشیء قبل التجاوز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محمد تقی البروجردی النجفی فی نهایة الأفکار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وفیه مضافاً إلی أنّ ما ذکر من الوحدة خلاف ظاهر تبعیضیة من فی صدر الروایة أنّ مجرد بساطة أثر الوضوء لا یقتضی هذا الاعتبار فی مؤثره الذی هو نفس الوضوء وإلا لاقتضی جریان المناط المزبور فی سائر العبادات أیضاً کالصلاة بالنسبة إلی آثارها المترتّبة علیها من نحو الانتهاء عن الفحشاء والمقرّبیة فیلزم أن یکون الشک فی کلّ جزء منها قبل الفراغ عنها شکّاً فیه قبل التجاوز عن ذلک الجزء باعتبار وحدة السبب الناشئ عن وحدة الأثر وبساطته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الفقهیة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السید عبد الصاحب الحکیم فی منتقی الأصول تقریراً لأبحاث السید محمد الروحانی </w:t>
      </w:r>
      <w:r>
        <w:rPr>
          <w:rFonts w:eastAsia="IRNazanin" w:cs="IRNazanin"/>
          <w:b w:val="false"/>
          <w:bCs w:val="false"/>
          <w:i w:val="false"/>
          <w:iCs w:val="false"/>
          <w:color w:val="333333"/>
          <w:sz w:val="20"/>
          <w:szCs w:val="20"/>
        </w:rPr>
        <w:t>307:7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وکلا الوجهین مخدوش فیهما أمّا الأول فلأن الواحد بالاعتبار لابد وأن یکون مرکّباً فی نفسه وواقعه وإلا لما احتیج إلی اعتبار وحدته فالتعبیر فی الصدر بالشک فی شیءٍ من الوضوء لا ینافی اعتبار الوحدة لو ثبت وتم الدلیل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الثانی فلأنّ الأثر التی یترتّب علی العمل تارةً یکون تکوینیاً وأخری یکون جعلیاً والآخر المترتّب علی الوضوء وأخویه أثر شرعی نسبته إلی ذیه نسبة المسبّب إلی السبب فملاکیة وحدة السبب لاعتبار وحدة الوضوء إنّما تقتضی اطراد ذلک فی کل أمر یترتب علیه أثر نسبته إلیه نسبة المسبّب إلی السبب دون کلّ أمر یترتب علیه أثر ما، وهذا إنّما یکون فی العقود لأنها سبب فی ترتب آثار علیها أمّا الصلاة ونحوها من العبادات فآثارها تکوینیة لا جعلیة فلا تصلح مادّة النقض علی الاطراد لعدم اعتبار الوحدة فیها بل النقض إنّما یتوجّه بباب العقود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نصّ عبارة المحقق العراقی فی نهایة الأفکار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محذور فی الالتزام بهذا المقدار فإنّ تقیید المورد مع إطلاق الکبری غیر عزیز نظیر تقیید مورد مفهوم آیة النبأ المفروض کونه فی الموضوعات الخارجیة بصورة انضمام خبر عدلٍ آخر مع إبقاء اشتراط کبری قبول الخبر الواحد یکون المخبر عادلاً علی إطلاقه لصورة عدم ضمّ خبر عدلٍ آخر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عبارته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فإلحاق الغسل بالوضوء فی حکم المذکور مع اختصاص الصحیحة بالوضوء وعدم تنقیح المناط وعدم العلم بالإجماع یحتاج إلی دلیل وإن کانت الشهرة محقّقة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الاستصحاب،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w:t>
      </w:r>
      <w:r>
        <w:rPr>
          <w:rFonts w:eastAsia="IRNazanin" w:cs="IRNazanin"/>
          <w:b w:val="false"/>
          <w:bCs w:val="false"/>
          <w:i w:val="false"/>
          <w:iCs w:val="false"/>
          <w:color w:val="333333"/>
          <w:sz w:val="20"/>
          <w:szCs w:val="20"/>
        </w:rPr>
        <w:t>252:8</w:t>
      </w:r>
      <w:r>
        <w:rPr>
          <w:rFonts w:ascii="IRNazanin" w:hAnsi="IRNazanin" w:eastAsia="IRNazanin"/>
          <w:b w:val="false"/>
          <w:b w:val="false"/>
          <w:bCs w:val="false"/>
          <w:i w:val="false"/>
          <w:i w:val="false"/>
          <w:iCs w:val="false"/>
          <w:color w:val="333333"/>
          <w:sz w:val="20"/>
          <w:sz w:val="20"/>
          <w:szCs w:val="20"/>
          <w:rtl w:val="true"/>
        </w:rPr>
        <w:t xml:space="preserve">، ومصباح الأصول </w:t>
      </w:r>
      <w:r>
        <w:rPr>
          <w:rFonts w:eastAsia="IRNazanin" w:cs="IRNazanin"/>
          <w:b w:val="false"/>
          <w:bCs w:val="false"/>
          <w:i w:val="false"/>
          <w:iCs w:val="false"/>
          <w:color w:val="333333"/>
          <w:sz w:val="20"/>
          <w:szCs w:val="20"/>
        </w:rPr>
        <w:t>290:3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w:t>
      </w:r>
      <w:r>
        <w:rPr>
          <w:rFonts w:eastAsia="IRNazanin" w:cs="IRNazanin"/>
          <w:b w:val="false"/>
          <w:bCs w:val="false"/>
          <w:i w:val="false"/>
          <w:iCs w:val="false"/>
          <w:color w:val="333333"/>
          <w:sz w:val="20"/>
          <w:szCs w:val="20"/>
        </w:rPr>
        <w:t>468:5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نصّ عبارة السید الخوئی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وفیه أولاً أن ظاهر الآیات والروایات کون نفس الوضوء متعلّقاً للتکلیف کقوله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فَاغْسِلُوا وُجُوهَکُمْ وَأَیْدِیَکُمْ إِلَی الْمَرَافِقِ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افتتاح الصلاة الوضوء وتحریمها التکبیر وتحلیلها التسلیم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والوضوء مرکب فلا مانع من جریان قاعدة التجاوز فیه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وثانیاً علی تقدیر تسلیم کون الطهارة هی المأمور به وأنّ الوضوء مقدمة لها أنّ عدم جریان قاعدة التجاوز فی المقدمة مع کون ذیها بسیطاً إنّما هو فی المقدمات العقلیة الخارجیة کما إذا أمر المولی بقتل أحد وتوقف القتل علی عدّة من المقدمّات فالشک فی بعض هذه المقدمات لا یکون مورداً لقاعدة التجاوز لأن المأمور به وهو القتل بسیط لا تجری فیه قاعدة التجاوز والشک فی المقدمات شکّ فی المحصّل فلابدّ من الاحتیاط هذا بخلاف المقام فإنّ الوضوء من المقدمات الشرعیة لحصول الطهارة إذ الشارع جعله مقدمة لها وأمر به وبعد تعلق الأمر الشرعی به وکونه مرکباً لا مانع من جریان قاعدة التجاوز فیه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الإسلام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الشک فی الوضوء</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الاستصحاب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وکذا 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قوله فی ذیلها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دخله الشک وقد دخل فی حال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یدلّ بإطلاقه علی أنّ من شک فی غسل ذراعه أو بعض جسده من الطرف الأیسر وقد دخل فی حال أخری أیّة حالة کانت لا یعتنی بشکّه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634:4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نصّ عبارته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لأن شمول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شیء شک فیه مما قد جاوزه ودخل فی غیره فلیمض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للشک فی الأجزاء إنّما کان بعنایة التعبّد والتنزیل ولحاظ الأجزاء فی المرتبة السابقة علی الترکیب فإنّه فی تلک المرتبة یکون کل جزء من أجزاء الصلاة وأجزاء أجزائها من الآیات والکلمات بل الحروف شیئاً مستقلاً فی مقابل الکلّ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فی مرتبة التألیف والترکیب فلا یکون الجزء شیئاً مستقلاً فی مقابل الکلّ بل شیئیة الجزء تندکّ فی شیئیة الکلّ کما تقدم فدخول الأجزاء فی عموم الشیء فی عرض دخول الکلّ لا یمکن إلاّ بعنایة التعبّد والتنزیل وحینئذٍ لابدّ من الاقتصار علی مورد التنزیل والمقدار الذی قام الدلیل فیه علی التنزیل هو الأجزاء المستقلّة بالتبویب</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فی شرح الکفایة </w:t>
      </w:r>
      <w:r>
        <w:rPr>
          <w:rFonts w:eastAsia="IRNazanin" w:cs="IRNazanin"/>
          <w:b w:val="false"/>
          <w:bCs w:val="false"/>
          <w:i w:val="false"/>
          <w:iCs w:val="false"/>
          <w:color w:val="333333"/>
          <w:sz w:val="20"/>
          <w:szCs w:val="20"/>
        </w:rPr>
        <w:t>300:3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المیرزا حسن سیادتی السبزواری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الوصول إلی حقائق الأصول تقریراً لأبحاث المحقّق الأصفهانی ص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نص کلمات المحقّق الأصفهانی فی وسیلة الوصول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إنّ الشک فی الشیء بعد الدخول فی غیره الذی لا یعتنی به بمقتضی قاعدة التجاوز مخصوص بالشک فی الأجزاء المبوّیة الأولیة کالشک فی التکبیر والقراءة والرکوع والسجود ونحوها کما فی مورد الروایة أو تعمّ غیر الأجزاء الأولیة من الأجزاء الثانویة وهکذا کما أفتی به بعض من عدم الاعتناء بالشک فی أول السورة وهو فی آخرها بل بالشک فی أوّل الآیة وهو فی آخرها بل بالشک فی أول الکلمة وهو فی آخرها والظاهر هو الأول لأن الشیء وإن کان من الألفاظ العامة إلا أن عمومه باعتبار ما یکنّی به عنه وهو فی الروایة کنایة عن أجزاء الصلاة کما هی مورد قاعدة التجاوز بمقتضی الروایة فمعنی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خرجت من شیء ودخلت فی غیره فشکک لیس بشیء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خرجت من أجزاء الصلاة وأجزاء الصلاة هی الأجزاء الأولیّة المبوّبة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أبو القاسم الموسوی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518:2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الأصول </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نص کلام الشیخ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الظاهر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حین یتوضّأ أذکر منه حین یشک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هذه القاعدة من باب تقدیم الظاهر علی الأصل فهو دائر مدار الظهور النوعی ولو کان من العادة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هی عبارة الشیخ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أنّ فتح هذا الباب بالنسبة إلی العادة یوجب مخالفة إطلاقات کثیرة فمن اعتاد الصلاة فی أوّل وقتها أو مع الجماعة فشکّ فی فعلها بعد ذلک فلا یجب علیه الفعل وکذا من اعتاد الوضوء بعد الحدث بلا فصل یعتدّ به أو قبل دخول الوقت للتهیّؤ فشکّ بعد ذلک فی الوضوء، إلی غیر ذلک من الفروع التی یبعد التزام الفقیه بها</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الاستصحاب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الشارع المقنّن إذا قرّر للأشیاء محلاً فجعل محلّ القراءة بعد التکبیر ومحلّ الرکوع بعد القراءة وهکذا ثم جعل قانوناً آخر بأنّ کل ما مضی لا یفهم العرف والعقلاء منه إلا ما هو المحلّ المقرّر الجعلی لا ما صار عادة للأشخاص أو النوع فإن العادة إنّما تحصل بالعمل وهی لا توجب أن یصیر المحلّ العادی محلاً للشیء بل المحلّ بقول مطلق هو ما یکون محلاً مقرّراً قانونیاً لا ماصاً عادة حتی یختلف باختلاف الأزمنة والأحوال وبالجملة إسراء الحکم إلی المحل العادی بدعوی إطلاق الأدلة فی غایة الإشکال بل لا یمکن التزامه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160:88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فی شرح الکفایة </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 الظاهر أن هذه الخصوصیات من باب التمثیل توطئة لضرب قاعدة کلیة لا تحدید للغیر وکما أنّ إطلاق الغیر فی مقام ضرب قاعدة کلیّة یوجب التعدّی إلی غیر ما ذکر فی الروایتین من الأجزاء کذلک یوجب التعدّی إلی مقدماتها الأمر أوسع من ذلک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وعدم تعرضه للانتصاب والهویّ والانتقال إلی السجود لیس دلیلاً علی عدم الاعتبار بالدخول فیها بل حیث أن الغفلة الموجبة للشک بحسب العادة لا تعرض للمصلّی مع قرب الانتصاب والهویّ إلی الرکوع فلذا لم یتعرّض لهما بل عقّب الأمثلة العادیة بنصب قاعدة کلیة والعبرة بمفاد القاعدة لا بموردها الخاص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نهایة الدرایة فی شرح الکفایة </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160:88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636:4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626:4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623:4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631:4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358:13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1443</w:t>
      </w:r>
      <w:r>
        <w:rPr>
          <w:rFonts w:ascii="IRNazanin" w:hAnsi="IRNazanin" w:eastAsia="IRNazanin"/>
          <w:b w:val="false"/>
          <w:b w:val="false"/>
          <w:bCs w:val="false"/>
          <w:i w:val="false"/>
          <w:i w:val="false"/>
          <w:iCs w:val="false"/>
          <w:color w:val="333333"/>
          <w:sz w:val="20"/>
          <w:sz w:val="20"/>
          <w:szCs w:val="20"/>
          <w:rtl w:val="true"/>
        </w:rPr>
        <w:t>، 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أبو القاسم الموسوی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علی الکاظمی الخراسانی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632:4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الحائری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خلل الصلاة وأحکامها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1459</w:t>
      </w:r>
      <w:r>
        <w:rPr>
          <w:rFonts w:ascii="IRNazanin" w:hAnsi="IRNazanin" w:eastAsia="IRNazanin"/>
          <w:b w:val="false"/>
          <w:b w:val="false"/>
          <w:bCs w:val="false"/>
          <w:i w:val="false"/>
          <w:i w:val="false"/>
          <w:iCs w:val="false"/>
          <w:color w:val="333333"/>
          <w:sz w:val="20"/>
          <w:sz w:val="20"/>
          <w:szCs w:val="20"/>
          <w:rtl w:val="true"/>
        </w:rPr>
        <w:t>، 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الحائری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خلل الصلاة وأحکامها</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533:1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وتهذیب الأحکام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واللازم ذکره أن الشیخ الطوسی قد نقل هذه الروایة فی الاستبصار عن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لکنّه نقلها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تهذیب الأحکام، وقد نقلها صاحب الوسائل علی ما وردت فی الاستبصار</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محمود الشاهرودی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نتائج الأفکار </w:t>
      </w:r>
      <w:r>
        <w:rPr>
          <w:rFonts w:eastAsia="IRNazanin" w:cs="IRNazanin"/>
          <w:b w:val="false"/>
          <w:bCs w:val="false"/>
          <w:i w:val="false"/>
          <w:iCs w:val="false"/>
          <w:color w:val="333333"/>
          <w:sz w:val="20"/>
          <w:szCs w:val="20"/>
        </w:rPr>
        <w:t>369:6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الأصول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642:4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الأصول </w:t>
      </w:r>
      <w:r>
        <w:rPr>
          <w:rFonts w:eastAsia="IRNazanin" w:cs="IRNazanin"/>
          <w:b w:val="false"/>
          <w:bCs w:val="false"/>
          <w:i w:val="false"/>
          <w:iCs w:val="false"/>
          <w:color w:val="333333"/>
          <w:sz w:val="20"/>
          <w:szCs w:val="20"/>
        </w:rPr>
        <w:t>7:155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محمد کاظم الطباطبائی الیزدی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أحکام الأوقات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الأصول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654:4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علی الکاظمی الخراسانی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645:4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تقی البروجردی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تقی البروجردی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عبد الصاحب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الأصول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1460</w:t>
      </w:r>
      <w:r>
        <w:rPr>
          <w:rFonts w:ascii="IRNazanin" w:hAnsi="IRNazanin" w:eastAsia="IRNazanin"/>
          <w:b w:val="false"/>
          <w:b w:val="false"/>
          <w:bCs w:val="false"/>
          <w:i w:val="false"/>
          <w:i w:val="false"/>
          <w:iCs w:val="false"/>
          <w:color w:val="333333"/>
          <w:sz w:val="20"/>
          <w:sz w:val="20"/>
          <w:szCs w:val="20"/>
          <w:rtl w:val="true"/>
        </w:rPr>
        <w:t>، 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image" Target="media/image2.jpeg"/><Relationship Id="rId238" Type="http://schemas.openxmlformats.org/officeDocument/2006/relationships/image" Target="media/image2.jpeg"/><Relationship Id="rId239" Type="http://schemas.openxmlformats.org/officeDocument/2006/relationships/footer" Target="footer232.xml"/><Relationship Id="rId240" Type="http://schemas.openxmlformats.org/officeDocument/2006/relationships/footnotes" Target="footnotes.xml"/><Relationship Id="rId241" Type="http://schemas.openxmlformats.org/officeDocument/2006/relationships/numbering" Target="numbering.xml"/><Relationship Id="rId242" Type="http://schemas.openxmlformats.org/officeDocument/2006/relationships/fontTable" Target="fontTable.xml"/><Relationship Id="rId243" Type="http://schemas.openxmlformats.org/officeDocument/2006/relationships/settings" Target="settings.xml"/><Relationship Id="rId2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238</Pages>
  <Words>47954</Words>
  <Characters>211439</Characters>
  <CharactersWithSpaces>257675</CharactersWithSpaces>
  <Paragraphs>1719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2026-08-19T02:13:13Z</dcterms:created>
  <dc:creator>ghaemiyeh.com</dc:creator>
  <dc:description/>
  <dc:language>en-US</dc:language>
  <cp:lastModifiedBy/>
  <dcterms:modified xsi:type="dcterms:W3CDTF">2026-08-19T05:43:19Z</dcterms:modified>
  <cp:revision>1</cp:revision>
  <dc:subject/>
  <dc:title>بحوث فی قاعده الفراغ و التجاوز</dc:title>
</cp:coreProperties>
</file>

<file path=docProps/custom.xml><?xml version="1.0" encoding="utf-8"?>
<Properties xmlns="http://schemas.openxmlformats.org/officeDocument/2006/custom-properties" xmlns:vt="http://schemas.openxmlformats.org/officeDocument/2006/docPropsVTypes"/>
</file>