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الحریة الاقتصادیة ضوابطها و حدودها فی الفقه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16_581953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7018_581953129">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97020_581953129">
            <w:r>
              <w:rPr>
                <w:webHidden/>
                <w:rStyle w:val="IndexLink"/>
                <w:rtl w:val="true"/>
              </w:rPr>
              <w:t>کلمة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97022_581953129">
            <w:r>
              <w:rPr>
                <w:webHidden/>
                <w:rStyle w:val="IndexLink"/>
                <w:rtl w:val="true"/>
              </w:rPr>
              <w:t>الفهرس</w:t>
            </w:r>
            <w:r>
              <w:rPr>
                <w:rStyle w:val="IndexLink"/>
                <w:rtl w:val="true"/>
              </w:rPr>
              <w:tab/>
            </w:r>
            <w:r>
              <w:rPr>
                <w:rStyle w:val="IndexLink"/>
              </w:rPr>
              <w:t>18</w:t>
            </w:r>
          </w:hyperlink>
        </w:p>
        <w:p>
          <w:pPr>
            <w:pStyle w:val="Contents2"/>
            <w:tabs>
              <w:tab w:val="clear" w:pos="8743"/>
              <w:tab w:val="right" w:pos="9026" w:leader="dot"/>
            </w:tabs>
            <w:rPr/>
          </w:pPr>
          <w:hyperlink w:anchor="__RefHeading___Toc97024_581953129">
            <w:r>
              <w:rPr>
                <w:webHidden/>
                <w:rStyle w:val="IndexLink"/>
                <w:rtl w:val="true"/>
              </w:rPr>
              <w:t>المقدّمة</w:t>
            </w:r>
            <w:r>
              <w:rPr>
                <w:rStyle w:val="IndexLink"/>
                <w:rtl w:val="true"/>
              </w:rPr>
              <w:tab/>
            </w:r>
            <w:r>
              <w:rPr>
                <w:rStyle w:val="IndexLink"/>
              </w:rPr>
              <w:t>26</w:t>
            </w:r>
          </w:hyperlink>
        </w:p>
        <w:p>
          <w:pPr>
            <w:pStyle w:val="Contents2"/>
            <w:tabs>
              <w:tab w:val="clear" w:pos="8743"/>
              <w:tab w:val="right" w:pos="9026" w:leader="dot"/>
            </w:tabs>
            <w:rPr/>
          </w:pPr>
          <w:hyperlink w:anchor="__RefHeading___Toc97026_581953129">
            <w:r>
              <w:rPr>
                <w:webHidden/>
                <w:rStyle w:val="IndexLink"/>
                <w:rtl w:val="true"/>
              </w:rPr>
              <w:t>المدخل</w:t>
            </w:r>
            <w:r>
              <w:rPr>
                <w:rStyle w:val="IndexLink"/>
                <w:rtl w:val="true"/>
              </w:rPr>
              <w:tab/>
            </w:r>
            <w:r>
              <w:rPr>
                <w:rStyle w:val="IndexLink"/>
              </w:rPr>
              <w:t>31</w:t>
            </w:r>
          </w:hyperlink>
        </w:p>
        <w:p>
          <w:pPr>
            <w:pStyle w:val="Contents3"/>
            <w:tabs>
              <w:tab w:val="clear" w:pos="8459"/>
              <w:tab w:val="right" w:pos="9026" w:leader="dot"/>
            </w:tabs>
            <w:rPr/>
          </w:pPr>
          <w:hyperlink w:anchor="__RefHeading___Toc97028_58195312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97030_581953129">
            <w:r>
              <w:rPr>
                <w:webHidden/>
                <w:rStyle w:val="IndexLink"/>
                <w:rtl w:val="true"/>
              </w:rPr>
              <w:t>المبحث الأوّل</w:t>
            </w:r>
            <w:r>
              <w:rPr>
                <w:rStyle w:val="IndexLink"/>
                <w:rtl w:val="true"/>
              </w:rPr>
              <w:t>:</w:t>
            </w:r>
            <w:r>
              <w:rPr>
                <w:rStyle w:val="IndexLink"/>
                <w:rtl w:val="true"/>
              </w:rPr>
              <w:t>المفاهیم العامّة</w:t>
            </w:r>
            <w:r>
              <w:rPr>
                <w:rStyle w:val="IndexLink"/>
                <w:rtl w:val="true"/>
              </w:rPr>
              <w:tab/>
            </w:r>
            <w:r>
              <w:rPr>
                <w:rStyle w:val="IndexLink"/>
              </w:rPr>
              <w:t>32</w:t>
            </w:r>
          </w:hyperlink>
        </w:p>
        <w:p>
          <w:pPr>
            <w:pStyle w:val="Contents4"/>
            <w:tabs>
              <w:tab w:val="clear" w:pos="8176"/>
              <w:tab w:val="right" w:pos="9026" w:leader="dot"/>
            </w:tabs>
            <w:rPr/>
          </w:pPr>
          <w:hyperlink w:anchor="__RefHeading___Toc97032_581953129">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97034_581953129">
            <w:r>
              <w:rPr>
                <w:webHidden/>
                <w:rStyle w:val="IndexLink"/>
                <w:rtl w:val="true"/>
              </w:rPr>
              <w:t>المطلب الأوّل</w:t>
            </w:r>
            <w:r>
              <w:rPr>
                <w:rStyle w:val="IndexLink"/>
                <w:rtl w:val="true"/>
              </w:rPr>
              <w:t>:</w:t>
            </w:r>
            <w:r>
              <w:rPr>
                <w:rStyle w:val="IndexLink"/>
                <w:rtl w:val="true"/>
              </w:rPr>
              <w:t>مفهوم الحرّیة</w:t>
            </w:r>
            <w:r>
              <w:rPr>
                <w:rStyle w:val="IndexLink"/>
                <w:rtl w:val="true"/>
              </w:rPr>
              <w:tab/>
            </w:r>
            <w:r>
              <w:rPr>
                <w:rStyle w:val="IndexLink"/>
              </w:rPr>
              <w:t>32</w:t>
            </w:r>
          </w:hyperlink>
        </w:p>
        <w:p>
          <w:pPr>
            <w:pStyle w:val="Contents5"/>
            <w:tabs>
              <w:tab w:val="clear" w:pos="7892"/>
              <w:tab w:val="right" w:pos="9026" w:leader="dot"/>
            </w:tabs>
            <w:rPr/>
          </w:pPr>
          <w:hyperlink w:anchor="__RefHeading___Toc97036_581953129">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97038_581953129">
            <w:r>
              <w:rPr>
                <w:webHidden/>
                <w:rStyle w:val="IndexLink"/>
                <w:rtl w:val="true"/>
              </w:rPr>
              <w:t>أوّلاً</w:t>
            </w:r>
            <w:r>
              <w:rPr>
                <w:rStyle w:val="IndexLink"/>
                <w:rtl w:val="true"/>
              </w:rPr>
              <w:t>:</w:t>
            </w:r>
            <w:r>
              <w:rPr>
                <w:rStyle w:val="IndexLink"/>
                <w:rtl w:val="true"/>
              </w:rPr>
              <w:t>الحرّیة فی اللغة</w:t>
            </w:r>
            <w:r>
              <w:rPr>
                <w:rStyle w:val="IndexLink"/>
                <w:rtl w:val="true"/>
              </w:rPr>
              <w:tab/>
            </w:r>
            <w:r>
              <w:rPr>
                <w:rStyle w:val="IndexLink"/>
              </w:rPr>
              <w:t>32</w:t>
            </w:r>
          </w:hyperlink>
        </w:p>
        <w:p>
          <w:pPr>
            <w:pStyle w:val="Contents5"/>
            <w:tabs>
              <w:tab w:val="clear" w:pos="7892"/>
              <w:tab w:val="right" w:pos="9026" w:leader="dot"/>
            </w:tabs>
            <w:rPr/>
          </w:pPr>
          <w:hyperlink w:anchor="__RefHeading___Toc97040_581953129">
            <w:r>
              <w:rPr>
                <w:webHidden/>
                <w:rStyle w:val="IndexLink"/>
                <w:rtl w:val="true"/>
              </w:rPr>
              <w:t>ثانیاً</w:t>
            </w:r>
            <w:r>
              <w:rPr>
                <w:rStyle w:val="IndexLink"/>
                <w:rtl w:val="true"/>
              </w:rPr>
              <w:t>:</w:t>
            </w:r>
            <w:r>
              <w:rPr>
                <w:rStyle w:val="IndexLink"/>
                <w:rtl w:val="true"/>
              </w:rPr>
              <w:t>الحرّیة فی القرآن</w:t>
            </w:r>
            <w:r>
              <w:rPr>
                <w:rStyle w:val="IndexLink"/>
                <w:rtl w:val="true"/>
              </w:rPr>
              <w:tab/>
            </w:r>
            <w:r>
              <w:rPr>
                <w:rStyle w:val="IndexLink"/>
              </w:rPr>
              <w:t>33</w:t>
            </w:r>
          </w:hyperlink>
        </w:p>
        <w:p>
          <w:pPr>
            <w:pStyle w:val="Contents6"/>
            <w:tabs>
              <w:tab w:val="clear" w:pos="7609"/>
              <w:tab w:val="right" w:pos="9026" w:leader="dot"/>
            </w:tabs>
            <w:rPr/>
          </w:pPr>
          <w:hyperlink w:anchor="__RefHeading___Toc97042_581953129">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97044_581953129">
            <w:r>
              <w:rPr>
                <w:webHidden/>
                <w:rStyle w:val="IndexLink"/>
                <w:rtl w:val="true"/>
              </w:rPr>
              <w:t>أ</w:t>
            </w:r>
            <w:r>
              <w:rPr>
                <w:rStyle w:val="IndexLink"/>
                <w:rtl w:val="true"/>
              </w:rPr>
              <w:t>)</w:t>
            </w:r>
            <w:r>
              <w:rPr>
                <w:rStyle w:val="IndexLink"/>
                <w:rtl w:val="true"/>
              </w:rPr>
              <w:t>لفظاً</w:t>
            </w:r>
            <w:r>
              <w:rPr>
                <w:rStyle w:val="IndexLink"/>
                <w:rtl w:val="true"/>
              </w:rPr>
              <w:tab/>
            </w:r>
            <w:r>
              <w:rPr>
                <w:rStyle w:val="IndexLink"/>
              </w:rPr>
              <w:t>33</w:t>
            </w:r>
          </w:hyperlink>
        </w:p>
        <w:p>
          <w:pPr>
            <w:pStyle w:val="Contents6"/>
            <w:tabs>
              <w:tab w:val="clear" w:pos="7609"/>
              <w:tab w:val="right" w:pos="9026" w:leader="dot"/>
            </w:tabs>
            <w:rPr/>
          </w:pPr>
          <w:hyperlink w:anchor="__RefHeading___Toc97046_581953129">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97048_581953129">
            <w:r>
              <w:rPr>
                <w:webHidden/>
                <w:rStyle w:val="IndexLink"/>
                <w:rtl w:val="true"/>
              </w:rPr>
              <w:t>الأوّل</w:t>
            </w:r>
            <w:r>
              <w:rPr>
                <w:rStyle w:val="IndexLink"/>
                <w:rtl w:val="true"/>
              </w:rPr>
              <w:t>:</w:t>
            </w:r>
            <w:r>
              <w:rPr>
                <w:rStyle w:val="IndexLink"/>
                <w:rtl w:val="true"/>
              </w:rPr>
              <w:t>التحریر</w:t>
            </w:r>
            <w:r>
              <w:rPr>
                <w:rStyle w:val="IndexLink"/>
                <w:rtl w:val="true"/>
              </w:rPr>
              <w:t>:</w:t>
              <w:tab/>
            </w:r>
            <w:r>
              <w:rPr>
                <w:rStyle w:val="IndexLink"/>
              </w:rPr>
              <w:t>33</w:t>
            </w:r>
          </w:hyperlink>
        </w:p>
        <w:p>
          <w:pPr>
            <w:pStyle w:val="Contents6"/>
            <w:tabs>
              <w:tab w:val="clear" w:pos="7609"/>
              <w:tab w:val="right" w:pos="9026" w:leader="dot"/>
            </w:tabs>
            <w:rPr/>
          </w:pPr>
          <w:hyperlink w:anchor="__RefHeading___Toc97050_581953129">
            <w:r>
              <w:rPr>
                <w:webHidden/>
                <w:rStyle w:val="IndexLink"/>
                <w:rtl w:val="true"/>
              </w:rPr>
              <w:t>الثانی</w:t>
            </w:r>
            <w:r>
              <w:rPr>
                <w:rStyle w:val="IndexLink"/>
                <w:rtl w:val="true"/>
              </w:rPr>
              <w:t>:</w:t>
            </w:r>
            <w:r>
              <w:rPr>
                <w:rStyle w:val="IndexLink"/>
                <w:rtl w:val="true"/>
              </w:rPr>
              <w:t>الحرّ</w:t>
            </w:r>
            <w:r>
              <w:rPr>
                <w:rStyle w:val="IndexLink"/>
                <w:rtl w:val="true"/>
              </w:rPr>
              <w:t>:</w:t>
              <w:tab/>
            </w:r>
            <w:r>
              <w:rPr>
                <w:rStyle w:val="IndexLink"/>
              </w:rPr>
              <w:t>33</w:t>
            </w:r>
          </w:hyperlink>
        </w:p>
        <w:p>
          <w:pPr>
            <w:pStyle w:val="Contents6"/>
            <w:tabs>
              <w:tab w:val="clear" w:pos="7609"/>
              <w:tab w:val="right" w:pos="9026" w:leader="dot"/>
            </w:tabs>
            <w:rPr/>
          </w:pPr>
          <w:hyperlink w:anchor="__RefHeading___Toc97052_581953129">
            <w:r>
              <w:rPr>
                <w:webHidden/>
                <w:rStyle w:val="IndexLink"/>
                <w:rtl w:val="true"/>
              </w:rPr>
              <w:t>الثالث</w:t>
            </w:r>
            <w:r>
              <w:rPr>
                <w:rStyle w:val="IndexLink"/>
                <w:rtl w:val="true"/>
              </w:rPr>
              <w:t>:</w:t>
            </w:r>
            <w:r>
              <w:rPr>
                <w:rStyle w:val="IndexLink"/>
                <w:rtl w:val="true"/>
              </w:rPr>
              <w:t>المحرّر</w:t>
            </w:r>
            <w:r>
              <w:rPr>
                <w:rStyle w:val="IndexLink"/>
                <w:rtl w:val="true"/>
              </w:rPr>
              <w:t>:</w:t>
              <w:tab/>
            </w:r>
            <w:r>
              <w:rPr>
                <w:rStyle w:val="IndexLink"/>
              </w:rPr>
              <w:t>33</w:t>
            </w:r>
          </w:hyperlink>
        </w:p>
        <w:p>
          <w:pPr>
            <w:pStyle w:val="Contents6"/>
            <w:tabs>
              <w:tab w:val="clear" w:pos="7609"/>
              <w:tab w:val="right" w:pos="9026" w:leader="dot"/>
            </w:tabs>
            <w:rPr/>
          </w:pPr>
          <w:hyperlink w:anchor="__RefHeading___Toc97054_581953129">
            <w:r>
              <w:rPr>
                <w:webHidden/>
                <w:rStyle w:val="IndexLink"/>
                <w:rtl w:val="true"/>
              </w:rPr>
              <w:t>ب</w:t>
            </w:r>
            <w:r>
              <w:rPr>
                <w:rStyle w:val="IndexLink"/>
                <w:rtl w:val="true"/>
              </w:rPr>
              <w:t>)</w:t>
            </w:r>
            <w:r>
              <w:rPr>
                <w:rStyle w:val="IndexLink"/>
                <w:rtl w:val="true"/>
              </w:rPr>
              <w:t>معنی،</w:t>
            </w:r>
            <w:r>
              <w:rPr>
                <w:rStyle w:val="IndexLink"/>
                <w:rtl w:val="true"/>
              </w:rPr>
              <w:tab/>
            </w:r>
            <w:r>
              <w:rPr>
                <w:rStyle w:val="IndexLink"/>
              </w:rPr>
              <w:t>34</w:t>
            </w:r>
          </w:hyperlink>
        </w:p>
        <w:p>
          <w:pPr>
            <w:pStyle w:val="Contents6"/>
            <w:tabs>
              <w:tab w:val="clear" w:pos="7609"/>
              <w:tab w:val="right" w:pos="9026" w:leader="dot"/>
            </w:tabs>
            <w:rPr/>
          </w:pPr>
          <w:hyperlink w:anchor="__RefHeading___Toc97056_58195312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97058_581953129">
            <w:r>
              <w:rPr>
                <w:webHidden/>
                <w:rStyle w:val="IndexLink"/>
                <w:rtl w:val="true"/>
              </w:rPr>
              <w:t>الأوّل</w:t>
            </w:r>
            <w:r>
              <w:rPr>
                <w:rStyle w:val="IndexLink"/>
                <w:rtl w:val="true"/>
              </w:rPr>
              <w:t>:</w:t>
            </w:r>
            <w:r>
              <w:rPr>
                <w:rStyle w:val="IndexLink"/>
                <w:rtl w:val="true"/>
              </w:rPr>
              <w:t>ما جاء بنحو الإشاءة،</w:t>
            </w:r>
            <w:r>
              <w:rPr>
                <w:rStyle w:val="IndexLink"/>
                <w:rtl w:val="true"/>
              </w:rPr>
              <w:tab/>
            </w:r>
            <w:r>
              <w:rPr>
                <w:rStyle w:val="IndexLink"/>
              </w:rPr>
              <w:t>34</w:t>
            </w:r>
          </w:hyperlink>
        </w:p>
        <w:p>
          <w:pPr>
            <w:pStyle w:val="Contents6"/>
            <w:tabs>
              <w:tab w:val="clear" w:pos="7609"/>
              <w:tab w:val="right" w:pos="9026" w:leader="dot"/>
            </w:tabs>
            <w:rPr/>
          </w:pPr>
          <w:hyperlink w:anchor="__RefHeading___Toc97060_581953129">
            <w:r>
              <w:rPr>
                <w:webHidden/>
                <w:rStyle w:val="IndexLink"/>
                <w:rtl w:val="true"/>
              </w:rPr>
              <w:t>الثانی</w:t>
            </w:r>
            <w:r>
              <w:rPr>
                <w:rStyle w:val="IndexLink"/>
                <w:rtl w:val="true"/>
              </w:rPr>
              <w:t>:</w:t>
            </w:r>
            <w:r>
              <w:rPr>
                <w:rStyle w:val="IndexLink"/>
                <w:rtl w:val="true"/>
              </w:rPr>
              <w:t>ما جاء بنحو الخیرة،</w:t>
            </w:r>
            <w:r>
              <w:rPr>
                <w:rStyle w:val="IndexLink"/>
                <w:rtl w:val="true"/>
              </w:rPr>
              <w:tab/>
            </w:r>
            <w:r>
              <w:rPr>
                <w:rStyle w:val="IndexLink"/>
              </w:rPr>
              <w:t>34</w:t>
            </w:r>
          </w:hyperlink>
        </w:p>
        <w:p>
          <w:pPr>
            <w:pStyle w:val="Contents6"/>
            <w:tabs>
              <w:tab w:val="clear" w:pos="7609"/>
              <w:tab w:val="right" w:pos="9026" w:leader="dot"/>
            </w:tabs>
            <w:rPr/>
          </w:pPr>
          <w:hyperlink w:anchor="__RefHeading___Toc97062_581953129">
            <w:r>
              <w:rPr>
                <w:webHidden/>
                <w:rStyle w:val="IndexLink"/>
                <w:rtl w:val="true"/>
              </w:rPr>
              <w:t>الثالث</w:t>
            </w:r>
            <w:r>
              <w:rPr>
                <w:rStyle w:val="IndexLink"/>
                <w:rtl w:val="true"/>
              </w:rPr>
              <w:t>:</w:t>
            </w:r>
            <w:r>
              <w:rPr>
                <w:rStyle w:val="IndexLink"/>
                <w:rtl w:val="true"/>
              </w:rPr>
              <w:t>ما جاء بنحو الإرادة،</w:t>
            </w:r>
            <w:r>
              <w:rPr>
                <w:rStyle w:val="IndexLink"/>
                <w:rtl w:val="true"/>
              </w:rPr>
              <w:tab/>
            </w:r>
            <w:r>
              <w:rPr>
                <w:rStyle w:val="IndexLink"/>
              </w:rPr>
              <w:t>34</w:t>
            </w:r>
          </w:hyperlink>
        </w:p>
        <w:p>
          <w:pPr>
            <w:pStyle w:val="Contents5"/>
            <w:tabs>
              <w:tab w:val="clear" w:pos="7892"/>
              <w:tab w:val="right" w:pos="9026" w:leader="dot"/>
            </w:tabs>
            <w:rPr/>
          </w:pPr>
          <w:hyperlink w:anchor="__RefHeading___Toc97064_581953129">
            <w:r>
              <w:rPr>
                <w:webHidden/>
                <w:rStyle w:val="IndexLink"/>
                <w:rtl w:val="true"/>
              </w:rPr>
              <w:t>ثالثاً</w:t>
            </w:r>
            <w:r>
              <w:rPr>
                <w:rStyle w:val="IndexLink"/>
                <w:rtl w:val="true"/>
              </w:rPr>
              <w:t>:</w:t>
            </w:r>
            <w:r>
              <w:rPr>
                <w:rStyle w:val="IndexLink"/>
                <w:rtl w:val="true"/>
              </w:rPr>
              <w:t>الحرّیة فی اصطلاحها العامّ‌</w:t>
            </w:r>
            <w:r>
              <w:rPr>
                <w:rStyle w:val="IndexLink"/>
                <w:rtl w:val="true"/>
              </w:rPr>
              <w:tab/>
            </w:r>
            <w:r>
              <w:rPr>
                <w:rStyle w:val="IndexLink"/>
              </w:rPr>
              <w:t>34</w:t>
            </w:r>
          </w:hyperlink>
        </w:p>
        <w:p>
          <w:pPr>
            <w:pStyle w:val="Contents6"/>
            <w:tabs>
              <w:tab w:val="clear" w:pos="7609"/>
              <w:tab w:val="right" w:pos="9026" w:leader="dot"/>
            </w:tabs>
            <w:rPr/>
          </w:pPr>
          <w:hyperlink w:anchor="__RefHeading___Toc97066_58195312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97068_581953129">
            <w:r>
              <w:rPr>
                <w:webHidden/>
                <w:rStyle w:val="IndexLink"/>
                <w:rtl w:val="true"/>
              </w:rPr>
              <w:t>أ</w:t>
            </w:r>
            <w:r>
              <w:rPr>
                <w:rStyle w:val="IndexLink"/>
                <w:rtl w:val="true"/>
              </w:rPr>
              <w:t>)</w:t>
            </w:r>
            <w:r>
              <w:rPr>
                <w:rStyle w:val="IndexLink"/>
                <w:rtl w:val="true"/>
              </w:rPr>
              <w:t>القدرة علی التصرّف بإرادة الذات واختیارها</w:t>
            </w:r>
            <w:r>
              <w:rPr>
                <w:rStyle w:val="IndexLink"/>
                <w:rtl w:val="true"/>
              </w:rPr>
              <w:t>.</w:t>
              <w:tab/>
            </w:r>
            <w:r>
              <w:rPr>
                <w:rStyle w:val="IndexLink"/>
              </w:rPr>
              <w:t>34</w:t>
            </w:r>
          </w:hyperlink>
        </w:p>
        <w:p>
          <w:pPr>
            <w:pStyle w:val="Contents6"/>
            <w:tabs>
              <w:tab w:val="clear" w:pos="7609"/>
              <w:tab w:val="right" w:pos="9026" w:leader="dot"/>
            </w:tabs>
            <w:rPr/>
          </w:pPr>
          <w:hyperlink w:anchor="__RefHeading___Toc97070_581953129">
            <w:r>
              <w:rPr>
                <w:webHidden/>
                <w:rStyle w:val="IndexLink"/>
                <w:rtl w:val="true"/>
              </w:rPr>
              <w:t>ب</w:t>
            </w:r>
            <w:r>
              <w:rPr>
                <w:rStyle w:val="IndexLink"/>
                <w:rtl w:val="true"/>
              </w:rPr>
              <w:t>)</w:t>
            </w:r>
            <w:r>
              <w:rPr>
                <w:rStyle w:val="IndexLink"/>
                <w:rtl w:val="true"/>
              </w:rPr>
              <w:t>حرّیة إرادة الإنسان فی تقریر نوع السّلوک</w:t>
            </w:r>
            <w:r>
              <w:rPr>
                <w:rStyle w:val="IndexLink"/>
                <w:rtl w:val="true"/>
              </w:rPr>
              <w:t>.</w:t>
              <w:tab/>
            </w:r>
            <w:r>
              <w:rPr>
                <w:rStyle w:val="IndexLink"/>
              </w:rPr>
              <w:t>34</w:t>
            </w:r>
          </w:hyperlink>
        </w:p>
        <w:p>
          <w:pPr>
            <w:pStyle w:val="Contents6"/>
            <w:tabs>
              <w:tab w:val="clear" w:pos="7609"/>
              <w:tab w:val="right" w:pos="9026" w:leader="dot"/>
            </w:tabs>
            <w:rPr/>
          </w:pPr>
          <w:hyperlink w:anchor="__RefHeading___Toc97072_581953129">
            <w:r>
              <w:rPr>
                <w:webHidden/>
                <w:rStyle w:val="IndexLink"/>
                <w:rtl w:val="true"/>
              </w:rPr>
              <w:t>ج</w:t>
            </w:r>
            <w:r>
              <w:rPr>
                <w:rStyle w:val="IndexLink"/>
                <w:rtl w:val="true"/>
              </w:rPr>
              <w:t>)</w:t>
            </w:r>
            <w:r>
              <w:rPr>
                <w:rStyle w:val="IndexLink"/>
                <w:rtl w:val="true"/>
              </w:rPr>
              <w:t>الحرّیة عبارة عن عدم وجود مانع فی طریق تحقیق الإنسان لآماله</w:t>
            </w:r>
            <w:r>
              <w:rPr>
                <w:rStyle w:val="IndexLink"/>
                <w:rtl w:val="true"/>
              </w:rPr>
              <w:t>.</w:t>
              <w:tab/>
            </w:r>
            <w:r>
              <w:rPr>
                <w:rStyle w:val="IndexLink"/>
              </w:rPr>
              <w:t>34</w:t>
            </w:r>
          </w:hyperlink>
        </w:p>
        <w:p>
          <w:pPr>
            <w:pStyle w:val="Contents6"/>
            <w:tabs>
              <w:tab w:val="clear" w:pos="7609"/>
              <w:tab w:val="right" w:pos="9026" w:leader="dot"/>
            </w:tabs>
            <w:rPr/>
          </w:pPr>
          <w:hyperlink w:anchor="__RefHeading___Toc97074_581953129">
            <w:r>
              <w:rPr>
                <w:webHidden/>
                <w:rStyle w:val="IndexLink"/>
                <w:rtl w:val="true"/>
              </w:rPr>
              <w:t>د</w:t>
            </w:r>
            <w:r>
              <w:rPr>
                <w:rStyle w:val="IndexLink"/>
                <w:rtl w:val="true"/>
              </w:rPr>
              <w:t>)</w:t>
            </w:r>
            <w:r>
              <w:rPr>
                <w:rStyle w:val="IndexLink"/>
                <w:rtl w:val="true"/>
              </w:rPr>
              <w:t>الإنسان الحرّ هو ذلک الشخص الذی یتمکّن من القیام بعمل بالاعتماد علی قدرته وعلمه دون أن یواجهه مانع،فهو یفعل ما یرید</w:t>
            </w:r>
            <w:r>
              <w:rPr>
                <w:rStyle w:val="IndexLink"/>
                <w:rtl w:val="true"/>
              </w:rPr>
              <w:t>.</w:t>
              <w:tab/>
            </w:r>
            <w:r>
              <w:rPr>
                <w:rStyle w:val="IndexLink"/>
              </w:rPr>
              <w:t>34</w:t>
            </w:r>
          </w:hyperlink>
        </w:p>
        <w:p>
          <w:pPr>
            <w:pStyle w:val="Contents6"/>
            <w:tabs>
              <w:tab w:val="clear" w:pos="7609"/>
              <w:tab w:val="right" w:pos="9026" w:leader="dot"/>
            </w:tabs>
            <w:rPr/>
          </w:pPr>
          <w:hyperlink w:anchor="__RefHeading___Toc97076_581953129">
            <w:r>
              <w:rPr>
                <w:webHidden/>
                <w:rStyle w:val="IndexLink"/>
                <w:rtl w:val="true"/>
              </w:rPr>
              <w:t>ه</w:t>
            </w:r>
            <w:r>
              <w:rPr>
                <w:rStyle w:val="IndexLink"/>
                <w:rtl w:val="true"/>
              </w:rPr>
              <w:t>)</w:t>
            </w:r>
            <w:r>
              <w:rPr>
                <w:rStyle w:val="IndexLink"/>
                <w:rtl w:val="true"/>
              </w:rPr>
              <w:t>أن یترک الأفراد أحراراً فی سبیل تحقیق مصالحهم الذاتیة،</w:t>
            </w:r>
            <w:r>
              <w:rPr>
                <w:rStyle w:val="IndexLink"/>
                <w:rtl w:val="true"/>
              </w:rPr>
              <w:tab/>
            </w:r>
            <w:r>
              <w:rPr>
                <w:rStyle w:val="IndexLink"/>
              </w:rPr>
              <w:t>34</w:t>
            </w:r>
          </w:hyperlink>
        </w:p>
        <w:p>
          <w:pPr>
            <w:pStyle w:val="Contents6"/>
            <w:tabs>
              <w:tab w:val="clear" w:pos="7609"/>
              <w:tab w:val="right" w:pos="9026" w:leader="dot"/>
            </w:tabs>
            <w:rPr/>
          </w:pPr>
          <w:hyperlink w:anchor="__RefHeading___Toc97078_581953129">
            <w:r>
              <w:rPr>
                <w:webHidden/>
                <w:rStyle w:val="IndexLink"/>
                <w:rtl w:val="true"/>
              </w:rPr>
              <w:t>و</w:t>
            </w:r>
            <w:r>
              <w:rPr>
                <w:rStyle w:val="IndexLink"/>
                <w:rtl w:val="true"/>
              </w:rPr>
              <w:t>)</w:t>
            </w:r>
            <w:r>
              <w:rPr>
                <w:rStyle w:val="IndexLink"/>
                <w:rtl w:val="true"/>
              </w:rPr>
              <w:t>أن یستطیع کلّ إنسان السعی نحو مصلحته بطریقته الخاصّة،</w:t>
            </w:r>
            <w:r>
              <w:rPr>
                <w:rStyle w:val="IndexLink"/>
                <w:rtl w:val="true"/>
              </w:rPr>
              <w:tab/>
            </w:r>
            <w:r>
              <w:rPr>
                <w:rStyle w:val="IndexLink"/>
              </w:rPr>
              <w:t>35</w:t>
            </w:r>
          </w:hyperlink>
        </w:p>
        <w:p>
          <w:pPr>
            <w:pStyle w:val="Contents6"/>
            <w:tabs>
              <w:tab w:val="clear" w:pos="7609"/>
              <w:tab w:val="right" w:pos="9026" w:leader="dot"/>
            </w:tabs>
            <w:rPr/>
          </w:pPr>
          <w:hyperlink w:anchor="__RefHeading___Toc97080_581953129">
            <w:r>
              <w:rPr>
                <w:webHidden/>
                <w:rStyle w:val="IndexLink"/>
                <w:rtl w:val="true"/>
              </w:rPr>
              <w:t>ز</w:t>
            </w:r>
            <w:r>
              <w:rPr>
                <w:rStyle w:val="IndexLink"/>
                <w:rtl w:val="true"/>
              </w:rPr>
              <w:t>)</w:t>
            </w:r>
            <w:r>
              <w:rPr>
                <w:rStyle w:val="IndexLink"/>
                <w:rtl w:val="true"/>
              </w:rPr>
              <w:t>الحرّیة عبارة عن الاستقلال عن کلّ شیء سوی القانون الأخلاقی</w:t>
            </w:r>
            <w:r>
              <w:rPr>
                <w:rStyle w:val="IndexLink"/>
                <w:rtl w:val="true"/>
              </w:rPr>
              <w:t>.</w:t>
              <w:tab/>
            </w:r>
            <w:r>
              <w:rPr>
                <w:rStyle w:val="IndexLink"/>
              </w:rPr>
              <w:t>35</w:t>
            </w:r>
          </w:hyperlink>
        </w:p>
        <w:p>
          <w:pPr>
            <w:pStyle w:val="Contents5"/>
            <w:tabs>
              <w:tab w:val="clear" w:pos="7892"/>
              <w:tab w:val="right" w:pos="9026" w:leader="dot"/>
            </w:tabs>
            <w:rPr/>
          </w:pPr>
          <w:hyperlink w:anchor="__RefHeading___Toc97082_581953129">
            <w:r>
              <w:rPr>
                <w:webHidden/>
                <w:rStyle w:val="IndexLink"/>
                <w:rtl w:val="true"/>
              </w:rPr>
              <w:t>رابعاً</w:t>
            </w:r>
            <w:r>
              <w:rPr>
                <w:rStyle w:val="IndexLink"/>
                <w:rtl w:val="true"/>
              </w:rPr>
              <w:t>:</w:t>
            </w:r>
            <w:r>
              <w:rPr>
                <w:rStyle w:val="IndexLink"/>
                <w:rtl w:val="true"/>
              </w:rPr>
              <w:t>الحرّیة فی موضوع البحث</w:t>
            </w:r>
            <w:r>
              <w:rPr>
                <w:rStyle w:val="IndexLink"/>
                <w:rtl w:val="true"/>
              </w:rPr>
              <w:tab/>
            </w:r>
            <w:r>
              <w:rPr>
                <w:rStyle w:val="IndexLink"/>
              </w:rPr>
              <w:t>36</w:t>
            </w:r>
          </w:hyperlink>
        </w:p>
        <w:p>
          <w:pPr>
            <w:pStyle w:val="Contents4"/>
            <w:tabs>
              <w:tab w:val="clear" w:pos="8176"/>
              <w:tab w:val="right" w:pos="9026" w:leader="dot"/>
            </w:tabs>
            <w:rPr/>
          </w:pPr>
          <w:hyperlink w:anchor="__RefHeading___Toc97084_581953129">
            <w:r>
              <w:rPr>
                <w:webHidden/>
                <w:rStyle w:val="IndexLink"/>
                <w:rtl w:val="true"/>
              </w:rPr>
              <w:t>المطلب الثانی</w:t>
            </w:r>
            <w:r>
              <w:rPr>
                <w:rStyle w:val="IndexLink"/>
                <w:rtl w:val="true"/>
              </w:rPr>
              <w:t>:</w:t>
            </w:r>
            <w:r>
              <w:rPr>
                <w:rStyle w:val="IndexLink"/>
                <w:rtl w:val="true"/>
              </w:rPr>
              <w:t>مفهوم الاقتصاد</w:t>
            </w:r>
            <w:r>
              <w:rPr>
                <w:rStyle w:val="IndexLink"/>
                <w:rtl w:val="true"/>
              </w:rPr>
              <w:tab/>
            </w:r>
            <w:r>
              <w:rPr>
                <w:rStyle w:val="IndexLink"/>
              </w:rPr>
              <w:t>37</w:t>
            </w:r>
          </w:hyperlink>
        </w:p>
        <w:p>
          <w:pPr>
            <w:pStyle w:val="Contents5"/>
            <w:tabs>
              <w:tab w:val="clear" w:pos="7892"/>
              <w:tab w:val="right" w:pos="9026" w:leader="dot"/>
            </w:tabs>
            <w:rPr/>
          </w:pPr>
          <w:hyperlink w:anchor="__RefHeading___Toc97086_58195312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97088_581953129">
            <w:r>
              <w:rPr>
                <w:webHidden/>
                <w:rStyle w:val="IndexLink"/>
                <w:rtl w:val="true"/>
              </w:rPr>
              <w:t>أوّلاً</w:t>
            </w:r>
            <w:r>
              <w:rPr>
                <w:rStyle w:val="IndexLink"/>
                <w:rtl w:val="true"/>
              </w:rPr>
              <w:t>:</w:t>
            </w:r>
            <w:r>
              <w:rPr>
                <w:rStyle w:val="IndexLink"/>
                <w:rtl w:val="true"/>
              </w:rPr>
              <w:t>الاقتصاد فی اللغة</w:t>
            </w:r>
            <w:r>
              <w:rPr>
                <w:rStyle w:val="IndexLink"/>
                <w:rtl w:val="true"/>
              </w:rPr>
              <w:tab/>
            </w:r>
            <w:r>
              <w:rPr>
                <w:rStyle w:val="IndexLink"/>
              </w:rPr>
              <w:t>37</w:t>
            </w:r>
          </w:hyperlink>
        </w:p>
        <w:p>
          <w:pPr>
            <w:pStyle w:val="Contents6"/>
            <w:tabs>
              <w:tab w:val="clear" w:pos="7609"/>
              <w:tab w:val="right" w:pos="9026" w:leader="dot"/>
            </w:tabs>
            <w:rPr/>
          </w:pPr>
          <w:hyperlink w:anchor="__RefHeading___Toc97090_581953129">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97092_581953129">
            <w:r>
              <w:rPr>
                <w:webHidden/>
                <w:rStyle w:val="IndexLink"/>
                <w:rtl w:val="true"/>
              </w:rPr>
              <w:t>أ</w:t>
            </w:r>
            <w:r>
              <w:rPr>
                <w:rStyle w:val="IndexLink"/>
                <w:rtl w:val="true"/>
              </w:rPr>
              <w:t>)</w:t>
            </w:r>
            <w:r>
              <w:rPr>
                <w:rStyle w:val="IndexLink"/>
                <w:rtl w:val="true"/>
              </w:rPr>
              <w:t>الاستقامة</w:t>
            </w:r>
            <w:r>
              <w:rPr>
                <w:rStyle w:val="IndexLink"/>
                <w:rtl w:val="true"/>
              </w:rPr>
              <w:tab/>
            </w:r>
            <w:r>
              <w:rPr>
                <w:rStyle w:val="IndexLink"/>
              </w:rPr>
              <w:t>37</w:t>
            </w:r>
          </w:hyperlink>
        </w:p>
        <w:p>
          <w:pPr>
            <w:pStyle w:val="Contents6"/>
            <w:tabs>
              <w:tab w:val="clear" w:pos="7609"/>
              <w:tab w:val="right" w:pos="9026" w:leader="dot"/>
            </w:tabs>
            <w:rPr/>
          </w:pPr>
          <w:hyperlink w:anchor="__RefHeading___Toc97094_581953129">
            <w:r>
              <w:rPr>
                <w:webHidden/>
                <w:rStyle w:val="IndexLink"/>
                <w:rtl w:val="true"/>
              </w:rPr>
              <w:t>ب</w:t>
            </w:r>
            <w:r>
              <w:rPr>
                <w:rStyle w:val="IndexLink"/>
                <w:rtl w:val="true"/>
              </w:rPr>
              <w:t>)</w:t>
            </w:r>
            <w:r>
              <w:rPr>
                <w:rStyle w:val="IndexLink"/>
                <w:rtl w:val="true"/>
              </w:rPr>
              <w:t>التوسّط‌</w:t>
            </w:r>
            <w:r>
              <w:rPr>
                <w:rStyle w:val="IndexLink"/>
                <w:rtl w:val="true"/>
              </w:rPr>
              <w:tab/>
            </w:r>
            <w:r>
              <w:rPr>
                <w:rStyle w:val="IndexLink"/>
              </w:rPr>
              <w:t>37</w:t>
            </w:r>
          </w:hyperlink>
        </w:p>
        <w:p>
          <w:pPr>
            <w:pStyle w:val="Contents5"/>
            <w:tabs>
              <w:tab w:val="clear" w:pos="7892"/>
              <w:tab w:val="right" w:pos="9026" w:leader="dot"/>
            </w:tabs>
            <w:rPr/>
          </w:pPr>
          <w:hyperlink w:anchor="__RefHeading___Toc97096_581953129">
            <w:r>
              <w:rPr>
                <w:webHidden/>
                <w:rStyle w:val="IndexLink"/>
                <w:rtl w:val="true"/>
              </w:rPr>
              <w:t>ثانیاً</w:t>
            </w:r>
            <w:r>
              <w:rPr>
                <w:rStyle w:val="IndexLink"/>
                <w:rtl w:val="true"/>
              </w:rPr>
              <w:t>:</w:t>
            </w:r>
            <w:r>
              <w:rPr>
                <w:rStyle w:val="IndexLink"/>
                <w:rtl w:val="true"/>
              </w:rPr>
              <w:t>الاقتصاد فی القرآن</w:t>
            </w:r>
            <w:r>
              <w:rPr>
                <w:rStyle w:val="IndexLink"/>
                <w:rtl w:val="true"/>
              </w:rPr>
              <w:tab/>
            </w:r>
            <w:r>
              <w:rPr>
                <w:rStyle w:val="IndexLink"/>
              </w:rPr>
              <w:t>38</w:t>
            </w:r>
          </w:hyperlink>
        </w:p>
        <w:p>
          <w:pPr>
            <w:pStyle w:val="Contents5"/>
            <w:tabs>
              <w:tab w:val="clear" w:pos="7892"/>
              <w:tab w:val="right" w:pos="9026" w:leader="dot"/>
            </w:tabs>
            <w:rPr/>
          </w:pPr>
          <w:hyperlink w:anchor="__RefHeading___Toc97098_581953129">
            <w:r>
              <w:rPr>
                <w:webHidden/>
                <w:rStyle w:val="IndexLink"/>
                <w:rtl w:val="true"/>
              </w:rPr>
              <w:t>ثالثاً</w:t>
            </w:r>
            <w:r>
              <w:rPr>
                <w:rStyle w:val="IndexLink"/>
                <w:rtl w:val="true"/>
              </w:rPr>
              <w:t>:</w:t>
            </w:r>
            <w:r>
              <w:rPr>
                <w:rStyle w:val="IndexLink"/>
                <w:rtl w:val="true"/>
              </w:rPr>
              <w:t>الاقتصاد فی الاصطلاح</w:t>
            </w:r>
            <w:r>
              <w:rPr>
                <w:rStyle w:val="IndexLink"/>
                <w:rtl w:val="true"/>
              </w:rPr>
              <w:tab/>
            </w:r>
            <w:r>
              <w:rPr>
                <w:rStyle w:val="IndexLink"/>
              </w:rPr>
              <w:t>39</w:t>
            </w:r>
          </w:hyperlink>
        </w:p>
        <w:p>
          <w:pPr>
            <w:pStyle w:val="Contents5"/>
            <w:tabs>
              <w:tab w:val="clear" w:pos="7892"/>
              <w:tab w:val="right" w:pos="9026" w:leader="dot"/>
            </w:tabs>
            <w:rPr/>
          </w:pPr>
          <w:hyperlink w:anchor="__RefHeading___Toc97100_581953129">
            <w:r>
              <w:rPr>
                <w:webHidden/>
                <w:rStyle w:val="IndexLink"/>
                <w:rtl w:val="true"/>
              </w:rPr>
              <w:t>رابعاً</w:t>
            </w:r>
            <w:r>
              <w:rPr>
                <w:rStyle w:val="IndexLink"/>
                <w:rtl w:val="true"/>
              </w:rPr>
              <w:t>:</w:t>
            </w:r>
            <w:r>
              <w:rPr>
                <w:rStyle w:val="IndexLink"/>
                <w:rtl w:val="true"/>
              </w:rPr>
              <w:t>الاقتصاد فی موضوع البحث</w:t>
            </w:r>
            <w:r>
              <w:rPr>
                <w:rStyle w:val="IndexLink"/>
                <w:rtl w:val="true"/>
              </w:rPr>
              <w:tab/>
            </w:r>
            <w:r>
              <w:rPr>
                <w:rStyle w:val="IndexLink"/>
              </w:rPr>
              <w:t>43</w:t>
            </w:r>
          </w:hyperlink>
        </w:p>
        <w:p>
          <w:pPr>
            <w:pStyle w:val="Contents4"/>
            <w:tabs>
              <w:tab w:val="clear" w:pos="8176"/>
              <w:tab w:val="right" w:pos="9026" w:leader="dot"/>
            </w:tabs>
            <w:rPr/>
          </w:pPr>
          <w:hyperlink w:anchor="__RefHeading___Toc97102_581953129">
            <w:r>
              <w:rPr>
                <w:webHidden/>
                <w:rStyle w:val="IndexLink"/>
                <w:rtl w:val="true"/>
              </w:rPr>
              <w:t>المطلب الثالث</w:t>
            </w:r>
            <w:r>
              <w:rPr>
                <w:rStyle w:val="IndexLink"/>
                <w:rtl w:val="true"/>
              </w:rPr>
              <w:t>:</w:t>
            </w:r>
            <w:r>
              <w:rPr>
                <w:rStyle w:val="IndexLink"/>
                <w:rtl w:val="true"/>
              </w:rPr>
              <w:t>مفهوم الضابط</w:t>
            </w:r>
            <w:r>
              <w:rPr>
                <w:rStyle w:val="IndexLink"/>
                <w:rtl w:val="true"/>
              </w:rPr>
              <w:tab/>
            </w:r>
            <w:r>
              <w:rPr>
                <w:rStyle w:val="IndexLink"/>
              </w:rPr>
              <w:t>43</w:t>
            </w:r>
          </w:hyperlink>
        </w:p>
        <w:p>
          <w:pPr>
            <w:pStyle w:val="Contents5"/>
            <w:tabs>
              <w:tab w:val="clear" w:pos="7892"/>
              <w:tab w:val="right" w:pos="9026" w:leader="dot"/>
            </w:tabs>
            <w:rPr/>
          </w:pPr>
          <w:hyperlink w:anchor="__RefHeading___Toc97104_581953129">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97106_581953129">
            <w:r>
              <w:rPr>
                <w:webHidden/>
                <w:rStyle w:val="IndexLink"/>
                <w:rtl w:val="true"/>
              </w:rPr>
              <w:t>أوّلاً</w:t>
            </w:r>
            <w:r>
              <w:rPr>
                <w:rStyle w:val="IndexLink"/>
                <w:rtl w:val="true"/>
              </w:rPr>
              <w:t>:</w:t>
            </w:r>
            <w:r>
              <w:rPr>
                <w:rStyle w:val="IndexLink"/>
                <w:rtl w:val="true"/>
              </w:rPr>
              <w:t>الضابط فی اللغة</w:t>
            </w:r>
            <w:r>
              <w:rPr>
                <w:rStyle w:val="IndexLink"/>
                <w:rtl w:val="true"/>
              </w:rPr>
              <w:tab/>
            </w:r>
            <w:r>
              <w:rPr>
                <w:rStyle w:val="IndexLink"/>
              </w:rPr>
              <w:t>43</w:t>
            </w:r>
          </w:hyperlink>
        </w:p>
        <w:p>
          <w:pPr>
            <w:pStyle w:val="Contents5"/>
            <w:tabs>
              <w:tab w:val="clear" w:pos="7892"/>
              <w:tab w:val="right" w:pos="9026" w:leader="dot"/>
            </w:tabs>
            <w:rPr/>
          </w:pPr>
          <w:hyperlink w:anchor="__RefHeading___Toc97108_581953129">
            <w:r>
              <w:rPr>
                <w:webHidden/>
                <w:rStyle w:val="IndexLink"/>
                <w:rtl w:val="true"/>
              </w:rPr>
              <w:t>ثانیاً</w:t>
            </w:r>
            <w:r>
              <w:rPr>
                <w:rStyle w:val="IndexLink"/>
                <w:rtl w:val="true"/>
              </w:rPr>
              <w:t>:</w:t>
            </w:r>
            <w:r>
              <w:rPr>
                <w:rStyle w:val="IndexLink"/>
                <w:rtl w:val="true"/>
              </w:rPr>
              <w:t>الضابط فی الاصطلاح</w:t>
            </w:r>
            <w:r>
              <w:rPr>
                <w:rStyle w:val="IndexLink"/>
                <w:rtl w:val="true"/>
              </w:rPr>
              <w:tab/>
            </w:r>
            <w:r>
              <w:rPr>
                <w:rStyle w:val="IndexLink"/>
              </w:rPr>
              <w:t>45</w:t>
            </w:r>
          </w:hyperlink>
        </w:p>
        <w:p>
          <w:pPr>
            <w:pStyle w:val="Contents5"/>
            <w:tabs>
              <w:tab w:val="clear" w:pos="7892"/>
              <w:tab w:val="right" w:pos="9026" w:leader="dot"/>
            </w:tabs>
            <w:rPr/>
          </w:pPr>
          <w:hyperlink w:anchor="__RefHeading___Toc97110_581953129">
            <w:r>
              <w:rPr>
                <w:webHidden/>
                <w:rStyle w:val="IndexLink"/>
                <w:rtl w:val="true"/>
              </w:rPr>
              <w:t>ثالثاً</w:t>
            </w:r>
            <w:r>
              <w:rPr>
                <w:rStyle w:val="IndexLink"/>
                <w:rtl w:val="true"/>
              </w:rPr>
              <w:t>:</w:t>
            </w:r>
            <w:r>
              <w:rPr>
                <w:rStyle w:val="IndexLink"/>
                <w:rtl w:val="true"/>
              </w:rPr>
              <w:t>الضابط فی موضوع البحث</w:t>
            </w:r>
            <w:r>
              <w:rPr>
                <w:rStyle w:val="IndexLink"/>
                <w:rtl w:val="true"/>
              </w:rPr>
              <w:tab/>
            </w:r>
            <w:r>
              <w:rPr>
                <w:rStyle w:val="IndexLink"/>
              </w:rPr>
              <w:t>45</w:t>
            </w:r>
          </w:hyperlink>
        </w:p>
        <w:p>
          <w:pPr>
            <w:pStyle w:val="Contents4"/>
            <w:tabs>
              <w:tab w:val="clear" w:pos="8176"/>
              <w:tab w:val="right" w:pos="9026" w:leader="dot"/>
            </w:tabs>
            <w:rPr/>
          </w:pPr>
          <w:hyperlink w:anchor="__RefHeading___Toc97112_581953129">
            <w:r>
              <w:rPr>
                <w:webHidden/>
                <w:rStyle w:val="IndexLink"/>
                <w:rtl w:val="true"/>
              </w:rPr>
              <w:t>المطلب الرابع</w:t>
            </w:r>
            <w:r>
              <w:rPr>
                <w:rStyle w:val="IndexLink"/>
                <w:rtl w:val="true"/>
              </w:rPr>
              <w:t>:</w:t>
            </w:r>
            <w:r>
              <w:rPr>
                <w:rStyle w:val="IndexLink"/>
                <w:rtl w:val="true"/>
              </w:rPr>
              <w:t>مفهوم الحدّ</w:t>
            </w:r>
            <w:r>
              <w:rPr>
                <w:rStyle w:val="IndexLink"/>
                <w:rtl w:val="true"/>
              </w:rPr>
              <w:tab/>
            </w:r>
            <w:r>
              <w:rPr>
                <w:rStyle w:val="IndexLink"/>
              </w:rPr>
              <w:t>45</w:t>
            </w:r>
          </w:hyperlink>
        </w:p>
        <w:p>
          <w:pPr>
            <w:pStyle w:val="Contents5"/>
            <w:tabs>
              <w:tab w:val="clear" w:pos="7892"/>
              <w:tab w:val="right" w:pos="9026" w:leader="dot"/>
            </w:tabs>
            <w:rPr/>
          </w:pPr>
          <w:hyperlink w:anchor="__RefHeading___Toc97114_58195312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97116_581953129">
            <w:r>
              <w:rPr>
                <w:webHidden/>
                <w:rStyle w:val="IndexLink"/>
                <w:rtl w:val="true"/>
              </w:rPr>
              <w:t>أوّلاً</w:t>
            </w:r>
            <w:r>
              <w:rPr>
                <w:rStyle w:val="IndexLink"/>
                <w:rtl w:val="true"/>
              </w:rPr>
              <w:t>:</w:t>
            </w:r>
            <w:r>
              <w:rPr>
                <w:rStyle w:val="IndexLink"/>
                <w:rtl w:val="true"/>
              </w:rPr>
              <w:t>الحدّ فی اللغة</w:t>
            </w:r>
            <w:r>
              <w:rPr>
                <w:rStyle w:val="IndexLink"/>
                <w:rtl w:val="true"/>
              </w:rPr>
              <w:tab/>
            </w:r>
            <w:r>
              <w:rPr>
                <w:rStyle w:val="IndexLink"/>
              </w:rPr>
              <w:t>45</w:t>
            </w:r>
          </w:hyperlink>
        </w:p>
        <w:p>
          <w:pPr>
            <w:pStyle w:val="Contents5"/>
            <w:tabs>
              <w:tab w:val="clear" w:pos="7892"/>
              <w:tab w:val="right" w:pos="9026" w:leader="dot"/>
            </w:tabs>
            <w:rPr/>
          </w:pPr>
          <w:hyperlink w:anchor="__RefHeading___Toc97118_581953129">
            <w:r>
              <w:rPr>
                <w:webHidden/>
                <w:rStyle w:val="IndexLink"/>
                <w:rtl w:val="true"/>
              </w:rPr>
              <w:t>ثانیاً</w:t>
            </w:r>
            <w:r>
              <w:rPr>
                <w:rStyle w:val="IndexLink"/>
                <w:rtl w:val="true"/>
              </w:rPr>
              <w:t>:</w:t>
            </w:r>
            <w:r>
              <w:rPr>
                <w:rStyle w:val="IndexLink"/>
                <w:rtl w:val="true"/>
              </w:rPr>
              <w:t>الحدّ فی القرآن</w:t>
            </w:r>
            <w:r>
              <w:rPr>
                <w:rStyle w:val="IndexLink"/>
                <w:rtl w:val="true"/>
              </w:rPr>
              <w:tab/>
            </w:r>
            <w:r>
              <w:rPr>
                <w:rStyle w:val="IndexLink"/>
              </w:rPr>
              <w:t>46</w:t>
            </w:r>
          </w:hyperlink>
        </w:p>
        <w:p>
          <w:pPr>
            <w:pStyle w:val="Contents5"/>
            <w:tabs>
              <w:tab w:val="clear" w:pos="7892"/>
              <w:tab w:val="right" w:pos="9026" w:leader="dot"/>
            </w:tabs>
            <w:rPr/>
          </w:pPr>
          <w:hyperlink w:anchor="__RefHeading___Toc97120_581953129">
            <w:r>
              <w:rPr>
                <w:webHidden/>
                <w:rStyle w:val="IndexLink"/>
                <w:rtl w:val="true"/>
              </w:rPr>
              <w:t>ثالثاً</w:t>
            </w:r>
            <w:r>
              <w:rPr>
                <w:rStyle w:val="IndexLink"/>
                <w:rtl w:val="true"/>
              </w:rPr>
              <w:t>:</w:t>
            </w:r>
            <w:r>
              <w:rPr>
                <w:rStyle w:val="IndexLink"/>
                <w:rtl w:val="true"/>
              </w:rPr>
              <w:t>الحدّ فی الاصطلاح</w:t>
            </w:r>
            <w:r>
              <w:rPr>
                <w:rStyle w:val="IndexLink"/>
                <w:rtl w:val="true"/>
              </w:rPr>
              <w:tab/>
            </w:r>
            <w:r>
              <w:rPr>
                <w:rStyle w:val="IndexLink"/>
              </w:rPr>
              <w:t>47</w:t>
            </w:r>
          </w:hyperlink>
        </w:p>
        <w:p>
          <w:pPr>
            <w:pStyle w:val="Contents5"/>
            <w:tabs>
              <w:tab w:val="clear" w:pos="7892"/>
              <w:tab w:val="right" w:pos="9026" w:leader="dot"/>
            </w:tabs>
            <w:rPr/>
          </w:pPr>
          <w:hyperlink w:anchor="__RefHeading___Toc97122_581953129">
            <w:r>
              <w:rPr>
                <w:webHidden/>
                <w:rStyle w:val="IndexLink"/>
                <w:rtl w:val="true"/>
              </w:rPr>
              <w:t>رابعاً</w:t>
            </w:r>
            <w:r>
              <w:rPr>
                <w:rStyle w:val="IndexLink"/>
                <w:rtl w:val="true"/>
              </w:rPr>
              <w:t>:</w:t>
            </w:r>
            <w:r>
              <w:rPr>
                <w:rStyle w:val="IndexLink"/>
                <w:rtl w:val="true"/>
              </w:rPr>
              <w:t>الحدّ فی موضوع البحث</w:t>
            </w:r>
            <w:r>
              <w:rPr>
                <w:rStyle w:val="IndexLink"/>
                <w:rtl w:val="true"/>
              </w:rPr>
              <w:tab/>
            </w:r>
            <w:r>
              <w:rPr>
                <w:rStyle w:val="IndexLink"/>
              </w:rPr>
              <w:t>47</w:t>
            </w:r>
          </w:hyperlink>
        </w:p>
        <w:p>
          <w:pPr>
            <w:pStyle w:val="Contents3"/>
            <w:tabs>
              <w:tab w:val="clear" w:pos="8459"/>
              <w:tab w:val="right" w:pos="9026" w:leader="dot"/>
            </w:tabs>
            <w:rPr/>
          </w:pPr>
          <w:hyperlink w:anchor="__RefHeading___Toc97124_581953129">
            <w:r>
              <w:rPr>
                <w:webHidden/>
                <w:rStyle w:val="IndexLink"/>
                <w:rtl w:val="true"/>
              </w:rPr>
              <w:t>المبحث الثانی</w:t>
            </w:r>
            <w:r>
              <w:rPr>
                <w:rStyle w:val="IndexLink"/>
                <w:rtl w:val="true"/>
              </w:rPr>
              <w:t>:</w:t>
            </w:r>
            <w:r>
              <w:rPr>
                <w:rStyle w:val="IndexLink"/>
                <w:rtl w:val="true"/>
              </w:rPr>
              <w:t>المسار التاریخی لحدود الحرّیة الاقتصادیة</w:t>
            </w:r>
            <w:r>
              <w:rPr>
                <w:rStyle w:val="IndexLink"/>
                <w:rtl w:val="true"/>
              </w:rPr>
              <w:tab/>
            </w:r>
            <w:r>
              <w:rPr>
                <w:rStyle w:val="IndexLink"/>
              </w:rPr>
              <w:t>48</w:t>
            </w:r>
          </w:hyperlink>
        </w:p>
        <w:p>
          <w:pPr>
            <w:pStyle w:val="Contents4"/>
            <w:tabs>
              <w:tab w:val="clear" w:pos="8176"/>
              <w:tab w:val="right" w:pos="9026" w:leader="dot"/>
            </w:tabs>
            <w:rPr/>
          </w:pPr>
          <w:hyperlink w:anchor="__RefHeading___Toc97126_581953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97128_581953129">
            <w:r>
              <w:rPr>
                <w:webHidden/>
                <w:rStyle w:val="IndexLink"/>
                <w:rtl w:val="true"/>
              </w:rPr>
              <w:t>المطلب الأوّل</w:t>
            </w:r>
            <w:r>
              <w:rPr>
                <w:rStyle w:val="IndexLink"/>
                <w:rtl w:val="true"/>
              </w:rPr>
              <w:t>:</w:t>
            </w:r>
            <w:r>
              <w:rPr>
                <w:rStyle w:val="IndexLink"/>
                <w:rtl w:val="true"/>
              </w:rPr>
              <w:t>ملامح حدود الحرّیة الاقتصادیة فی العصور المتقدّمة</w:t>
            </w:r>
            <w:r>
              <w:rPr>
                <w:rStyle w:val="IndexLink"/>
                <w:rtl w:val="true"/>
              </w:rPr>
              <w:tab/>
            </w:r>
            <w:r>
              <w:rPr>
                <w:rStyle w:val="IndexLink"/>
              </w:rPr>
              <w:t>49</w:t>
            </w:r>
          </w:hyperlink>
        </w:p>
        <w:p>
          <w:pPr>
            <w:pStyle w:val="Contents5"/>
            <w:tabs>
              <w:tab w:val="clear" w:pos="7892"/>
              <w:tab w:val="right" w:pos="9026" w:leader="dot"/>
            </w:tabs>
            <w:rPr/>
          </w:pPr>
          <w:hyperlink w:anchor="__RefHeading___Toc97130_581953129">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97132_581953129">
            <w:r>
              <w:rPr>
                <w:webHidden/>
                <w:rStyle w:val="IndexLink"/>
                <w:rtl w:val="true"/>
              </w:rPr>
              <w:t>أوّلاً</w:t>
            </w:r>
            <w:r>
              <w:rPr>
                <w:rStyle w:val="IndexLink"/>
                <w:rtl w:val="true"/>
              </w:rPr>
              <w:t>:</w:t>
            </w:r>
            <w:r>
              <w:rPr>
                <w:rStyle w:val="IndexLink"/>
                <w:rtl w:val="true"/>
              </w:rPr>
              <w:t>ملامح حدود الحرّیة الاقتصادیة فی العهد البابلی</w:t>
            </w:r>
            <w:r>
              <w:rPr>
                <w:rStyle w:val="IndexLink"/>
                <w:rtl w:val="true"/>
              </w:rPr>
              <w:tab/>
            </w:r>
            <w:r>
              <w:rPr>
                <w:rStyle w:val="IndexLink"/>
              </w:rPr>
              <w:t>49</w:t>
            </w:r>
          </w:hyperlink>
        </w:p>
        <w:p>
          <w:pPr>
            <w:pStyle w:val="Contents5"/>
            <w:tabs>
              <w:tab w:val="clear" w:pos="7892"/>
              <w:tab w:val="right" w:pos="9026" w:leader="dot"/>
            </w:tabs>
            <w:rPr/>
          </w:pPr>
          <w:hyperlink w:anchor="__RefHeading___Toc97134_581953129">
            <w:r>
              <w:rPr>
                <w:webHidden/>
                <w:rStyle w:val="IndexLink"/>
                <w:rtl w:val="true"/>
              </w:rPr>
              <w:t>ثانیاً</w:t>
            </w:r>
            <w:r>
              <w:rPr>
                <w:rStyle w:val="IndexLink"/>
                <w:rtl w:val="true"/>
              </w:rPr>
              <w:t>:</w:t>
            </w:r>
            <w:r>
              <w:rPr>
                <w:rStyle w:val="IndexLink"/>
                <w:rtl w:val="true"/>
              </w:rPr>
              <w:t>ملامح حدود الحرّیة الاقتصادیة فی العهد الآشوری</w:t>
            </w:r>
            <w:r>
              <w:rPr>
                <w:rStyle w:val="IndexLink"/>
                <w:rtl w:val="true"/>
              </w:rPr>
              <w:tab/>
            </w:r>
            <w:r>
              <w:rPr>
                <w:rStyle w:val="IndexLink"/>
              </w:rPr>
              <w:t>50</w:t>
            </w:r>
          </w:hyperlink>
        </w:p>
        <w:p>
          <w:pPr>
            <w:pStyle w:val="Contents5"/>
            <w:tabs>
              <w:tab w:val="clear" w:pos="7892"/>
              <w:tab w:val="right" w:pos="9026" w:leader="dot"/>
            </w:tabs>
            <w:rPr/>
          </w:pPr>
          <w:hyperlink w:anchor="__RefHeading___Toc97136_581953129">
            <w:r>
              <w:rPr>
                <w:webHidden/>
                <w:rStyle w:val="IndexLink"/>
                <w:rtl w:val="true"/>
              </w:rPr>
              <w:t>ثالثاً</w:t>
            </w:r>
            <w:r>
              <w:rPr>
                <w:rStyle w:val="IndexLink"/>
                <w:rtl w:val="true"/>
              </w:rPr>
              <w:t>:</w:t>
            </w:r>
            <w:r>
              <w:rPr>
                <w:rStyle w:val="IndexLink"/>
                <w:rtl w:val="true"/>
              </w:rPr>
              <w:t>ملامح حدود الحرّیة الاقتصادیة فی العهد العبرانی</w:t>
            </w:r>
            <w:r>
              <w:rPr>
                <w:rStyle w:val="IndexLink"/>
                <w:rtl w:val="true"/>
              </w:rPr>
              <w:tab/>
            </w:r>
            <w:r>
              <w:rPr>
                <w:rStyle w:val="IndexLink"/>
              </w:rPr>
              <w:t>50</w:t>
            </w:r>
          </w:hyperlink>
        </w:p>
        <w:p>
          <w:pPr>
            <w:pStyle w:val="Contents5"/>
            <w:tabs>
              <w:tab w:val="clear" w:pos="7892"/>
              <w:tab w:val="right" w:pos="9026" w:leader="dot"/>
            </w:tabs>
            <w:rPr/>
          </w:pPr>
          <w:hyperlink w:anchor="__RefHeading___Toc97138_581953129">
            <w:r>
              <w:rPr>
                <w:webHidden/>
                <w:rStyle w:val="IndexLink"/>
                <w:rtl w:val="true"/>
              </w:rPr>
              <w:t>رابعاً</w:t>
            </w:r>
            <w:r>
              <w:rPr>
                <w:rStyle w:val="IndexLink"/>
                <w:rtl w:val="true"/>
              </w:rPr>
              <w:t>:</w:t>
            </w:r>
            <w:r>
              <w:rPr>
                <w:rStyle w:val="IndexLink"/>
                <w:rtl w:val="true"/>
              </w:rPr>
              <w:t>ملامح حدود الحرّیة الاقتصادیة فی الهند القدیمة</w:t>
            </w:r>
            <w:r>
              <w:rPr>
                <w:rStyle w:val="IndexLink"/>
                <w:rtl w:val="true"/>
              </w:rPr>
              <w:tab/>
            </w:r>
            <w:r>
              <w:rPr>
                <w:rStyle w:val="IndexLink"/>
              </w:rPr>
              <w:t>51</w:t>
            </w:r>
          </w:hyperlink>
        </w:p>
        <w:p>
          <w:pPr>
            <w:pStyle w:val="Contents5"/>
            <w:tabs>
              <w:tab w:val="clear" w:pos="7892"/>
              <w:tab w:val="right" w:pos="9026" w:leader="dot"/>
            </w:tabs>
            <w:rPr/>
          </w:pPr>
          <w:hyperlink w:anchor="__RefHeading___Toc97140_581953129">
            <w:r>
              <w:rPr>
                <w:webHidden/>
                <w:rStyle w:val="IndexLink"/>
                <w:rtl w:val="true"/>
              </w:rPr>
              <w:t>خامساً</w:t>
            </w:r>
            <w:r>
              <w:rPr>
                <w:rStyle w:val="IndexLink"/>
                <w:rtl w:val="true"/>
              </w:rPr>
              <w:t>:</w:t>
            </w:r>
            <w:r>
              <w:rPr>
                <w:rStyle w:val="IndexLink"/>
                <w:rtl w:val="true"/>
              </w:rPr>
              <w:t>ملامح حدود الحرّیة الاقتصادیة فی العهد الیونانی</w:t>
            </w:r>
            <w:r>
              <w:rPr>
                <w:rStyle w:val="IndexLink"/>
                <w:rtl w:val="true"/>
              </w:rPr>
              <w:tab/>
            </w:r>
            <w:r>
              <w:rPr>
                <w:rStyle w:val="IndexLink"/>
              </w:rPr>
              <w:t>51</w:t>
            </w:r>
          </w:hyperlink>
        </w:p>
        <w:p>
          <w:pPr>
            <w:pStyle w:val="Contents5"/>
            <w:tabs>
              <w:tab w:val="clear" w:pos="7892"/>
              <w:tab w:val="right" w:pos="9026" w:leader="dot"/>
            </w:tabs>
            <w:rPr/>
          </w:pPr>
          <w:hyperlink w:anchor="__RefHeading___Toc97142_581953129">
            <w:r>
              <w:rPr>
                <w:webHidden/>
                <w:rStyle w:val="IndexLink"/>
                <w:rtl w:val="true"/>
              </w:rPr>
              <w:t>سادساً</w:t>
            </w:r>
            <w:r>
              <w:rPr>
                <w:rStyle w:val="IndexLink"/>
                <w:rtl w:val="true"/>
              </w:rPr>
              <w:t>:</w:t>
            </w:r>
            <w:r>
              <w:rPr>
                <w:rStyle w:val="IndexLink"/>
                <w:rtl w:val="true"/>
              </w:rPr>
              <w:t>ملامح حدود الحرّیة الاقتصادیة فی العهد الرومانی</w:t>
            </w:r>
            <w:r>
              <w:rPr>
                <w:rStyle w:val="IndexLink"/>
                <w:rtl w:val="true"/>
              </w:rPr>
              <w:tab/>
            </w:r>
            <w:r>
              <w:rPr>
                <w:rStyle w:val="IndexLink"/>
              </w:rPr>
              <w:t>55</w:t>
            </w:r>
          </w:hyperlink>
        </w:p>
        <w:p>
          <w:pPr>
            <w:pStyle w:val="Contents5"/>
            <w:tabs>
              <w:tab w:val="clear" w:pos="7892"/>
              <w:tab w:val="right" w:pos="9026" w:leader="dot"/>
            </w:tabs>
            <w:rPr/>
          </w:pPr>
          <w:hyperlink w:anchor="__RefHeading___Toc97144_581953129">
            <w:r>
              <w:rPr>
                <w:webHidden/>
                <w:rStyle w:val="IndexLink"/>
                <w:rtl w:val="true"/>
              </w:rPr>
              <w:t>سابعاً</w:t>
            </w:r>
            <w:r>
              <w:rPr>
                <w:rStyle w:val="IndexLink"/>
                <w:rtl w:val="true"/>
              </w:rPr>
              <w:t>:</w:t>
            </w:r>
            <w:r>
              <w:rPr>
                <w:rStyle w:val="IndexLink"/>
                <w:rtl w:val="true"/>
              </w:rPr>
              <w:t>ملامح حدود الحرّیة الاقتصادیة فی العصور الوسطی</w:t>
            </w:r>
            <w:r>
              <w:rPr>
                <w:rStyle w:val="IndexLink"/>
                <w:rtl w:val="true"/>
              </w:rPr>
              <w:tab/>
            </w:r>
            <w:r>
              <w:rPr>
                <w:rStyle w:val="IndexLink"/>
              </w:rPr>
              <w:t>55</w:t>
            </w:r>
          </w:hyperlink>
        </w:p>
        <w:p>
          <w:pPr>
            <w:pStyle w:val="Contents5"/>
            <w:tabs>
              <w:tab w:val="clear" w:pos="7892"/>
              <w:tab w:val="right" w:pos="9026" w:leader="dot"/>
            </w:tabs>
            <w:rPr/>
          </w:pPr>
          <w:hyperlink w:anchor="__RefHeading___Toc97146_581953129">
            <w:r>
              <w:rPr>
                <w:webHidden/>
                <w:rStyle w:val="IndexLink"/>
                <w:rtl w:val="true"/>
              </w:rPr>
              <w:t>ثامناً</w:t>
            </w:r>
            <w:r>
              <w:rPr>
                <w:rStyle w:val="IndexLink"/>
                <w:rtl w:val="true"/>
              </w:rPr>
              <w:t>:</w:t>
            </w:r>
            <w:r>
              <w:rPr>
                <w:rStyle w:val="IndexLink"/>
                <w:rtl w:val="true"/>
              </w:rPr>
              <w:t>ملامح حدود الحرّیة الاقتصادیة فی المسیحیة</w:t>
            </w:r>
            <w:r>
              <w:rPr>
                <w:rStyle w:val="IndexLink"/>
                <w:rtl w:val="true"/>
              </w:rPr>
              <w:tab/>
            </w:r>
            <w:r>
              <w:rPr>
                <w:rStyle w:val="IndexLink"/>
              </w:rPr>
              <w:t>56</w:t>
            </w:r>
          </w:hyperlink>
        </w:p>
        <w:p>
          <w:pPr>
            <w:pStyle w:val="Contents4"/>
            <w:tabs>
              <w:tab w:val="clear" w:pos="8176"/>
              <w:tab w:val="right" w:pos="9026" w:leader="dot"/>
            </w:tabs>
            <w:rPr/>
          </w:pPr>
          <w:hyperlink w:anchor="__RefHeading___Toc97148_581953129">
            <w:r>
              <w:rPr>
                <w:webHidden/>
                <w:rStyle w:val="IndexLink"/>
                <w:rtl w:val="true"/>
              </w:rPr>
              <w:t>المطلب الثانی</w:t>
            </w:r>
            <w:r>
              <w:rPr>
                <w:rStyle w:val="IndexLink"/>
                <w:rtl w:val="true"/>
              </w:rPr>
              <w:t>:</w:t>
            </w:r>
            <w:r>
              <w:rPr>
                <w:rStyle w:val="IndexLink"/>
                <w:rtl w:val="true"/>
              </w:rPr>
              <w:t>ملامح حدود الحرّیة الاقتصادیة فی العصور المتأخّرة</w:t>
            </w:r>
            <w:r>
              <w:rPr>
                <w:rStyle w:val="IndexLink"/>
                <w:rtl w:val="true"/>
              </w:rPr>
              <w:tab/>
            </w:r>
            <w:r>
              <w:rPr>
                <w:rStyle w:val="IndexLink"/>
              </w:rPr>
              <w:t>57</w:t>
            </w:r>
          </w:hyperlink>
        </w:p>
        <w:p>
          <w:pPr>
            <w:pStyle w:val="Contents5"/>
            <w:tabs>
              <w:tab w:val="clear" w:pos="7892"/>
              <w:tab w:val="right" w:pos="9026" w:leader="dot"/>
            </w:tabs>
            <w:rPr/>
          </w:pPr>
          <w:hyperlink w:anchor="__RefHeading___Toc97150_581953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97152_581953129">
            <w:r>
              <w:rPr>
                <w:webHidden/>
                <w:rStyle w:val="IndexLink"/>
                <w:rtl w:val="true"/>
              </w:rPr>
              <w:t>أوّلاً</w:t>
            </w:r>
            <w:r>
              <w:rPr>
                <w:rStyle w:val="IndexLink"/>
                <w:rtl w:val="true"/>
              </w:rPr>
              <w:t>:</w:t>
            </w:r>
            <w:r>
              <w:rPr>
                <w:rStyle w:val="IndexLink"/>
                <w:rtl w:val="true"/>
              </w:rPr>
              <w:t>ملامح حدود الحرّیة الاقتصادیة فی المدرسة التجاریة</w:t>
            </w:r>
            <w:r>
              <w:rPr>
                <w:rStyle w:val="IndexLink"/>
                <w:rtl w:val="true"/>
              </w:rPr>
              <w:tab/>
            </w:r>
            <w:r>
              <w:rPr>
                <w:rStyle w:val="IndexLink"/>
              </w:rPr>
              <w:t>57</w:t>
            </w:r>
          </w:hyperlink>
        </w:p>
        <w:p>
          <w:pPr>
            <w:pStyle w:val="Contents5"/>
            <w:tabs>
              <w:tab w:val="clear" w:pos="7892"/>
              <w:tab w:val="right" w:pos="9026" w:leader="dot"/>
            </w:tabs>
            <w:rPr/>
          </w:pPr>
          <w:hyperlink w:anchor="__RefHeading___Toc97154_581953129">
            <w:r>
              <w:rPr>
                <w:webHidden/>
                <w:rStyle w:val="IndexLink"/>
                <w:rtl w:val="true"/>
              </w:rPr>
              <w:t>ثانیاً</w:t>
            </w:r>
            <w:r>
              <w:rPr>
                <w:rStyle w:val="IndexLink"/>
                <w:rtl w:val="true"/>
              </w:rPr>
              <w:t>:</w:t>
            </w:r>
            <w:r>
              <w:rPr>
                <w:rStyle w:val="IndexLink"/>
                <w:rtl w:val="true"/>
              </w:rPr>
              <w:t>ملامح حدود الحرّیة الاقتصادیة فی المدرسة الطبیعیة</w:t>
            </w:r>
            <w:r>
              <w:rPr>
                <w:rStyle w:val="IndexLink"/>
                <w:rtl w:val="true"/>
              </w:rPr>
              <w:tab/>
            </w:r>
            <w:r>
              <w:rPr>
                <w:rStyle w:val="IndexLink"/>
              </w:rPr>
              <w:t>58</w:t>
            </w:r>
          </w:hyperlink>
        </w:p>
        <w:p>
          <w:pPr>
            <w:pStyle w:val="Contents5"/>
            <w:tabs>
              <w:tab w:val="clear" w:pos="7892"/>
              <w:tab w:val="right" w:pos="9026" w:leader="dot"/>
            </w:tabs>
            <w:rPr/>
          </w:pPr>
          <w:hyperlink w:anchor="__RefHeading___Toc97156_581953129">
            <w:r>
              <w:rPr>
                <w:webHidden/>
                <w:rStyle w:val="IndexLink"/>
                <w:rtl w:val="true"/>
              </w:rPr>
              <w:t>ثالثاً</w:t>
            </w:r>
            <w:r>
              <w:rPr>
                <w:rStyle w:val="IndexLink"/>
                <w:rtl w:val="true"/>
              </w:rPr>
              <w:t>:</w:t>
            </w:r>
            <w:r>
              <w:rPr>
                <w:rStyle w:val="IndexLink"/>
                <w:rtl w:val="true"/>
              </w:rPr>
              <w:t>ملامح حدود الحرّیة الاقتصادیة فی المدرسة التقلیدیة</w:t>
            </w:r>
            <w:r>
              <w:rPr>
                <w:rStyle w:val="IndexLink"/>
                <w:rtl w:val="true"/>
              </w:rPr>
              <w:tab/>
            </w:r>
            <w:r>
              <w:rPr>
                <w:rStyle w:val="IndexLink"/>
              </w:rPr>
              <w:t>59</w:t>
            </w:r>
          </w:hyperlink>
        </w:p>
        <w:p>
          <w:pPr>
            <w:pStyle w:val="Contents5"/>
            <w:tabs>
              <w:tab w:val="clear" w:pos="7892"/>
              <w:tab w:val="right" w:pos="9026" w:leader="dot"/>
            </w:tabs>
            <w:rPr/>
          </w:pPr>
          <w:hyperlink w:anchor="__RefHeading___Toc97158_581953129">
            <w:r>
              <w:rPr>
                <w:webHidden/>
                <w:rStyle w:val="IndexLink"/>
                <w:rtl w:val="true"/>
              </w:rPr>
              <w:t>رابعاً</w:t>
            </w:r>
            <w:r>
              <w:rPr>
                <w:rStyle w:val="IndexLink"/>
                <w:rtl w:val="true"/>
              </w:rPr>
              <w:t>:</w:t>
            </w:r>
            <w:r>
              <w:rPr>
                <w:rStyle w:val="IndexLink"/>
                <w:rtl w:val="true"/>
              </w:rPr>
              <w:t>ملامح حدود الحرّیة الاقتصادیة فی النظام الرأسمالی</w:t>
            </w:r>
            <w:r>
              <w:rPr>
                <w:rStyle w:val="IndexLink"/>
                <w:rtl w:val="true"/>
              </w:rPr>
              <w:tab/>
            </w:r>
            <w:r>
              <w:rPr>
                <w:rStyle w:val="IndexLink"/>
              </w:rPr>
              <w:t>61</w:t>
            </w:r>
          </w:hyperlink>
        </w:p>
        <w:p>
          <w:pPr>
            <w:pStyle w:val="Contents5"/>
            <w:tabs>
              <w:tab w:val="clear" w:pos="7892"/>
              <w:tab w:val="right" w:pos="9026" w:leader="dot"/>
            </w:tabs>
            <w:rPr/>
          </w:pPr>
          <w:hyperlink w:anchor="__RefHeading___Toc97160_581953129">
            <w:r>
              <w:rPr>
                <w:webHidden/>
                <w:rStyle w:val="IndexLink"/>
                <w:rtl w:val="true"/>
              </w:rPr>
              <w:t>خامساً</w:t>
            </w:r>
            <w:r>
              <w:rPr>
                <w:rStyle w:val="IndexLink"/>
                <w:rtl w:val="true"/>
              </w:rPr>
              <w:t>:</w:t>
            </w:r>
            <w:r>
              <w:rPr>
                <w:rStyle w:val="IndexLink"/>
                <w:rtl w:val="true"/>
              </w:rPr>
              <w:t>ملامح حدود الحرّیة الاقتصادیة فی النظام الاشتراکی</w:t>
            </w:r>
            <w:r>
              <w:rPr>
                <w:rStyle w:val="IndexLink"/>
                <w:rtl w:val="true"/>
              </w:rPr>
              <w:tab/>
            </w:r>
            <w:r>
              <w:rPr>
                <w:rStyle w:val="IndexLink"/>
              </w:rPr>
              <w:t>62</w:t>
            </w:r>
          </w:hyperlink>
        </w:p>
        <w:p>
          <w:pPr>
            <w:pStyle w:val="Contents3"/>
            <w:tabs>
              <w:tab w:val="clear" w:pos="8459"/>
              <w:tab w:val="right" w:pos="9026" w:leader="dot"/>
            </w:tabs>
            <w:rPr/>
          </w:pPr>
          <w:hyperlink w:anchor="__RefHeading___Toc97162_581953129">
            <w:r>
              <w:rPr>
                <w:webHidden/>
                <w:rStyle w:val="IndexLink"/>
                <w:rtl w:val="true"/>
              </w:rPr>
              <w:t>المبحث الثالث</w:t>
            </w:r>
            <w:r>
              <w:rPr>
                <w:rStyle w:val="IndexLink"/>
                <w:rtl w:val="true"/>
              </w:rPr>
              <w:t>:</w:t>
            </w:r>
            <w:r>
              <w:rPr>
                <w:rStyle w:val="IndexLink"/>
                <w:rtl w:val="true"/>
              </w:rPr>
              <w:t>الأصل العقلی فی تحدید نطاق الحرّیة</w:t>
            </w:r>
            <w:r>
              <w:rPr>
                <w:rStyle w:val="IndexLink"/>
                <w:rtl w:val="true"/>
              </w:rPr>
              <w:tab/>
            </w:r>
            <w:r>
              <w:rPr>
                <w:rStyle w:val="IndexLink"/>
              </w:rPr>
              <w:t>64</w:t>
            </w:r>
          </w:hyperlink>
        </w:p>
        <w:p>
          <w:pPr>
            <w:pStyle w:val="Contents4"/>
            <w:tabs>
              <w:tab w:val="clear" w:pos="8176"/>
              <w:tab w:val="right" w:pos="9026" w:leader="dot"/>
            </w:tabs>
            <w:rPr/>
          </w:pPr>
          <w:hyperlink w:anchor="__RefHeading___Toc97164_581953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7166_581953129">
            <w:r>
              <w:rPr>
                <w:webHidden/>
                <w:rStyle w:val="IndexLink"/>
                <w:rtl w:val="true"/>
              </w:rPr>
              <w:t>المطلب الأوّل</w:t>
            </w:r>
            <w:r>
              <w:rPr>
                <w:rStyle w:val="IndexLink"/>
                <w:rtl w:val="true"/>
              </w:rPr>
              <w:t>:</w:t>
            </w:r>
            <w:r>
              <w:rPr>
                <w:rStyle w:val="IndexLink"/>
                <w:rtl w:val="true"/>
              </w:rPr>
              <w:t>أدلّة الإباحة</w:t>
            </w:r>
            <w:r>
              <w:rPr>
                <w:rStyle w:val="IndexLink"/>
                <w:rtl w:val="true"/>
              </w:rPr>
              <w:tab/>
            </w:r>
            <w:r>
              <w:rPr>
                <w:rStyle w:val="IndexLink"/>
              </w:rPr>
              <w:t>69</w:t>
            </w:r>
          </w:hyperlink>
        </w:p>
        <w:p>
          <w:pPr>
            <w:pStyle w:val="Contents5"/>
            <w:tabs>
              <w:tab w:val="clear" w:pos="7892"/>
              <w:tab w:val="right" w:pos="9026" w:leader="dot"/>
            </w:tabs>
            <w:rPr/>
          </w:pPr>
          <w:hyperlink w:anchor="__RefHeading___Toc97168_581953129">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7170_581953129">
            <w:r>
              <w:rPr>
                <w:webHidden/>
                <w:rStyle w:val="IndexLink"/>
                <w:rtl w:val="true"/>
              </w:rPr>
              <w:t>الدلیل الأوّل</w:t>
            </w:r>
            <w:r>
              <w:rPr>
                <w:rStyle w:val="IndexLink"/>
                <w:rtl w:val="true"/>
              </w:rPr>
              <w:t>:</w:t>
            </w:r>
            <w:r>
              <w:rPr>
                <w:rStyle w:val="IndexLink"/>
                <w:rtl w:val="true"/>
              </w:rPr>
              <w:t>الارتکاز العرفی و العقلائی فی باب المولویات</w:t>
            </w:r>
            <w:r>
              <w:rPr>
                <w:rStyle w:val="IndexLink"/>
                <w:rtl w:val="true"/>
              </w:rPr>
              <w:tab/>
            </w:r>
            <w:r>
              <w:rPr>
                <w:rStyle w:val="IndexLink"/>
              </w:rPr>
              <w:t>69</w:t>
            </w:r>
          </w:hyperlink>
        </w:p>
        <w:p>
          <w:pPr>
            <w:pStyle w:val="Contents6"/>
            <w:tabs>
              <w:tab w:val="clear" w:pos="7609"/>
              <w:tab w:val="right" w:pos="9026" w:leader="dot"/>
            </w:tabs>
            <w:rPr/>
          </w:pPr>
          <w:hyperlink w:anchor="__RefHeading___Toc97172_581953129">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97174_581953129">
            <w:r>
              <w:rPr>
                <w:webHidden/>
                <w:rStyle w:val="IndexLink"/>
                <w:rtl w:val="true"/>
              </w:rPr>
              <w:t>مناقشة الدلیل الأوّل</w:t>
            </w:r>
            <w:r>
              <w:rPr>
                <w:rStyle w:val="IndexLink"/>
                <w:rtl w:val="true"/>
              </w:rPr>
              <w:t>:</w:t>
              <w:tab/>
            </w:r>
            <w:r>
              <w:rPr>
                <w:rStyle w:val="IndexLink"/>
              </w:rPr>
              <w:t>69</w:t>
            </w:r>
          </w:hyperlink>
        </w:p>
        <w:p>
          <w:pPr>
            <w:pStyle w:val="Contents5"/>
            <w:tabs>
              <w:tab w:val="clear" w:pos="7892"/>
              <w:tab w:val="right" w:pos="9026" w:leader="dot"/>
            </w:tabs>
            <w:rPr/>
          </w:pPr>
          <w:hyperlink w:anchor="__RefHeading___Toc97176_581953129">
            <w:r>
              <w:rPr>
                <w:webHidden/>
                <w:rStyle w:val="IndexLink"/>
                <w:rtl w:val="true"/>
              </w:rPr>
              <w:t>الدلیل الثانی</w:t>
            </w:r>
            <w:r>
              <w:rPr>
                <w:rStyle w:val="IndexLink"/>
                <w:rtl w:val="true"/>
              </w:rPr>
              <w:t>:</w:t>
            </w:r>
            <w:r>
              <w:rPr>
                <w:rStyle w:val="IndexLink"/>
                <w:rtl w:val="true"/>
              </w:rPr>
              <w:t>کون العقاب من دون حُجّة ظلماً</w:t>
            </w:r>
            <w:r>
              <w:rPr>
                <w:rStyle w:val="IndexLink"/>
                <w:rtl w:val="true"/>
              </w:rPr>
              <w:tab/>
            </w:r>
            <w:r>
              <w:rPr>
                <w:rStyle w:val="IndexLink"/>
              </w:rPr>
              <w:t>70</w:t>
            </w:r>
          </w:hyperlink>
        </w:p>
        <w:p>
          <w:pPr>
            <w:pStyle w:val="Contents6"/>
            <w:tabs>
              <w:tab w:val="clear" w:pos="7609"/>
              <w:tab w:val="right" w:pos="9026" w:leader="dot"/>
            </w:tabs>
            <w:rPr/>
          </w:pPr>
          <w:hyperlink w:anchor="__RefHeading___Toc97178_581953129">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97180_581953129">
            <w:r>
              <w:rPr>
                <w:webHidden/>
                <w:rStyle w:val="IndexLink"/>
                <w:rtl w:val="true"/>
              </w:rPr>
              <w:t>مناقشة الدلیل الثانی</w:t>
            </w:r>
            <w:r>
              <w:rPr>
                <w:rStyle w:val="IndexLink"/>
                <w:rtl w:val="true"/>
              </w:rPr>
              <w:t>:</w:t>
              <w:tab/>
            </w:r>
            <w:r>
              <w:rPr>
                <w:rStyle w:val="IndexLink"/>
              </w:rPr>
              <w:t>70</w:t>
            </w:r>
          </w:hyperlink>
        </w:p>
        <w:p>
          <w:pPr>
            <w:pStyle w:val="Contents5"/>
            <w:tabs>
              <w:tab w:val="clear" w:pos="7892"/>
              <w:tab w:val="right" w:pos="9026" w:leader="dot"/>
            </w:tabs>
            <w:rPr/>
          </w:pPr>
          <w:hyperlink w:anchor="__RefHeading___Toc97182_581953129">
            <w:r>
              <w:rPr>
                <w:webHidden/>
                <w:rStyle w:val="IndexLink"/>
                <w:rtl w:val="true"/>
              </w:rPr>
              <w:t>الدلیل الثالث</w:t>
            </w:r>
            <w:r>
              <w:rPr>
                <w:rStyle w:val="IndexLink"/>
                <w:rtl w:val="true"/>
              </w:rPr>
              <w:t>:</w:t>
            </w:r>
            <w:r>
              <w:rPr>
                <w:rStyle w:val="IndexLink"/>
                <w:rtl w:val="true"/>
              </w:rPr>
              <w:t>توقّف المحرّکیة علی وصول التکلیف</w:t>
            </w:r>
            <w:r>
              <w:rPr>
                <w:rStyle w:val="IndexLink"/>
                <w:rtl w:val="true"/>
              </w:rPr>
              <w:tab/>
            </w:r>
            <w:r>
              <w:rPr>
                <w:rStyle w:val="IndexLink"/>
              </w:rPr>
              <w:t>70</w:t>
            </w:r>
          </w:hyperlink>
        </w:p>
        <w:p>
          <w:pPr>
            <w:pStyle w:val="Contents6"/>
            <w:tabs>
              <w:tab w:val="clear" w:pos="7609"/>
              <w:tab w:val="right" w:pos="9026" w:leader="dot"/>
            </w:tabs>
            <w:rPr/>
          </w:pPr>
          <w:hyperlink w:anchor="__RefHeading___Toc97184_581953129">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97186_581953129">
            <w:r>
              <w:rPr>
                <w:webHidden/>
                <w:rStyle w:val="IndexLink"/>
                <w:rtl w:val="true"/>
              </w:rPr>
              <w:t>مناقشة الدلیل الثالث</w:t>
            </w:r>
            <w:r>
              <w:rPr>
                <w:rStyle w:val="IndexLink"/>
                <w:rtl w:val="true"/>
              </w:rPr>
              <w:t>:</w:t>
              <w:tab/>
            </w:r>
            <w:r>
              <w:rPr>
                <w:rStyle w:val="IndexLink"/>
              </w:rPr>
              <w:t>71</w:t>
            </w:r>
          </w:hyperlink>
        </w:p>
        <w:p>
          <w:pPr>
            <w:pStyle w:val="Contents5"/>
            <w:tabs>
              <w:tab w:val="clear" w:pos="7892"/>
              <w:tab w:val="right" w:pos="9026" w:leader="dot"/>
            </w:tabs>
            <w:rPr/>
          </w:pPr>
          <w:hyperlink w:anchor="__RefHeading___Toc97188_581953129">
            <w:r>
              <w:rPr>
                <w:webHidden/>
                <w:rStyle w:val="IndexLink"/>
                <w:rtl w:val="true"/>
              </w:rPr>
              <w:t>الدلیل الرابع</w:t>
            </w:r>
            <w:r>
              <w:rPr>
                <w:rStyle w:val="IndexLink"/>
                <w:rtl w:val="true"/>
              </w:rPr>
              <w:t>:</w:t>
            </w:r>
            <w:r>
              <w:rPr>
                <w:rStyle w:val="IndexLink"/>
                <w:rtl w:val="true"/>
              </w:rPr>
              <w:t>اختصاص المحرّکیة بالحکم الحقیقی</w:t>
            </w:r>
            <w:r>
              <w:rPr>
                <w:rStyle w:val="IndexLink"/>
                <w:rtl w:val="true"/>
              </w:rPr>
              <w:tab/>
            </w:r>
            <w:r>
              <w:rPr>
                <w:rStyle w:val="IndexLink"/>
              </w:rPr>
              <w:t>71</w:t>
            </w:r>
          </w:hyperlink>
        </w:p>
        <w:p>
          <w:pPr>
            <w:pStyle w:val="Contents6"/>
            <w:tabs>
              <w:tab w:val="clear" w:pos="7609"/>
              <w:tab w:val="right" w:pos="9026" w:leader="dot"/>
            </w:tabs>
            <w:rPr/>
          </w:pPr>
          <w:hyperlink w:anchor="__RefHeading___Toc97190_581953129">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97192_581953129">
            <w:r>
              <w:rPr>
                <w:webHidden/>
                <w:rStyle w:val="IndexLink"/>
                <w:rtl w:val="true"/>
              </w:rPr>
              <w:t>مناقشة الدلیل الرابع</w:t>
            </w:r>
            <w:r>
              <w:rPr>
                <w:rStyle w:val="IndexLink"/>
                <w:rtl w:val="true"/>
              </w:rPr>
              <w:t>:</w:t>
              <w:tab/>
            </w:r>
            <w:r>
              <w:rPr>
                <w:rStyle w:val="IndexLink"/>
              </w:rPr>
              <w:t>72</w:t>
            </w:r>
          </w:hyperlink>
        </w:p>
        <w:p>
          <w:pPr>
            <w:pStyle w:val="Contents4"/>
            <w:tabs>
              <w:tab w:val="clear" w:pos="8176"/>
              <w:tab w:val="right" w:pos="9026" w:leader="dot"/>
            </w:tabs>
            <w:rPr/>
          </w:pPr>
          <w:hyperlink w:anchor="__RefHeading___Toc97194_581953129">
            <w:r>
              <w:rPr>
                <w:webHidden/>
                <w:rStyle w:val="IndexLink"/>
                <w:rtl w:val="true"/>
              </w:rPr>
              <w:t>المطلب الثانی</w:t>
            </w:r>
            <w:r>
              <w:rPr>
                <w:rStyle w:val="IndexLink"/>
                <w:rtl w:val="true"/>
              </w:rPr>
              <w:t>:</w:t>
            </w:r>
            <w:r>
              <w:rPr>
                <w:rStyle w:val="IndexLink"/>
                <w:rtl w:val="true"/>
              </w:rPr>
              <w:t>أدلّة الاحتیاط</w:t>
            </w:r>
            <w:r>
              <w:rPr>
                <w:rStyle w:val="IndexLink"/>
                <w:rtl w:val="true"/>
              </w:rPr>
              <w:tab/>
            </w:r>
            <w:r>
              <w:rPr>
                <w:rStyle w:val="IndexLink"/>
              </w:rPr>
              <w:t>73</w:t>
            </w:r>
          </w:hyperlink>
        </w:p>
        <w:p>
          <w:pPr>
            <w:pStyle w:val="Contents5"/>
            <w:tabs>
              <w:tab w:val="clear" w:pos="7892"/>
              <w:tab w:val="right" w:pos="9026" w:leader="dot"/>
            </w:tabs>
            <w:rPr/>
          </w:pPr>
          <w:hyperlink w:anchor="__RefHeading___Toc97196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97198_581953129">
            <w:r>
              <w:rPr>
                <w:webHidden/>
                <w:rStyle w:val="IndexLink"/>
                <w:rtl w:val="true"/>
              </w:rPr>
              <w:t>أوّلاً</w:t>
            </w:r>
            <w:r>
              <w:rPr>
                <w:rStyle w:val="IndexLink"/>
                <w:rtl w:val="true"/>
              </w:rPr>
              <w:t>:</w:t>
            </w:r>
            <w:r>
              <w:rPr>
                <w:rStyle w:val="IndexLink"/>
                <w:rtl w:val="true"/>
              </w:rPr>
              <w:t>الأدلّة</w:t>
            </w:r>
            <w:r>
              <w:rPr>
                <w:rStyle w:val="IndexLink"/>
                <w:rtl w:val="true"/>
              </w:rPr>
              <w:tab/>
            </w:r>
            <w:r>
              <w:rPr>
                <w:rStyle w:val="IndexLink"/>
              </w:rPr>
              <w:t>73</w:t>
            </w:r>
          </w:hyperlink>
        </w:p>
        <w:p>
          <w:pPr>
            <w:pStyle w:val="Contents6"/>
            <w:tabs>
              <w:tab w:val="clear" w:pos="7609"/>
              <w:tab w:val="right" w:pos="9026" w:leader="dot"/>
            </w:tabs>
            <w:rPr/>
          </w:pPr>
          <w:hyperlink w:anchor="__RefHeading___Toc97200_581953129">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97202_581953129">
            <w:r>
              <w:rPr>
                <w:webHidden/>
                <w:rStyle w:val="IndexLink"/>
                <w:rtl w:val="true"/>
              </w:rPr>
              <w:t>الدلیل الأوّل</w:t>
            </w:r>
            <w:r>
              <w:rPr>
                <w:rStyle w:val="IndexLink"/>
                <w:rtl w:val="true"/>
              </w:rPr>
              <w:t>:</w:t>
            </w:r>
            <w:r>
              <w:rPr>
                <w:rStyle w:val="IndexLink"/>
                <w:rtl w:val="true"/>
              </w:rPr>
              <w:t>استلزام العلم الإجمالی فی الشبهات لحکم العقل بلزوم الاحتیاط فی أطرافها</w:t>
            </w:r>
            <w:r>
              <w:rPr>
                <w:rStyle w:val="IndexLink"/>
                <w:rtl w:val="true"/>
              </w:rPr>
              <w:tab/>
            </w:r>
            <w:r>
              <w:rPr>
                <w:rStyle w:val="IndexLink"/>
              </w:rPr>
              <w:t>73</w:t>
            </w:r>
          </w:hyperlink>
        </w:p>
        <w:p>
          <w:pPr>
            <w:pStyle w:val="Contents6"/>
            <w:tabs>
              <w:tab w:val="clear" w:pos="7609"/>
              <w:tab w:val="right" w:pos="9026" w:leader="dot"/>
            </w:tabs>
            <w:rPr/>
          </w:pPr>
          <w:hyperlink w:anchor="__RefHeading___Toc97204_581953129">
            <w:r>
              <w:rPr>
                <w:webHidden/>
                <w:rStyle w:val="IndexLink"/>
                <w:rtl w:val="true"/>
              </w:rPr>
              <w:t>الدلیل الثانی</w:t>
            </w:r>
            <w:r>
              <w:rPr>
                <w:rStyle w:val="IndexLink"/>
                <w:rtl w:val="true"/>
              </w:rPr>
              <w:t>:</w:t>
            </w:r>
            <w:r>
              <w:rPr>
                <w:rStyle w:val="IndexLink"/>
                <w:rtl w:val="true"/>
              </w:rPr>
              <w:t>دلالة لزوم دفع الضرر المحتمل علی لزوم الاحتیاط‌</w:t>
            </w:r>
            <w:r>
              <w:rPr>
                <w:rStyle w:val="IndexLink"/>
                <w:rtl w:val="true"/>
              </w:rPr>
              <w:tab/>
            </w:r>
            <w:r>
              <w:rPr>
                <w:rStyle w:val="IndexLink"/>
              </w:rPr>
              <w:t>73</w:t>
            </w:r>
          </w:hyperlink>
        </w:p>
        <w:p>
          <w:pPr>
            <w:pStyle w:val="Contents6"/>
            <w:tabs>
              <w:tab w:val="clear" w:pos="7609"/>
              <w:tab w:val="right" w:pos="9026" w:leader="dot"/>
            </w:tabs>
            <w:rPr/>
          </w:pPr>
          <w:hyperlink w:anchor="__RefHeading___Toc97206_581953129">
            <w:r>
              <w:rPr>
                <w:webHidden/>
                <w:rStyle w:val="IndexLink"/>
                <w:rtl w:val="true"/>
              </w:rPr>
              <w:t>الدلیل الثالث</w:t>
            </w:r>
            <w:r>
              <w:rPr>
                <w:rStyle w:val="IndexLink"/>
                <w:rtl w:val="true"/>
              </w:rPr>
              <w:t>:</w:t>
            </w:r>
            <w:r>
              <w:rPr>
                <w:rStyle w:val="IndexLink"/>
                <w:rtl w:val="true"/>
              </w:rPr>
              <w:t>التمسّک بأصالة الحظر</w:t>
            </w:r>
            <w:r>
              <w:rPr>
                <w:rStyle w:val="IndexLink"/>
                <w:rtl w:val="true"/>
              </w:rPr>
              <w:tab/>
            </w:r>
            <w:r>
              <w:rPr>
                <w:rStyle w:val="IndexLink"/>
              </w:rPr>
              <w:t>73</w:t>
            </w:r>
          </w:hyperlink>
        </w:p>
        <w:p>
          <w:pPr>
            <w:pStyle w:val="Contents6"/>
            <w:tabs>
              <w:tab w:val="clear" w:pos="7609"/>
              <w:tab w:val="right" w:pos="9026" w:leader="dot"/>
            </w:tabs>
            <w:rPr/>
          </w:pPr>
          <w:hyperlink w:anchor="__RefHeading___Toc97208_581953129">
            <w:r>
              <w:rPr>
                <w:webHidden/>
                <w:rStyle w:val="IndexLink"/>
                <w:rtl w:val="true"/>
              </w:rPr>
              <w:t>الدلیل الرابع</w:t>
            </w:r>
            <w:r>
              <w:rPr>
                <w:rStyle w:val="IndexLink"/>
                <w:rtl w:val="true"/>
              </w:rPr>
              <w:t>:</w:t>
            </w:r>
            <w:r>
              <w:rPr>
                <w:rStyle w:val="IndexLink"/>
                <w:rtl w:val="true"/>
              </w:rPr>
              <w:t>حکم العقل بحقّ الطاعة</w:t>
            </w:r>
            <w:r>
              <w:rPr>
                <w:rStyle w:val="IndexLink"/>
                <w:rtl w:val="true"/>
              </w:rPr>
              <w:tab/>
            </w:r>
            <w:r>
              <w:rPr>
                <w:rStyle w:val="IndexLink"/>
              </w:rPr>
              <w:t>74</w:t>
            </w:r>
          </w:hyperlink>
        </w:p>
        <w:p>
          <w:pPr>
            <w:pStyle w:val="Contents5"/>
            <w:tabs>
              <w:tab w:val="clear" w:pos="7892"/>
              <w:tab w:val="right" w:pos="9026" w:leader="dot"/>
            </w:tabs>
            <w:rPr/>
          </w:pPr>
          <w:hyperlink w:anchor="__RefHeading___Toc97210_581953129">
            <w:r>
              <w:rPr>
                <w:webHidden/>
                <w:rStyle w:val="IndexLink"/>
                <w:rtl w:val="true"/>
              </w:rPr>
              <w:t>ثانیاً</w:t>
            </w:r>
            <w:r>
              <w:rPr>
                <w:rStyle w:val="IndexLink"/>
                <w:rtl w:val="true"/>
              </w:rPr>
              <w:t>:</w:t>
            </w:r>
            <w:r>
              <w:rPr>
                <w:rStyle w:val="IndexLink"/>
                <w:rtl w:val="true"/>
              </w:rPr>
              <w:t>الإشکالات</w:t>
            </w:r>
            <w:r>
              <w:rPr>
                <w:rStyle w:val="IndexLink"/>
                <w:rtl w:val="true"/>
              </w:rPr>
              <w:tab/>
            </w:r>
            <w:r>
              <w:rPr>
                <w:rStyle w:val="IndexLink"/>
              </w:rPr>
              <w:t>74</w:t>
            </w:r>
          </w:hyperlink>
        </w:p>
        <w:p>
          <w:pPr>
            <w:pStyle w:val="Contents6"/>
            <w:tabs>
              <w:tab w:val="clear" w:pos="7609"/>
              <w:tab w:val="right" w:pos="9026" w:leader="dot"/>
            </w:tabs>
            <w:rPr/>
          </w:pPr>
          <w:hyperlink w:anchor="__RefHeading___Toc97212_581953129">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97214_581953129">
            <w:r>
              <w:rPr>
                <w:webHidden/>
                <w:rStyle w:val="IndexLink"/>
                <w:rtl w:val="true"/>
              </w:rPr>
              <w:t>الجهة الأولی</w:t>
            </w:r>
            <w:r>
              <w:rPr>
                <w:rStyle w:val="IndexLink"/>
                <w:rtl w:val="true"/>
              </w:rPr>
              <w:t>:</w:t>
            </w:r>
            <w:r>
              <w:rPr>
                <w:rStyle w:val="IndexLink"/>
                <w:rtl w:val="true"/>
              </w:rPr>
              <w:t>الإشکالات المبنائیة</w:t>
            </w:r>
            <w:r>
              <w:rPr>
                <w:rStyle w:val="IndexLink"/>
                <w:rtl w:val="true"/>
              </w:rPr>
              <w:tab/>
            </w:r>
            <w:r>
              <w:rPr>
                <w:rStyle w:val="IndexLink"/>
              </w:rPr>
              <w:t>75</w:t>
            </w:r>
          </w:hyperlink>
        </w:p>
        <w:p>
          <w:pPr>
            <w:pStyle w:val="Contents6"/>
            <w:tabs>
              <w:tab w:val="clear" w:pos="7609"/>
              <w:tab w:val="right" w:pos="9026" w:leader="dot"/>
            </w:tabs>
            <w:rPr/>
          </w:pPr>
          <w:hyperlink w:anchor="__RefHeading___Toc97216_581953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97218_581953129">
            <w:r>
              <w:rPr>
                <w:webHidden/>
                <w:rStyle w:val="IndexLink"/>
                <w:rtl w:val="true"/>
              </w:rPr>
              <w:t>الإشکال الأوّل</w:t>
            </w:r>
            <w:r>
              <w:rPr>
                <w:rStyle w:val="IndexLink"/>
                <w:rtl w:val="true"/>
              </w:rPr>
              <w:t>:</w:t>
            </w:r>
            <w:r>
              <w:rPr>
                <w:rStyle w:val="IndexLink"/>
                <w:rtl w:val="true"/>
              </w:rPr>
              <w:t>عدم بداهة حکم العقل بحقّ الطاعة</w:t>
            </w:r>
            <w:r>
              <w:rPr>
                <w:rStyle w:val="IndexLink"/>
                <w:rtl w:val="true"/>
              </w:rPr>
              <w:t>:</w:t>
              <w:tab/>
            </w:r>
            <w:r>
              <w:rPr>
                <w:rStyle w:val="IndexLink"/>
              </w:rPr>
              <w:t>75</w:t>
            </w:r>
          </w:hyperlink>
        </w:p>
        <w:p>
          <w:pPr>
            <w:pStyle w:val="Contents6"/>
            <w:tabs>
              <w:tab w:val="clear" w:pos="7609"/>
              <w:tab w:val="right" w:pos="9026" w:leader="dot"/>
            </w:tabs>
            <w:rPr/>
          </w:pPr>
          <w:hyperlink w:anchor="__RefHeading___Toc97220_581953129">
            <w:r>
              <w:rPr>
                <w:webHidden/>
                <w:rStyle w:val="IndexLink"/>
                <w:rtl w:val="true"/>
              </w:rPr>
              <w:t>الجواب</w:t>
            </w:r>
            <w:r>
              <w:rPr>
                <w:rStyle w:val="IndexLink"/>
                <w:rtl w:val="true"/>
              </w:rPr>
              <w:tab/>
            </w:r>
            <w:r>
              <w:rPr>
                <w:rStyle w:val="IndexLink"/>
              </w:rPr>
              <w:t>75</w:t>
            </w:r>
          </w:hyperlink>
        </w:p>
        <w:p>
          <w:pPr>
            <w:pStyle w:val="Contents6"/>
            <w:tabs>
              <w:tab w:val="clear" w:pos="7609"/>
              <w:tab w:val="right" w:pos="9026" w:leader="dot"/>
            </w:tabs>
            <w:rPr/>
          </w:pPr>
          <w:hyperlink w:anchor="__RefHeading___Toc97222_581953129">
            <w:r>
              <w:rPr>
                <w:webHidden/>
                <w:rStyle w:val="IndexLink"/>
                <w:rtl w:val="true"/>
              </w:rPr>
              <w:t>الإشکال الثانی</w:t>
            </w:r>
            <w:r>
              <w:rPr>
                <w:rStyle w:val="IndexLink"/>
                <w:rtl w:val="true"/>
              </w:rPr>
              <w:t>:</w:t>
            </w:r>
            <w:r>
              <w:rPr>
                <w:rStyle w:val="IndexLink"/>
                <w:rtl w:val="true"/>
              </w:rPr>
              <w:t>التشکیک فی إلزامیة حکم العقل برعایة حقّ طاعة المولی</w:t>
            </w:r>
            <w:r>
              <w:rPr>
                <w:rStyle w:val="IndexLink"/>
                <w:rtl w:val="true"/>
              </w:rPr>
              <w:tab/>
            </w:r>
            <w:r>
              <w:rPr>
                <w:rStyle w:val="IndexLink"/>
              </w:rPr>
              <w:t>76</w:t>
            </w:r>
          </w:hyperlink>
        </w:p>
        <w:p>
          <w:pPr>
            <w:pStyle w:val="Contents6"/>
            <w:tabs>
              <w:tab w:val="clear" w:pos="7609"/>
              <w:tab w:val="right" w:pos="9026" w:leader="dot"/>
            </w:tabs>
            <w:rPr/>
          </w:pPr>
          <w:hyperlink w:anchor="__RefHeading___Toc97224_581953129">
            <w:r>
              <w:rPr>
                <w:webHidden/>
                <w:rStyle w:val="IndexLink"/>
                <w:rtl w:val="true"/>
              </w:rPr>
              <w:t>الإشکال الثالث</w:t>
            </w:r>
            <w:r>
              <w:rPr>
                <w:rStyle w:val="IndexLink"/>
                <w:rtl w:val="true"/>
              </w:rPr>
              <w:t>:</w:t>
            </w:r>
            <w:r>
              <w:rPr>
                <w:rStyle w:val="IndexLink"/>
                <w:rtl w:val="true"/>
              </w:rPr>
              <w:t>عدم إمکان اعتماد الشارع علی حکم العقل الخفی</w:t>
            </w:r>
            <w:r>
              <w:rPr>
                <w:rStyle w:val="IndexLink"/>
                <w:rtl w:val="true"/>
              </w:rPr>
              <w:t>:</w:t>
              <w:tab/>
            </w:r>
            <w:r>
              <w:rPr>
                <w:rStyle w:val="IndexLink"/>
              </w:rPr>
              <w:t>77</w:t>
            </w:r>
          </w:hyperlink>
        </w:p>
        <w:p>
          <w:pPr>
            <w:pStyle w:val="Contents6"/>
            <w:tabs>
              <w:tab w:val="clear" w:pos="7609"/>
              <w:tab w:val="right" w:pos="9026" w:leader="dot"/>
            </w:tabs>
            <w:rPr/>
          </w:pPr>
          <w:hyperlink w:anchor="__RefHeading___Toc97226_581953129">
            <w:r>
              <w:rPr>
                <w:webHidden/>
                <w:rStyle w:val="IndexLink"/>
                <w:rtl w:val="true"/>
              </w:rPr>
              <w:t>الجواب</w:t>
            </w:r>
            <w:r>
              <w:rPr>
                <w:rStyle w:val="IndexLink"/>
                <w:rtl w:val="true"/>
              </w:rPr>
              <w:t>:</w:t>
              <w:tab/>
            </w:r>
            <w:r>
              <w:rPr>
                <w:rStyle w:val="IndexLink"/>
              </w:rPr>
              <w:t>77</w:t>
            </w:r>
          </w:hyperlink>
        </w:p>
        <w:p>
          <w:pPr>
            <w:pStyle w:val="Contents6"/>
            <w:tabs>
              <w:tab w:val="clear" w:pos="7609"/>
              <w:tab w:val="right" w:pos="9026" w:leader="dot"/>
            </w:tabs>
            <w:rPr/>
          </w:pPr>
          <w:hyperlink w:anchor="__RefHeading___Toc97228_581953129">
            <w:r>
              <w:rPr>
                <w:webHidden/>
                <w:rStyle w:val="IndexLink"/>
                <w:rtl w:val="true"/>
              </w:rPr>
              <w:t>الجهة الثانیة</w:t>
            </w:r>
            <w:r>
              <w:rPr>
                <w:rStyle w:val="IndexLink"/>
                <w:rtl w:val="true"/>
              </w:rPr>
              <w:t>:</w:t>
            </w:r>
            <w:r>
              <w:rPr>
                <w:rStyle w:val="IndexLink"/>
                <w:rtl w:val="true"/>
              </w:rPr>
              <w:t>الإشکالات البنائیة</w:t>
            </w:r>
            <w:r>
              <w:rPr>
                <w:rStyle w:val="IndexLink"/>
                <w:rtl w:val="true"/>
              </w:rPr>
              <w:tab/>
            </w:r>
            <w:r>
              <w:rPr>
                <w:rStyle w:val="IndexLink"/>
              </w:rPr>
              <w:t>78</w:t>
            </w:r>
          </w:hyperlink>
        </w:p>
        <w:p>
          <w:pPr>
            <w:pStyle w:val="Contents6"/>
            <w:tabs>
              <w:tab w:val="clear" w:pos="7609"/>
              <w:tab w:val="right" w:pos="9026" w:leader="dot"/>
            </w:tabs>
            <w:rPr/>
          </w:pPr>
          <w:hyperlink w:anchor="__RefHeading___Toc97230_581953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7232_581953129">
            <w:r>
              <w:rPr>
                <w:webHidden/>
                <w:rStyle w:val="IndexLink"/>
                <w:rtl w:val="true"/>
              </w:rPr>
              <w:t>الإشکال الأوّل</w:t>
            </w:r>
            <w:r>
              <w:rPr>
                <w:rStyle w:val="IndexLink"/>
                <w:rtl w:val="true"/>
              </w:rPr>
              <w:t>:</w:t>
            </w:r>
            <w:r>
              <w:rPr>
                <w:rStyle w:val="IndexLink"/>
                <w:rtl w:val="true"/>
              </w:rPr>
              <w:t>وحدة مصدر الطاعة الشرعیة</w:t>
            </w:r>
            <w:r>
              <w:rPr>
                <w:rStyle w:val="IndexLink"/>
                <w:rtl w:val="true"/>
              </w:rPr>
              <w:tab/>
            </w:r>
            <w:r>
              <w:rPr>
                <w:rStyle w:val="IndexLink"/>
              </w:rPr>
              <w:t>78</w:t>
            </w:r>
          </w:hyperlink>
        </w:p>
        <w:p>
          <w:pPr>
            <w:pStyle w:val="Contents6"/>
            <w:tabs>
              <w:tab w:val="clear" w:pos="7609"/>
              <w:tab w:val="right" w:pos="9026" w:leader="dot"/>
            </w:tabs>
            <w:rPr/>
          </w:pPr>
          <w:hyperlink w:anchor="__RefHeading___Toc97234_581953129">
            <w:r>
              <w:rPr>
                <w:webHidden/>
                <w:rStyle w:val="IndexLink"/>
                <w:rtl w:val="true"/>
              </w:rPr>
              <w:t>خلاصة الإشکال</w:t>
            </w:r>
            <w:r>
              <w:rPr>
                <w:rStyle w:val="IndexLink"/>
                <w:rtl w:val="true"/>
              </w:rPr>
              <w:t>:</w:t>
              <w:tab/>
            </w:r>
            <w:r>
              <w:rPr>
                <w:rStyle w:val="IndexLink"/>
              </w:rPr>
              <w:t>79</w:t>
            </w:r>
          </w:hyperlink>
        </w:p>
        <w:p>
          <w:pPr>
            <w:pStyle w:val="Contents6"/>
            <w:tabs>
              <w:tab w:val="clear" w:pos="7609"/>
              <w:tab w:val="right" w:pos="9026" w:leader="dot"/>
            </w:tabs>
            <w:rPr/>
          </w:pPr>
          <w:hyperlink w:anchor="__RefHeading___Toc97236_581953129">
            <w:r>
              <w:rPr>
                <w:webHidden/>
                <w:rStyle w:val="IndexLink"/>
                <w:rtl w:val="true"/>
              </w:rPr>
              <w:t>الجواب</w:t>
            </w:r>
            <w:r>
              <w:rPr>
                <w:rStyle w:val="IndexLink"/>
                <w:rtl w:val="true"/>
              </w:rPr>
              <w:tab/>
            </w:r>
            <w:r>
              <w:rPr>
                <w:rStyle w:val="IndexLink"/>
              </w:rPr>
              <w:t>79</w:t>
            </w:r>
          </w:hyperlink>
        </w:p>
        <w:p>
          <w:pPr>
            <w:pStyle w:val="Contents6"/>
            <w:tabs>
              <w:tab w:val="clear" w:pos="7609"/>
              <w:tab w:val="right" w:pos="9026" w:leader="dot"/>
            </w:tabs>
            <w:rPr/>
          </w:pPr>
          <w:hyperlink w:anchor="__RefHeading___Toc97238_581953129">
            <w:r>
              <w:rPr>
                <w:webHidden/>
                <w:rStyle w:val="IndexLink"/>
                <w:rtl w:val="true"/>
              </w:rPr>
              <w:t>الإشکال الثّانی</w:t>
            </w:r>
            <w:r>
              <w:rPr>
                <w:rStyle w:val="IndexLink"/>
                <w:rtl w:val="true"/>
              </w:rPr>
              <w:t>:</w:t>
            </w:r>
            <w:r>
              <w:rPr>
                <w:rStyle w:val="IndexLink"/>
                <w:rtl w:val="true"/>
              </w:rPr>
              <w:t>التفکیک فی ما بین المولویة وحقّ الطاعة</w:t>
            </w:r>
            <w:r>
              <w:rPr>
                <w:rStyle w:val="IndexLink"/>
                <w:rtl w:val="true"/>
              </w:rPr>
              <w:t>:</w:t>
              <w:tab/>
            </w:r>
            <w:r>
              <w:rPr>
                <w:rStyle w:val="IndexLink"/>
              </w:rPr>
              <w:t>80</w:t>
            </w:r>
          </w:hyperlink>
        </w:p>
        <w:p>
          <w:pPr>
            <w:pStyle w:val="Contents6"/>
            <w:tabs>
              <w:tab w:val="clear" w:pos="7609"/>
              <w:tab w:val="right" w:pos="9026" w:leader="dot"/>
            </w:tabs>
            <w:rPr/>
          </w:pPr>
          <w:hyperlink w:anchor="__RefHeading___Toc97240_581953129">
            <w:r>
              <w:rPr>
                <w:webHidden/>
                <w:rStyle w:val="IndexLink"/>
                <w:rtl w:val="true"/>
              </w:rPr>
              <w:t>الإشکال الثالث</w:t>
            </w:r>
            <w:r>
              <w:rPr>
                <w:rStyle w:val="IndexLink"/>
                <w:rtl w:val="true"/>
              </w:rPr>
              <w:t>:</w:t>
            </w:r>
            <w:r>
              <w:rPr>
                <w:rStyle w:val="IndexLink"/>
                <w:rtl w:val="true"/>
              </w:rPr>
              <w:t>تزاحم مِلاک الترخیص مع مِلاک التکلیف</w:t>
            </w:r>
            <w:r>
              <w:rPr>
                <w:rStyle w:val="IndexLink"/>
                <w:rtl w:val="true"/>
              </w:rPr>
              <w:t>:</w:t>
              <w:tab/>
            </w:r>
            <w:r>
              <w:rPr>
                <w:rStyle w:val="IndexLink"/>
              </w:rPr>
              <w:t>81</w:t>
            </w:r>
          </w:hyperlink>
        </w:p>
        <w:p>
          <w:pPr>
            <w:pStyle w:val="Contents6"/>
            <w:tabs>
              <w:tab w:val="clear" w:pos="7609"/>
              <w:tab w:val="right" w:pos="9026" w:leader="dot"/>
            </w:tabs>
            <w:rPr/>
          </w:pPr>
          <w:hyperlink w:anchor="__RefHeading___Toc97242_581953129">
            <w:r>
              <w:rPr>
                <w:webHidden/>
                <w:rStyle w:val="IndexLink"/>
                <w:rtl w:val="true"/>
              </w:rPr>
              <w:t>الجواب</w:t>
            </w:r>
            <w:r>
              <w:rPr>
                <w:rStyle w:val="IndexLink"/>
                <w:rtl w:val="true"/>
              </w:rPr>
              <w:tab/>
            </w:r>
            <w:r>
              <w:rPr>
                <w:rStyle w:val="IndexLink"/>
              </w:rPr>
              <w:t>81</w:t>
            </w:r>
          </w:hyperlink>
        </w:p>
        <w:p>
          <w:pPr>
            <w:pStyle w:val="Contents6"/>
            <w:tabs>
              <w:tab w:val="clear" w:pos="7609"/>
              <w:tab w:val="right" w:pos="9026" w:leader="dot"/>
            </w:tabs>
            <w:rPr/>
          </w:pPr>
          <w:hyperlink w:anchor="__RefHeading___Toc97244_581953129">
            <w:r>
              <w:rPr>
                <w:webHidden/>
                <w:rStyle w:val="IndexLink"/>
                <w:rtl w:val="true"/>
              </w:rPr>
              <w:t>ونستنتج من ذلک</w:t>
            </w:r>
            <w:r>
              <w:rPr>
                <w:rStyle w:val="IndexLink"/>
                <w:rtl w:val="true"/>
              </w:rPr>
              <w:t>:</w:t>
              <w:tab/>
            </w:r>
            <w:r>
              <w:rPr>
                <w:rStyle w:val="IndexLink"/>
              </w:rPr>
              <w:t>83</w:t>
            </w:r>
          </w:hyperlink>
        </w:p>
        <w:p>
          <w:pPr>
            <w:pStyle w:val="Contents3"/>
            <w:tabs>
              <w:tab w:val="clear" w:pos="8459"/>
              <w:tab w:val="right" w:pos="9026" w:leader="dot"/>
            </w:tabs>
            <w:rPr/>
          </w:pPr>
          <w:hyperlink w:anchor="__RefHeading___Toc97246_581953129">
            <w:r>
              <w:rPr>
                <w:webHidden/>
                <w:rStyle w:val="IndexLink"/>
                <w:rtl w:val="true"/>
              </w:rPr>
              <w:t>المبحث الرابع</w:t>
            </w:r>
            <w:r>
              <w:rPr>
                <w:rStyle w:val="IndexLink"/>
                <w:rtl w:val="true"/>
              </w:rPr>
              <w:t>:</w:t>
            </w:r>
            <w:r>
              <w:rPr>
                <w:rStyle w:val="IndexLink"/>
                <w:rtl w:val="true"/>
              </w:rPr>
              <w:t>أسس عامّة</w:t>
            </w:r>
            <w:r>
              <w:rPr>
                <w:rStyle w:val="IndexLink"/>
                <w:rtl w:val="true"/>
              </w:rPr>
              <w:tab/>
            </w:r>
            <w:r>
              <w:rPr>
                <w:rStyle w:val="IndexLink"/>
              </w:rPr>
              <w:t>87</w:t>
            </w:r>
          </w:hyperlink>
        </w:p>
        <w:p>
          <w:pPr>
            <w:pStyle w:val="Contents4"/>
            <w:tabs>
              <w:tab w:val="clear" w:pos="8176"/>
              <w:tab w:val="right" w:pos="9026" w:leader="dot"/>
            </w:tabs>
            <w:rPr/>
          </w:pPr>
          <w:hyperlink w:anchor="__RefHeading___Toc97248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97250_581953129">
            <w:r>
              <w:rPr>
                <w:webHidden/>
                <w:rStyle w:val="IndexLink"/>
                <w:rtl w:val="true"/>
              </w:rPr>
              <w:t>أوّلاً</w:t>
            </w:r>
            <w:r>
              <w:rPr>
                <w:rStyle w:val="IndexLink"/>
                <w:rtl w:val="true"/>
              </w:rPr>
              <w:t>:</w:t>
            </w:r>
            <w:r>
              <w:rPr>
                <w:rStyle w:val="IndexLink"/>
                <w:rtl w:val="true"/>
              </w:rPr>
              <w:t>الله هو المالک الحقیقی</w:t>
            </w:r>
            <w:r>
              <w:rPr>
                <w:rStyle w:val="IndexLink"/>
                <w:rtl w:val="true"/>
              </w:rPr>
              <w:tab/>
            </w:r>
            <w:r>
              <w:rPr>
                <w:rStyle w:val="IndexLink"/>
              </w:rPr>
              <w:t>88</w:t>
            </w:r>
          </w:hyperlink>
        </w:p>
        <w:p>
          <w:pPr>
            <w:pStyle w:val="Contents4"/>
            <w:tabs>
              <w:tab w:val="clear" w:pos="8176"/>
              <w:tab w:val="right" w:pos="9026" w:leader="dot"/>
            </w:tabs>
            <w:rPr/>
          </w:pPr>
          <w:hyperlink w:anchor="__RefHeading___Toc97252_581953129">
            <w:r>
              <w:rPr>
                <w:webHidden/>
                <w:rStyle w:val="IndexLink"/>
                <w:rtl w:val="true"/>
              </w:rPr>
              <w:t>ثانیاً</w:t>
            </w:r>
            <w:r>
              <w:rPr>
                <w:rStyle w:val="IndexLink"/>
                <w:rtl w:val="true"/>
              </w:rPr>
              <w:t>:</w:t>
            </w:r>
            <w:r>
              <w:rPr>
                <w:rStyle w:val="IndexLink"/>
                <w:rtl w:val="true"/>
              </w:rPr>
              <w:t>الإنسان خلیفة الله فی الأرض</w:t>
            </w:r>
            <w:r>
              <w:rPr>
                <w:rStyle w:val="IndexLink"/>
                <w:rtl w:val="true"/>
              </w:rPr>
              <w:tab/>
            </w:r>
            <w:r>
              <w:rPr>
                <w:rStyle w:val="IndexLink"/>
              </w:rPr>
              <w:t>89</w:t>
            </w:r>
          </w:hyperlink>
        </w:p>
        <w:p>
          <w:pPr>
            <w:pStyle w:val="Contents5"/>
            <w:tabs>
              <w:tab w:val="clear" w:pos="7892"/>
              <w:tab w:val="right" w:pos="9026" w:leader="dot"/>
            </w:tabs>
            <w:rPr/>
          </w:pPr>
          <w:hyperlink w:anchor="__RefHeading___Toc97254_58195312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97256_581953129">
            <w:r>
              <w:rPr>
                <w:webHidden/>
                <w:rStyle w:val="IndexLink"/>
                <w:rtl w:val="true"/>
              </w:rPr>
              <w:t>أ</w:t>
            </w:r>
            <w:r>
              <w:rPr>
                <w:rStyle w:val="IndexLink"/>
                <w:rtl w:val="true"/>
              </w:rPr>
              <w:t>)</w:t>
            </w:r>
            <w:r>
              <w:rPr>
                <w:rStyle w:val="IndexLink"/>
                <w:rtl w:val="true"/>
              </w:rPr>
              <w:t>الخلافة العامّة</w:t>
            </w:r>
            <w:r>
              <w:rPr>
                <w:rStyle w:val="IndexLink"/>
                <w:rtl w:val="true"/>
              </w:rPr>
              <w:tab/>
            </w:r>
            <w:r>
              <w:rPr>
                <w:rStyle w:val="IndexLink"/>
              </w:rPr>
              <w:t>89</w:t>
            </w:r>
          </w:hyperlink>
        </w:p>
        <w:p>
          <w:pPr>
            <w:pStyle w:val="Contents5"/>
            <w:tabs>
              <w:tab w:val="clear" w:pos="7892"/>
              <w:tab w:val="right" w:pos="9026" w:leader="dot"/>
            </w:tabs>
            <w:rPr/>
          </w:pPr>
          <w:hyperlink w:anchor="__RefHeading___Toc97258_581953129">
            <w:r>
              <w:rPr>
                <w:webHidden/>
                <w:rStyle w:val="IndexLink"/>
                <w:rtl w:val="true"/>
              </w:rPr>
              <w:t>ب</w:t>
            </w:r>
            <w:r>
              <w:rPr>
                <w:rStyle w:val="IndexLink"/>
                <w:rtl w:val="true"/>
              </w:rPr>
              <w:t>)</w:t>
            </w:r>
            <w:r>
              <w:rPr>
                <w:rStyle w:val="IndexLink"/>
                <w:rtl w:val="true"/>
              </w:rPr>
              <w:t>الخلافة الخاصّة</w:t>
            </w:r>
            <w:r>
              <w:rPr>
                <w:rStyle w:val="IndexLink"/>
                <w:rtl w:val="true"/>
              </w:rPr>
              <w:tab/>
            </w:r>
            <w:r>
              <w:rPr>
                <w:rStyle w:val="IndexLink"/>
              </w:rPr>
              <w:t>90</w:t>
            </w:r>
          </w:hyperlink>
        </w:p>
        <w:p>
          <w:pPr>
            <w:pStyle w:val="Contents4"/>
            <w:tabs>
              <w:tab w:val="clear" w:pos="8176"/>
              <w:tab w:val="right" w:pos="9026" w:leader="dot"/>
            </w:tabs>
            <w:rPr/>
          </w:pPr>
          <w:hyperlink w:anchor="__RefHeading___Toc97260_581953129">
            <w:r>
              <w:rPr>
                <w:webHidden/>
                <w:rStyle w:val="IndexLink"/>
                <w:rtl w:val="true"/>
              </w:rPr>
              <w:t>ثالثاً</w:t>
            </w:r>
            <w:r>
              <w:rPr>
                <w:rStyle w:val="IndexLink"/>
                <w:rtl w:val="true"/>
              </w:rPr>
              <w:t>:</w:t>
            </w:r>
            <w:r>
              <w:rPr>
                <w:rStyle w:val="IndexLink"/>
                <w:rtl w:val="true"/>
              </w:rPr>
              <w:t>القیام بالقسط،وسیلةٌ وغایة</w:t>
            </w:r>
            <w:r>
              <w:rPr>
                <w:rStyle w:val="IndexLink"/>
                <w:rtl w:val="true"/>
              </w:rPr>
              <w:tab/>
            </w:r>
            <w:r>
              <w:rPr>
                <w:rStyle w:val="IndexLink"/>
              </w:rPr>
              <w:t>92</w:t>
            </w:r>
          </w:hyperlink>
        </w:p>
        <w:p>
          <w:pPr>
            <w:pStyle w:val="Contents4"/>
            <w:tabs>
              <w:tab w:val="clear" w:pos="8176"/>
              <w:tab w:val="right" w:pos="9026" w:leader="dot"/>
            </w:tabs>
            <w:rPr/>
          </w:pPr>
          <w:hyperlink w:anchor="__RefHeading___Toc97262_581953129">
            <w:r>
              <w:rPr>
                <w:webHidden/>
                <w:rStyle w:val="IndexLink"/>
                <w:rtl w:val="true"/>
              </w:rPr>
              <w:t>رابعاً</w:t>
            </w:r>
            <w:r>
              <w:rPr>
                <w:rStyle w:val="IndexLink"/>
                <w:rtl w:val="true"/>
              </w:rPr>
              <w:t>:</w:t>
            </w:r>
            <w:r>
              <w:rPr>
                <w:rStyle w:val="IndexLink"/>
                <w:rtl w:val="true"/>
              </w:rPr>
              <w:t>الإسلام کلٌّ واحد</w:t>
            </w:r>
            <w:r>
              <w:rPr>
                <w:rStyle w:val="IndexLink"/>
                <w:rtl w:val="true"/>
              </w:rPr>
              <w:t>(</w:t>
            </w:r>
            <w:r>
              <w:rPr>
                <w:rStyle w:val="IndexLink"/>
                <w:rtl w:val="true"/>
              </w:rPr>
              <w:t>نظامٌ مترابط</w:t>
            </w:r>
            <w:r>
              <w:rPr>
                <w:rStyle w:val="IndexLink"/>
                <w:rtl w:val="true"/>
              </w:rPr>
              <w:t>)</w:t>
              <w:tab/>
            </w:r>
            <w:r>
              <w:rPr>
                <w:rStyle w:val="IndexLink"/>
              </w:rPr>
              <w:t>95</w:t>
            </w:r>
          </w:hyperlink>
        </w:p>
        <w:p>
          <w:pPr>
            <w:pStyle w:val="Contents4"/>
            <w:tabs>
              <w:tab w:val="clear" w:pos="8176"/>
              <w:tab w:val="right" w:pos="9026" w:leader="dot"/>
            </w:tabs>
            <w:rPr/>
          </w:pPr>
          <w:hyperlink w:anchor="__RefHeading___Toc97264_581953129">
            <w:r>
              <w:rPr>
                <w:webHidden/>
                <w:rStyle w:val="IndexLink"/>
                <w:rtl w:val="true"/>
              </w:rPr>
              <w:t>خامساً</w:t>
            </w:r>
            <w:r>
              <w:rPr>
                <w:rStyle w:val="IndexLink"/>
                <w:rtl w:val="true"/>
              </w:rPr>
              <w:t>:</w:t>
            </w:r>
            <w:r>
              <w:rPr>
                <w:rStyle w:val="IndexLink"/>
                <w:rtl w:val="true"/>
              </w:rPr>
              <w:t>الإنسان ذو کرامة ذاتیة</w:t>
            </w:r>
            <w:r>
              <w:rPr>
                <w:rStyle w:val="IndexLink"/>
                <w:rtl w:val="true"/>
              </w:rPr>
              <w:tab/>
            </w:r>
            <w:r>
              <w:rPr>
                <w:rStyle w:val="IndexLink"/>
              </w:rPr>
              <w:t>95</w:t>
            </w:r>
          </w:hyperlink>
        </w:p>
        <w:p>
          <w:pPr>
            <w:pStyle w:val="Contents2"/>
            <w:tabs>
              <w:tab w:val="clear" w:pos="8743"/>
              <w:tab w:val="right" w:pos="9026" w:leader="dot"/>
            </w:tabs>
            <w:rPr/>
          </w:pPr>
          <w:hyperlink w:anchor="__RefHeading___Toc97266_581953129">
            <w:r>
              <w:rPr>
                <w:webHidden/>
                <w:rStyle w:val="IndexLink"/>
                <w:rtl w:val="true"/>
              </w:rPr>
              <w:t>الفصل الأوّل</w:t>
            </w:r>
            <w:r>
              <w:rPr>
                <w:rStyle w:val="IndexLink"/>
                <w:rtl w:val="true"/>
              </w:rPr>
              <w:t xml:space="preserve">: </w:t>
            </w:r>
            <w:r>
              <w:rPr>
                <w:rStyle w:val="IndexLink"/>
                <w:rtl w:val="true"/>
              </w:rPr>
              <w:t>ضوابط وحدود حرّیة الإنتاج</w:t>
            </w:r>
            <w:r>
              <w:rPr>
                <w:rStyle w:val="IndexLink"/>
                <w:rtl w:val="true"/>
              </w:rPr>
              <w:tab/>
            </w:r>
            <w:r>
              <w:rPr>
                <w:rStyle w:val="IndexLink"/>
              </w:rPr>
              <w:t>100</w:t>
            </w:r>
          </w:hyperlink>
        </w:p>
        <w:p>
          <w:pPr>
            <w:pStyle w:val="Contents3"/>
            <w:tabs>
              <w:tab w:val="clear" w:pos="8459"/>
              <w:tab w:val="right" w:pos="9026" w:leader="dot"/>
            </w:tabs>
            <w:rPr/>
          </w:pPr>
          <w:hyperlink w:anchor="__RefHeading___Toc97268_581953129">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97270_581953129">
            <w:r>
              <w:rPr>
                <w:webHidden/>
                <w:rStyle w:val="IndexLink"/>
                <w:rtl w:val="true"/>
              </w:rPr>
              <w:t>المبحث الأوّل</w:t>
            </w:r>
            <w:r>
              <w:rPr>
                <w:rStyle w:val="IndexLink"/>
                <w:rtl w:val="true"/>
              </w:rPr>
              <w:t>:</w:t>
            </w:r>
            <w:r>
              <w:rPr>
                <w:rStyle w:val="IndexLink"/>
                <w:rtl w:val="true"/>
              </w:rPr>
              <w:t>الإنتاج؛المفهوم و الضوابط</w:t>
            </w:r>
            <w:r>
              <w:rPr>
                <w:rStyle w:val="IndexLink"/>
                <w:rtl w:val="true"/>
              </w:rPr>
              <w:tab/>
            </w:r>
            <w:r>
              <w:rPr>
                <w:rStyle w:val="IndexLink"/>
              </w:rPr>
              <w:t>103</w:t>
            </w:r>
          </w:hyperlink>
        </w:p>
        <w:p>
          <w:pPr>
            <w:pStyle w:val="Contents4"/>
            <w:tabs>
              <w:tab w:val="clear" w:pos="8176"/>
              <w:tab w:val="right" w:pos="9026" w:leader="dot"/>
            </w:tabs>
            <w:rPr/>
          </w:pPr>
          <w:hyperlink w:anchor="__RefHeading___Toc97272_58195312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97274_581953129">
            <w:r>
              <w:rPr>
                <w:webHidden/>
                <w:rStyle w:val="IndexLink"/>
                <w:rtl w:val="true"/>
              </w:rPr>
              <w:t>المطلب الأوّل</w:t>
            </w:r>
            <w:r>
              <w:rPr>
                <w:rStyle w:val="IndexLink"/>
                <w:rtl w:val="true"/>
              </w:rPr>
              <w:t>:</w:t>
            </w:r>
            <w:r>
              <w:rPr>
                <w:rStyle w:val="IndexLink"/>
                <w:rtl w:val="true"/>
              </w:rPr>
              <w:t>مفهوم الإنتاج</w:t>
            </w:r>
            <w:r>
              <w:rPr>
                <w:rStyle w:val="IndexLink"/>
                <w:rtl w:val="true"/>
              </w:rPr>
              <w:tab/>
            </w:r>
            <w:r>
              <w:rPr>
                <w:rStyle w:val="IndexLink"/>
              </w:rPr>
              <w:t>103</w:t>
            </w:r>
          </w:hyperlink>
        </w:p>
        <w:p>
          <w:pPr>
            <w:pStyle w:val="Contents5"/>
            <w:tabs>
              <w:tab w:val="clear" w:pos="7892"/>
              <w:tab w:val="right" w:pos="9026" w:leader="dot"/>
            </w:tabs>
            <w:rPr/>
          </w:pPr>
          <w:hyperlink w:anchor="__RefHeading___Toc97276_581953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97278_581953129">
            <w:r>
              <w:rPr>
                <w:webHidden/>
                <w:rStyle w:val="IndexLink"/>
                <w:rtl w:val="true"/>
              </w:rPr>
              <w:t>أوّلاً</w:t>
            </w:r>
            <w:r>
              <w:rPr>
                <w:rStyle w:val="IndexLink"/>
                <w:rtl w:val="true"/>
              </w:rPr>
              <w:t>:</w:t>
            </w:r>
            <w:r>
              <w:rPr>
                <w:rStyle w:val="IndexLink"/>
                <w:rtl w:val="true"/>
              </w:rPr>
              <w:t>الإنتاج فی اللغة</w:t>
            </w:r>
            <w:r>
              <w:rPr>
                <w:rStyle w:val="IndexLink"/>
                <w:rtl w:val="true"/>
              </w:rPr>
              <w:tab/>
            </w:r>
            <w:r>
              <w:rPr>
                <w:rStyle w:val="IndexLink"/>
              </w:rPr>
              <w:t>103</w:t>
            </w:r>
          </w:hyperlink>
        </w:p>
        <w:p>
          <w:pPr>
            <w:pStyle w:val="Contents6"/>
            <w:tabs>
              <w:tab w:val="clear" w:pos="7609"/>
              <w:tab w:val="right" w:pos="9026" w:leader="dot"/>
            </w:tabs>
            <w:rPr/>
          </w:pPr>
          <w:hyperlink w:anchor="__RefHeading___Toc97280_581953129">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97282_581953129">
            <w:r>
              <w:rPr>
                <w:webHidden/>
                <w:rStyle w:val="IndexLink"/>
                <w:rtl w:val="true"/>
              </w:rPr>
              <w:t>أ</w:t>
            </w:r>
            <w:r>
              <w:rPr>
                <w:rStyle w:val="IndexLink"/>
                <w:rtl w:val="true"/>
              </w:rPr>
              <w:t>)</w:t>
            </w:r>
            <w:r>
              <w:rPr>
                <w:rStyle w:val="IndexLink"/>
                <w:rtl w:val="true"/>
              </w:rPr>
              <w:t>الحَمْل،</w:t>
            </w:r>
            <w:r>
              <w:rPr>
                <w:rStyle w:val="IndexLink"/>
                <w:rtl w:val="true"/>
              </w:rPr>
              <w:tab/>
            </w:r>
            <w:r>
              <w:rPr>
                <w:rStyle w:val="IndexLink"/>
              </w:rPr>
              <w:t>103</w:t>
            </w:r>
          </w:hyperlink>
        </w:p>
        <w:p>
          <w:pPr>
            <w:pStyle w:val="Contents6"/>
            <w:tabs>
              <w:tab w:val="clear" w:pos="7609"/>
              <w:tab w:val="right" w:pos="9026" w:leader="dot"/>
            </w:tabs>
            <w:rPr/>
          </w:pPr>
          <w:hyperlink w:anchor="__RefHeading___Toc97284_581953129">
            <w:r>
              <w:rPr>
                <w:webHidden/>
                <w:rStyle w:val="IndexLink"/>
                <w:rtl w:val="true"/>
              </w:rPr>
              <w:t>ب</w:t>
            </w:r>
            <w:r>
              <w:rPr>
                <w:rStyle w:val="IndexLink"/>
                <w:rtl w:val="true"/>
              </w:rPr>
              <w:t>)</w:t>
            </w:r>
            <w:r>
              <w:rPr>
                <w:rStyle w:val="IndexLink"/>
                <w:rtl w:val="true"/>
              </w:rPr>
              <w:t>الولادة،</w:t>
            </w:r>
            <w:r>
              <w:rPr>
                <w:rStyle w:val="IndexLink"/>
                <w:rtl w:val="true"/>
              </w:rPr>
              <w:tab/>
            </w:r>
            <w:r>
              <w:rPr>
                <w:rStyle w:val="IndexLink"/>
              </w:rPr>
              <w:t>104</w:t>
            </w:r>
          </w:hyperlink>
        </w:p>
        <w:p>
          <w:pPr>
            <w:pStyle w:val="Contents5"/>
            <w:tabs>
              <w:tab w:val="clear" w:pos="7892"/>
              <w:tab w:val="right" w:pos="9026" w:leader="dot"/>
            </w:tabs>
            <w:rPr/>
          </w:pPr>
          <w:hyperlink w:anchor="__RefHeading___Toc97286_581953129">
            <w:r>
              <w:rPr>
                <w:webHidden/>
                <w:rStyle w:val="IndexLink"/>
                <w:rtl w:val="true"/>
              </w:rPr>
              <w:t>ثانیاً</w:t>
            </w:r>
            <w:r>
              <w:rPr>
                <w:rStyle w:val="IndexLink"/>
                <w:rtl w:val="true"/>
              </w:rPr>
              <w:t>:</w:t>
            </w:r>
            <w:r>
              <w:rPr>
                <w:rStyle w:val="IndexLink"/>
                <w:rtl w:val="true"/>
              </w:rPr>
              <w:t>الإنتاج فی الاصطلاح</w:t>
            </w:r>
            <w:r>
              <w:rPr>
                <w:rStyle w:val="IndexLink"/>
                <w:rtl w:val="true"/>
              </w:rPr>
              <w:tab/>
            </w:r>
            <w:r>
              <w:rPr>
                <w:rStyle w:val="IndexLink"/>
              </w:rPr>
              <w:t>104</w:t>
            </w:r>
          </w:hyperlink>
        </w:p>
        <w:p>
          <w:pPr>
            <w:pStyle w:val="Contents6"/>
            <w:tabs>
              <w:tab w:val="clear" w:pos="7609"/>
              <w:tab w:val="right" w:pos="9026" w:leader="dot"/>
            </w:tabs>
            <w:rPr/>
          </w:pPr>
          <w:hyperlink w:anchor="__RefHeading___Toc97288_58195312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97290_581953129">
            <w:r>
              <w:rPr>
                <w:webHidden/>
                <w:rStyle w:val="IndexLink"/>
                <w:rtl w:val="true"/>
              </w:rPr>
              <w:t>أ</w:t>
            </w:r>
            <w:r>
              <w:rPr>
                <w:rStyle w:val="IndexLink"/>
                <w:rtl w:val="true"/>
              </w:rPr>
              <w:t>)</w:t>
            </w:r>
            <w:r>
              <w:rPr>
                <w:rStyle w:val="IndexLink"/>
                <w:rtl w:val="true"/>
              </w:rPr>
              <w:t>الاصطلاح العامّ</w:t>
            </w:r>
            <w:r>
              <w:rPr>
                <w:rStyle w:val="IndexLink"/>
                <w:rtl w:val="true"/>
              </w:rPr>
              <w:t>:</w:t>
              <w:tab/>
            </w:r>
            <w:r>
              <w:rPr>
                <w:rStyle w:val="IndexLink"/>
              </w:rPr>
              <w:t>104</w:t>
            </w:r>
          </w:hyperlink>
        </w:p>
        <w:p>
          <w:pPr>
            <w:pStyle w:val="Contents6"/>
            <w:tabs>
              <w:tab w:val="clear" w:pos="7609"/>
              <w:tab w:val="right" w:pos="9026" w:leader="dot"/>
            </w:tabs>
            <w:rPr/>
          </w:pPr>
          <w:hyperlink w:anchor="__RefHeading___Toc97292_581953129">
            <w:r>
              <w:rPr>
                <w:webHidden/>
                <w:rStyle w:val="IndexLink"/>
                <w:rtl w:val="true"/>
              </w:rPr>
              <w:t>ب</w:t>
            </w:r>
            <w:r>
              <w:rPr>
                <w:rStyle w:val="IndexLink"/>
                <w:rtl w:val="true"/>
              </w:rPr>
              <w:t>)</w:t>
            </w:r>
            <w:r>
              <w:rPr>
                <w:rStyle w:val="IndexLink"/>
                <w:rtl w:val="true"/>
              </w:rPr>
              <w:t>الاصطلاح الخاصّ</w:t>
            </w:r>
            <w:r>
              <w:rPr>
                <w:rStyle w:val="IndexLink"/>
                <w:rtl w:val="true"/>
              </w:rPr>
              <w:t>:</w:t>
              <w:tab/>
            </w:r>
            <w:r>
              <w:rPr>
                <w:rStyle w:val="IndexLink"/>
              </w:rPr>
              <w:t>107</w:t>
            </w:r>
          </w:hyperlink>
        </w:p>
        <w:p>
          <w:pPr>
            <w:pStyle w:val="Contents4"/>
            <w:tabs>
              <w:tab w:val="clear" w:pos="8176"/>
              <w:tab w:val="right" w:pos="9026" w:leader="dot"/>
            </w:tabs>
            <w:rPr/>
          </w:pPr>
          <w:hyperlink w:anchor="__RefHeading___Toc97294_581953129">
            <w:r>
              <w:rPr>
                <w:webHidden/>
                <w:rStyle w:val="IndexLink"/>
                <w:rtl w:val="true"/>
              </w:rPr>
              <w:t>المطلب الثانی</w:t>
            </w:r>
            <w:r>
              <w:rPr>
                <w:rStyle w:val="IndexLink"/>
                <w:rtl w:val="true"/>
              </w:rPr>
              <w:t>:</w:t>
            </w:r>
            <w:r>
              <w:rPr>
                <w:rStyle w:val="IndexLink"/>
                <w:rtl w:val="true"/>
              </w:rPr>
              <w:t>ضوابط حرّیة الإنتاج</w:t>
            </w:r>
            <w:r>
              <w:rPr>
                <w:rStyle w:val="IndexLink"/>
                <w:rtl w:val="true"/>
              </w:rPr>
              <w:tab/>
            </w:r>
            <w:r>
              <w:rPr>
                <w:rStyle w:val="IndexLink"/>
              </w:rPr>
              <w:t>109</w:t>
            </w:r>
          </w:hyperlink>
        </w:p>
        <w:p>
          <w:pPr>
            <w:pStyle w:val="Contents5"/>
            <w:tabs>
              <w:tab w:val="clear" w:pos="7892"/>
              <w:tab w:val="right" w:pos="9026" w:leader="dot"/>
            </w:tabs>
            <w:rPr/>
          </w:pPr>
          <w:hyperlink w:anchor="__RefHeading___Toc97296_58195312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97298_581953129">
            <w:r>
              <w:rPr>
                <w:webHidden/>
                <w:rStyle w:val="IndexLink"/>
                <w:rtl w:val="true"/>
              </w:rPr>
              <w:t>الضابط الأوّل</w:t>
            </w:r>
            <w:r>
              <w:rPr>
                <w:rStyle w:val="IndexLink"/>
                <w:rtl w:val="true"/>
              </w:rPr>
              <w:t>:</w:t>
            </w:r>
            <w:r>
              <w:rPr>
                <w:rStyle w:val="IndexLink"/>
                <w:rtl w:val="true"/>
              </w:rPr>
              <w:t>تقوّم الإنتاج بالعمل المباشر</w:t>
            </w:r>
            <w:r>
              <w:rPr>
                <w:rStyle w:val="IndexLink"/>
                <w:rtl w:val="true"/>
              </w:rPr>
              <w:tab/>
            </w:r>
            <w:r>
              <w:rPr>
                <w:rStyle w:val="IndexLink"/>
              </w:rPr>
              <w:t>110</w:t>
            </w:r>
          </w:hyperlink>
        </w:p>
        <w:p>
          <w:pPr>
            <w:pStyle w:val="Contents6"/>
            <w:tabs>
              <w:tab w:val="clear" w:pos="7609"/>
              <w:tab w:val="right" w:pos="9026" w:leader="dot"/>
            </w:tabs>
            <w:rPr/>
          </w:pPr>
          <w:hyperlink w:anchor="__RefHeading___Toc97300_581953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97302_581953129">
            <w:r>
              <w:rPr>
                <w:webHidden/>
                <w:rStyle w:val="IndexLink"/>
                <w:rtl w:val="true"/>
              </w:rPr>
              <w:t>أ</w:t>
            </w:r>
            <w:r>
              <w:rPr>
                <w:rStyle w:val="IndexLink"/>
                <w:rtl w:val="true"/>
              </w:rPr>
              <w:t>)</w:t>
            </w:r>
            <w:r>
              <w:rPr>
                <w:rStyle w:val="IndexLink"/>
                <w:rtl w:val="true"/>
              </w:rPr>
              <w:t>الإنتاج الأوّلی</w:t>
            </w:r>
            <w:r>
              <w:rPr>
                <w:rStyle w:val="IndexLink"/>
                <w:rtl w:val="true"/>
              </w:rPr>
              <w:tab/>
            </w:r>
            <w:r>
              <w:rPr>
                <w:rStyle w:val="IndexLink"/>
              </w:rPr>
              <w:t>110</w:t>
            </w:r>
          </w:hyperlink>
        </w:p>
        <w:p>
          <w:pPr>
            <w:pStyle w:val="Contents6"/>
            <w:tabs>
              <w:tab w:val="clear" w:pos="7609"/>
              <w:tab w:val="right" w:pos="9026" w:leader="dot"/>
            </w:tabs>
            <w:rPr/>
          </w:pPr>
          <w:hyperlink w:anchor="__RefHeading___Toc97304_581953129">
            <w:r>
              <w:rPr>
                <w:webHidden/>
                <w:rStyle w:val="IndexLink"/>
                <w:rtl w:val="true"/>
              </w:rPr>
              <w:t>ب</w:t>
            </w:r>
            <w:r>
              <w:rPr>
                <w:rStyle w:val="IndexLink"/>
                <w:rtl w:val="true"/>
              </w:rPr>
              <w:t>)</w:t>
            </w:r>
            <w:r>
              <w:rPr>
                <w:rStyle w:val="IndexLink"/>
                <w:rtl w:val="true"/>
              </w:rPr>
              <w:t>الإنتاج الثانوی أو التداول</w:t>
            </w:r>
            <w:r>
              <w:rPr>
                <w:rStyle w:val="IndexLink"/>
                <w:rtl w:val="true"/>
              </w:rPr>
              <w:tab/>
            </w:r>
            <w:r>
              <w:rPr>
                <w:rStyle w:val="IndexLink"/>
              </w:rPr>
              <w:t>111</w:t>
            </w:r>
          </w:hyperlink>
        </w:p>
        <w:p>
          <w:pPr>
            <w:pStyle w:val="Contents5"/>
            <w:tabs>
              <w:tab w:val="clear" w:pos="7892"/>
              <w:tab w:val="right" w:pos="9026" w:leader="dot"/>
            </w:tabs>
            <w:rPr/>
          </w:pPr>
          <w:hyperlink w:anchor="__RefHeading___Toc97306_581953129">
            <w:r>
              <w:rPr>
                <w:webHidden/>
                <w:rStyle w:val="IndexLink"/>
                <w:rtl w:val="true"/>
              </w:rPr>
              <w:t>الضابط الثانی</w:t>
            </w:r>
            <w:r>
              <w:rPr>
                <w:rStyle w:val="IndexLink"/>
                <w:rtl w:val="true"/>
              </w:rPr>
              <w:t>:</w:t>
            </w:r>
            <w:r>
              <w:rPr>
                <w:rStyle w:val="IndexLink"/>
                <w:rtl w:val="true"/>
              </w:rPr>
              <w:t>وقوع الإنتاج علی مادّة</w:t>
            </w:r>
            <w:r>
              <w:rPr>
                <w:rStyle w:val="IndexLink"/>
                <w:rtl w:val="true"/>
              </w:rPr>
              <w:tab/>
            </w:r>
            <w:r>
              <w:rPr>
                <w:rStyle w:val="IndexLink"/>
              </w:rPr>
              <w:t>111</w:t>
            </w:r>
          </w:hyperlink>
        </w:p>
        <w:p>
          <w:pPr>
            <w:pStyle w:val="Contents5"/>
            <w:tabs>
              <w:tab w:val="clear" w:pos="7892"/>
              <w:tab w:val="right" w:pos="9026" w:leader="dot"/>
            </w:tabs>
            <w:rPr/>
          </w:pPr>
          <w:hyperlink w:anchor="__RefHeading___Toc97308_581953129">
            <w:r>
              <w:rPr>
                <w:webHidden/>
                <w:rStyle w:val="IndexLink"/>
                <w:rtl w:val="true"/>
              </w:rPr>
              <w:t>الضابط الثالث</w:t>
            </w:r>
            <w:r>
              <w:rPr>
                <w:rStyle w:val="IndexLink"/>
                <w:rtl w:val="true"/>
              </w:rPr>
              <w:t>:</w:t>
            </w:r>
            <w:r>
              <w:rPr>
                <w:rStyle w:val="IndexLink"/>
                <w:rtl w:val="true"/>
              </w:rPr>
              <w:t>قیام الإنتاج الثانوی علی التوافق</w:t>
            </w:r>
            <w:r>
              <w:rPr>
                <w:rStyle w:val="IndexLink"/>
                <w:rtl w:val="true"/>
              </w:rPr>
              <w:tab/>
            </w:r>
            <w:r>
              <w:rPr>
                <w:rStyle w:val="IndexLink"/>
              </w:rPr>
              <w:t>113</w:t>
            </w:r>
          </w:hyperlink>
        </w:p>
        <w:p>
          <w:pPr>
            <w:pStyle w:val="Contents5"/>
            <w:tabs>
              <w:tab w:val="clear" w:pos="7892"/>
              <w:tab w:val="right" w:pos="9026" w:leader="dot"/>
            </w:tabs>
            <w:rPr/>
          </w:pPr>
          <w:hyperlink w:anchor="__RefHeading___Toc97310_581953129">
            <w:r>
              <w:rPr>
                <w:webHidden/>
                <w:rStyle w:val="IndexLink"/>
                <w:rtl w:val="true"/>
              </w:rPr>
              <w:t>الضابط الرابع</w:t>
            </w:r>
            <w:r>
              <w:rPr>
                <w:rStyle w:val="IndexLink"/>
                <w:rtl w:val="true"/>
              </w:rPr>
              <w:t>:</w:t>
            </w:r>
            <w:r>
              <w:rPr>
                <w:rStyle w:val="IndexLink"/>
                <w:rtl w:val="true"/>
              </w:rPr>
              <w:t>وقوع الإنتاج علی ما یسدّ حاجةً مشروعة</w:t>
            </w:r>
            <w:r>
              <w:rPr>
                <w:rStyle w:val="IndexLink"/>
                <w:rtl w:val="true"/>
              </w:rPr>
              <w:tab/>
            </w:r>
            <w:r>
              <w:rPr>
                <w:rStyle w:val="IndexLink"/>
              </w:rPr>
              <w:t>114</w:t>
            </w:r>
          </w:hyperlink>
        </w:p>
        <w:p>
          <w:pPr>
            <w:pStyle w:val="Contents3"/>
            <w:tabs>
              <w:tab w:val="clear" w:pos="8459"/>
              <w:tab w:val="right" w:pos="9026" w:leader="dot"/>
            </w:tabs>
            <w:rPr/>
          </w:pPr>
          <w:hyperlink w:anchor="__RefHeading___Toc97312_581953129">
            <w:r>
              <w:rPr>
                <w:webHidden/>
                <w:rStyle w:val="IndexLink"/>
                <w:rtl w:val="true"/>
              </w:rPr>
              <w:t>المبحث الثانی</w:t>
            </w:r>
            <w:r>
              <w:rPr>
                <w:rStyle w:val="IndexLink"/>
                <w:rtl w:val="true"/>
              </w:rPr>
              <w:t>:</w:t>
            </w:r>
            <w:r>
              <w:rPr>
                <w:rStyle w:val="IndexLink"/>
                <w:rtl w:val="true"/>
              </w:rPr>
              <w:t>حدود الحرّیة فی الإنتاج الصناعی</w:t>
            </w:r>
            <w:r>
              <w:rPr>
                <w:rStyle w:val="IndexLink"/>
                <w:rtl w:val="true"/>
              </w:rPr>
              <w:tab/>
            </w:r>
            <w:r>
              <w:rPr>
                <w:rStyle w:val="IndexLink"/>
              </w:rPr>
              <w:t>117</w:t>
            </w:r>
          </w:hyperlink>
        </w:p>
        <w:p>
          <w:pPr>
            <w:pStyle w:val="Contents4"/>
            <w:tabs>
              <w:tab w:val="clear" w:pos="8176"/>
              <w:tab w:val="right" w:pos="9026" w:leader="dot"/>
            </w:tabs>
            <w:rPr/>
          </w:pPr>
          <w:hyperlink w:anchor="__RefHeading___Toc97314_58195312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97316_581953129">
            <w:r>
              <w:rPr>
                <w:webHidden/>
                <w:rStyle w:val="IndexLink"/>
                <w:rtl w:val="true"/>
              </w:rPr>
              <w:t>المطلب الأوّل</w:t>
            </w:r>
            <w:r>
              <w:rPr>
                <w:rStyle w:val="IndexLink"/>
                <w:rtl w:val="true"/>
              </w:rPr>
              <w:t>:</w:t>
            </w:r>
            <w:r>
              <w:rPr>
                <w:rStyle w:val="IndexLink"/>
                <w:rtl w:val="true"/>
              </w:rPr>
              <w:t>حدود الحرّیة فی استخراج المعادن</w:t>
            </w:r>
            <w:r>
              <w:rPr>
                <w:rStyle w:val="IndexLink"/>
                <w:rtl w:val="true"/>
              </w:rPr>
              <w:tab/>
            </w:r>
            <w:r>
              <w:rPr>
                <w:rStyle w:val="IndexLink"/>
              </w:rPr>
              <w:t>119</w:t>
            </w:r>
          </w:hyperlink>
        </w:p>
        <w:p>
          <w:pPr>
            <w:pStyle w:val="Contents5"/>
            <w:tabs>
              <w:tab w:val="clear" w:pos="7892"/>
              <w:tab w:val="right" w:pos="9026" w:leader="dot"/>
            </w:tabs>
            <w:rPr/>
          </w:pPr>
          <w:hyperlink w:anchor="__RefHeading___Toc97318_581953129">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97320_581953129">
            <w:r>
              <w:rPr>
                <w:webHidden/>
                <w:rStyle w:val="IndexLink"/>
                <w:rtl w:val="true"/>
              </w:rPr>
              <w:t>أوّلاً</w:t>
            </w:r>
            <w:r>
              <w:rPr>
                <w:rStyle w:val="IndexLink"/>
                <w:rtl w:val="true"/>
              </w:rPr>
              <w:t>:</w:t>
            </w:r>
            <w:r>
              <w:rPr>
                <w:rStyle w:val="IndexLink"/>
                <w:rtl w:val="true"/>
              </w:rPr>
              <w:t>عدم السماح باستخراج المعادن،إلّا باستئذان الحاکم الشرعی</w:t>
            </w:r>
            <w:r>
              <w:rPr>
                <w:rStyle w:val="IndexLink"/>
                <w:rtl w:val="true"/>
              </w:rPr>
              <w:tab/>
            </w:r>
            <w:r>
              <w:rPr>
                <w:rStyle w:val="IndexLink"/>
              </w:rPr>
              <w:t>120</w:t>
            </w:r>
          </w:hyperlink>
        </w:p>
        <w:p>
          <w:pPr>
            <w:pStyle w:val="Contents5"/>
            <w:tabs>
              <w:tab w:val="clear" w:pos="7892"/>
              <w:tab w:val="right" w:pos="9026" w:leader="dot"/>
            </w:tabs>
            <w:rPr/>
          </w:pPr>
          <w:hyperlink w:anchor="__RefHeading___Toc97322_581953129">
            <w:r>
              <w:rPr>
                <w:webHidden/>
                <w:rStyle w:val="IndexLink"/>
                <w:rtl w:val="true"/>
              </w:rPr>
              <w:t>ثانیاً</w:t>
            </w:r>
            <w:r>
              <w:rPr>
                <w:rStyle w:val="IndexLink"/>
                <w:rtl w:val="true"/>
              </w:rPr>
              <w:t>:</w:t>
            </w:r>
            <w:r>
              <w:rPr>
                <w:rStyle w:val="IndexLink"/>
                <w:rtl w:val="true"/>
              </w:rPr>
              <w:t>عدم السماح بالتصرّف فیما لم یستخرج فعلیاً</w:t>
            </w:r>
            <w:r>
              <w:rPr>
                <w:rStyle w:val="IndexLink"/>
                <w:rtl w:val="true"/>
              </w:rPr>
              <w:tab/>
            </w:r>
            <w:r>
              <w:rPr>
                <w:rStyle w:val="IndexLink"/>
              </w:rPr>
              <w:t>122</w:t>
            </w:r>
          </w:hyperlink>
        </w:p>
        <w:p>
          <w:pPr>
            <w:pStyle w:val="Contents5"/>
            <w:tabs>
              <w:tab w:val="clear" w:pos="7892"/>
              <w:tab w:val="right" w:pos="9026" w:leader="dot"/>
            </w:tabs>
            <w:rPr/>
          </w:pPr>
          <w:hyperlink w:anchor="__RefHeading___Toc97324_581953129">
            <w:r>
              <w:rPr>
                <w:webHidden/>
                <w:rStyle w:val="IndexLink"/>
                <w:rtl w:val="true"/>
              </w:rPr>
              <w:t>ثالثاً</w:t>
            </w:r>
            <w:r>
              <w:rPr>
                <w:rStyle w:val="IndexLink"/>
                <w:rtl w:val="true"/>
              </w:rPr>
              <w:t>:</w:t>
            </w:r>
            <w:r>
              <w:rPr>
                <w:rStyle w:val="IndexLink"/>
                <w:rtl w:val="true"/>
              </w:rPr>
              <w:t>عدم السماح بتعدّی استخراج القدر المسموح به من قِبل الحاکم الشرعی</w:t>
            </w:r>
            <w:r>
              <w:rPr>
                <w:rStyle w:val="IndexLink"/>
                <w:rtl w:val="true"/>
              </w:rPr>
              <w:tab/>
            </w:r>
            <w:r>
              <w:rPr>
                <w:rStyle w:val="IndexLink"/>
              </w:rPr>
              <w:t>122</w:t>
            </w:r>
          </w:hyperlink>
        </w:p>
        <w:p>
          <w:pPr>
            <w:pStyle w:val="Contents5"/>
            <w:tabs>
              <w:tab w:val="clear" w:pos="7892"/>
              <w:tab w:val="right" w:pos="9026" w:leader="dot"/>
            </w:tabs>
            <w:rPr/>
          </w:pPr>
          <w:hyperlink w:anchor="__RefHeading___Toc97326_581953129">
            <w:r>
              <w:rPr>
                <w:webHidden/>
                <w:rStyle w:val="IndexLink"/>
                <w:rtl w:val="true"/>
              </w:rPr>
              <w:t>رابعاً</w:t>
            </w:r>
            <w:r>
              <w:rPr>
                <w:rStyle w:val="IndexLink"/>
                <w:rtl w:val="true"/>
              </w:rPr>
              <w:t>:</w:t>
            </w:r>
            <w:r>
              <w:rPr>
                <w:rStyle w:val="IndexLink"/>
                <w:rtl w:val="true"/>
              </w:rPr>
              <w:t>عدم السماح بمزاحمة السابق بما یمنع ممارسته الاستخراج</w:t>
            </w:r>
            <w:r>
              <w:rPr>
                <w:rStyle w:val="IndexLink"/>
                <w:rtl w:val="true"/>
              </w:rPr>
              <w:tab/>
            </w:r>
            <w:r>
              <w:rPr>
                <w:rStyle w:val="IndexLink"/>
              </w:rPr>
              <w:t>123</w:t>
            </w:r>
          </w:hyperlink>
        </w:p>
        <w:p>
          <w:pPr>
            <w:pStyle w:val="Contents5"/>
            <w:tabs>
              <w:tab w:val="clear" w:pos="7892"/>
              <w:tab w:val="right" w:pos="9026" w:leader="dot"/>
            </w:tabs>
            <w:rPr/>
          </w:pPr>
          <w:hyperlink w:anchor="__RefHeading___Toc97328_581953129">
            <w:r>
              <w:rPr>
                <w:webHidden/>
                <w:rStyle w:val="IndexLink"/>
                <w:rtl w:val="true"/>
              </w:rPr>
              <w:t>خامساً</w:t>
            </w:r>
            <w:r>
              <w:rPr>
                <w:rStyle w:val="IndexLink"/>
                <w:rtl w:val="true"/>
              </w:rPr>
              <w:t>:</w:t>
            </w:r>
            <w:r>
              <w:rPr>
                <w:rStyle w:val="IndexLink"/>
                <w:rtl w:val="true"/>
              </w:rPr>
              <w:t>عدم السماح بمنع اللّاحق من القیام بالاستخراج</w:t>
            </w:r>
            <w:r>
              <w:rPr>
                <w:rStyle w:val="IndexLink"/>
                <w:rtl w:val="true"/>
              </w:rPr>
              <w:tab/>
            </w:r>
            <w:r>
              <w:rPr>
                <w:rStyle w:val="IndexLink"/>
              </w:rPr>
              <w:t>123</w:t>
            </w:r>
          </w:hyperlink>
        </w:p>
        <w:p>
          <w:pPr>
            <w:pStyle w:val="Contents5"/>
            <w:tabs>
              <w:tab w:val="clear" w:pos="7892"/>
              <w:tab w:val="right" w:pos="9026" w:leader="dot"/>
            </w:tabs>
            <w:rPr/>
          </w:pPr>
          <w:hyperlink w:anchor="__RefHeading___Toc97330_581953129">
            <w:r>
              <w:rPr>
                <w:webHidden/>
                <w:rStyle w:val="IndexLink"/>
                <w:rtl w:val="true"/>
              </w:rPr>
              <w:t>سادساً</w:t>
            </w:r>
            <w:r>
              <w:rPr>
                <w:rStyle w:val="IndexLink"/>
                <w:rtl w:val="true"/>
              </w:rPr>
              <w:t>:</w:t>
            </w:r>
            <w:r>
              <w:rPr>
                <w:rStyle w:val="IndexLink"/>
                <w:rtl w:val="true"/>
              </w:rPr>
              <w:t>عدم السماح بالتجاوز علی الحریم الخاصّ و العامّ‌</w:t>
            </w:r>
            <w:r>
              <w:rPr>
                <w:rStyle w:val="IndexLink"/>
                <w:rtl w:val="true"/>
              </w:rPr>
              <w:tab/>
            </w:r>
            <w:r>
              <w:rPr>
                <w:rStyle w:val="IndexLink"/>
              </w:rPr>
              <w:t>123</w:t>
            </w:r>
          </w:hyperlink>
        </w:p>
        <w:p>
          <w:pPr>
            <w:pStyle w:val="Contents4"/>
            <w:tabs>
              <w:tab w:val="clear" w:pos="8176"/>
              <w:tab w:val="right" w:pos="9026" w:leader="dot"/>
            </w:tabs>
            <w:rPr/>
          </w:pPr>
          <w:hyperlink w:anchor="__RefHeading___Toc97332_581953129">
            <w:r>
              <w:rPr>
                <w:webHidden/>
                <w:rStyle w:val="IndexLink"/>
                <w:rtl w:val="true"/>
              </w:rPr>
              <w:t>المطلب الثانی</w:t>
            </w:r>
            <w:r>
              <w:rPr>
                <w:rStyle w:val="IndexLink"/>
                <w:rtl w:val="true"/>
              </w:rPr>
              <w:t>:</w:t>
            </w:r>
            <w:r>
              <w:rPr>
                <w:rStyle w:val="IndexLink"/>
                <w:rtl w:val="true"/>
              </w:rPr>
              <w:t>حدود الحرّیة فی التصنیع</w:t>
            </w:r>
            <w:r>
              <w:rPr>
                <w:rStyle w:val="IndexLink"/>
                <w:rtl w:val="true"/>
              </w:rPr>
              <w:tab/>
            </w:r>
            <w:r>
              <w:rPr>
                <w:rStyle w:val="IndexLink"/>
              </w:rPr>
              <w:t>124</w:t>
            </w:r>
          </w:hyperlink>
        </w:p>
        <w:p>
          <w:pPr>
            <w:pStyle w:val="Contents5"/>
            <w:tabs>
              <w:tab w:val="clear" w:pos="7892"/>
              <w:tab w:val="right" w:pos="9026" w:leader="dot"/>
            </w:tabs>
            <w:rPr/>
          </w:pPr>
          <w:hyperlink w:anchor="__RefHeading___Toc97334_58195312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97336_581953129">
            <w:r>
              <w:rPr>
                <w:webHidden/>
                <w:rStyle w:val="IndexLink"/>
                <w:rtl w:val="true"/>
              </w:rPr>
              <w:t>أوّلاً</w:t>
            </w:r>
            <w:r>
              <w:rPr>
                <w:rStyle w:val="IndexLink"/>
                <w:rtl w:val="true"/>
              </w:rPr>
              <w:t>:</w:t>
            </w:r>
            <w:r>
              <w:rPr>
                <w:rStyle w:val="IndexLink"/>
                <w:rtl w:val="true"/>
              </w:rPr>
              <w:t>عدم السماح بصنع ما ینافی الأسس الاعتقادیة</w:t>
            </w:r>
            <w:r>
              <w:rPr>
                <w:rStyle w:val="IndexLink"/>
                <w:rtl w:val="true"/>
              </w:rPr>
              <w:tab/>
            </w:r>
            <w:r>
              <w:rPr>
                <w:rStyle w:val="IndexLink"/>
              </w:rPr>
              <w:t>124</w:t>
            </w:r>
          </w:hyperlink>
        </w:p>
        <w:p>
          <w:pPr>
            <w:pStyle w:val="Contents6"/>
            <w:tabs>
              <w:tab w:val="clear" w:pos="7609"/>
              <w:tab w:val="right" w:pos="9026" w:leader="dot"/>
            </w:tabs>
            <w:rPr/>
          </w:pPr>
          <w:hyperlink w:anchor="__RefHeading___Toc97338_581953129">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97340_581953129">
            <w:r>
              <w:rPr>
                <w:webHidden/>
                <w:rStyle w:val="IndexLink"/>
                <w:rtl w:val="true"/>
              </w:rPr>
              <w:t>أ</w:t>
            </w:r>
            <w:r>
              <w:rPr>
                <w:rStyle w:val="IndexLink"/>
                <w:rtl w:val="true"/>
              </w:rPr>
              <w:t>)</w:t>
            </w:r>
            <w:r>
              <w:rPr>
                <w:rStyle w:val="IndexLink"/>
                <w:rtl w:val="true"/>
              </w:rPr>
              <w:t>نحت الجسم الکامل لذی الروح</w:t>
            </w:r>
            <w:r>
              <w:rPr>
                <w:rStyle w:val="IndexLink"/>
                <w:rtl w:val="true"/>
              </w:rPr>
              <w:t>:</w:t>
              <w:tab/>
            </w:r>
            <w:r>
              <w:rPr>
                <w:rStyle w:val="IndexLink"/>
              </w:rPr>
              <w:t>125</w:t>
            </w:r>
          </w:hyperlink>
        </w:p>
        <w:p>
          <w:pPr>
            <w:pStyle w:val="Contents6"/>
            <w:tabs>
              <w:tab w:val="clear" w:pos="7609"/>
              <w:tab w:val="right" w:pos="9026" w:leader="dot"/>
            </w:tabs>
            <w:rPr/>
          </w:pPr>
          <w:hyperlink w:anchor="__RefHeading___Toc97342_581953129">
            <w:r>
              <w:rPr>
                <w:webHidden/>
                <w:rStyle w:val="IndexLink"/>
                <w:rtl w:val="true"/>
              </w:rPr>
              <w:t>ب</w:t>
            </w:r>
            <w:r>
              <w:rPr>
                <w:rStyle w:val="IndexLink"/>
                <w:rtl w:val="true"/>
              </w:rPr>
              <w:t>)</w:t>
            </w:r>
            <w:r>
              <w:rPr>
                <w:rStyle w:val="IndexLink"/>
                <w:rtl w:val="true"/>
              </w:rPr>
              <w:t>صنع لوازم عبادة غیر الله</w:t>
            </w:r>
            <w:r>
              <w:rPr>
                <w:rStyle w:val="IndexLink"/>
                <w:rtl w:val="true"/>
              </w:rPr>
              <w:t>:</w:t>
              <w:tab/>
            </w:r>
            <w:r>
              <w:rPr>
                <w:rStyle w:val="IndexLink"/>
              </w:rPr>
              <w:t>127</w:t>
            </w:r>
          </w:hyperlink>
        </w:p>
        <w:p>
          <w:pPr>
            <w:pStyle w:val="Contents6"/>
            <w:tabs>
              <w:tab w:val="clear" w:pos="7609"/>
              <w:tab w:val="right" w:pos="9026" w:leader="dot"/>
            </w:tabs>
            <w:rPr/>
          </w:pPr>
          <w:hyperlink w:anchor="__RefHeading___Toc97344_581953129">
            <w:r>
              <w:rPr>
                <w:webHidden/>
                <w:rStyle w:val="IndexLink"/>
                <w:rtl w:val="true"/>
              </w:rPr>
              <w:t>ج</w:t>
            </w:r>
            <w:r>
              <w:rPr>
                <w:rStyle w:val="IndexLink"/>
                <w:rtl w:val="true"/>
              </w:rPr>
              <w:t>)</w:t>
            </w:r>
            <w:r>
              <w:rPr>
                <w:rStyle w:val="IndexLink"/>
                <w:rtl w:val="true"/>
              </w:rPr>
              <w:t>صنع ما یعدّ إهانةً للمقدّسات</w:t>
            </w:r>
            <w:r>
              <w:rPr>
                <w:rStyle w:val="IndexLink"/>
                <w:rtl w:val="true"/>
              </w:rPr>
              <w:t>:</w:t>
              <w:tab/>
            </w:r>
            <w:r>
              <w:rPr>
                <w:rStyle w:val="IndexLink"/>
              </w:rPr>
              <w:t>128</w:t>
            </w:r>
          </w:hyperlink>
        </w:p>
        <w:p>
          <w:pPr>
            <w:pStyle w:val="Contents5"/>
            <w:tabs>
              <w:tab w:val="clear" w:pos="7892"/>
              <w:tab w:val="right" w:pos="9026" w:leader="dot"/>
            </w:tabs>
            <w:rPr/>
          </w:pPr>
          <w:hyperlink w:anchor="__RefHeading___Toc97346_581953129">
            <w:r>
              <w:rPr>
                <w:webHidden/>
                <w:rStyle w:val="IndexLink"/>
                <w:rtl w:val="true"/>
              </w:rPr>
              <w:t>ثانیاً</w:t>
            </w:r>
            <w:r>
              <w:rPr>
                <w:rStyle w:val="IndexLink"/>
                <w:rtl w:val="true"/>
              </w:rPr>
              <w:t>:</w:t>
            </w:r>
            <w:r>
              <w:rPr>
                <w:rStyle w:val="IndexLink"/>
                <w:rtl w:val="true"/>
              </w:rPr>
              <w:t>عدم السماح بصنع ما یروّج للضلال</w:t>
            </w:r>
            <w:r>
              <w:rPr>
                <w:rStyle w:val="IndexLink"/>
                <w:rtl w:val="true"/>
              </w:rPr>
              <w:tab/>
            </w:r>
            <w:r>
              <w:rPr>
                <w:rStyle w:val="IndexLink"/>
              </w:rPr>
              <w:t>129</w:t>
            </w:r>
          </w:hyperlink>
        </w:p>
        <w:p>
          <w:pPr>
            <w:pStyle w:val="Contents5"/>
            <w:tabs>
              <w:tab w:val="clear" w:pos="7892"/>
              <w:tab w:val="right" w:pos="9026" w:leader="dot"/>
            </w:tabs>
            <w:rPr/>
          </w:pPr>
          <w:hyperlink w:anchor="__RefHeading___Toc97348_581953129">
            <w:r>
              <w:rPr>
                <w:webHidden/>
                <w:rStyle w:val="IndexLink"/>
                <w:rtl w:val="true"/>
              </w:rPr>
              <w:t>ثالثاً</w:t>
            </w:r>
            <w:r>
              <w:rPr>
                <w:rStyle w:val="IndexLink"/>
                <w:rtl w:val="true"/>
              </w:rPr>
              <w:t>:</w:t>
            </w:r>
            <w:r>
              <w:rPr>
                <w:rStyle w:val="IndexLink"/>
                <w:rtl w:val="true"/>
              </w:rPr>
              <w:t>عدم السماح بصنع ما یروّج للفساد و الرذیلة</w:t>
            </w:r>
            <w:r>
              <w:rPr>
                <w:rStyle w:val="IndexLink"/>
                <w:rtl w:val="true"/>
              </w:rPr>
              <w:tab/>
            </w:r>
            <w:r>
              <w:rPr>
                <w:rStyle w:val="IndexLink"/>
              </w:rPr>
              <w:t>130</w:t>
            </w:r>
          </w:hyperlink>
        </w:p>
        <w:p>
          <w:pPr>
            <w:pStyle w:val="Contents6"/>
            <w:tabs>
              <w:tab w:val="clear" w:pos="7609"/>
              <w:tab w:val="right" w:pos="9026" w:leader="dot"/>
            </w:tabs>
            <w:rPr/>
          </w:pPr>
          <w:hyperlink w:anchor="__RefHeading___Toc97350_581953129">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97352_581953129">
            <w:r>
              <w:rPr>
                <w:webHidden/>
                <w:rStyle w:val="IndexLink"/>
                <w:rtl w:val="true"/>
              </w:rPr>
              <w:t>أ</w:t>
            </w:r>
            <w:r>
              <w:rPr>
                <w:rStyle w:val="IndexLink"/>
                <w:rtl w:val="true"/>
              </w:rPr>
              <w:t>)</w:t>
            </w:r>
            <w:r>
              <w:rPr>
                <w:rStyle w:val="IndexLink"/>
                <w:rtl w:val="true"/>
              </w:rPr>
              <w:t>صنع المسکر</w:t>
            </w:r>
            <w:r>
              <w:rPr>
                <w:rStyle w:val="IndexLink"/>
                <w:rtl w:val="true"/>
              </w:rPr>
              <w:t>:</w:t>
              <w:tab/>
            </w:r>
            <w:r>
              <w:rPr>
                <w:rStyle w:val="IndexLink"/>
              </w:rPr>
              <w:t>131</w:t>
            </w:r>
          </w:hyperlink>
        </w:p>
        <w:p>
          <w:pPr>
            <w:pStyle w:val="Contents6"/>
            <w:tabs>
              <w:tab w:val="clear" w:pos="7609"/>
              <w:tab w:val="right" w:pos="9026" w:leader="dot"/>
            </w:tabs>
            <w:rPr/>
          </w:pPr>
          <w:hyperlink w:anchor="__RefHeading___Toc97354_581953129">
            <w:r>
              <w:rPr>
                <w:webHidden/>
                <w:rStyle w:val="IndexLink"/>
                <w:rtl w:val="true"/>
              </w:rPr>
              <w:t>ب</w:t>
            </w:r>
            <w:r>
              <w:rPr>
                <w:rStyle w:val="IndexLink"/>
                <w:rtl w:val="true"/>
              </w:rPr>
              <w:t>)</w:t>
            </w:r>
            <w:r>
              <w:rPr>
                <w:rStyle w:val="IndexLink"/>
                <w:rtl w:val="true"/>
              </w:rPr>
              <w:t>صنع آلات اللّهو</w:t>
            </w:r>
            <w:r>
              <w:rPr>
                <w:rStyle w:val="IndexLink"/>
                <w:rtl w:val="true"/>
              </w:rPr>
              <w:t>:</w:t>
              <w:tab/>
            </w:r>
            <w:r>
              <w:rPr>
                <w:rStyle w:val="IndexLink"/>
              </w:rPr>
              <w:t>133</w:t>
            </w:r>
          </w:hyperlink>
        </w:p>
        <w:p>
          <w:pPr>
            <w:pStyle w:val="Contents6"/>
            <w:tabs>
              <w:tab w:val="clear" w:pos="7609"/>
              <w:tab w:val="right" w:pos="9026" w:leader="dot"/>
            </w:tabs>
            <w:rPr/>
          </w:pPr>
          <w:hyperlink w:anchor="__RefHeading___Toc97356_581953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97358_581953129">
            <w:r>
              <w:rPr>
                <w:webHidden/>
                <w:rStyle w:val="IndexLink"/>
                <w:rtl w:val="true"/>
              </w:rPr>
              <w:t>الأوّل</w:t>
            </w:r>
            <w:r>
              <w:rPr>
                <w:rStyle w:val="IndexLink"/>
                <w:rtl w:val="true"/>
              </w:rPr>
              <w:t>:</w:t>
            </w:r>
            <w:r>
              <w:rPr>
                <w:rStyle w:val="IndexLink"/>
                <w:rtl w:val="true"/>
              </w:rPr>
              <w:t>آلات القمار</w:t>
            </w:r>
            <w:r>
              <w:rPr>
                <w:rStyle w:val="IndexLink"/>
                <w:rtl w:val="true"/>
              </w:rPr>
              <w:t>:</w:t>
              <w:tab/>
            </w:r>
            <w:r>
              <w:rPr>
                <w:rStyle w:val="IndexLink"/>
              </w:rPr>
              <w:t>133</w:t>
            </w:r>
          </w:hyperlink>
        </w:p>
        <w:p>
          <w:pPr>
            <w:pStyle w:val="Contents6"/>
            <w:tabs>
              <w:tab w:val="clear" w:pos="7609"/>
              <w:tab w:val="right" w:pos="9026" w:leader="dot"/>
            </w:tabs>
            <w:rPr/>
          </w:pPr>
          <w:hyperlink w:anchor="__RefHeading___Toc97360_581953129">
            <w:r>
              <w:rPr>
                <w:webHidden/>
                <w:rStyle w:val="IndexLink"/>
                <w:rtl w:val="true"/>
              </w:rPr>
              <w:t>الثانی</w:t>
            </w:r>
            <w:r>
              <w:rPr>
                <w:rStyle w:val="IndexLink"/>
                <w:rtl w:val="true"/>
              </w:rPr>
              <w:t>:</w:t>
            </w:r>
            <w:r>
              <w:rPr>
                <w:rStyle w:val="IndexLink"/>
                <w:rtl w:val="true"/>
              </w:rPr>
              <w:t>الآلات الموسیقیة الغالب استعمالها فی الألحان المحظورة</w:t>
            </w:r>
            <w:r>
              <w:rPr>
                <w:rStyle w:val="IndexLink"/>
                <w:rtl w:val="true"/>
              </w:rPr>
              <w:t>:</w:t>
              <w:tab/>
            </w:r>
            <w:r>
              <w:rPr>
                <w:rStyle w:val="IndexLink"/>
              </w:rPr>
              <w:t>134</w:t>
            </w:r>
          </w:hyperlink>
        </w:p>
        <w:p>
          <w:pPr>
            <w:pStyle w:val="Contents6"/>
            <w:tabs>
              <w:tab w:val="clear" w:pos="7609"/>
              <w:tab w:val="right" w:pos="9026" w:leader="dot"/>
            </w:tabs>
            <w:rPr/>
          </w:pPr>
          <w:hyperlink w:anchor="__RefHeading___Toc97362_581953129">
            <w:r>
              <w:rPr>
                <w:webHidden/>
                <w:rStyle w:val="IndexLink"/>
                <w:rtl w:val="true"/>
              </w:rPr>
              <w:t>ج</w:t>
            </w:r>
            <w:r>
              <w:rPr>
                <w:rStyle w:val="IndexLink"/>
                <w:rtl w:val="true"/>
              </w:rPr>
              <w:t>)</w:t>
            </w:r>
            <w:r>
              <w:rPr>
                <w:rStyle w:val="IndexLink"/>
                <w:rtl w:val="true"/>
              </w:rPr>
              <w:t>التخصیب الصناعی</w:t>
            </w:r>
            <w:r>
              <w:rPr>
                <w:rStyle w:val="IndexLink"/>
                <w:rtl w:val="true"/>
              </w:rPr>
              <w:t>:</w:t>
              <w:tab/>
            </w:r>
            <w:r>
              <w:rPr>
                <w:rStyle w:val="IndexLink"/>
              </w:rPr>
              <w:t>135</w:t>
            </w:r>
          </w:hyperlink>
        </w:p>
        <w:p>
          <w:pPr>
            <w:pStyle w:val="Contents5"/>
            <w:tabs>
              <w:tab w:val="clear" w:pos="7892"/>
              <w:tab w:val="right" w:pos="9026" w:leader="dot"/>
            </w:tabs>
            <w:rPr/>
          </w:pPr>
          <w:hyperlink w:anchor="__RefHeading___Toc97364_581953129">
            <w:r>
              <w:rPr>
                <w:webHidden/>
                <w:rStyle w:val="IndexLink"/>
                <w:rtl w:val="true"/>
              </w:rPr>
              <w:t>رابعاً</w:t>
            </w:r>
            <w:r>
              <w:rPr>
                <w:rStyle w:val="IndexLink"/>
                <w:rtl w:val="true"/>
              </w:rPr>
              <w:t>:</w:t>
            </w:r>
            <w:r>
              <w:rPr>
                <w:rStyle w:val="IndexLink"/>
                <w:rtl w:val="true"/>
              </w:rPr>
              <w:t>عدم السماح بصنع ما یوجب الظلم</w:t>
            </w:r>
            <w:r>
              <w:rPr>
                <w:rStyle w:val="IndexLink"/>
                <w:rtl w:val="true"/>
              </w:rPr>
              <w:tab/>
            </w:r>
            <w:r>
              <w:rPr>
                <w:rStyle w:val="IndexLink"/>
              </w:rPr>
              <w:t>136</w:t>
            </w:r>
          </w:hyperlink>
        </w:p>
        <w:p>
          <w:pPr>
            <w:pStyle w:val="Contents6"/>
            <w:tabs>
              <w:tab w:val="clear" w:pos="7609"/>
              <w:tab w:val="right" w:pos="9026" w:leader="dot"/>
            </w:tabs>
            <w:rPr/>
          </w:pPr>
          <w:hyperlink w:anchor="__RefHeading___Toc97366_581953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97368_581953129">
            <w:r>
              <w:rPr>
                <w:webHidden/>
                <w:rStyle w:val="IndexLink"/>
                <w:rtl w:val="true"/>
              </w:rPr>
              <w:t>أ</w:t>
            </w:r>
            <w:r>
              <w:rPr>
                <w:rStyle w:val="IndexLink"/>
                <w:rtl w:val="true"/>
              </w:rPr>
              <w:t>)</w:t>
            </w:r>
            <w:r>
              <w:rPr>
                <w:rStyle w:val="IndexLink"/>
                <w:rtl w:val="true"/>
              </w:rPr>
              <w:t>ما یوجب الموت</w:t>
            </w:r>
            <w:r>
              <w:rPr>
                <w:rStyle w:val="IndexLink"/>
                <w:rtl w:val="true"/>
              </w:rPr>
              <w:t>:</w:t>
              <w:tab/>
            </w:r>
            <w:r>
              <w:rPr>
                <w:rStyle w:val="IndexLink"/>
              </w:rPr>
              <w:t>137</w:t>
            </w:r>
          </w:hyperlink>
        </w:p>
        <w:p>
          <w:pPr>
            <w:pStyle w:val="Contents6"/>
            <w:tabs>
              <w:tab w:val="clear" w:pos="7609"/>
              <w:tab w:val="right" w:pos="9026" w:leader="dot"/>
            </w:tabs>
            <w:rPr/>
          </w:pPr>
          <w:hyperlink w:anchor="__RefHeading___Toc97370_581953129">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97372_581953129">
            <w:r>
              <w:rPr>
                <w:webHidden/>
                <w:rStyle w:val="IndexLink"/>
                <w:rtl w:val="true"/>
              </w:rPr>
              <w:t>الأوّل</w:t>
            </w:r>
            <w:r>
              <w:rPr>
                <w:rStyle w:val="IndexLink"/>
                <w:rtl w:val="true"/>
              </w:rPr>
              <w:t>:</w:t>
            </w:r>
            <w:r>
              <w:rPr>
                <w:rStyle w:val="IndexLink"/>
                <w:rtl w:val="true"/>
              </w:rPr>
              <w:t>أسلحة الدمار الشامل</w:t>
            </w:r>
            <w:r>
              <w:rPr>
                <w:rStyle w:val="IndexLink"/>
                <w:rtl w:val="true"/>
              </w:rPr>
              <w:t>:</w:t>
              <w:tab/>
            </w:r>
            <w:r>
              <w:rPr>
                <w:rStyle w:val="IndexLink"/>
              </w:rPr>
              <w:t>137</w:t>
            </w:r>
          </w:hyperlink>
        </w:p>
        <w:p>
          <w:pPr>
            <w:pStyle w:val="Contents6"/>
            <w:tabs>
              <w:tab w:val="clear" w:pos="7609"/>
              <w:tab w:val="right" w:pos="9026" w:leader="dot"/>
            </w:tabs>
            <w:rPr/>
          </w:pPr>
          <w:hyperlink w:anchor="__RefHeading___Toc97374_581953129">
            <w:r>
              <w:rPr>
                <w:webHidden/>
                <w:rStyle w:val="IndexLink"/>
                <w:rtl w:val="true"/>
              </w:rPr>
              <w:t>الثانی</w:t>
            </w:r>
            <w:r>
              <w:rPr>
                <w:rStyle w:val="IndexLink"/>
                <w:rtl w:val="true"/>
              </w:rPr>
              <w:t>:</w:t>
            </w:r>
            <w:r>
              <w:rPr>
                <w:rStyle w:val="IndexLink"/>
                <w:rtl w:val="true"/>
              </w:rPr>
              <w:t>السموم القاتلة و الأدویة المجهضة</w:t>
            </w:r>
            <w:r>
              <w:rPr>
                <w:rStyle w:val="IndexLink"/>
                <w:rtl w:val="true"/>
              </w:rPr>
              <w:t>:</w:t>
              <w:tab/>
            </w:r>
            <w:r>
              <w:rPr>
                <w:rStyle w:val="IndexLink"/>
              </w:rPr>
              <w:t>138</w:t>
            </w:r>
          </w:hyperlink>
        </w:p>
        <w:p>
          <w:pPr>
            <w:pStyle w:val="Contents6"/>
            <w:tabs>
              <w:tab w:val="clear" w:pos="7609"/>
              <w:tab w:val="right" w:pos="9026" w:leader="dot"/>
            </w:tabs>
            <w:rPr/>
          </w:pPr>
          <w:hyperlink w:anchor="__RefHeading___Toc97376_581953129">
            <w:r>
              <w:rPr>
                <w:webHidden/>
                <w:rStyle w:val="IndexLink"/>
                <w:rtl w:val="true"/>
              </w:rPr>
              <w:t>ب</w:t>
            </w:r>
            <w:r>
              <w:rPr>
                <w:rStyle w:val="IndexLink"/>
                <w:rtl w:val="true"/>
              </w:rPr>
              <w:t>)</w:t>
            </w:r>
            <w:r>
              <w:rPr>
                <w:rStyle w:val="IndexLink"/>
                <w:rtl w:val="true"/>
              </w:rPr>
              <w:t>ما یوجب الضرر</w:t>
            </w:r>
            <w:r>
              <w:rPr>
                <w:rStyle w:val="IndexLink"/>
                <w:rtl w:val="true"/>
              </w:rPr>
              <w:t>:</w:t>
              <w:tab/>
            </w:r>
            <w:r>
              <w:rPr>
                <w:rStyle w:val="IndexLink"/>
              </w:rPr>
              <w:t>138</w:t>
            </w:r>
          </w:hyperlink>
        </w:p>
        <w:p>
          <w:pPr>
            <w:pStyle w:val="Contents6"/>
            <w:tabs>
              <w:tab w:val="clear" w:pos="7609"/>
              <w:tab w:val="right" w:pos="9026" w:leader="dot"/>
            </w:tabs>
            <w:rPr/>
          </w:pPr>
          <w:hyperlink w:anchor="__RefHeading___Toc97378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97380_581953129">
            <w:r>
              <w:rPr>
                <w:webHidden/>
                <w:rStyle w:val="IndexLink"/>
                <w:rtl w:val="true"/>
              </w:rPr>
              <w:t>الأوّل</w:t>
            </w:r>
            <w:r>
              <w:rPr>
                <w:rStyle w:val="IndexLink"/>
                <w:rtl w:val="true"/>
              </w:rPr>
              <w:t>:</w:t>
            </w:r>
            <w:r>
              <w:rPr>
                <w:rStyle w:val="IndexLink"/>
                <w:rtl w:val="true"/>
              </w:rPr>
              <w:t>المخدّرات و التبغ</w:t>
            </w:r>
            <w:r>
              <w:rPr>
                <w:rStyle w:val="IndexLink"/>
                <w:rtl w:val="true"/>
              </w:rPr>
              <w:t>:</w:t>
              <w:tab/>
            </w:r>
            <w:r>
              <w:rPr>
                <w:rStyle w:val="IndexLink"/>
              </w:rPr>
              <w:t>139</w:t>
            </w:r>
          </w:hyperlink>
        </w:p>
        <w:p>
          <w:pPr>
            <w:pStyle w:val="Contents6"/>
            <w:tabs>
              <w:tab w:val="clear" w:pos="7609"/>
              <w:tab w:val="right" w:pos="9026" w:leader="dot"/>
            </w:tabs>
            <w:rPr/>
          </w:pPr>
          <w:hyperlink w:anchor="__RefHeading___Toc97382_581953129">
            <w:r>
              <w:rPr>
                <w:webHidden/>
                <w:rStyle w:val="IndexLink"/>
                <w:rtl w:val="true"/>
              </w:rPr>
              <w:t>الثانی</w:t>
            </w:r>
            <w:r>
              <w:rPr>
                <w:rStyle w:val="IndexLink"/>
                <w:rtl w:val="true"/>
              </w:rPr>
              <w:t>:</w:t>
            </w:r>
            <w:r>
              <w:rPr>
                <w:rStyle w:val="IndexLink"/>
                <w:rtl w:val="true"/>
              </w:rPr>
              <w:t>تلویث البیئة</w:t>
            </w:r>
            <w:r>
              <w:rPr>
                <w:rStyle w:val="IndexLink"/>
                <w:rtl w:val="true"/>
              </w:rPr>
              <w:t>:</w:t>
              <w:tab/>
            </w:r>
            <w:r>
              <w:rPr>
                <w:rStyle w:val="IndexLink"/>
              </w:rPr>
              <w:t>140</w:t>
            </w:r>
          </w:hyperlink>
        </w:p>
        <w:p>
          <w:pPr>
            <w:pStyle w:val="Contents6"/>
            <w:tabs>
              <w:tab w:val="clear" w:pos="7609"/>
              <w:tab w:val="right" w:pos="9026" w:leader="dot"/>
            </w:tabs>
            <w:rPr/>
          </w:pPr>
          <w:hyperlink w:anchor="__RefHeading___Toc97384_581953129">
            <w:r>
              <w:rPr>
                <w:webHidden/>
                <w:rStyle w:val="IndexLink"/>
                <w:rtl w:val="true"/>
              </w:rPr>
              <w:t>الثالث</w:t>
            </w:r>
            <w:r>
              <w:rPr>
                <w:rStyle w:val="IndexLink"/>
                <w:rtl w:val="true"/>
              </w:rPr>
              <w:t>:</w:t>
            </w:r>
            <w:r>
              <w:rPr>
                <w:rStyle w:val="IndexLink"/>
                <w:rtl w:val="true"/>
              </w:rPr>
              <w:t>العملات الزائفة</w:t>
            </w:r>
            <w:r>
              <w:rPr>
                <w:rStyle w:val="IndexLink"/>
                <w:rtl w:val="true"/>
              </w:rPr>
              <w:t>:</w:t>
              <w:tab/>
            </w:r>
            <w:r>
              <w:rPr>
                <w:rStyle w:val="IndexLink"/>
              </w:rPr>
              <w:t>140</w:t>
            </w:r>
          </w:hyperlink>
        </w:p>
        <w:p>
          <w:pPr>
            <w:pStyle w:val="Contents6"/>
            <w:tabs>
              <w:tab w:val="clear" w:pos="7609"/>
              <w:tab w:val="right" w:pos="9026" w:leader="dot"/>
            </w:tabs>
            <w:rPr/>
          </w:pPr>
          <w:hyperlink w:anchor="__RefHeading___Toc97386_581953129">
            <w:r>
              <w:rPr>
                <w:webHidden/>
                <w:rStyle w:val="IndexLink"/>
                <w:rtl w:val="true"/>
              </w:rPr>
              <w:t>ج</w:t>
            </w:r>
            <w:r>
              <w:rPr>
                <w:rStyle w:val="IndexLink"/>
                <w:rtl w:val="true"/>
              </w:rPr>
              <w:t>)</w:t>
            </w:r>
            <w:r>
              <w:rPr>
                <w:rStyle w:val="IndexLink"/>
                <w:rtl w:val="true"/>
              </w:rPr>
              <w:t>ما یوجب الإیذاء</w:t>
            </w:r>
            <w:r>
              <w:rPr>
                <w:rStyle w:val="IndexLink"/>
                <w:rtl w:val="true"/>
              </w:rPr>
              <w:t>:</w:t>
              <w:tab/>
            </w:r>
            <w:r>
              <w:rPr>
                <w:rStyle w:val="IndexLink"/>
              </w:rPr>
              <w:t>141</w:t>
            </w:r>
          </w:hyperlink>
        </w:p>
        <w:p>
          <w:pPr>
            <w:pStyle w:val="Contents3"/>
            <w:tabs>
              <w:tab w:val="clear" w:pos="8459"/>
              <w:tab w:val="right" w:pos="9026" w:leader="dot"/>
            </w:tabs>
            <w:rPr/>
          </w:pPr>
          <w:hyperlink w:anchor="__RefHeading___Toc97388_581953129">
            <w:r>
              <w:rPr>
                <w:webHidden/>
                <w:rStyle w:val="IndexLink"/>
                <w:rtl w:val="true"/>
              </w:rPr>
              <w:t>المبحث الثالث</w:t>
            </w:r>
            <w:r>
              <w:rPr>
                <w:rStyle w:val="IndexLink"/>
                <w:rtl w:val="true"/>
              </w:rPr>
              <w:t>:</w:t>
            </w:r>
            <w:r>
              <w:rPr>
                <w:rStyle w:val="IndexLink"/>
                <w:rtl w:val="true"/>
              </w:rPr>
              <w:t>حدود الحرّیة فی الإنتاج الزراعی</w:t>
            </w:r>
            <w:r>
              <w:rPr>
                <w:rStyle w:val="IndexLink"/>
                <w:rtl w:val="true"/>
              </w:rPr>
              <w:tab/>
            </w:r>
            <w:r>
              <w:rPr>
                <w:rStyle w:val="IndexLink"/>
              </w:rPr>
              <w:t>143</w:t>
            </w:r>
          </w:hyperlink>
        </w:p>
        <w:p>
          <w:pPr>
            <w:pStyle w:val="Contents4"/>
            <w:tabs>
              <w:tab w:val="clear" w:pos="8176"/>
              <w:tab w:val="right" w:pos="9026" w:leader="dot"/>
            </w:tabs>
            <w:rPr/>
          </w:pPr>
          <w:hyperlink w:anchor="__RefHeading___Toc97390_58195312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97392_581953129">
            <w:r>
              <w:rPr>
                <w:webHidden/>
                <w:rStyle w:val="IndexLink"/>
                <w:rtl w:val="true"/>
              </w:rPr>
              <w:t>المطلب الأوّل</w:t>
            </w:r>
            <w:r>
              <w:rPr>
                <w:rStyle w:val="IndexLink"/>
                <w:rtl w:val="true"/>
              </w:rPr>
              <w:t>:</w:t>
            </w:r>
            <w:r>
              <w:rPr>
                <w:rStyle w:val="IndexLink"/>
                <w:rtl w:val="true"/>
              </w:rPr>
              <w:t>حدود الحرّیة فی الحیازة</w:t>
            </w:r>
            <w:r>
              <w:rPr>
                <w:rStyle w:val="IndexLink"/>
                <w:rtl w:val="true"/>
              </w:rPr>
              <w:tab/>
            </w:r>
            <w:r>
              <w:rPr>
                <w:rStyle w:val="IndexLink"/>
              </w:rPr>
              <w:t>144</w:t>
            </w:r>
          </w:hyperlink>
        </w:p>
        <w:p>
          <w:pPr>
            <w:pStyle w:val="Contents5"/>
            <w:tabs>
              <w:tab w:val="clear" w:pos="7892"/>
              <w:tab w:val="right" w:pos="9026" w:leader="dot"/>
            </w:tabs>
            <w:rPr/>
          </w:pPr>
          <w:hyperlink w:anchor="__RefHeading___Toc97394_581953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97396_581953129">
            <w:r>
              <w:rPr>
                <w:webHidden/>
                <w:rStyle w:val="IndexLink"/>
                <w:rtl w:val="true"/>
              </w:rPr>
              <w:t>أولّاً</w:t>
            </w:r>
            <w:r>
              <w:rPr>
                <w:rStyle w:val="IndexLink"/>
                <w:rtl w:val="true"/>
              </w:rPr>
              <w:t>:</w:t>
            </w:r>
            <w:r>
              <w:rPr>
                <w:rStyle w:val="IndexLink"/>
                <w:rtl w:val="true"/>
              </w:rPr>
              <w:t>المیاه</w:t>
            </w:r>
            <w:r>
              <w:rPr>
                <w:rStyle w:val="IndexLink"/>
                <w:rtl w:val="true"/>
              </w:rPr>
              <w:tab/>
            </w:r>
            <w:r>
              <w:rPr>
                <w:rStyle w:val="IndexLink"/>
              </w:rPr>
              <w:t>144</w:t>
            </w:r>
          </w:hyperlink>
        </w:p>
        <w:p>
          <w:pPr>
            <w:pStyle w:val="Contents6"/>
            <w:tabs>
              <w:tab w:val="clear" w:pos="7609"/>
              <w:tab w:val="right" w:pos="9026" w:leader="dot"/>
            </w:tabs>
            <w:rPr/>
          </w:pPr>
          <w:hyperlink w:anchor="__RefHeading___Toc97398_581953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97400_581953129">
            <w:r>
              <w:rPr>
                <w:webHidden/>
                <w:rStyle w:val="IndexLink"/>
                <w:rtl w:val="true"/>
              </w:rPr>
              <w:t>أ</w:t>
            </w:r>
            <w:r>
              <w:rPr>
                <w:rStyle w:val="IndexLink"/>
                <w:rtl w:val="true"/>
              </w:rPr>
              <w:t>)</w:t>
            </w:r>
            <w:r>
              <w:rPr>
                <w:rStyle w:val="IndexLink"/>
                <w:rtl w:val="true"/>
              </w:rPr>
              <w:t>عدم السماح بمنع الغیر من الاستفادة من المیاه الأصلیة العامّة فی غیر موضع الحاجة</w:t>
            </w:r>
            <w:r>
              <w:rPr>
                <w:rStyle w:val="IndexLink"/>
                <w:rtl w:val="true"/>
              </w:rPr>
              <w:tab/>
            </w:r>
            <w:r>
              <w:rPr>
                <w:rStyle w:val="IndexLink"/>
              </w:rPr>
              <w:t>144</w:t>
            </w:r>
          </w:hyperlink>
        </w:p>
        <w:p>
          <w:pPr>
            <w:pStyle w:val="Contents6"/>
            <w:tabs>
              <w:tab w:val="clear" w:pos="7609"/>
              <w:tab w:val="right" w:pos="9026" w:leader="dot"/>
            </w:tabs>
            <w:rPr/>
          </w:pPr>
          <w:hyperlink w:anchor="__RefHeading___Toc97402_581953129">
            <w:r>
              <w:rPr>
                <w:webHidden/>
                <w:rStyle w:val="IndexLink"/>
                <w:rtl w:val="true"/>
              </w:rPr>
              <w:t>ب</w:t>
            </w:r>
            <w:r>
              <w:rPr>
                <w:rStyle w:val="IndexLink"/>
                <w:rtl w:val="true"/>
              </w:rPr>
              <w:t>)</w:t>
            </w:r>
            <w:r>
              <w:rPr>
                <w:rStyle w:val="IndexLink"/>
                <w:rtl w:val="true"/>
              </w:rPr>
              <w:t>عدم السماح بمنع الغیر من الاستفادة من المیاه الفرعیة من دون أخذها بقصد الانتفاع بها</w:t>
            </w:r>
            <w:r>
              <w:rPr>
                <w:rStyle w:val="IndexLink"/>
                <w:rtl w:val="true"/>
              </w:rPr>
              <w:tab/>
            </w:r>
            <w:r>
              <w:rPr>
                <w:rStyle w:val="IndexLink"/>
              </w:rPr>
              <w:t>145</w:t>
            </w:r>
          </w:hyperlink>
        </w:p>
        <w:p>
          <w:pPr>
            <w:pStyle w:val="Contents6"/>
            <w:tabs>
              <w:tab w:val="clear" w:pos="7609"/>
              <w:tab w:val="right" w:pos="9026" w:leader="dot"/>
            </w:tabs>
            <w:rPr/>
          </w:pPr>
          <w:hyperlink w:anchor="__RefHeading___Toc97404_581953129">
            <w:r>
              <w:rPr>
                <w:webHidden/>
                <w:rStyle w:val="IndexLink"/>
                <w:rtl w:val="true"/>
              </w:rPr>
              <w:t>ج</w:t>
            </w:r>
            <w:r>
              <w:rPr>
                <w:rStyle w:val="IndexLink"/>
                <w:rtl w:val="true"/>
              </w:rPr>
              <w:t>)</w:t>
            </w:r>
            <w:r>
              <w:rPr>
                <w:rStyle w:val="IndexLink"/>
                <w:rtl w:val="true"/>
              </w:rPr>
              <w:t>عدم السماح بحرمان من سُمح له بالاستفادة الإنتاجیة من المیاه الفرعیة المملوکة</w:t>
            </w:r>
            <w:r>
              <w:rPr>
                <w:rStyle w:val="IndexLink"/>
                <w:rtl w:val="true"/>
              </w:rPr>
              <w:tab/>
            </w:r>
            <w:r>
              <w:rPr>
                <w:rStyle w:val="IndexLink"/>
              </w:rPr>
              <w:t>146</w:t>
            </w:r>
          </w:hyperlink>
        </w:p>
        <w:p>
          <w:pPr>
            <w:pStyle w:val="Contents6"/>
            <w:tabs>
              <w:tab w:val="clear" w:pos="7609"/>
              <w:tab w:val="right" w:pos="9026" w:leader="dot"/>
            </w:tabs>
            <w:rPr/>
          </w:pPr>
          <w:hyperlink w:anchor="__RefHeading___Toc97406_581953129">
            <w:r>
              <w:rPr>
                <w:webHidden/>
                <w:rStyle w:val="IndexLink"/>
                <w:rtl w:val="true"/>
              </w:rPr>
              <w:t>د</w:t>
            </w:r>
            <w:r>
              <w:rPr>
                <w:rStyle w:val="IndexLink"/>
                <w:rtl w:val="true"/>
              </w:rPr>
              <w:t>)</w:t>
            </w:r>
            <w:r>
              <w:rPr>
                <w:rStyle w:val="IndexLink"/>
                <w:rtl w:val="true"/>
              </w:rPr>
              <w:t>عدم السماح بالتصرّف فی حریم المیاه بما یلحق ضرراً بها</w:t>
            </w:r>
            <w:r>
              <w:rPr>
                <w:rStyle w:val="IndexLink"/>
                <w:rtl w:val="true"/>
              </w:rPr>
              <w:tab/>
            </w:r>
            <w:r>
              <w:rPr>
                <w:rStyle w:val="IndexLink"/>
              </w:rPr>
              <w:t>147</w:t>
            </w:r>
          </w:hyperlink>
        </w:p>
        <w:p>
          <w:pPr>
            <w:pStyle w:val="Contents6"/>
            <w:tabs>
              <w:tab w:val="clear" w:pos="7609"/>
              <w:tab w:val="right" w:pos="9026" w:leader="dot"/>
            </w:tabs>
            <w:rPr/>
          </w:pPr>
          <w:hyperlink w:anchor="__RefHeading___Toc97408_58195312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97410_581953129">
            <w:r>
              <w:rPr>
                <w:webHidden/>
                <w:rStyle w:val="IndexLink"/>
                <w:rtl w:val="true"/>
              </w:rPr>
              <w:t>الأوّل</w:t>
            </w:r>
            <w:r>
              <w:rPr>
                <w:rStyle w:val="IndexLink"/>
                <w:rtl w:val="true"/>
              </w:rPr>
              <w:t>:</w:t>
            </w:r>
            <w:r>
              <w:rPr>
                <w:rStyle w:val="IndexLink"/>
                <w:rtl w:val="true"/>
              </w:rPr>
              <w:t>حریم الانتفاع</w:t>
            </w:r>
            <w:r>
              <w:rPr>
                <w:rStyle w:val="IndexLink"/>
                <w:rtl w:val="true"/>
              </w:rPr>
              <w:t>:</w:t>
              <w:tab/>
            </w:r>
            <w:r>
              <w:rPr>
                <w:rStyle w:val="IndexLink"/>
              </w:rPr>
              <w:t>147</w:t>
            </w:r>
          </w:hyperlink>
        </w:p>
        <w:p>
          <w:pPr>
            <w:pStyle w:val="Contents6"/>
            <w:tabs>
              <w:tab w:val="clear" w:pos="7609"/>
              <w:tab w:val="right" w:pos="9026" w:leader="dot"/>
            </w:tabs>
            <w:rPr/>
          </w:pPr>
          <w:hyperlink w:anchor="__RefHeading___Toc97412_581953129">
            <w:r>
              <w:rPr>
                <w:webHidden/>
                <w:rStyle w:val="IndexLink"/>
                <w:rtl w:val="true"/>
              </w:rPr>
              <w:t>الثانی</w:t>
            </w:r>
            <w:r>
              <w:rPr>
                <w:rStyle w:val="IndexLink"/>
                <w:rtl w:val="true"/>
              </w:rPr>
              <w:t>:</w:t>
            </w:r>
            <w:r>
              <w:rPr>
                <w:rStyle w:val="IndexLink"/>
                <w:rtl w:val="true"/>
              </w:rPr>
              <w:t>حریم البقاء</w:t>
            </w:r>
            <w:r>
              <w:rPr>
                <w:rStyle w:val="IndexLink"/>
                <w:rtl w:val="true"/>
              </w:rPr>
              <w:t>:</w:t>
              <w:tab/>
            </w:r>
            <w:r>
              <w:rPr>
                <w:rStyle w:val="IndexLink"/>
              </w:rPr>
              <w:t>147</w:t>
            </w:r>
          </w:hyperlink>
        </w:p>
        <w:p>
          <w:pPr>
            <w:pStyle w:val="Contents5"/>
            <w:tabs>
              <w:tab w:val="clear" w:pos="7892"/>
              <w:tab w:val="right" w:pos="9026" w:leader="dot"/>
            </w:tabs>
            <w:rPr/>
          </w:pPr>
          <w:hyperlink w:anchor="__RefHeading___Toc97414_581953129">
            <w:r>
              <w:rPr>
                <w:webHidden/>
                <w:rStyle w:val="IndexLink"/>
                <w:rtl w:val="true"/>
              </w:rPr>
              <w:t>ثانیاً</w:t>
            </w:r>
            <w:r>
              <w:rPr>
                <w:rStyle w:val="IndexLink"/>
                <w:rtl w:val="true"/>
              </w:rPr>
              <w:t>:</w:t>
            </w:r>
            <w:r>
              <w:rPr>
                <w:rStyle w:val="IndexLink"/>
                <w:rtl w:val="true"/>
              </w:rPr>
              <w:t>النبات</w:t>
            </w:r>
            <w:r>
              <w:rPr>
                <w:rStyle w:val="IndexLink"/>
                <w:rtl w:val="true"/>
              </w:rPr>
              <w:tab/>
            </w:r>
            <w:r>
              <w:rPr>
                <w:rStyle w:val="IndexLink"/>
              </w:rPr>
              <w:t>148</w:t>
            </w:r>
          </w:hyperlink>
        </w:p>
        <w:p>
          <w:pPr>
            <w:pStyle w:val="Contents6"/>
            <w:tabs>
              <w:tab w:val="clear" w:pos="7609"/>
              <w:tab w:val="right" w:pos="9026" w:leader="dot"/>
            </w:tabs>
            <w:rPr/>
          </w:pPr>
          <w:hyperlink w:anchor="__RefHeading___Toc97416_581953129">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97418_581953129">
            <w:r>
              <w:rPr>
                <w:webHidden/>
                <w:rStyle w:val="IndexLink"/>
                <w:rtl w:val="true"/>
              </w:rPr>
              <w:t>أ</w:t>
            </w:r>
            <w:r>
              <w:rPr>
                <w:rStyle w:val="IndexLink"/>
                <w:rtl w:val="true"/>
              </w:rPr>
              <w:t>)</w:t>
            </w:r>
            <w:r>
              <w:rPr>
                <w:rStyle w:val="IndexLink"/>
                <w:rtl w:val="true"/>
              </w:rPr>
              <w:t>عدم السماح بممارسة إنتاجه من الأراضی المملوکة إلّا بعد استئذان المالک</w:t>
            </w:r>
            <w:r>
              <w:rPr>
                <w:rStyle w:val="IndexLink"/>
                <w:rtl w:val="true"/>
              </w:rPr>
              <w:tab/>
            </w:r>
            <w:r>
              <w:rPr>
                <w:rStyle w:val="IndexLink"/>
              </w:rPr>
              <w:t>148</w:t>
            </w:r>
          </w:hyperlink>
        </w:p>
        <w:p>
          <w:pPr>
            <w:pStyle w:val="Contents6"/>
            <w:tabs>
              <w:tab w:val="clear" w:pos="7609"/>
              <w:tab w:val="right" w:pos="9026" w:leader="dot"/>
            </w:tabs>
            <w:rPr/>
          </w:pPr>
          <w:hyperlink w:anchor="__RefHeading___Toc97420_581953129">
            <w:r>
              <w:rPr>
                <w:webHidden/>
                <w:rStyle w:val="IndexLink"/>
                <w:rtl w:val="true"/>
              </w:rPr>
              <w:t>ب</w:t>
            </w:r>
            <w:r>
              <w:rPr>
                <w:rStyle w:val="IndexLink"/>
                <w:rtl w:val="true"/>
              </w:rPr>
              <w:t>)</w:t>
            </w:r>
            <w:r>
              <w:rPr>
                <w:rStyle w:val="IndexLink"/>
                <w:rtl w:val="true"/>
              </w:rPr>
              <w:t>عدم السماح بمنع الغیر من إنتاجه من دون السبق إلیه ووضع الید علیه</w:t>
            </w:r>
            <w:r>
              <w:rPr>
                <w:rStyle w:val="IndexLink"/>
                <w:rtl w:val="true"/>
              </w:rPr>
              <w:tab/>
            </w:r>
            <w:r>
              <w:rPr>
                <w:rStyle w:val="IndexLink"/>
              </w:rPr>
              <w:t>149</w:t>
            </w:r>
          </w:hyperlink>
        </w:p>
        <w:p>
          <w:pPr>
            <w:pStyle w:val="Contents6"/>
            <w:tabs>
              <w:tab w:val="clear" w:pos="7609"/>
              <w:tab w:val="right" w:pos="9026" w:leader="dot"/>
            </w:tabs>
            <w:rPr/>
          </w:pPr>
          <w:hyperlink w:anchor="__RefHeading___Toc97422_581953129">
            <w:r>
              <w:rPr>
                <w:webHidden/>
                <w:rStyle w:val="IndexLink"/>
                <w:rtl w:val="true"/>
              </w:rPr>
              <w:t>ج</w:t>
            </w:r>
            <w:r>
              <w:rPr>
                <w:rStyle w:val="IndexLink"/>
                <w:rtl w:val="true"/>
              </w:rPr>
              <w:t>)</w:t>
            </w:r>
            <w:r>
              <w:rPr>
                <w:rStyle w:val="IndexLink"/>
                <w:rtl w:val="true"/>
              </w:rPr>
              <w:t>عدم السماح بمزاحمة الغیر فی ما سبق إلیه ووضع یده علیه</w:t>
            </w:r>
            <w:r>
              <w:rPr>
                <w:rStyle w:val="IndexLink"/>
                <w:rtl w:val="true"/>
              </w:rPr>
              <w:tab/>
            </w:r>
            <w:r>
              <w:rPr>
                <w:rStyle w:val="IndexLink"/>
              </w:rPr>
              <w:t>150</w:t>
            </w:r>
          </w:hyperlink>
        </w:p>
        <w:p>
          <w:pPr>
            <w:pStyle w:val="Contents6"/>
            <w:tabs>
              <w:tab w:val="clear" w:pos="7609"/>
              <w:tab w:val="right" w:pos="9026" w:leader="dot"/>
            </w:tabs>
            <w:rPr/>
          </w:pPr>
          <w:hyperlink w:anchor="__RefHeading___Toc97424_581953129">
            <w:r>
              <w:rPr>
                <w:webHidden/>
                <w:rStyle w:val="IndexLink"/>
                <w:rtl w:val="true"/>
              </w:rPr>
              <w:t>د</w:t>
            </w:r>
            <w:r>
              <w:rPr>
                <w:rStyle w:val="IndexLink"/>
                <w:rtl w:val="true"/>
              </w:rPr>
              <w:t>)</w:t>
            </w:r>
            <w:r>
              <w:rPr>
                <w:rStyle w:val="IndexLink"/>
                <w:rtl w:val="true"/>
              </w:rPr>
              <w:t>عدم السماح بحیازة الأصول إلّا بإحیائها</w:t>
            </w:r>
            <w:r>
              <w:rPr>
                <w:rStyle w:val="IndexLink"/>
                <w:rtl w:val="true"/>
              </w:rPr>
              <w:tab/>
            </w:r>
            <w:r>
              <w:rPr>
                <w:rStyle w:val="IndexLink"/>
              </w:rPr>
              <w:t>150</w:t>
            </w:r>
          </w:hyperlink>
        </w:p>
        <w:p>
          <w:pPr>
            <w:pStyle w:val="Contents5"/>
            <w:tabs>
              <w:tab w:val="clear" w:pos="7892"/>
              <w:tab w:val="right" w:pos="9026" w:leader="dot"/>
            </w:tabs>
            <w:rPr/>
          </w:pPr>
          <w:hyperlink w:anchor="__RefHeading___Toc97426_581953129">
            <w:r>
              <w:rPr>
                <w:webHidden/>
                <w:rStyle w:val="IndexLink"/>
                <w:rtl w:val="true"/>
              </w:rPr>
              <w:t>ثالثاً</w:t>
            </w:r>
            <w:r>
              <w:rPr>
                <w:rStyle w:val="IndexLink"/>
                <w:rtl w:val="true"/>
              </w:rPr>
              <w:t>:</w:t>
            </w:r>
            <w:r>
              <w:rPr>
                <w:rStyle w:val="IndexLink"/>
                <w:rtl w:val="true"/>
              </w:rPr>
              <w:t>الحیوان</w:t>
            </w:r>
            <w:r>
              <w:rPr>
                <w:rStyle w:val="IndexLink"/>
                <w:rtl w:val="true"/>
              </w:rPr>
              <w:tab/>
            </w:r>
            <w:r>
              <w:rPr>
                <w:rStyle w:val="IndexLink"/>
              </w:rPr>
              <w:t>151</w:t>
            </w:r>
          </w:hyperlink>
        </w:p>
        <w:p>
          <w:pPr>
            <w:pStyle w:val="Contents6"/>
            <w:tabs>
              <w:tab w:val="clear" w:pos="7609"/>
              <w:tab w:val="right" w:pos="9026" w:leader="dot"/>
            </w:tabs>
            <w:rPr/>
          </w:pPr>
          <w:hyperlink w:anchor="__RefHeading___Toc97428_58195312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97430_581953129">
            <w:r>
              <w:rPr>
                <w:webHidden/>
                <w:rStyle w:val="IndexLink"/>
                <w:rtl w:val="true"/>
              </w:rPr>
              <w:t>أ</w:t>
            </w:r>
            <w:r>
              <w:rPr>
                <w:rStyle w:val="IndexLink"/>
                <w:rtl w:val="true"/>
              </w:rPr>
              <w:t>)</w:t>
            </w:r>
            <w:r>
              <w:rPr>
                <w:rStyle w:val="IndexLink"/>
                <w:rtl w:val="true"/>
              </w:rPr>
              <w:t>عدم السماح بحیازته دون محاولة القضاء علی مقاومته وإعجازه</w:t>
            </w:r>
            <w:r>
              <w:rPr>
                <w:rStyle w:val="IndexLink"/>
                <w:rtl w:val="true"/>
              </w:rPr>
              <w:tab/>
            </w:r>
            <w:r>
              <w:rPr>
                <w:rStyle w:val="IndexLink"/>
              </w:rPr>
              <w:t>151</w:t>
            </w:r>
          </w:hyperlink>
        </w:p>
        <w:p>
          <w:pPr>
            <w:pStyle w:val="Contents6"/>
            <w:tabs>
              <w:tab w:val="clear" w:pos="7609"/>
              <w:tab w:val="right" w:pos="9026" w:leader="dot"/>
            </w:tabs>
            <w:rPr/>
          </w:pPr>
          <w:hyperlink w:anchor="__RefHeading___Toc97432_581953129">
            <w:r>
              <w:rPr>
                <w:webHidden/>
                <w:rStyle w:val="IndexLink"/>
                <w:rtl w:val="true"/>
              </w:rPr>
              <w:t>ب</w:t>
            </w:r>
            <w:r>
              <w:rPr>
                <w:rStyle w:val="IndexLink"/>
                <w:rtl w:val="true"/>
              </w:rPr>
              <w:t>)</w:t>
            </w:r>
            <w:r>
              <w:rPr>
                <w:rStyle w:val="IndexLink"/>
                <w:rtl w:val="true"/>
              </w:rPr>
              <w:t>عدم السماح بالاصطیاد اللهوی</w:t>
            </w:r>
            <w:r>
              <w:rPr>
                <w:rStyle w:val="IndexLink"/>
                <w:rtl w:val="true"/>
              </w:rPr>
              <w:tab/>
            </w:r>
            <w:r>
              <w:rPr>
                <w:rStyle w:val="IndexLink"/>
              </w:rPr>
              <w:t>153</w:t>
            </w:r>
          </w:hyperlink>
        </w:p>
        <w:p>
          <w:pPr>
            <w:pStyle w:val="Contents6"/>
            <w:tabs>
              <w:tab w:val="clear" w:pos="7609"/>
              <w:tab w:val="right" w:pos="9026" w:leader="dot"/>
            </w:tabs>
            <w:rPr/>
          </w:pPr>
          <w:hyperlink w:anchor="__RefHeading___Toc97434_581953129">
            <w:r>
              <w:rPr>
                <w:webHidden/>
                <w:rStyle w:val="IndexLink"/>
                <w:rtl w:val="true"/>
              </w:rPr>
              <w:t>ج</w:t>
            </w:r>
            <w:r>
              <w:rPr>
                <w:rStyle w:val="IndexLink"/>
                <w:rtl w:val="true"/>
              </w:rPr>
              <w:t>)</w:t>
            </w:r>
            <w:r>
              <w:rPr>
                <w:rStyle w:val="IndexLink"/>
                <w:rtl w:val="true"/>
              </w:rPr>
              <w:t>عدم السماح بالتجاوز علی ممتلکات الغیر أثناء الاصطیاد</w:t>
            </w:r>
            <w:r>
              <w:rPr>
                <w:rStyle w:val="IndexLink"/>
                <w:rtl w:val="true"/>
              </w:rPr>
              <w:tab/>
            </w:r>
            <w:r>
              <w:rPr>
                <w:rStyle w:val="IndexLink"/>
              </w:rPr>
              <w:t>154</w:t>
            </w:r>
          </w:hyperlink>
        </w:p>
        <w:p>
          <w:pPr>
            <w:pStyle w:val="Contents4"/>
            <w:tabs>
              <w:tab w:val="clear" w:pos="8176"/>
              <w:tab w:val="right" w:pos="9026" w:leader="dot"/>
            </w:tabs>
            <w:rPr/>
          </w:pPr>
          <w:hyperlink w:anchor="__RefHeading___Toc97436_581953129">
            <w:r>
              <w:rPr>
                <w:webHidden/>
                <w:rStyle w:val="IndexLink"/>
                <w:rtl w:val="true"/>
              </w:rPr>
              <w:t>المطلب الثانی</w:t>
            </w:r>
            <w:r>
              <w:rPr>
                <w:rStyle w:val="IndexLink"/>
                <w:rtl w:val="true"/>
              </w:rPr>
              <w:t>:</w:t>
            </w:r>
            <w:r>
              <w:rPr>
                <w:rStyle w:val="IndexLink"/>
                <w:rtl w:val="true"/>
              </w:rPr>
              <w:t>حدود الحرّیة فی الزراعة</w:t>
            </w:r>
            <w:r>
              <w:rPr>
                <w:rStyle w:val="IndexLink"/>
                <w:rtl w:val="true"/>
              </w:rPr>
              <w:tab/>
            </w:r>
            <w:r>
              <w:rPr>
                <w:rStyle w:val="IndexLink"/>
              </w:rPr>
              <w:t>155</w:t>
            </w:r>
          </w:hyperlink>
        </w:p>
        <w:p>
          <w:pPr>
            <w:pStyle w:val="Contents5"/>
            <w:tabs>
              <w:tab w:val="clear" w:pos="7892"/>
              <w:tab w:val="right" w:pos="9026" w:leader="dot"/>
            </w:tabs>
            <w:rPr/>
          </w:pPr>
          <w:hyperlink w:anchor="__RefHeading___Toc97438_581953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97440_581953129">
            <w:r>
              <w:rPr>
                <w:webHidden/>
                <w:rStyle w:val="IndexLink"/>
                <w:rtl w:val="true"/>
              </w:rPr>
              <w:t>أوّلاً</w:t>
            </w:r>
            <w:r>
              <w:rPr>
                <w:rStyle w:val="IndexLink"/>
                <w:rtl w:val="true"/>
              </w:rPr>
              <w:t>:</w:t>
            </w:r>
            <w:r>
              <w:rPr>
                <w:rStyle w:val="IndexLink"/>
                <w:rtl w:val="true"/>
              </w:rPr>
              <w:t>الحدود العامّة لحرّیة الإنتاج الزراعی</w:t>
            </w:r>
            <w:r>
              <w:rPr>
                <w:rStyle w:val="IndexLink"/>
                <w:rtl w:val="true"/>
              </w:rPr>
              <w:tab/>
            </w:r>
            <w:r>
              <w:rPr>
                <w:rStyle w:val="IndexLink"/>
              </w:rPr>
              <w:t>157</w:t>
            </w:r>
          </w:hyperlink>
        </w:p>
        <w:p>
          <w:pPr>
            <w:pStyle w:val="Contents6"/>
            <w:tabs>
              <w:tab w:val="clear" w:pos="7609"/>
              <w:tab w:val="right" w:pos="9026" w:leader="dot"/>
            </w:tabs>
            <w:rPr/>
          </w:pPr>
          <w:hyperlink w:anchor="__RefHeading___Toc97442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97444_581953129">
            <w:r>
              <w:rPr>
                <w:webHidden/>
                <w:rStyle w:val="IndexLink"/>
                <w:rtl w:val="true"/>
              </w:rPr>
              <w:t>أ</w:t>
            </w:r>
            <w:r>
              <w:rPr>
                <w:rStyle w:val="IndexLink"/>
                <w:rtl w:val="true"/>
              </w:rPr>
              <w:t>)</w:t>
            </w:r>
            <w:r>
              <w:rPr>
                <w:rStyle w:val="IndexLink"/>
                <w:rtl w:val="true"/>
              </w:rPr>
              <w:t>عدم السماح بالزراعة فی الأراضی التی یتطلّب إحیاؤها الاستئذان إلّا بعده</w:t>
            </w:r>
            <w:r>
              <w:rPr>
                <w:rStyle w:val="IndexLink"/>
                <w:rtl w:val="true"/>
              </w:rPr>
              <w:tab/>
            </w:r>
            <w:r>
              <w:rPr>
                <w:rStyle w:val="IndexLink"/>
              </w:rPr>
              <w:t>157</w:t>
            </w:r>
          </w:hyperlink>
        </w:p>
        <w:p>
          <w:pPr>
            <w:pStyle w:val="Contents6"/>
            <w:tabs>
              <w:tab w:val="clear" w:pos="7609"/>
              <w:tab w:val="right" w:pos="9026" w:leader="dot"/>
            </w:tabs>
            <w:rPr/>
          </w:pPr>
          <w:hyperlink w:anchor="__RefHeading___Toc97446_581953129">
            <w:r>
              <w:rPr>
                <w:webHidden/>
                <w:rStyle w:val="IndexLink"/>
                <w:rtl w:val="true"/>
              </w:rPr>
              <w:t>ب</w:t>
            </w:r>
            <w:r>
              <w:rPr>
                <w:rStyle w:val="IndexLink"/>
                <w:rtl w:val="true"/>
              </w:rPr>
              <w:t>)</w:t>
            </w:r>
            <w:r>
              <w:rPr>
                <w:rStyle w:val="IndexLink"/>
                <w:rtl w:val="true"/>
              </w:rPr>
              <w:t>عدم السماح بزراعة الفائض عن الحاجة</w:t>
            </w:r>
            <w:r>
              <w:rPr>
                <w:rStyle w:val="IndexLink"/>
                <w:rtl w:val="true"/>
              </w:rPr>
              <w:tab/>
            </w:r>
            <w:r>
              <w:rPr>
                <w:rStyle w:val="IndexLink"/>
              </w:rPr>
              <w:t>160</w:t>
            </w:r>
          </w:hyperlink>
        </w:p>
        <w:p>
          <w:pPr>
            <w:pStyle w:val="Contents6"/>
            <w:tabs>
              <w:tab w:val="clear" w:pos="7609"/>
              <w:tab w:val="right" w:pos="9026" w:leader="dot"/>
            </w:tabs>
            <w:rPr/>
          </w:pPr>
          <w:hyperlink w:anchor="__RefHeading___Toc97448_581953129">
            <w:r>
              <w:rPr>
                <w:webHidden/>
                <w:rStyle w:val="IndexLink"/>
                <w:rtl w:val="true"/>
              </w:rPr>
              <w:t>ج</w:t>
            </w:r>
            <w:r>
              <w:rPr>
                <w:rStyle w:val="IndexLink"/>
                <w:rtl w:val="true"/>
              </w:rPr>
              <w:t>)</w:t>
            </w:r>
            <w:r>
              <w:rPr>
                <w:rStyle w:val="IndexLink"/>
                <w:rtl w:val="true"/>
              </w:rPr>
              <w:t>عدم السماح بزراعة ما یتنافی وما حظره الإسلام</w:t>
            </w:r>
            <w:r>
              <w:rPr>
                <w:rStyle w:val="IndexLink"/>
                <w:rtl w:val="true"/>
              </w:rPr>
              <w:tab/>
            </w:r>
            <w:r>
              <w:rPr>
                <w:rStyle w:val="IndexLink"/>
              </w:rPr>
              <w:t>161</w:t>
            </w:r>
          </w:hyperlink>
        </w:p>
        <w:p>
          <w:pPr>
            <w:pStyle w:val="Contents5"/>
            <w:tabs>
              <w:tab w:val="clear" w:pos="7892"/>
              <w:tab w:val="right" w:pos="9026" w:leader="dot"/>
            </w:tabs>
            <w:rPr/>
          </w:pPr>
          <w:hyperlink w:anchor="__RefHeading___Toc97450_581953129">
            <w:r>
              <w:rPr>
                <w:webHidden/>
                <w:rStyle w:val="IndexLink"/>
                <w:rtl w:val="true"/>
              </w:rPr>
              <w:t>ثانیاً</w:t>
            </w:r>
            <w:r>
              <w:rPr>
                <w:rStyle w:val="IndexLink"/>
                <w:rtl w:val="true"/>
              </w:rPr>
              <w:t>:</w:t>
            </w:r>
            <w:r>
              <w:rPr>
                <w:rStyle w:val="IndexLink"/>
                <w:rtl w:val="true"/>
              </w:rPr>
              <w:t>الحدود الخاصّة لحرّیة الإنتاج الزراعی</w:t>
            </w:r>
            <w:r>
              <w:rPr>
                <w:rStyle w:val="IndexLink"/>
                <w:rtl w:val="true"/>
              </w:rPr>
              <w:tab/>
            </w:r>
            <w:r>
              <w:rPr>
                <w:rStyle w:val="IndexLink"/>
              </w:rPr>
              <w:t>162</w:t>
            </w:r>
          </w:hyperlink>
        </w:p>
        <w:p>
          <w:pPr>
            <w:pStyle w:val="Contents6"/>
            <w:tabs>
              <w:tab w:val="clear" w:pos="7609"/>
              <w:tab w:val="right" w:pos="9026" w:leader="dot"/>
            </w:tabs>
            <w:rPr/>
          </w:pPr>
          <w:hyperlink w:anchor="__RefHeading___Toc97452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97454_581953129">
            <w:r>
              <w:rPr>
                <w:webHidden/>
                <w:rStyle w:val="IndexLink"/>
                <w:rtl w:val="true"/>
              </w:rPr>
              <w:t>أ</w:t>
            </w:r>
            <w:r>
              <w:rPr>
                <w:rStyle w:val="IndexLink"/>
                <w:rtl w:val="true"/>
              </w:rPr>
              <w:t>)</w:t>
            </w:r>
            <w:r>
              <w:rPr>
                <w:rStyle w:val="IndexLink"/>
                <w:rtl w:val="true"/>
              </w:rPr>
              <w:t>الإنتاج الاستحداثی</w:t>
            </w:r>
            <w:r>
              <w:rPr>
                <w:rStyle w:val="IndexLink"/>
                <w:rtl w:val="true"/>
              </w:rPr>
              <w:tab/>
            </w:r>
            <w:r>
              <w:rPr>
                <w:rStyle w:val="IndexLink"/>
              </w:rPr>
              <w:t>163</w:t>
            </w:r>
          </w:hyperlink>
        </w:p>
        <w:p>
          <w:pPr>
            <w:pStyle w:val="Contents6"/>
            <w:tabs>
              <w:tab w:val="clear" w:pos="7609"/>
              <w:tab w:val="right" w:pos="9026" w:leader="dot"/>
            </w:tabs>
            <w:rPr/>
          </w:pPr>
          <w:hyperlink w:anchor="__RefHeading___Toc97456_581953129">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97458_581953129">
            <w:r>
              <w:rPr>
                <w:webHidden/>
                <w:rStyle w:val="IndexLink"/>
                <w:rtl w:val="true"/>
              </w:rPr>
              <w:t>الأوّل</w:t>
            </w:r>
            <w:r>
              <w:rPr>
                <w:rStyle w:val="IndexLink"/>
                <w:rtl w:val="true"/>
              </w:rPr>
              <w:t>:</w:t>
            </w:r>
            <w:r>
              <w:rPr>
                <w:rStyle w:val="IndexLink"/>
                <w:rtl w:val="true"/>
              </w:rPr>
              <w:t>الأرض</w:t>
            </w:r>
            <w:r>
              <w:rPr>
                <w:rStyle w:val="IndexLink"/>
                <w:rtl w:val="true"/>
              </w:rPr>
              <w:tab/>
            </w:r>
            <w:r>
              <w:rPr>
                <w:rStyle w:val="IndexLink"/>
              </w:rPr>
              <w:t>164</w:t>
            </w:r>
          </w:hyperlink>
        </w:p>
        <w:p>
          <w:pPr>
            <w:pStyle w:val="Contents6"/>
            <w:tabs>
              <w:tab w:val="clear" w:pos="7609"/>
              <w:tab w:val="right" w:pos="9026" w:leader="dot"/>
            </w:tabs>
            <w:rPr/>
          </w:pPr>
          <w:hyperlink w:anchor="__RefHeading___Toc97460_581953129">
            <w:r>
              <w:rPr>
                <w:webHidden/>
                <w:rStyle w:val="IndexLink"/>
                <w:rtl w:val="true"/>
              </w:rPr>
              <w:t>الثانی</w:t>
            </w:r>
            <w:r>
              <w:rPr>
                <w:rStyle w:val="IndexLink"/>
                <w:rtl w:val="true"/>
              </w:rPr>
              <w:t>:</w:t>
            </w:r>
            <w:r>
              <w:rPr>
                <w:rStyle w:val="IndexLink"/>
                <w:rtl w:val="true"/>
              </w:rPr>
              <w:t>النبات</w:t>
            </w:r>
            <w:r>
              <w:rPr>
                <w:rStyle w:val="IndexLink"/>
                <w:rtl w:val="true"/>
              </w:rPr>
              <w:tab/>
            </w:r>
            <w:r>
              <w:rPr>
                <w:rStyle w:val="IndexLink"/>
              </w:rPr>
              <w:t>166</w:t>
            </w:r>
          </w:hyperlink>
        </w:p>
        <w:p>
          <w:pPr>
            <w:pStyle w:val="Contents6"/>
            <w:tabs>
              <w:tab w:val="clear" w:pos="7609"/>
              <w:tab w:val="right" w:pos="9026" w:leader="dot"/>
            </w:tabs>
            <w:rPr/>
          </w:pPr>
          <w:hyperlink w:anchor="__RefHeading___Toc97462_581953129">
            <w:r>
              <w:rPr>
                <w:webHidden/>
                <w:rStyle w:val="IndexLink"/>
                <w:rtl w:val="true"/>
              </w:rPr>
              <w:t>الثالث</w:t>
            </w:r>
            <w:r>
              <w:rPr>
                <w:rStyle w:val="IndexLink"/>
                <w:rtl w:val="true"/>
              </w:rPr>
              <w:t>:</w:t>
            </w:r>
            <w:r>
              <w:rPr>
                <w:rStyle w:val="IndexLink"/>
                <w:rtl w:val="true"/>
              </w:rPr>
              <w:t>الزمن</w:t>
            </w:r>
            <w:r>
              <w:rPr>
                <w:rStyle w:val="IndexLink"/>
                <w:rtl w:val="true"/>
              </w:rPr>
              <w:tab/>
            </w:r>
            <w:r>
              <w:rPr>
                <w:rStyle w:val="IndexLink"/>
              </w:rPr>
              <w:t>167</w:t>
            </w:r>
          </w:hyperlink>
        </w:p>
        <w:p>
          <w:pPr>
            <w:pStyle w:val="Contents6"/>
            <w:tabs>
              <w:tab w:val="clear" w:pos="7609"/>
              <w:tab w:val="right" w:pos="9026" w:leader="dot"/>
            </w:tabs>
            <w:rPr/>
          </w:pPr>
          <w:hyperlink w:anchor="__RefHeading___Toc97464_581953129">
            <w:r>
              <w:rPr>
                <w:webHidden/>
                <w:rStyle w:val="IndexLink"/>
                <w:rtl w:val="true"/>
              </w:rPr>
              <w:t>ب</w:t>
            </w:r>
            <w:r>
              <w:rPr>
                <w:rStyle w:val="IndexLink"/>
                <w:rtl w:val="true"/>
              </w:rPr>
              <w:t>)</w:t>
            </w:r>
            <w:r>
              <w:rPr>
                <w:rStyle w:val="IndexLink"/>
                <w:rtl w:val="true"/>
              </w:rPr>
              <w:t>الإنتاج التکمیلی</w:t>
            </w:r>
            <w:r>
              <w:rPr>
                <w:rStyle w:val="IndexLink"/>
                <w:rtl w:val="true"/>
              </w:rPr>
              <w:tab/>
            </w:r>
            <w:r>
              <w:rPr>
                <w:rStyle w:val="IndexLink"/>
              </w:rPr>
              <w:t>168</w:t>
            </w:r>
          </w:hyperlink>
        </w:p>
        <w:p>
          <w:pPr>
            <w:pStyle w:val="Contents6"/>
            <w:tabs>
              <w:tab w:val="clear" w:pos="7609"/>
              <w:tab w:val="right" w:pos="9026" w:leader="dot"/>
            </w:tabs>
            <w:rPr/>
          </w:pPr>
          <w:hyperlink w:anchor="__RefHeading___Toc97466_58195312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7468_581953129">
            <w:r>
              <w:rPr>
                <w:webHidden/>
                <w:rStyle w:val="IndexLink"/>
                <w:rtl w:val="true"/>
              </w:rPr>
              <w:t>الأوّل</w:t>
            </w:r>
            <w:r>
              <w:rPr>
                <w:rStyle w:val="IndexLink"/>
                <w:rtl w:val="true"/>
              </w:rPr>
              <w:t>:</w:t>
            </w:r>
            <w:r>
              <w:rPr>
                <w:rStyle w:val="IndexLink"/>
                <w:rtl w:val="true"/>
              </w:rPr>
              <w:t>النبات</w:t>
            </w:r>
            <w:r>
              <w:rPr>
                <w:rStyle w:val="IndexLink"/>
                <w:rtl w:val="true"/>
              </w:rPr>
              <w:tab/>
            </w:r>
            <w:r>
              <w:rPr>
                <w:rStyle w:val="IndexLink"/>
              </w:rPr>
              <w:t>169</w:t>
            </w:r>
          </w:hyperlink>
        </w:p>
        <w:p>
          <w:pPr>
            <w:pStyle w:val="Contents6"/>
            <w:tabs>
              <w:tab w:val="clear" w:pos="7609"/>
              <w:tab w:val="right" w:pos="9026" w:leader="dot"/>
            </w:tabs>
            <w:rPr/>
          </w:pPr>
          <w:hyperlink w:anchor="__RefHeading___Toc97470_581953129">
            <w:r>
              <w:rPr>
                <w:webHidden/>
                <w:rStyle w:val="IndexLink"/>
                <w:rtl w:val="true"/>
              </w:rPr>
              <w:t>الثانی</w:t>
            </w:r>
            <w:r>
              <w:rPr>
                <w:rStyle w:val="IndexLink"/>
                <w:rtl w:val="true"/>
              </w:rPr>
              <w:t>:</w:t>
            </w:r>
            <w:r>
              <w:rPr>
                <w:rStyle w:val="IndexLink"/>
                <w:rtl w:val="true"/>
              </w:rPr>
              <w:t>الزمن</w:t>
            </w:r>
            <w:r>
              <w:rPr>
                <w:rStyle w:val="IndexLink"/>
                <w:rtl w:val="true"/>
              </w:rPr>
              <w:tab/>
            </w:r>
            <w:r>
              <w:rPr>
                <w:rStyle w:val="IndexLink"/>
              </w:rPr>
              <w:t>173</w:t>
            </w:r>
          </w:hyperlink>
        </w:p>
        <w:p>
          <w:pPr>
            <w:pStyle w:val="Contents3"/>
            <w:tabs>
              <w:tab w:val="clear" w:pos="8459"/>
              <w:tab w:val="right" w:pos="9026" w:leader="dot"/>
            </w:tabs>
            <w:rPr/>
          </w:pPr>
          <w:hyperlink w:anchor="__RefHeading___Toc97472_581953129">
            <w:r>
              <w:rPr>
                <w:webHidden/>
                <w:rStyle w:val="IndexLink"/>
                <w:rtl w:val="true"/>
              </w:rPr>
              <w:t>المبحث الرابع</w:t>
            </w:r>
            <w:r>
              <w:rPr>
                <w:rStyle w:val="IndexLink"/>
                <w:rtl w:val="true"/>
              </w:rPr>
              <w:t>:</w:t>
            </w:r>
            <w:r>
              <w:rPr>
                <w:rStyle w:val="IndexLink"/>
                <w:rtl w:val="true"/>
              </w:rPr>
              <w:t>حدود الحرّیة فی قطاع الخدمات</w:t>
            </w:r>
            <w:r>
              <w:rPr>
                <w:rStyle w:val="IndexLink"/>
                <w:rtl w:val="true"/>
              </w:rPr>
              <w:tab/>
            </w:r>
            <w:r>
              <w:rPr>
                <w:rStyle w:val="IndexLink"/>
              </w:rPr>
              <w:t>175</w:t>
            </w:r>
          </w:hyperlink>
        </w:p>
        <w:p>
          <w:pPr>
            <w:pStyle w:val="Contents4"/>
            <w:tabs>
              <w:tab w:val="clear" w:pos="8176"/>
              <w:tab w:val="right" w:pos="9026" w:leader="dot"/>
            </w:tabs>
            <w:rPr/>
          </w:pPr>
          <w:hyperlink w:anchor="__RefHeading___Toc97474_58195312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97476_581953129">
            <w:r>
              <w:rPr>
                <w:webHidden/>
                <w:rStyle w:val="IndexLink"/>
                <w:rtl w:val="true"/>
              </w:rPr>
              <w:t>المطلب الأوّل</w:t>
            </w:r>
            <w:r>
              <w:rPr>
                <w:rStyle w:val="IndexLink"/>
                <w:rtl w:val="true"/>
              </w:rPr>
              <w:t>:</w:t>
            </w:r>
            <w:r>
              <w:rPr>
                <w:rStyle w:val="IndexLink"/>
                <w:rtl w:val="true"/>
              </w:rPr>
              <w:t>الحدود الشخصیة</w:t>
            </w:r>
            <w:r>
              <w:rPr>
                <w:rStyle w:val="IndexLink"/>
                <w:rtl w:val="true"/>
              </w:rPr>
              <w:tab/>
            </w:r>
            <w:r>
              <w:rPr>
                <w:rStyle w:val="IndexLink"/>
              </w:rPr>
              <w:t>177</w:t>
            </w:r>
          </w:hyperlink>
        </w:p>
        <w:p>
          <w:pPr>
            <w:pStyle w:val="Contents5"/>
            <w:tabs>
              <w:tab w:val="clear" w:pos="7892"/>
              <w:tab w:val="right" w:pos="9026" w:leader="dot"/>
            </w:tabs>
            <w:rPr/>
          </w:pPr>
          <w:hyperlink w:anchor="__RefHeading___Toc97478_581953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7480_581953129">
            <w:r>
              <w:rPr>
                <w:webHidden/>
                <w:rStyle w:val="IndexLink"/>
                <w:rtl w:val="true"/>
              </w:rPr>
              <w:t>أوّلاً</w:t>
            </w:r>
            <w:r>
              <w:rPr>
                <w:rStyle w:val="IndexLink"/>
                <w:rtl w:val="true"/>
              </w:rPr>
              <w:t>:</w:t>
            </w:r>
            <w:r>
              <w:rPr>
                <w:rStyle w:val="IndexLink"/>
                <w:rtl w:val="true"/>
              </w:rPr>
              <w:t>أن لا یکون صغیراً</w:t>
            </w:r>
            <w:r>
              <w:rPr>
                <w:rStyle w:val="IndexLink"/>
                <w:rtl w:val="true"/>
              </w:rPr>
              <w:tab/>
            </w:r>
            <w:r>
              <w:rPr>
                <w:rStyle w:val="IndexLink"/>
              </w:rPr>
              <w:t>178</w:t>
            </w:r>
          </w:hyperlink>
        </w:p>
        <w:p>
          <w:pPr>
            <w:pStyle w:val="Contents5"/>
            <w:tabs>
              <w:tab w:val="clear" w:pos="7892"/>
              <w:tab w:val="right" w:pos="9026" w:leader="dot"/>
            </w:tabs>
            <w:rPr/>
          </w:pPr>
          <w:hyperlink w:anchor="__RefHeading___Toc97482_581953129">
            <w:r>
              <w:rPr>
                <w:webHidden/>
                <w:rStyle w:val="IndexLink"/>
                <w:rtl w:val="true"/>
              </w:rPr>
              <w:t>ثانیاً</w:t>
            </w:r>
            <w:r>
              <w:rPr>
                <w:rStyle w:val="IndexLink"/>
                <w:rtl w:val="true"/>
              </w:rPr>
              <w:t>:</w:t>
            </w:r>
            <w:r>
              <w:rPr>
                <w:rStyle w:val="IndexLink"/>
                <w:rtl w:val="true"/>
              </w:rPr>
              <w:t>أن لا یکون مجنوناً</w:t>
            </w:r>
            <w:r>
              <w:rPr>
                <w:rStyle w:val="IndexLink"/>
                <w:rtl w:val="true"/>
              </w:rPr>
              <w:tab/>
            </w:r>
            <w:r>
              <w:rPr>
                <w:rStyle w:val="IndexLink"/>
              </w:rPr>
              <w:t>179</w:t>
            </w:r>
          </w:hyperlink>
        </w:p>
        <w:p>
          <w:pPr>
            <w:pStyle w:val="Contents5"/>
            <w:tabs>
              <w:tab w:val="clear" w:pos="7892"/>
              <w:tab w:val="right" w:pos="9026" w:leader="dot"/>
            </w:tabs>
            <w:rPr/>
          </w:pPr>
          <w:hyperlink w:anchor="__RefHeading___Toc97484_581953129">
            <w:r>
              <w:rPr>
                <w:webHidden/>
                <w:rStyle w:val="IndexLink"/>
                <w:rtl w:val="true"/>
              </w:rPr>
              <w:t>ثالثاً</w:t>
            </w:r>
            <w:r>
              <w:rPr>
                <w:rStyle w:val="IndexLink"/>
                <w:rtl w:val="true"/>
              </w:rPr>
              <w:t>:</w:t>
            </w:r>
            <w:r>
              <w:rPr>
                <w:rStyle w:val="IndexLink"/>
                <w:rtl w:val="true"/>
              </w:rPr>
              <w:t>أن لا یکون سفیهاً</w:t>
            </w:r>
            <w:r>
              <w:rPr>
                <w:rStyle w:val="IndexLink"/>
                <w:rtl w:val="true"/>
              </w:rPr>
              <w:tab/>
            </w:r>
            <w:r>
              <w:rPr>
                <w:rStyle w:val="IndexLink"/>
              </w:rPr>
              <w:t>181</w:t>
            </w:r>
          </w:hyperlink>
        </w:p>
        <w:p>
          <w:pPr>
            <w:pStyle w:val="Contents5"/>
            <w:tabs>
              <w:tab w:val="clear" w:pos="7892"/>
              <w:tab w:val="right" w:pos="9026" w:leader="dot"/>
            </w:tabs>
            <w:rPr/>
          </w:pPr>
          <w:hyperlink w:anchor="__RefHeading___Toc97486_581953129">
            <w:r>
              <w:rPr>
                <w:webHidden/>
                <w:rStyle w:val="IndexLink"/>
                <w:rtl w:val="true"/>
              </w:rPr>
              <w:t>رابعاً</w:t>
            </w:r>
            <w:r>
              <w:rPr>
                <w:rStyle w:val="IndexLink"/>
                <w:rtl w:val="true"/>
              </w:rPr>
              <w:t>:</w:t>
            </w:r>
            <w:r>
              <w:rPr>
                <w:rStyle w:val="IndexLink"/>
                <w:rtl w:val="true"/>
              </w:rPr>
              <w:t>أن لا یکون مُکرَهاً</w:t>
            </w:r>
            <w:r>
              <w:rPr>
                <w:rStyle w:val="IndexLink"/>
                <w:rtl w:val="true"/>
              </w:rPr>
              <w:tab/>
            </w:r>
            <w:r>
              <w:rPr>
                <w:rStyle w:val="IndexLink"/>
              </w:rPr>
              <w:t>182</w:t>
            </w:r>
          </w:hyperlink>
        </w:p>
        <w:p>
          <w:pPr>
            <w:pStyle w:val="Contents5"/>
            <w:tabs>
              <w:tab w:val="clear" w:pos="7892"/>
              <w:tab w:val="right" w:pos="9026" w:leader="dot"/>
            </w:tabs>
            <w:rPr/>
          </w:pPr>
          <w:hyperlink w:anchor="__RefHeading___Toc97488_581953129">
            <w:r>
              <w:rPr>
                <w:webHidden/>
                <w:rStyle w:val="IndexLink"/>
                <w:rtl w:val="true"/>
              </w:rPr>
              <w:t>خامساً</w:t>
            </w:r>
            <w:r>
              <w:rPr>
                <w:rStyle w:val="IndexLink"/>
                <w:rtl w:val="true"/>
              </w:rPr>
              <w:t>:</w:t>
            </w:r>
            <w:r>
              <w:rPr>
                <w:rStyle w:val="IndexLink"/>
                <w:rtl w:val="true"/>
              </w:rPr>
              <w:t>أن لا یکون مفلّساً</w:t>
            </w:r>
            <w:r>
              <w:rPr>
                <w:rStyle w:val="IndexLink"/>
                <w:rtl w:val="true"/>
              </w:rPr>
              <w:tab/>
            </w:r>
            <w:r>
              <w:rPr>
                <w:rStyle w:val="IndexLink"/>
              </w:rPr>
              <w:t>184</w:t>
            </w:r>
          </w:hyperlink>
        </w:p>
        <w:p>
          <w:pPr>
            <w:pStyle w:val="Contents5"/>
            <w:tabs>
              <w:tab w:val="clear" w:pos="7892"/>
              <w:tab w:val="right" w:pos="9026" w:leader="dot"/>
            </w:tabs>
            <w:rPr/>
          </w:pPr>
          <w:hyperlink w:anchor="__RefHeading___Toc97490_581953129">
            <w:r>
              <w:rPr>
                <w:webHidden/>
                <w:rStyle w:val="IndexLink"/>
                <w:rtl w:val="true"/>
              </w:rPr>
              <w:t>سادساً</w:t>
            </w:r>
            <w:r>
              <w:rPr>
                <w:rStyle w:val="IndexLink"/>
                <w:rtl w:val="true"/>
              </w:rPr>
              <w:t>:</w:t>
            </w:r>
            <w:r>
              <w:rPr>
                <w:rStyle w:val="IndexLink"/>
                <w:rtl w:val="true"/>
              </w:rPr>
              <w:t>أن لا یکون مریضاً مرضَ الموت</w:t>
            </w:r>
            <w:r>
              <w:rPr>
                <w:rStyle w:val="IndexLink"/>
                <w:rtl w:val="true"/>
              </w:rPr>
              <w:tab/>
            </w:r>
            <w:r>
              <w:rPr>
                <w:rStyle w:val="IndexLink"/>
              </w:rPr>
              <w:t>186</w:t>
            </w:r>
          </w:hyperlink>
        </w:p>
        <w:p>
          <w:pPr>
            <w:pStyle w:val="Contents5"/>
            <w:tabs>
              <w:tab w:val="clear" w:pos="7892"/>
              <w:tab w:val="right" w:pos="9026" w:leader="dot"/>
            </w:tabs>
            <w:rPr/>
          </w:pPr>
          <w:hyperlink w:anchor="__RefHeading___Toc97492_581953129">
            <w:r>
              <w:rPr>
                <w:webHidden/>
                <w:rStyle w:val="IndexLink"/>
                <w:rtl w:val="true"/>
              </w:rPr>
              <w:t>سابعاً</w:t>
            </w:r>
            <w:r>
              <w:rPr>
                <w:rStyle w:val="IndexLink"/>
                <w:rtl w:val="true"/>
              </w:rPr>
              <w:t>:</w:t>
            </w:r>
            <w:r>
              <w:rPr>
                <w:rStyle w:val="IndexLink"/>
                <w:rtl w:val="true"/>
              </w:rPr>
              <w:t>الإسلام</w:t>
            </w:r>
            <w:r>
              <w:rPr>
                <w:rStyle w:val="IndexLink"/>
                <w:rtl w:val="true"/>
              </w:rPr>
              <w:tab/>
            </w:r>
            <w:r>
              <w:rPr>
                <w:rStyle w:val="IndexLink"/>
              </w:rPr>
              <w:t>188</w:t>
            </w:r>
          </w:hyperlink>
        </w:p>
        <w:p>
          <w:pPr>
            <w:pStyle w:val="Contents4"/>
            <w:tabs>
              <w:tab w:val="clear" w:pos="8176"/>
              <w:tab w:val="right" w:pos="9026" w:leader="dot"/>
            </w:tabs>
            <w:rPr/>
          </w:pPr>
          <w:hyperlink w:anchor="__RefHeading___Toc97494_581953129">
            <w:r>
              <w:rPr>
                <w:webHidden/>
                <w:rStyle w:val="IndexLink"/>
                <w:rtl w:val="true"/>
              </w:rPr>
              <w:t>المطلب الثانی</w:t>
            </w:r>
            <w:r>
              <w:rPr>
                <w:rStyle w:val="IndexLink"/>
                <w:rtl w:val="true"/>
              </w:rPr>
              <w:t>:</w:t>
            </w:r>
            <w:r>
              <w:rPr>
                <w:rStyle w:val="IndexLink"/>
                <w:rtl w:val="true"/>
              </w:rPr>
              <w:t>الحدود العوضیة</w:t>
            </w:r>
            <w:r>
              <w:rPr>
                <w:rStyle w:val="IndexLink"/>
                <w:rtl w:val="true"/>
              </w:rPr>
              <w:tab/>
            </w:r>
            <w:r>
              <w:rPr>
                <w:rStyle w:val="IndexLink"/>
              </w:rPr>
              <w:t>189</w:t>
            </w:r>
          </w:hyperlink>
        </w:p>
        <w:p>
          <w:pPr>
            <w:pStyle w:val="Contents5"/>
            <w:tabs>
              <w:tab w:val="clear" w:pos="7892"/>
              <w:tab w:val="right" w:pos="9026" w:leader="dot"/>
            </w:tabs>
            <w:rPr/>
          </w:pPr>
          <w:hyperlink w:anchor="__RefHeading___Toc97496_58195312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97498_581953129">
            <w:r>
              <w:rPr>
                <w:webHidden/>
                <w:rStyle w:val="IndexLink"/>
                <w:rtl w:val="true"/>
              </w:rPr>
              <w:t>أوّلاً</w:t>
            </w:r>
            <w:r>
              <w:rPr>
                <w:rStyle w:val="IndexLink"/>
                <w:rtl w:val="true"/>
              </w:rPr>
              <w:t>:</w:t>
            </w:r>
            <w:r>
              <w:rPr>
                <w:rStyle w:val="IndexLink"/>
                <w:rtl w:val="true"/>
              </w:rPr>
              <w:t>عدم السماح بتداول غیر المعین وغیر المعلوم</w:t>
            </w:r>
            <w:r>
              <w:rPr>
                <w:rStyle w:val="IndexLink"/>
                <w:rtl w:val="true"/>
              </w:rPr>
              <w:tab/>
            </w:r>
            <w:r>
              <w:rPr>
                <w:rStyle w:val="IndexLink"/>
              </w:rPr>
              <w:t>190</w:t>
            </w:r>
          </w:hyperlink>
        </w:p>
        <w:p>
          <w:pPr>
            <w:pStyle w:val="Contents5"/>
            <w:tabs>
              <w:tab w:val="clear" w:pos="7892"/>
              <w:tab w:val="right" w:pos="9026" w:leader="dot"/>
            </w:tabs>
            <w:rPr/>
          </w:pPr>
          <w:hyperlink w:anchor="__RefHeading___Toc97500_581953129">
            <w:r>
              <w:rPr>
                <w:webHidden/>
                <w:rStyle w:val="IndexLink"/>
                <w:rtl w:val="true"/>
              </w:rPr>
              <w:t>ثانیاً</w:t>
            </w:r>
            <w:r>
              <w:rPr>
                <w:rStyle w:val="IndexLink"/>
                <w:rtl w:val="true"/>
              </w:rPr>
              <w:t>:</w:t>
            </w:r>
            <w:r>
              <w:rPr>
                <w:rStyle w:val="IndexLink"/>
                <w:rtl w:val="true"/>
              </w:rPr>
              <w:t>عدم السماح بتداول ما لا ینفذ التصرّف فیه</w:t>
            </w:r>
            <w:r>
              <w:rPr>
                <w:rStyle w:val="IndexLink"/>
                <w:rtl w:val="true"/>
              </w:rPr>
              <w:tab/>
            </w:r>
            <w:r>
              <w:rPr>
                <w:rStyle w:val="IndexLink"/>
              </w:rPr>
              <w:t>193</w:t>
            </w:r>
          </w:hyperlink>
        </w:p>
        <w:p>
          <w:pPr>
            <w:pStyle w:val="Contents5"/>
            <w:tabs>
              <w:tab w:val="clear" w:pos="7892"/>
              <w:tab w:val="right" w:pos="9026" w:leader="dot"/>
            </w:tabs>
            <w:rPr/>
          </w:pPr>
          <w:hyperlink w:anchor="__RefHeading___Toc97502_581953129">
            <w:r>
              <w:rPr>
                <w:webHidden/>
                <w:rStyle w:val="IndexLink"/>
                <w:rtl w:val="true"/>
              </w:rPr>
              <w:t>ثالثاً</w:t>
            </w:r>
            <w:r>
              <w:rPr>
                <w:rStyle w:val="IndexLink"/>
                <w:rtl w:val="true"/>
              </w:rPr>
              <w:t>:</w:t>
            </w:r>
            <w:r>
              <w:rPr>
                <w:rStyle w:val="IndexLink"/>
                <w:rtl w:val="true"/>
              </w:rPr>
              <w:t>عدم السماح بالتداول علی غیر المقدور</w:t>
            </w:r>
            <w:r>
              <w:rPr>
                <w:rStyle w:val="IndexLink"/>
                <w:rtl w:val="true"/>
              </w:rPr>
              <w:tab/>
            </w:r>
            <w:r>
              <w:rPr>
                <w:rStyle w:val="IndexLink"/>
              </w:rPr>
              <w:t>195</w:t>
            </w:r>
          </w:hyperlink>
        </w:p>
        <w:p>
          <w:pPr>
            <w:pStyle w:val="Contents5"/>
            <w:tabs>
              <w:tab w:val="clear" w:pos="7892"/>
              <w:tab w:val="right" w:pos="9026" w:leader="dot"/>
            </w:tabs>
            <w:rPr/>
          </w:pPr>
          <w:hyperlink w:anchor="__RefHeading___Toc97504_581953129">
            <w:r>
              <w:rPr>
                <w:webHidden/>
                <w:rStyle w:val="IndexLink"/>
                <w:rtl w:val="true"/>
              </w:rPr>
              <w:t>رابعاً</w:t>
            </w:r>
            <w:r>
              <w:rPr>
                <w:rStyle w:val="IndexLink"/>
                <w:rtl w:val="true"/>
              </w:rPr>
              <w:t>:</w:t>
            </w:r>
            <w:r>
              <w:rPr>
                <w:rStyle w:val="IndexLink"/>
                <w:rtl w:val="true"/>
              </w:rPr>
              <w:t>عدم السماح بتداول غیر النافع</w:t>
            </w:r>
            <w:r>
              <w:rPr>
                <w:rStyle w:val="IndexLink"/>
                <w:rtl w:val="true"/>
              </w:rPr>
              <w:tab/>
            </w:r>
            <w:r>
              <w:rPr>
                <w:rStyle w:val="IndexLink"/>
              </w:rPr>
              <w:t>197</w:t>
            </w:r>
          </w:hyperlink>
        </w:p>
        <w:p>
          <w:pPr>
            <w:pStyle w:val="Contents5"/>
            <w:tabs>
              <w:tab w:val="clear" w:pos="7892"/>
              <w:tab w:val="right" w:pos="9026" w:leader="dot"/>
            </w:tabs>
            <w:rPr/>
          </w:pPr>
          <w:hyperlink w:anchor="__RefHeading___Toc97506_581953129">
            <w:r>
              <w:rPr>
                <w:webHidden/>
                <w:rStyle w:val="IndexLink"/>
                <w:rtl w:val="true"/>
              </w:rPr>
              <w:t>خامساً</w:t>
            </w:r>
            <w:r>
              <w:rPr>
                <w:rStyle w:val="IndexLink"/>
                <w:rtl w:val="true"/>
              </w:rPr>
              <w:t>:</w:t>
            </w:r>
            <w:r>
              <w:rPr>
                <w:rStyle w:val="IndexLink"/>
                <w:rtl w:val="true"/>
              </w:rPr>
              <w:t>عدم السماح بالتداول علی الواجب</w:t>
            </w:r>
            <w:r>
              <w:rPr>
                <w:rStyle w:val="IndexLink"/>
                <w:rtl w:val="true"/>
              </w:rPr>
              <w:tab/>
            </w:r>
            <w:r>
              <w:rPr>
                <w:rStyle w:val="IndexLink"/>
              </w:rPr>
              <w:t>199</w:t>
            </w:r>
          </w:hyperlink>
        </w:p>
        <w:p>
          <w:pPr>
            <w:pStyle w:val="Contents5"/>
            <w:tabs>
              <w:tab w:val="clear" w:pos="7892"/>
              <w:tab w:val="right" w:pos="9026" w:leader="dot"/>
            </w:tabs>
            <w:rPr/>
          </w:pPr>
          <w:hyperlink w:anchor="__RefHeading___Toc97508_581953129">
            <w:r>
              <w:rPr>
                <w:webHidden/>
                <w:rStyle w:val="IndexLink"/>
                <w:rtl w:val="true"/>
              </w:rPr>
              <w:t>سادساً</w:t>
            </w:r>
            <w:r>
              <w:rPr>
                <w:rStyle w:val="IndexLink"/>
                <w:rtl w:val="true"/>
              </w:rPr>
              <w:t>:</w:t>
            </w:r>
            <w:r>
              <w:rPr>
                <w:rStyle w:val="IndexLink"/>
                <w:rtl w:val="true"/>
              </w:rPr>
              <w:t>عدم السماح باحتکار ما یضرّ احتکاره بالعامّة</w:t>
            </w:r>
            <w:r>
              <w:rPr>
                <w:rStyle w:val="IndexLink"/>
                <w:rtl w:val="true"/>
              </w:rPr>
              <w:tab/>
            </w:r>
            <w:r>
              <w:rPr>
                <w:rStyle w:val="IndexLink"/>
              </w:rPr>
              <w:t>201</w:t>
            </w:r>
          </w:hyperlink>
        </w:p>
        <w:p>
          <w:pPr>
            <w:pStyle w:val="Contents5"/>
            <w:tabs>
              <w:tab w:val="clear" w:pos="7892"/>
              <w:tab w:val="right" w:pos="9026" w:leader="dot"/>
            </w:tabs>
            <w:rPr/>
          </w:pPr>
          <w:hyperlink w:anchor="__RefHeading___Toc97510_581953129">
            <w:r>
              <w:rPr>
                <w:webHidden/>
                <w:rStyle w:val="IndexLink"/>
                <w:rtl w:val="true"/>
              </w:rPr>
              <w:t>سابعاً</w:t>
            </w:r>
            <w:r>
              <w:rPr>
                <w:rStyle w:val="IndexLink"/>
                <w:rtl w:val="true"/>
              </w:rPr>
              <w:t>:</w:t>
            </w:r>
            <w:r>
              <w:rPr>
                <w:rStyle w:val="IndexLink"/>
                <w:rtl w:val="true"/>
              </w:rPr>
              <w:t>عدم السماح بالإجحاف بالثمن</w:t>
            </w:r>
            <w:r>
              <w:rPr>
                <w:rStyle w:val="IndexLink"/>
                <w:rtl w:val="true"/>
              </w:rPr>
              <w:tab/>
            </w:r>
            <w:r>
              <w:rPr>
                <w:rStyle w:val="IndexLink"/>
              </w:rPr>
              <w:t>202</w:t>
            </w:r>
          </w:hyperlink>
        </w:p>
        <w:p>
          <w:pPr>
            <w:pStyle w:val="Contents5"/>
            <w:tabs>
              <w:tab w:val="clear" w:pos="7892"/>
              <w:tab w:val="right" w:pos="9026" w:leader="dot"/>
            </w:tabs>
            <w:rPr/>
          </w:pPr>
          <w:hyperlink w:anchor="__RefHeading___Toc97512_581953129">
            <w:r>
              <w:rPr>
                <w:webHidden/>
                <w:rStyle w:val="IndexLink"/>
                <w:rtl w:val="true"/>
              </w:rPr>
              <w:t>ثامناً</w:t>
            </w:r>
            <w:r>
              <w:rPr>
                <w:rStyle w:val="IndexLink"/>
                <w:rtl w:val="true"/>
              </w:rPr>
              <w:t>:</w:t>
            </w:r>
            <w:r>
              <w:rPr>
                <w:rStyle w:val="IndexLink"/>
                <w:rtl w:val="true"/>
              </w:rPr>
              <w:t>عدم السماح بتداول المحظور</w:t>
            </w:r>
            <w:r>
              <w:rPr>
                <w:rStyle w:val="IndexLink"/>
                <w:rtl w:val="true"/>
              </w:rPr>
              <w:tab/>
            </w:r>
            <w:r>
              <w:rPr>
                <w:rStyle w:val="IndexLink"/>
              </w:rPr>
              <w:t>203</w:t>
            </w:r>
          </w:hyperlink>
        </w:p>
        <w:p>
          <w:pPr>
            <w:pStyle w:val="Contents6"/>
            <w:tabs>
              <w:tab w:val="clear" w:pos="7609"/>
              <w:tab w:val="right" w:pos="9026" w:leader="dot"/>
            </w:tabs>
            <w:rPr/>
          </w:pPr>
          <w:hyperlink w:anchor="__RefHeading___Toc97514_581953129">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97516_581953129">
            <w:r>
              <w:rPr>
                <w:webHidden/>
                <w:rStyle w:val="IndexLink"/>
                <w:rtl w:val="true"/>
              </w:rPr>
              <w:t>أ</w:t>
            </w:r>
            <w:r>
              <w:rPr>
                <w:rStyle w:val="IndexLink"/>
                <w:rtl w:val="true"/>
              </w:rPr>
              <w:t>)</w:t>
            </w:r>
            <w:r>
              <w:rPr>
                <w:rStyle w:val="IndexLink"/>
                <w:rtl w:val="true"/>
              </w:rPr>
              <w:t>المحظور الذاتی</w:t>
            </w:r>
            <w:r>
              <w:rPr>
                <w:rStyle w:val="IndexLink"/>
                <w:rtl w:val="true"/>
              </w:rPr>
              <w:tab/>
            </w:r>
            <w:r>
              <w:rPr>
                <w:rStyle w:val="IndexLink"/>
              </w:rPr>
              <w:t>204</w:t>
            </w:r>
          </w:hyperlink>
        </w:p>
        <w:p>
          <w:pPr>
            <w:pStyle w:val="Contents6"/>
            <w:tabs>
              <w:tab w:val="clear" w:pos="7609"/>
              <w:tab w:val="right" w:pos="9026" w:leader="dot"/>
            </w:tabs>
            <w:rPr/>
          </w:pPr>
          <w:hyperlink w:anchor="__RefHeading___Toc97518_58195312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97520_581953129">
            <w:r>
              <w:rPr>
                <w:webHidden/>
                <w:rStyle w:val="IndexLink"/>
                <w:rtl w:val="true"/>
              </w:rPr>
              <w:t>الأوّل</w:t>
            </w:r>
            <w:r>
              <w:rPr>
                <w:rStyle w:val="IndexLink"/>
                <w:rtl w:val="true"/>
              </w:rPr>
              <w:t>:</w:t>
            </w:r>
            <w:r>
              <w:rPr>
                <w:rStyle w:val="IndexLink"/>
                <w:rtl w:val="true"/>
              </w:rPr>
              <w:t>العمل الجنسی</w:t>
            </w:r>
            <w:r>
              <w:rPr>
                <w:rStyle w:val="IndexLink"/>
                <w:rtl w:val="true"/>
              </w:rPr>
              <w:tab/>
            </w:r>
            <w:r>
              <w:rPr>
                <w:rStyle w:val="IndexLink"/>
              </w:rPr>
              <w:t>204</w:t>
            </w:r>
          </w:hyperlink>
        </w:p>
        <w:p>
          <w:pPr>
            <w:pStyle w:val="Contents6"/>
            <w:tabs>
              <w:tab w:val="clear" w:pos="7609"/>
              <w:tab w:val="right" w:pos="9026" w:leader="dot"/>
            </w:tabs>
            <w:rPr/>
          </w:pPr>
          <w:hyperlink w:anchor="__RefHeading___Toc97522_581953129">
            <w:r>
              <w:rPr>
                <w:webHidden/>
                <w:rStyle w:val="IndexLink"/>
                <w:rtl w:val="true"/>
              </w:rPr>
              <w:t>الثانی</w:t>
            </w:r>
            <w:r>
              <w:rPr>
                <w:rStyle w:val="IndexLink"/>
                <w:rtl w:val="true"/>
              </w:rPr>
              <w:t>:</w:t>
            </w:r>
            <w:r>
              <w:rPr>
                <w:rStyle w:val="IndexLink"/>
                <w:rtl w:val="true"/>
              </w:rPr>
              <w:t>العمل اللهوی و الشهوانی</w:t>
            </w:r>
            <w:r>
              <w:rPr>
                <w:rStyle w:val="IndexLink"/>
                <w:rtl w:val="true"/>
              </w:rPr>
              <w:tab/>
            </w:r>
            <w:r>
              <w:rPr>
                <w:rStyle w:val="IndexLink"/>
              </w:rPr>
              <w:t>205</w:t>
            </w:r>
          </w:hyperlink>
        </w:p>
        <w:p>
          <w:pPr>
            <w:pStyle w:val="Contents6"/>
            <w:tabs>
              <w:tab w:val="clear" w:pos="7609"/>
              <w:tab w:val="right" w:pos="9026" w:leader="dot"/>
            </w:tabs>
            <w:rPr/>
          </w:pPr>
          <w:hyperlink w:anchor="__RefHeading___Toc97524_581953129">
            <w:r>
              <w:rPr>
                <w:webHidden/>
                <w:rStyle w:val="IndexLink"/>
                <w:rtl w:val="true"/>
              </w:rPr>
              <w:t>الثالث</w:t>
            </w:r>
            <w:r>
              <w:rPr>
                <w:rStyle w:val="IndexLink"/>
                <w:rtl w:val="true"/>
              </w:rPr>
              <w:t>:</w:t>
            </w:r>
            <w:r>
              <w:rPr>
                <w:rStyle w:val="IndexLink"/>
                <w:rtl w:val="true"/>
              </w:rPr>
              <w:t>العمل الوهمی و الخرافی</w:t>
            </w:r>
            <w:r>
              <w:rPr>
                <w:rStyle w:val="IndexLink"/>
                <w:rtl w:val="true"/>
              </w:rPr>
              <w:tab/>
            </w:r>
            <w:r>
              <w:rPr>
                <w:rStyle w:val="IndexLink"/>
              </w:rPr>
              <w:t>207</w:t>
            </w:r>
          </w:hyperlink>
        </w:p>
        <w:p>
          <w:pPr>
            <w:pStyle w:val="Contents6"/>
            <w:tabs>
              <w:tab w:val="clear" w:pos="7609"/>
              <w:tab w:val="right" w:pos="9026" w:leader="dot"/>
            </w:tabs>
            <w:rPr/>
          </w:pPr>
          <w:hyperlink w:anchor="__RefHeading___Toc97526_581953129">
            <w:r>
              <w:rPr>
                <w:webHidden/>
                <w:rStyle w:val="IndexLink"/>
                <w:rtl w:val="true"/>
              </w:rPr>
              <w:t>الرابع</w:t>
            </w:r>
            <w:r>
              <w:rPr>
                <w:rStyle w:val="IndexLink"/>
                <w:rtl w:val="true"/>
              </w:rPr>
              <w:t>:</w:t>
            </w:r>
            <w:r>
              <w:rPr>
                <w:rStyle w:val="IndexLink"/>
                <w:rtl w:val="true"/>
              </w:rPr>
              <w:t>العمل الدعائی</w:t>
            </w:r>
            <w:r>
              <w:rPr>
                <w:rStyle w:val="IndexLink"/>
                <w:rtl w:val="true"/>
              </w:rPr>
              <w:tab/>
            </w:r>
            <w:r>
              <w:rPr>
                <w:rStyle w:val="IndexLink"/>
              </w:rPr>
              <w:t>209</w:t>
            </w:r>
          </w:hyperlink>
        </w:p>
        <w:p>
          <w:pPr>
            <w:pStyle w:val="Contents6"/>
            <w:tabs>
              <w:tab w:val="clear" w:pos="7609"/>
              <w:tab w:val="right" w:pos="9026" w:leader="dot"/>
            </w:tabs>
            <w:rPr/>
          </w:pPr>
          <w:hyperlink w:anchor="__RefHeading___Toc97528_581953129">
            <w:r>
              <w:rPr>
                <w:webHidden/>
                <w:rStyle w:val="IndexLink"/>
                <w:rtl w:val="true"/>
              </w:rPr>
              <w:t>الخامس</w:t>
            </w:r>
            <w:r>
              <w:rPr>
                <w:rStyle w:val="IndexLink"/>
                <w:rtl w:val="true"/>
              </w:rPr>
              <w:t>:</w:t>
            </w:r>
            <w:r>
              <w:rPr>
                <w:rStyle w:val="IndexLink"/>
                <w:rtl w:val="true"/>
              </w:rPr>
              <w:t>العمل بالمُسْکِر</w:t>
            </w:r>
            <w:r>
              <w:rPr>
                <w:rStyle w:val="IndexLink"/>
                <w:rtl w:val="true"/>
              </w:rPr>
              <w:t>:</w:t>
              <w:tab/>
            </w:r>
            <w:r>
              <w:rPr>
                <w:rStyle w:val="IndexLink"/>
              </w:rPr>
              <w:t>211</w:t>
            </w:r>
          </w:hyperlink>
        </w:p>
        <w:p>
          <w:pPr>
            <w:pStyle w:val="Contents6"/>
            <w:tabs>
              <w:tab w:val="clear" w:pos="7609"/>
              <w:tab w:val="right" w:pos="9026" w:leader="dot"/>
            </w:tabs>
            <w:rPr/>
          </w:pPr>
          <w:hyperlink w:anchor="__RefHeading___Toc97530_581953129">
            <w:r>
              <w:rPr>
                <w:webHidden/>
                <w:rStyle w:val="IndexLink"/>
                <w:rtl w:val="true"/>
              </w:rPr>
              <w:t>السادس</w:t>
            </w:r>
            <w:r>
              <w:rPr>
                <w:rStyle w:val="IndexLink"/>
                <w:rtl w:val="true"/>
              </w:rPr>
              <w:t>:</w:t>
            </w:r>
            <w:r>
              <w:rPr>
                <w:rStyle w:val="IndexLink"/>
                <w:rtl w:val="true"/>
              </w:rPr>
              <w:t>العمل بالقمار</w:t>
            </w:r>
            <w:r>
              <w:rPr>
                <w:rStyle w:val="IndexLink"/>
                <w:rtl w:val="true"/>
              </w:rPr>
              <w:t>:</w:t>
              <w:tab/>
            </w:r>
            <w:r>
              <w:rPr>
                <w:rStyle w:val="IndexLink"/>
              </w:rPr>
              <w:t>211</w:t>
            </w:r>
          </w:hyperlink>
        </w:p>
        <w:p>
          <w:pPr>
            <w:pStyle w:val="Contents6"/>
            <w:tabs>
              <w:tab w:val="clear" w:pos="7609"/>
              <w:tab w:val="right" w:pos="9026" w:leader="dot"/>
            </w:tabs>
            <w:rPr/>
          </w:pPr>
          <w:hyperlink w:anchor="__RefHeading___Toc97532_581953129">
            <w:r>
              <w:rPr>
                <w:webHidden/>
                <w:rStyle w:val="IndexLink"/>
                <w:rtl w:val="true"/>
              </w:rPr>
              <w:t>ب</w:t>
            </w:r>
            <w:r>
              <w:rPr>
                <w:rStyle w:val="IndexLink"/>
                <w:rtl w:val="true"/>
              </w:rPr>
              <w:t>)</w:t>
            </w:r>
            <w:r>
              <w:rPr>
                <w:rStyle w:val="IndexLink"/>
                <w:rtl w:val="true"/>
              </w:rPr>
              <w:t>المحظور التبعی</w:t>
            </w:r>
            <w:r>
              <w:rPr>
                <w:rStyle w:val="IndexLink"/>
                <w:rtl w:val="true"/>
              </w:rPr>
              <w:tab/>
            </w:r>
            <w:r>
              <w:rPr>
                <w:rStyle w:val="IndexLink"/>
              </w:rPr>
              <w:t>212</w:t>
            </w:r>
          </w:hyperlink>
        </w:p>
        <w:p>
          <w:pPr>
            <w:pStyle w:val="Contents5"/>
            <w:tabs>
              <w:tab w:val="clear" w:pos="7892"/>
              <w:tab w:val="right" w:pos="9026" w:leader="dot"/>
            </w:tabs>
            <w:rPr/>
          </w:pPr>
          <w:hyperlink w:anchor="__RefHeading___Toc97534_581953129">
            <w:r>
              <w:rPr>
                <w:webHidden/>
                <w:rStyle w:val="IndexLink"/>
                <w:rtl w:val="true"/>
              </w:rPr>
              <w:t>تاسعاً</w:t>
            </w:r>
            <w:r>
              <w:rPr>
                <w:rStyle w:val="IndexLink"/>
                <w:rtl w:val="true"/>
              </w:rPr>
              <w:t>:</w:t>
            </w:r>
            <w:r>
              <w:rPr>
                <w:rStyle w:val="IndexLink"/>
                <w:rtl w:val="true"/>
              </w:rPr>
              <w:t>عدم السماح بالعمل فی الإعانة علی المحظور</w:t>
            </w:r>
            <w:r>
              <w:rPr>
                <w:rStyle w:val="IndexLink"/>
                <w:rtl w:val="true"/>
              </w:rPr>
              <w:tab/>
            </w:r>
            <w:r>
              <w:rPr>
                <w:rStyle w:val="IndexLink"/>
              </w:rPr>
              <w:t>214</w:t>
            </w:r>
          </w:hyperlink>
        </w:p>
        <w:p>
          <w:pPr>
            <w:pStyle w:val="Contents5"/>
            <w:tabs>
              <w:tab w:val="clear" w:pos="7892"/>
              <w:tab w:val="right" w:pos="9026" w:leader="dot"/>
            </w:tabs>
            <w:rPr/>
          </w:pPr>
          <w:hyperlink w:anchor="__RefHeading___Toc97536_581953129">
            <w:r>
              <w:rPr>
                <w:webHidden/>
                <w:rStyle w:val="IndexLink"/>
                <w:rtl w:val="true"/>
              </w:rPr>
              <w:t>عاشراً</w:t>
            </w:r>
            <w:r>
              <w:rPr>
                <w:rStyle w:val="IndexLink"/>
                <w:rtl w:val="true"/>
              </w:rPr>
              <w:t>:</w:t>
            </w:r>
            <w:r>
              <w:rPr>
                <w:rStyle w:val="IndexLink"/>
                <w:rtl w:val="true"/>
              </w:rPr>
              <w:t>عدم السماح باستیفاء ولو جزء من العوضین دون مقابل</w:t>
            </w:r>
            <w:r>
              <w:rPr>
                <w:rStyle w:val="IndexLink"/>
                <w:rtl w:val="true"/>
              </w:rPr>
              <w:tab/>
            </w:r>
            <w:r>
              <w:rPr>
                <w:rStyle w:val="IndexLink"/>
              </w:rPr>
              <w:t>215</w:t>
            </w:r>
          </w:hyperlink>
        </w:p>
        <w:p>
          <w:pPr>
            <w:pStyle w:val="Contents2"/>
            <w:tabs>
              <w:tab w:val="clear" w:pos="8743"/>
              <w:tab w:val="right" w:pos="9026" w:leader="dot"/>
            </w:tabs>
            <w:rPr/>
          </w:pPr>
          <w:hyperlink w:anchor="__RefHeading___Toc97538_581953129">
            <w:r>
              <w:rPr>
                <w:webHidden/>
                <w:rStyle w:val="IndexLink"/>
                <w:rtl w:val="true"/>
              </w:rPr>
              <w:t>الفصل الثانی</w:t>
            </w:r>
            <w:r>
              <w:rPr>
                <w:rStyle w:val="IndexLink"/>
                <w:rtl w:val="true"/>
              </w:rPr>
              <w:t xml:space="preserve">: </w:t>
            </w:r>
            <w:r>
              <w:rPr>
                <w:rStyle w:val="IndexLink"/>
                <w:rtl w:val="true"/>
              </w:rPr>
              <w:t>ضوابط وحدود حرّیة التوزیع</w:t>
            </w:r>
            <w:r>
              <w:rPr>
                <w:rStyle w:val="IndexLink"/>
                <w:rtl w:val="true"/>
              </w:rPr>
              <w:tab/>
            </w:r>
            <w:r>
              <w:rPr>
                <w:rStyle w:val="IndexLink"/>
              </w:rPr>
              <w:t>222</w:t>
            </w:r>
          </w:hyperlink>
        </w:p>
        <w:p>
          <w:pPr>
            <w:pStyle w:val="Contents3"/>
            <w:tabs>
              <w:tab w:val="clear" w:pos="8459"/>
              <w:tab w:val="right" w:pos="9026" w:leader="dot"/>
            </w:tabs>
            <w:rPr/>
          </w:pPr>
          <w:hyperlink w:anchor="__RefHeading___Toc97540_581953129">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97542_581953129">
            <w:r>
              <w:rPr>
                <w:webHidden/>
                <w:rStyle w:val="IndexLink"/>
                <w:rtl w:val="true"/>
              </w:rPr>
              <w:t>المبحث الأوّل</w:t>
            </w:r>
            <w:r>
              <w:rPr>
                <w:rStyle w:val="IndexLink"/>
                <w:rtl w:val="true"/>
              </w:rPr>
              <w:tab/>
            </w:r>
            <w:r>
              <w:rPr>
                <w:rStyle w:val="IndexLink"/>
              </w:rPr>
              <w:t>224</w:t>
            </w:r>
          </w:hyperlink>
        </w:p>
        <w:p>
          <w:pPr>
            <w:pStyle w:val="Contents4"/>
            <w:tabs>
              <w:tab w:val="clear" w:pos="8176"/>
              <w:tab w:val="right" w:pos="9026" w:leader="dot"/>
            </w:tabs>
            <w:rPr/>
          </w:pPr>
          <w:hyperlink w:anchor="__RefHeading___Toc97544_581953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97546_581953129">
            <w:r>
              <w:rPr>
                <w:webHidden/>
                <w:rStyle w:val="IndexLink"/>
                <w:rtl w:val="true"/>
              </w:rPr>
              <w:t>المطلب الأوّل</w:t>
            </w:r>
            <w:r>
              <w:rPr>
                <w:rStyle w:val="IndexLink"/>
                <w:rtl w:val="true"/>
              </w:rPr>
              <w:t>:</w:t>
            </w:r>
            <w:r>
              <w:rPr>
                <w:rStyle w:val="IndexLink"/>
                <w:rtl w:val="true"/>
              </w:rPr>
              <w:t>مفهوم التوزیع</w:t>
            </w:r>
            <w:r>
              <w:rPr>
                <w:rStyle w:val="IndexLink"/>
                <w:rtl w:val="true"/>
              </w:rPr>
              <w:tab/>
            </w:r>
            <w:r>
              <w:rPr>
                <w:rStyle w:val="IndexLink"/>
              </w:rPr>
              <w:t>224</w:t>
            </w:r>
          </w:hyperlink>
        </w:p>
        <w:p>
          <w:pPr>
            <w:pStyle w:val="Contents5"/>
            <w:tabs>
              <w:tab w:val="clear" w:pos="7892"/>
              <w:tab w:val="right" w:pos="9026" w:leader="dot"/>
            </w:tabs>
            <w:rPr/>
          </w:pPr>
          <w:hyperlink w:anchor="__RefHeading___Toc97548_581953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97550_581953129">
            <w:r>
              <w:rPr>
                <w:webHidden/>
                <w:rStyle w:val="IndexLink"/>
                <w:rtl w:val="true"/>
              </w:rPr>
              <w:t>أوّلاً</w:t>
            </w:r>
            <w:r>
              <w:rPr>
                <w:rStyle w:val="IndexLink"/>
                <w:rtl w:val="true"/>
              </w:rPr>
              <w:t>:</w:t>
            </w:r>
            <w:r>
              <w:rPr>
                <w:rStyle w:val="IndexLink"/>
                <w:rtl w:val="true"/>
              </w:rPr>
              <w:t>التوزیع فی اللغة</w:t>
            </w:r>
            <w:r>
              <w:rPr>
                <w:rStyle w:val="IndexLink"/>
                <w:rtl w:val="true"/>
              </w:rPr>
              <w:tab/>
            </w:r>
            <w:r>
              <w:rPr>
                <w:rStyle w:val="IndexLink"/>
              </w:rPr>
              <w:t>224</w:t>
            </w:r>
          </w:hyperlink>
        </w:p>
        <w:p>
          <w:pPr>
            <w:pStyle w:val="Contents5"/>
            <w:tabs>
              <w:tab w:val="clear" w:pos="7892"/>
              <w:tab w:val="right" w:pos="9026" w:leader="dot"/>
            </w:tabs>
            <w:rPr/>
          </w:pPr>
          <w:hyperlink w:anchor="__RefHeading___Toc97552_581953129">
            <w:r>
              <w:rPr>
                <w:webHidden/>
                <w:rStyle w:val="IndexLink"/>
                <w:rtl w:val="true"/>
              </w:rPr>
              <w:t>ثانیاً</w:t>
            </w:r>
            <w:r>
              <w:rPr>
                <w:rStyle w:val="IndexLink"/>
                <w:rtl w:val="true"/>
              </w:rPr>
              <w:t>:</w:t>
            </w:r>
            <w:r>
              <w:rPr>
                <w:rStyle w:val="IndexLink"/>
                <w:rtl w:val="true"/>
              </w:rPr>
              <w:t>التوزیع فی الاصطلاح</w:t>
            </w:r>
            <w:r>
              <w:rPr>
                <w:rStyle w:val="IndexLink"/>
                <w:rtl w:val="true"/>
              </w:rPr>
              <w:tab/>
            </w:r>
            <w:r>
              <w:rPr>
                <w:rStyle w:val="IndexLink"/>
              </w:rPr>
              <w:t>225</w:t>
            </w:r>
          </w:hyperlink>
        </w:p>
        <w:p>
          <w:pPr>
            <w:pStyle w:val="Contents4"/>
            <w:tabs>
              <w:tab w:val="clear" w:pos="8176"/>
              <w:tab w:val="right" w:pos="9026" w:leader="dot"/>
            </w:tabs>
            <w:rPr/>
          </w:pPr>
          <w:hyperlink w:anchor="__RefHeading___Toc97554_581953129">
            <w:r>
              <w:rPr>
                <w:webHidden/>
                <w:rStyle w:val="IndexLink"/>
                <w:rtl w:val="true"/>
              </w:rPr>
              <w:t>المطلب الثانی</w:t>
            </w:r>
            <w:r>
              <w:rPr>
                <w:rStyle w:val="IndexLink"/>
                <w:rtl w:val="true"/>
              </w:rPr>
              <w:t>:</w:t>
            </w:r>
            <w:r>
              <w:rPr>
                <w:rStyle w:val="IndexLink"/>
                <w:rtl w:val="true"/>
              </w:rPr>
              <w:t>ضوابط التوزیع</w:t>
            </w:r>
            <w:r>
              <w:rPr>
                <w:rStyle w:val="IndexLink"/>
                <w:rtl w:val="true"/>
              </w:rPr>
              <w:tab/>
            </w:r>
            <w:r>
              <w:rPr>
                <w:rStyle w:val="IndexLink"/>
              </w:rPr>
              <w:t>229</w:t>
            </w:r>
          </w:hyperlink>
        </w:p>
        <w:p>
          <w:pPr>
            <w:pStyle w:val="Contents5"/>
            <w:tabs>
              <w:tab w:val="clear" w:pos="7892"/>
              <w:tab w:val="right" w:pos="9026" w:leader="dot"/>
            </w:tabs>
            <w:rPr/>
          </w:pPr>
          <w:hyperlink w:anchor="__RefHeading___Toc97556_58195312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97558_581953129">
            <w:r>
              <w:rPr>
                <w:webHidden/>
                <w:rStyle w:val="IndexLink"/>
                <w:rtl w:val="true"/>
              </w:rPr>
              <w:t>الضابط الأوّل</w:t>
            </w:r>
            <w:r>
              <w:rPr>
                <w:rStyle w:val="IndexLink"/>
                <w:rtl w:val="true"/>
              </w:rPr>
              <w:t>:</w:t>
            </w:r>
            <w:r>
              <w:rPr>
                <w:rStyle w:val="IndexLink"/>
                <w:rtl w:val="true"/>
              </w:rPr>
              <w:t>قیام توزیع ثروات الطبیعة علی القیام بعمل تنموی أو انتفاعی فعلی</w:t>
            </w:r>
            <w:r>
              <w:rPr>
                <w:rStyle w:val="IndexLink"/>
                <w:rtl w:val="true"/>
              </w:rPr>
              <w:t>.</w:t>
              <w:tab/>
            </w:r>
            <w:r>
              <w:rPr>
                <w:rStyle w:val="IndexLink"/>
              </w:rPr>
              <w:t>229</w:t>
            </w:r>
          </w:hyperlink>
        </w:p>
        <w:p>
          <w:pPr>
            <w:pStyle w:val="Contents5"/>
            <w:tabs>
              <w:tab w:val="clear" w:pos="7892"/>
              <w:tab w:val="right" w:pos="9026" w:leader="dot"/>
            </w:tabs>
            <w:rPr/>
          </w:pPr>
          <w:hyperlink w:anchor="__RefHeading___Toc97560_581953129">
            <w:r>
              <w:rPr>
                <w:webHidden/>
                <w:rStyle w:val="IndexLink"/>
                <w:rtl w:val="true"/>
              </w:rPr>
              <w:t>الضابط الثانی</w:t>
            </w:r>
            <w:r>
              <w:rPr>
                <w:rStyle w:val="IndexLink"/>
                <w:rtl w:val="true"/>
              </w:rPr>
              <w:t>:</w:t>
            </w:r>
            <w:r>
              <w:rPr>
                <w:rStyle w:val="IndexLink"/>
                <w:rtl w:val="true"/>
              </w:rPr>
              <w:t>قیام توزیع نتاج الثروات الخاصّة علی أساس العمل المنفَق</w:t>
            </w:r>
            <w:r>
              <w:rPr>
                <w:rStyle w:val="IndexLink"/>
                <w:rtl w:val="true"/>
              </w:rPr>
              <w:tab/>
            </w:r>
            <w:r>
              <w:rPr>
                <w:rStyle w:val="IndexLink"/>
              </w:rPr>
              <w:t>231</w:t>
            </w:r>
          </w:hyperlink>
        </w:p>
        <w:p>
          <w:pPr>
            <w:pStyle w:val="Contents5"/>
            <w:tabs>
              <w:tab w:val="clear" w:pos="7892"/>
              <w:tab w:val="right" w:pos="9026" w:leader="dot"/>
            </w:tabs>
            <w:rPr/>
          </w:pPr>
          <w:hyperlink w:anchor="__RefHeading___Toc97562_581953129">
            <w:r>
              <w:rPr>
                <w:webHidden/>
                <w:rStyle w:val="IndexLink"/>
                <w:rtl w:val="true"/>
              </w:rPr>
              <w:t>الضابط الثالث</w:t>
            </w:r>
            <w:r>
              <w:rPr>
                <w:rStyle w:val="IndexLink"/>
                <w:rtl w:val="true"/>
              </w:rPr>
              <w:t>:</w:t>
            </w:r>
            <w:r>
              <w:rPr>
                <w:rStyle w:val="IndexLink"/>
                <w:rtl w:val="true"/>
              </w:rPr>
              <w:t>استلزام حقّ الجماعة فی الثروات العامّه لضمان عیش المحتاجین</w:t>
            </w:r>
            <w:r>
              <w:rPr>
                <w:rStyle w:val="IndexLink"/>
                <w:rtl w:val="true"/>
              </w:rPr>
              <w:tab/>
            </w:r>
            <w:r>
              <w:rPr>
                <w:rStyle w:val="IndexLink"/>
              </w:rPr>
              <w:t>235</w:t>
            </w:r>
          </w:hyperlink>
        </w:p>
        <w:p>
          <w:pPr>
            <w:pStyle w:val="Contents5"/>
            <w:tabs>
              <w:tab w:val="clear" w:pos="7892"/>
              <w:tab w:val="right" w:pos="9026" w:leader="dot"/>
            </w:tabs>
            <w:rPr/>
          </w:pPr>
          <w:hyperlink w:anchor="__RefHeading___Toc97564_581953129">
            <w:r>
              <w:rPr>
                <w:webHidden/>
                <w:rStyle w:val="IndexLink"/>
                <w:rtl w:val="true"/>
              </w:rPr>
              <w:t>الضابط الرابع</w:t>
            </w:r>
            <w:r>
              <w:rPr>
                <w:rStyle w:val="IndexLink"/>
                <w:rtl w:val="true"/>
              </w:rPr>
              <w:t>:</w:t>
            </w:r>
            <w:r>
              <w:rPr>
                <w:rStyle w:val="IndexLink"/>
                <w:rtl w:val="true"/>
              </w:rPr>
              <w:t>خضوع التوزیع لسلطة الحاکم للحفاظ علی توازن المجتمع وکرامته</w:t>
            </w:r>
            <w:r>
              <w:rPr>
                <w:rStyle w:val="IndexLink"/>
                <w:rtl w:val="true"/>
              </w:rPr>
              <w:tab/>
            </w:r>
            <w:r>
              <w:rPr>
                <w:rStyle w:val="IndexLink"/>
              </w:rPr>
              <w:t>236</w:t>
            </w:r>
          </w:hyperlink>
        </w:p>
        <w:p>
          <w:pPr>
            <w:pStyle w:val="Contents3"/>
            <w:tabs>
              <w:tab w:val="clear" w:pos="8459"/>
              <w:tab w:val="right" w:pos="9026" w:leader="dot"/>
            </w:tabs>
            <w:rPr/>
          </w:pPr>
          <w:hyperlink w:anchor="__RefHeading___Toc97566_581953129">
            <w:r>
              <w:rPr>
                <w:webHidden/>
                <w:rStyle w:val="IndexLink"/>
                <w:rtl w:val="true"/>
              </w:rPr>
              <w:t>المبحث الثانی</w:t>
            </w:r>
            <w:r>
              <w:rPr>
                <w:rStyle w:val="IndexLink"/>
                <w:rtl w:val="true"/>
              </w:rPr>
              <w:tab/>
            </w:r>
            <w:r>
              <w:rPr>
                <w:rStyle w:val="IndexLink"/>
              </w:rPr>
              <w:t>239</w:t>
            </w:r>
          </w:hyperlink>
        </w:p>
        <w:p>
          <w:pPr>
            <w:pStyle w:val="Contents4"/>
            <w:tabs>
              <w:tab w:val="clear" w:pos="8176"/>
              <w:tab w:val="right" w:pos="9026" w:leader="dot"/>
            </w:tabs>
            <w:rPr/>
          </w:pPr>
          <w:hyperlink w:anchor="__RefHeading___Toc97568_581953129">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97570_581953129">
            <w:r>
              <w:rPr>
                <w:webHidden/>
                <w:rStyle w:val="IndexLink"/>
                <w:rtl w:val="true"/>
              </w:rPr>
              <w:t>المطلب الأوّل</w:t>
            </w:r>
            <w:r>
              <w:rPr>
                <w:rStyle w:val="IndexLink"/>
                <w:rtl w:val="true"/>
              </w:rPr>
              <w:t>:</w:t>
            </w:r>
            <w:r>
              <w:rPr>
                <w:rStyle w:val="IndexLink"/>
                <w:rtl w:val="true"/>
              </w:rPr>
              <w:t>حدود الحرّیة فی توزیع الأراضی</w:t>
            </w:r>
            <w:r>
              <w:rPr>
                <w:rStyle w:val="IndexLink"/>
                <w:rtl w:val="true"/>
              </w:rPr>
              <w:tab/>
            </w:r>
            <w:r>
              <w:rPr>
                <w:rStyle w:val="IndexLink"/>
              </w:rPr>
              <w:t>241</w:t>
            </w:r>
          </w:hyperlink>
        </w:p>
        <w:p>
          <w:pPr>
            <w:pStyle w:val="Contents5"/>
            <w:tabs>
              <w:tab w:val="clear" w:pos="7892"/>
              <w:tab w:val="right" w:pos="9026" w:leader="dot"/>
            </w:tabs>
            <w:rPr/>
          </w:pPr>
          <w:hyperlink w:anchor="__RefHeading___Toc97572_58195312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97574_581953129">
            <w:r>
              <w:rPr>
                <w:webHidden/>
                <w:rStyle w:val="IndexLink"/>
                <w:rtl w:val="true"/>
              </w:rPr>
              <w:t>أوّلاً</w:t>
            </w:r>
            <w:r>
              <w:rPr>
                <w:rStyle w:val="IndexLink"/>
                <w:rtl w:val="true"/>
              </w:rPr>
              <w:t>:</w:t>
            </w:r>
            <w:r>
              <w:rPr>
                <w:rStyle w:val="IndexLink"/>
                <w:rtl w:val="true"/>
              </w:rPr>
              <w:t>الأرض الموات</w:t>
            </w:r>
            <w:r>
              <w:rPr>
                <w:rStyle w:val="IndexLink"/>
                <w:rtl w:val="true"/>
              </w:rPr>
              <w:tab/>
            </w:r>
            <w:r>
              <w:rPr>
                <w:rStyle w:val="IndexLink"/>
              </w:rPr>
              <w:t>243</w:t>
            </w:r>
          </w:hyperlink>
        </w:p>
        <w:p>
          <w:pPr>
            <w:pStyle w:val="Contents6"/>
            <w:tabs>
              <w:tab w:val="clear" w:pos="7609"/>
              <w:tab w:val="right" w:pos="9026" w:leader="dot"/>
            </w:tabs>
            <w:rPr/>
          </w:pPr>
          <w:hyperlink w:anchor="__RefHeading___Toc97576_581953129">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97578_581953129">
            <w:r>
              <w:rPr>
                <w:webHidden/>
                <w:rStyle w:val="IndexLink"/>
                <w:rtl w:val="true"/>
              </w:rPr>
              <w:t>أ</w:t>
            </w:r>
            <w:r>
              <w:rPr>
                <w:rStyle w:val="IndexLink"/>
                <w:rtl w:val="true"/>
              </w:rPr>
              <w:t>)</w:t>
            </w:r>
            <w:r>
              <w:rPr>
                <w:rStyle w:val="IndexLink"/>
                <w:rtl w:val="true"/>
              </w:rPr>
              <w:t>عدم السماح بالتصرّف فیها إلّا بإذن الحاکم الشرعی</w:t>
            </w:r>
            <w:r>
              <w:rPr>
                <w:rStyle w:val="IndexLink"/>
                <w:rtl w:val="true"/>
              </w:rPr>
              <w:tab/>
            </w:r>
            <w:r>
              <w:rPr>
                <w:rStyle w:val="IndexLink"/>
              </w:rPr>
              <w:t>243</w:t>
            </w:r>
          </w:hyperlink>
        </w:p>
        <w:p>
          <w:pPr>
            <w:pStyle w:val="Contents6"/>
            <w:tabs>
              <w:tab w:val="clear" w:pos="7609"/>
              <w:tab w:val="right" w:pos="9026" w:leader="dot"/>
            </w:tabs>
            <w:rPr/>
          </w:pPr>
          <w:hyperlink w:anchor="__RefHeading___Toc97580_581953129">
            <w:r>
              <w:rPr>
                <w:webHidden/>
                <w:rStyle w:val="IndexLink"/>
                <w:rtl w:val="true"/>
              </w:rPr>
              <w:t>ب</w:t>
            </w:r>
            <w:r>
              <w:rPr>
                <w:rStyle w:val="IndexLink"/>
                <w:rtl w:val="true"/>
              </w:rPr>
              <w:t>)</w:t>
            </w:r>
            <w:r>
              <w:rPr>
                <w:rStyle w:val="IndexLink"/>
                <w:rtl w:val="true"/>
              </w:rPr>
              <w:t>عدم السماح بالتصرّف فیها إلّا بممارسة عمل إحیائی مستمرّ علیها</w:t>
            </w:r>
            <w:r>
              <w:rPr>
                <w:rStyle w:val="IndexLink"/>
                <w:rtl w:val="true"/>
              </w:rPr>
              <w:tab/>
            </w:r>
            <w:r>
              <w:rPr>
                <w:rStyle w:val="IndexLink"/>
              </w:rPr>
              <w:t>245</w:t>
            </w:r>
          </w:hyperlink>
        </w:p>
        <w:p>
          <w:pPr>
            <w:pStyle w:val="Contents6"/>
            <w:tabs>
              <w:tab w:val="clear" w:pos="7609"/>
              <w:tab w:val="right" w:pos="9026" w:leader="dot"/>
            </w:tabs>
            <w:rPr/>
          </w:pPr>
          <w:hyperlink w:anchor="__RefHeading___Toc97582_581953129">
            <w:r>
              <w:rPr>
                <w:webHidden/>
                <w:rStyle w:val="IndexLink"/>
                <w:rtl w:val="true"/>
              </w:rPr>
              <w:t>ج</w:t>
            </w:r>
            <w:r>
              <w:rPr>
                <w:rStyle w:val="IndexLink"/>
                <w:rtl w:val="true"/>
              </w:rPr>
              <w:t>)</w:t>
            </w:r>
            <w:r>
              <w:rPr>
                <w:rStyle w:val="IndexLink"/>
                <w:rtl w:val="true"/>
              </w:rPr>
              <w:t>عدم السماح بالتصرّف فیها إلّا بممارسة الإحیاء مباشرةً دون وسیط‌</w:t>
            </w:r>
            <w:r>
              <w:rPr>
                <w:rStyle w:val="IndexLink"/>
                <w:rtl w:val="true"/>
              </w:rPr>
              <w:tab/>
            </w:r>
            <w:r>
              <w:rPr>
                <w:rStyle w:val="IndexLink"/>
              </w:rPr>
              <w:t>247</w:t>
            </w:r>
          </w:hyperlink>
        </w:p>
        <w:p>
          <w:pPr>
            <w:pStyle w:val="Contents6"/>
            <w:tabs>
              <w:tab w:val="clear" w:pos="7609"/>
              <w:tab w:val="right" w:pos="9026" w:leader="dot"/>
            </w:tabs>
            <w:rPr/>
          </w:pPr>
          <w:hyperlink w:anchor="__RefHeading___Toc97584_581953129">
            <w:r>
              <w:rPr>
                <w:webHidden/>
                <w:rStyle w:val="IndexLink"/>
                <w:rtl w:val="true"/>
              </w:rPr>
              <w:t>د</w:t>
            </w:r>
            <w:r>
              <w:rPr>
                <w:rStyle w:val="IndexLink"/>
                <w:rtl w:val="true"/>
              </w:rPr>
              <w:t>)</w:t>
            </w:r>
            <w:r>
              <w:rPr>
                <w:rStyle w:val="IndexLink"/>
                <w:rtl w:val="true"/>
              </w:rPr>
              <w:t>عدم السماح بمزاحمة السابق فیما أحیاه أو حجّره</w:t>
            </w:r>
            <w:r>
              <w:rPr>
                <w:rStyle w:val="IndexLink"/>
                <w:rtl w:val="true"/>
              </w:rPr>
              <w:tab/>
            </w:r>
            <w:r>
              <w:rPr>
                <w:rStyle w:val="IndexLink"/>
              </w:rPr>
              <w:t>248</w:t>
            </w:r>
          </w:hyperlink>
        </w:p>
        <w:p>
          <w:pPr>
            <w:pStyle w:val="Contents5"/>
            <w:tabs>
              <w:tab w:val="clear" w:pos="7892"/>
              <w:tab w:val="right" w:pos="9026" w:leader="dot"/>
            </w:tabs>
            <w:rPr/>
          </w:pPr>
          <w:hyperlink w:anchor="__RefHeading___Toc97586_581953129">
            <w:r>
              <w:rPr>
                <w:webHidden/>
                <w:rStyle w:val="IndexLink"/>
                <w:rtl w:val="true"/>
              </w:rPr>
              <w:t>ثانیاً</w:t>
            </w:r>
            <w:r>
              <w:rPr>
                <w:rStyle w:val="IndexLink"/>
                <w:rtl w:val="true"/>
              </w:rPr>
              <w:t>:</w:t>
            </w:r>
            <w:r>
              <w:rPr>
                <w:rStyle w:val="IndexLink"/>
                <w:rtl w:val="true"/>
              </w:rPr>
              <w:t>الأرض العامرة طبیعیاً</w:t>
            </w:r>
            <w:r>
              <w:rPr>
                <w:rStyle w:val="IndexLink"/>
                <w:rtl w:val="true"/>
              </w:rPr>
              <w:tab/>
            </w:r>
            <w:r>
              <w:rPr>
                <w:rStyle w:val="IndexLink"/>
              </w:rPr>
              <w:t>248</w:t>
            </w:r>
          </w:hyperlink>
        </w:p>
        <w:p>
          <w:pPr>
            <w:pStyle w:val="Contents5"/>
            <w:tabs>
              <w:tab w:val="clear" w:pos="7892"/>
              <w:tab w:val="right" w:pos="9026" w:leader="dot"/>
            </w:tabs>
            <w:rPr/>
          </w:pPr>
          <w:hyperlink w:anchor="__RefHeading___Toc97588_581953129">
            <w:r>
              <w:rPr>
                <w:webHidden/>
                <w:rStyle w:val="IndexLink"/>
                <w:rtl w:val="true"/>
              </w:rPr>
              <w:t>ثالثاً</w:t>
            </w:r>
            <w:r>
              <w:rPr>
                <w:rStyle w:val="IndexLink"/>
                <w:rtl w:val="true"/>
              </w:rPr>
              <w:t>:</w:t>
            </w:r>
            <w:r>
              <w:rPr>
                <w:rStyle w:val="IndexLink"/>
                <w:rtl w:val="true"/>
              </w:rPr>
              <w:t>الأرض العامرة بشریاً</w:t>
            </w:r>
            <w:r>
              <w:rPr>
                <w:rStyle w:val="IndexLink"/>
                <w:rtl w:val="true"/>
              </w:rPr>
              <w:tab/>
            </w:r>
            <w:r>
              <w:rPr>
                <w:rStyle w:val="IndexLink"/>
              </w:rPr>
              <w:t>249</w:t>
            </w:r>
          </w:hyperlink>
        </w:p>
        <w:p>
          <w:pPr>
            <w:pStyle w:val="Contents4"/>
            <w:tabs>
              <w:tab w:val="clear" w:pos="8176"/>
              <w:tab w:val="right" w:pos="9026" w:leader="dot"/>
            </w:tabs>
            <w:rPr/>
          </w:pPr>
          <w:hyperlink w:anchor="__RefHeading___Toc97590_581953129">
            <w:r>
              <w:rPr>
                <w:webHidden/>
                <w:rStyle w:val="IndexLink"/>
                <w:rtl w:val="true"/>
              </w:rPr>
              <w:t>المطلب الثانی</w:t>
            </w:r>
            <w:r>
              <w:rPr>
                <w:rStyle w:val="IndexLink"/>
                <w:rtl w:val="true"/>
              </w:rPr>
              <w:t>:</w:t>
            </w:r>
            <w:r>
              <w:rPr>
                <w:rStyle w:val="IndexLink"/>
                <w:rtl w:val="true"/>
              </w:rPr>
              <w:t>حدود الحرّیة فی توزیع الثروات المنقولة</w:t>
            </w:r>
            <w:r>
              <w:rPr>
                <w:rStyle w:val="IndexLink"/>
                <w:rtl w:val="true"/>
              </w:rPr>
              <w:tab/>
            </w:r>
            <w:r>
              <w:rPr>
                <w:rStyle w:val="IndexLink"/>
              </w:rPr>
              <w:t>252</w:t>
            </w:r>
          </w:hyperlink>
        </w:p>
        <w:p>
          <w:pPr>
            <w:pStyle w:val="Contents5"/>
            <w:tabs>
              <w:tab w:val="clear" w:pos="7892"/>
              <w:tab w:val="right" w:pos="9026" w:leader="dot"/>
            </w:tabs>
            <w:rPr/>
          </w:pPr>
          <w:hyperlink w:anchor="__RefHeading___Toc97592_581953129">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97594_581953129">
            <w:r>
              <w:rPr>
                <w:webHidden/>
                <w:rStyle w:val="IndexLink"/>
                <w:rtl w:val="true"/>
              </w:rPr>
              <w:t>أوّلاً</w:t>
            </w:r>
            <w:r>
              <w:rPr>
                <w:rStyle w:val="IndexLink"/>
                <w:rtl w:val="true"/>
              </w:rPr>
              <w:t>:</w:t>
            </w:r>
            <w:r>
              <w:rPr>
                <w:rStyle w:val="IndexLink"/>
                <w:rtl w:val="true"/>
              </w:rPr>
              <w:t>المعادن</w:t>
            </w:r>
            <w:r>
              <w:rPr>
                <w:rStyle w:val="IndexLink"/>
                <w:rtl w:val="true"/>
              </w:rPr>
              <w:tab/>
            </w:r>
            <w:r>
              <w:rPr>
                <w:rStyle w:val="IndexLink"/>
              </w:rPr>
              <w:t>252</w:t>
            </w:r>
          </w:hyperlink>
        </w:p>
        <w:p>
          <w:pPr>
            <w:pStyle w:val="Contents6"/>
            <w:tabs>
              <w:tab w:val="clear" w:pos="7609"/>
              <w:tab w:val="right" w:pos="9026" w:leader="dot"/>
            </w:tabs>
            <w:rPr/>
          </w:pPr>
          <w:hyperlink w:anchor="__RefHeading___Toc97596_581953129">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97598_581953129">
            <w:r>
              <w:rPr>
                <w:webHidden/>
                <w:rStyle w:val="IndexLink"/>
                <w:rtl w:val="true"/>
              </w:rPr>
              <w:t>أ</w:t>
            </w:r>
            <w:r>
              <w:rPr>
                <w:rStyle w:val="IndexLink"/>
                <w:rtl w:val="true"/>
              </w:rPr>
              <w:t>)</w:t>
            </w:r>
            <w:r>
              <w:rPr>
                <w:rStyle w:val="IndexLink"/>
                <w:rtl w:val="true"/>
              </w:rPr>
              <w:t>المعادن الباطنة</w:t>
            </w:r>
            <w:r>
              <w:rPr>
                <w:rStyle w:val="IndexLink"/>
                <w:rtl w:val="true"/>
              </w:rPr>
              <w:t>:</w:t>
              <w:tab/>
            </w:r>
            <w:r>
              <w:rPr>
                <w:rStyle w:val="IndexLink"/>
              </w:rPr>
              <w:t>253</w:t>
            </w:r>
          </w:hyperlink>
        </w:p>
        <w:p>
          <w:pPr>
            <w:pStyle w:val="Contents6"/>
            <w:tabs>
              <w:tab w:val="clear" w:pos="7609"/>
              <w:tab w:val="right" w:pos="9026" w:leader="dot"/>
            </w:tabs>
            <w:rPr/>
          </w:pPr>
          <w:hyperlink w:anchor="__RefHeading___Toc97600_581953129">
            <w:r>
              <w:rPr>
                <w:webHidden/>
                <w:rStyle w:val="IndexLink"/>
                <w:rtl w:val="true"/>
              </w:rPr>
              <w:t>ب</w:t>
            </w:r>
            <w:r>
              <w:rPr>
                <w:rStyle w:val="IndexLink"/>
                <w:rtl w:val="true"/>
              </w:rPr>
              <w:t>)</w:t>
            </w:r>
            <w:r>
              <w:rPr>
                <w:rStyle w:val="IndexLink"/>
                <w:rtl w:val="true"/>
              </w:rPr>
              <w:t>المعادن الظاهرة</w:t>
            </w:r>
            <w:r>
              <w:rPr>
                <w:rStyle w:val="IndexLink"/>
                <w:rtl w:val="true"/>
              </w:rPr>
              <w:t>:</w:t>
              <w:tab/>
            </w:r>
            <w:r>
              <w:rPr>
                <w:rStyle w:val="IndexLink"/>
              </w:rPr>
              <w:t>254</w:t>
            </w:r>
          </w:hyperlink>
        </w:p>
        <w:p>
          <w:pPr>
            <w:pStyle w:val="Contents5"/>
            <w:tabs>
              <w:tab w:val="clear" w:pos="7892"/>
              <w:tab w:val="right" w:pos="9026" w:leader="dot"/>
            </w:tabs>
            <w:rPr/>
          </w:pPr>
          <w:hyperlink w:anchor="__RefHeading___Toc97602_581953129">
            <w:r>
              <w:rPr>
                <w:webHidden/>
                <w:rStyle w:val="IndexLink"/>
                <w:rtl w:val="true"/>
              </w:rPr>
              <w:t>ثانیاً</w:t>
            </w:r>
            <w:r>
              <w:rPr>
                <w:rStyle w:val="IndexLink"/>
                <w:rtl w:val="true"/>
              </w:rPr>
              <w:t>:</w:t>
            </w:r>
            <w:r>
              <w:rPr>
                <w:rStyle w:val="IndexLink"/>
                <w:rtl w:val="true"/>
              </w:rPr>
              <w:t>باقی الثروات</w:t>
            </w:r>
            <w:r>
              <w:rPr>
                <w:rStyle w:val="IndexLink"/>
                <w:rtl w:val="true"/>
              </w:rPr>
              <w:tab/>
            </w:r>
            <w:r>
              <w:rPr>
                <w:rStyle w:val="IndexLink"/>
              </w:rPr>
              <w:t>255</w:t>
            </w:r>
          </w:hyperlink>
        </w:p>
        <w:p>
          <w:pPr>
            <w:pStyle w:val="Contents3"/>
            <w:tabs>
              <w:tab w:val="clear" w:pos="8459"/>
              <w:tab w:val="right" w:pos="9026" w:leader="dot"/>
            </w:tabs>
            <w:rPr/>
          </w:pPr>
          <w:hyperlink w:anchor="__RefHeading___Toc97604_581953129">
            <w:r>
              <w:rPr>
                <w:webHidden/>
                <w:rStyle w:val="IndexLink"/>
                <w:rtl w:val="true"/>
              </w:rPr>
              <w:t>المبحث الثالث</w:t>
            </w:r>
            <w:r>
              <w:rPr>
                <w:rStyle w:val="IndexLink"/>
                <w:rtl w:val="true"/>
              </w:rPr>
              <w:tab/>
            </w:r>
            <w:r>
              <w:rPr>
                <w:rStyle w:val="IndexLink"/>
              </w:rPr>
              <w:t>256</w:t>
            </w:r>
          </w:hyperlink>
        </w:p>
        <w:p>
          <w:pPr>
            <w:pStyle w:val="Contents4"/>
            <w:tabs>
              <w:tab w:val="clear" w:pos="8176"/>
              <w:tab w:val="right" w:pos="9026" w:leader="dot"/>
            </w:tabs>
            <w:rPr/>
          </w:pPr>
          <w:hyperlink w:anchor="__RefHeading___Toc97606_581953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97608_581953129">
            <w:r>
              <w:rPr>
                <w:webHidden/>
                <w:rStyle w:val="IndexLink"/>
                <w:rtl w:val="true"/>
              </w:rPr>
              <w:t>أوّلاً</w:t>
            </w:r>
            <w:r>
              <w:rPr>
                <w:rStyle w:val="IndexLink"/>
                <w:rtl w:val="true"/>
              </w:rPr>
              <w:t>:</w:t>
            </w:r>
            <w:r>
              <w:rPr>
                <w:rStyle w:val="IndexLink"/>
                <w:rtl w:val="true"/>
              </w:rPr>
              <w:t>مادّة الإنتاج</w:t>
            </w:r>
            <w:r>
              <w:rPr>
                <w:rStyle w:val="IndexLink"/>
                <w:rtl w:val="true"/>
              </w:rPr>
              <w:tab/>
            </w:r>
            <w:r>
              <w:rPr>
                <w:rStyle w:val="IndexLink"/>
              </w:rPr>
              <w:t>257</w:t>
            </w:r>
          </w:hyperlink>
        </w:p>
        <w:p>
          <w:pPr>
            <w:pStyle w:val="Contents4"/>
            <w:tabs>
              <w:tab w:val="clear" w:pos="8176"/>
              <w:tab w:val="right" w:pos="9026" w:leader="dot"/>
            </w:tabs>
            <w:rPr/>
          </w:pPr>
          <w:hyperlink w:anchor="__RefHeading___Toc97610_581953129">
            <w:r>
              <w:rPr>
                <w:webHidden/>
                <w:rStyle w:val="IndexLink"/>
                <w:rtl w:val="true"/>
              </w:rPr>
              <w:t>ثانیاً</w:t>
            </w:r>
            <w:r>
              <w:rPr>
                <w:rStyle w:val="IndexLink"/>
                <w:rtl w:val="true"/>
              </w:rPr>
              <w:t>:</w:t>
            </w:r>
            <w:r>
              <w:rPr>
                <w:rStyle w:val="IndexLink"/>
                <w:rtl w:val="true"/>
              </w:rPr>
              <w:t>العمل</w:t>
            </w:r>
            <w:r>
              <w:rPr>
                <w:rStyle w:val="IndexLink"/>
                <w:rtl w:val="true"/>
              </w:rPr>
              <w:tab/>
            </w:r>
            <w:r>
              <w:rPr>
                <w:rStyle w:val="IndexLink"/>
              </w:rPr>
              <w:t>258</w:t>
            </w:r>
          </w:hyperlink>
        </w:p>
        <w:p>
          <w:pPr>
            <w:pStyle w:val="Contents4"/>
            <w:tabs>
              <w:tab w:val="clear" w:pos="8176"/>
              <w:tab w:val="right" w:pos="9026" w:leader="dot"/>
            </w:tabs>
            <w:rPr/>
          </w:pPr>
          <w:hyperlink w:anchor="__RefHeading___Toc97612_581953129">
            <w:r>
              <w:rPr>
                <w:webHidden/>
                <w:rStyle w:val="IndexLink"/>
                <w:rtl w:val="true"/>
              </w:rPr>
              <w:t>ثالثاً</w:t>
            </w:r>
            <w:r>
              <w:rPr>
                <w:rStyle w:val="IndexLink"/>
                <w:rtl w:val="true"/>
              </w:rPr>
              <w:t>:</w:t>
            </w:r>
            <w:r>
              <w:rPr>
                <w:rStyle w:val="IndexLink"/>
                <w:rtl w:val="true"/>
              </w:rPr>
              <w:t>أدوات الإنتاج</w:t>
            </w:r>
            <w:r>
              <w:rPr>
                <w:rStyle w:val="IndexLink"/>
                <w:rtl w:val="true"/>
              </w:rPr>
              <w:tab/>
            </w:r>
            <w:r>
              <w:rPr>
                <w:rStyle w:val="IndexLink"/>
              </w:rPr>
              <w:t>262</w:t>
            </w:r>
          </w:hyperlink>
        </w:p>
        <w:p>
          <w:pPr>
            <w:pStyle w:val="Contents4"/>
            <w:tabs>
              <w:tab w:val="clear" w:pos="8176"/>
              <w:tab w:val="right" w:pos="9026" w:leader="dot"/>
            </w:tabs>
            <w:rPr/>
          </w:pPr>
          <w:hyperlink w:anchor="__RefHeading___Toc97614_581953129">
            <w:r>
              <w:rPr>
                <w:webHidden/>
                <w:rStyle w:val="IndexLink"/>
                <w:rtl w:val="true"/>
              </w:rPr>
              <w:t>رابعاً</w:t>
            </w:r>
            <w:r>
              <w:rPr>
                <w:rStyle w:val="IndexLink"/>
                <w:rtl w:val="true"/>
              </w:rPr>
              <w:t>:</w:t>
            </w:r>
            <w:r>
              <w:rPr>
                <w:rStyle w:val="IndexLink"/>
                <w:rtl w:val="true"/>
              </w:rPr>
              <w:t>رأس المال</w:t>
            </w:r>
            <w:r>
              <w:rPr>
                <w:rStyle w:val="IndexLink"/>
                <w:rtl w:val="true"/>
              </w:rPr>
              <w:tab/>
            </w:r>
            <w:r>
              <w:rPr>
                <w:rStyle w:val="IndexLink"/>
              </w:rPr>
              <w:t>265</w:t>
            </w:r>
          </w:hyperlink>
        </w:p>
        <w:p>
          <w:pPr>
            <w:pStyle w:val="Contents3"/>
            <w:tabs>
              <w:tab w:val="clear" w:pos="8459"/>
              <w:tab w:val="right" w:pos="9026" w:leader="dot"/>
            </w:tabs>
            <w:rPr/>
          </w:pPr>
          <w:hyperlink w:anchor="__RefHeading___Toc97616_581953129">
            <w:r>
              <w:rPr>
                <w:webHidden/>
                <w:rStyle w:val="IndexLink"/>
                <w:rtl w:val="true"/>
              </w:rPr>
              <w:t>المبحث الرابع</w:t>
            </w:r>
            <w:r>
              <w:rPr>
                <w:rStyle w:val="IndexLink"/>
                <w:rtl w:val="true"/>
              </w:rPr>
              <w:tab/>
            </w:r>
            <w:r>
              <w:rPr>
                <w:rStyle w:val="IndexLink"/>
              </w:rPr>
              <w:t>268</w:t>
            </w:r>
          </w:hyperlink>
        </w:p>
        <w:p>
          <w:pPr>
            <w:pStyle w:val="Contents4"/>
            <w:tabs>
              <w:tab w:val="clear" w:pos="8176"/>
              <w:tab w:val="right" w:pos="9026" w:leader="dot"/>
            </w:tabs>
            <w:rPr/>
          </w:pPr>
          <w:hyperlink w:anchor="__RefHeading___Toc97618_581953129">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97620_581953129">
            <w:r>
              <w:rPr>
                <w:webHidden/>
                <w:rStyle w:val="IndexLink"/>
                <w:rtl w:val="true"/>
              </w:rPr>
              <w:t>المطلب الأوّل</w:t>
            </w:r>
            <w:r>
              <w:rPr>
                <w:rStyle w:val="IndexLink"/>
                <w:rtl w:val="true"/>
              </w:rPr>
              <w:t>:</w:t>
            </w:r>
            <w:r>
              <w:rPr>
                <w:rStyle w:val="IndexLink"/>
                <w:rtl w:val="true"/>
              </w:rPr>
              <w:t>حدود الحرّیة فی إعادة التوزیع علی المستوی الفردی</w:t>
            </w:r>
            <w:r>
              <w:rPr>
                <w:rStyle w:val="IndexLink"/>
                <w:rtl w:val="true"/>
              </w:rPr>
              <w:tab/>
            </w:r>
            <w:r>
              <w:rPr>
                <w:rStyle w:val="IndexLink"/>
              </w:rPr>
              <w:t>270</w:t>
            </w:r>
          </w:hyperlink>
        </w:p>
        <w:p>
          <w:pPr>
            <w:pStyle w:val="Contents5"/>
            <w:tabs>
              <w:tab w:val="clear" w:pos="7892"/>
              <w:tab w:val="right" w:pos="9026" w:leader="dot"/>
            </w:tabs>
            <w:rPr/>
          </w:pPr>
          <w:hyperlink w:anchor="__RefHeading___Toc97622_581953129">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97624_581953129">
            <w:r>
              <w:rPr>
                <w:webHidden/>
                <w:rStyle w:val="IndexLink"/>
                <w:rtl w:val="true"/>
              </w:rPr>
              <w:t>أوّلاً</w:t>
            </w:r>
            <w:r>
              <w:rPr>
                <w:rStyle w:val="IndexLink"/>
                <w:rtl w:val="true"/>
              </w:rPr>
              <w:t>:</w:t>
            </w:r>
            <w:r>
              <w:rPr>
                <w:rStyle w:val="IndexLink"/>
                <w:rtl w:val="true"/>
              </w:rPr>
              <w:t>الزکاة</w:t>
            </w:r>
            <w:r>
              <w:rPr>
                <w:rStyle w:val="IndexLink"/>
                <w:rtl w:val="true"/>
              </w:rPr>
              <w:tab/>
            </w:r>
            <w:r>
              <w:rPr>
                <w:rStyle w:val="IndexLink"/>
              </w:rPr>
              <w:t>270</w:t>
            </w:r>
          </w:hyperlink>
        </w:p>
        <w:p>
          <w:pPr>
            <w:pStyle w:val="Contents6"/>
            <w:tabs>
              <w:tab w:val="clear" w:pos="7609"/>
              <w:tab w:val="right" w:pos="9026" w:leader="dot"/>
            </w:tabs>
            <w:rPr/>
          </w:pPr>
          <w:hyperlink w:anchor="__RefHeading___Toc97626_581953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97628_581953129">
            <w:r>
              <w:rPr>
                <w:webHidden/>
                <w:rStyle w:val="IndexLink"/>
                <w:rtl w:val="true"/>
              </w:rPr>
              <w:t>[</w:t>
            </w:r>
            <w:r>
              <w:rPr>
                <w:rStyle w:val="IndexLink"/>
                <w:rtl w:val="true"/>
              </w:rPr>
              <w:t>الحدود المأخوذة فی إعادة توزیعها</w:t>
            </w:r>
            <w:r>
              <w:rPr>
                <w:rStyle w:val="IndexLink"/>
                <w:rtl w:val="true"/>
              </w:rPr>
              <w:t>]</w:t>
              <w:tab/>
            </w:r>
            <w:r>
              <w:rPr>
                <w:rStyle w:val="IndexLink"/>
              </w:rPr>
              <w:t>273</w:t>
            </w:r>
          </w:hyperlink>
        </w:p>
        <w:p>
          <w:pPr>
            <w:pStyle w:val="Contents6"/>
            <w:tabs>
              <w:tab w:val="clear" w:pos="7609"/>
              <w:tab w:val="right" w:pos="9026" w:leader="dot"/>
            </w:tabs>
            <w:rPr/>
          </w:pPr>
          <w:hyperlink w:anchor="__RefHeading___Toc97630_581953129">
            <w:r>
              <w:rPr>
                <w:webHidden/>
                <w:rStyle w:val="IndexLink"/>
                <w:rtl w:val="true"/>
              </w:rPr>
              <w:t>أ</w:t>
            </w:r>
            <w:r>
              <w:rPr>
                <w:rStyle w:val="IndexLink"/>
                <w:rtl w:val="true"/>
              </w:rPr>
              <w:t>)</w:t>
            </w:r>
            <w:r>
              <w:rPr>
                <w:rStyle w:val="IndexLink"/>
                <w:rtl w:val="true"/>
              </w:rPr>
              <w:t>عدم السماح بتوزیعها من دون مراجعة الحاکم الشرعی</w:t>
            </w:r>
            <w:r>
              <w:rPr>
                <w:rStyle w:val="IndexLink"/>
                <w:rtl w:val="true"/>
              </w:rPr>
              <w:tab/>
            </w:r>
            <w:r>
              <w:rPr>
                <w:rStyle w:val="IndexLink"/>
              </w:rPr>
              <w:t>273</w:t>
            </w:r>
          </w:hyperlink>
        </w:p>
        <w:p>
          <w:pPr>
            <w:pStyle w:val="Contents6"/>
            <w:tabs>
              <w:tab w:val="clear" w:pos="7609"/>
              <w:tab w:val="right" w:pos="9026" w:leader="dot"/>
            </w:tabs>
            <w:rPr/>
          </w:pPr>
          <w:hyperlink w:anchor="__RefHeading___Toc97632_581953129">
            <w:r>
              <w:rPr>
                <w:webHidden/>
                <w:rStyle w:val="IndexLink"/>
                <w:rtl w:val="true"/>
              </w:rPr>
              <w:t>ب</w:t>
            </w:r>
            <w:r>
              <w:rPr>
                <w:rStyle w:val="IndexLink"/>
                <w:rtl w:val="true"/>
              </w:rPr>
              <w:t>)</w:t>
            </w:r>
            <w:r>
              <w:rPr>
                <w:rStyle w:val="IndexLink"/>
                <w:rtl w:val="true"/>
              </w:rPr>
              <w:t>عدم السماح بتوزیعها علی القادر علی العمل بما یناسبه مع توفّر أسبابه</w:t>
            </w:r>
            <w:r>
              <w:rPr>
                <w:rStyle w:val="IndexLink"/>
                <w:rtl w:val="true"/>
              </w:rPr>
              <w:tab/>
            </w:r>
            <w:r>
              <w:rPr>
                <w:rStyle w:val="IndexLink"/>
              </w:rPr>
              <w:t>274</w:t>
            </w:r>
          </w:hyperlink>
        </w:p>
        <w:p>
          <w:pPr>
            <w:pStyle w:val="Contents6"/>
            <w:tabs>
              <w:tab w:val="clear" w:pos="7609"/>
              <w:tab w:val="right" w:pos="9026" w:leader="dot"/>
            </w:tabs>
            <w:rPr/>
          </w:pPr>
          <w:hyperlink w:anchor="__RefHeading___Toc97634_581953129">
            <w:r>
              <w:rPr>
                <w:webHidden/>
                <w:rStyle w:val="IndexLink"/>
                <w:rtl w:val="true"/>
              </w:rPr>
              <w:t>ج</w:t>
            </w:r>
            <w:r>
              <w:rPr>
                <w:rStyle w:val="IndexLink"/>
                <w:rtl w:val="true"/>
              </w:rPr>
              <w:t>)</w:t>
            </w:r>
            <w:r>
              <w:rPr>
                <w:rStyle w:val="IndexLink"/>
                <w:rtl w:val="true"/>
              </w:rPr>
              <w:t>عدم السماح بتوزیعها علی من کانت نفقته واجبةً علی غیره بمقدار وجوبها</w:t>
            </w:r>
            <w:r>
              <w:rPr>
                <w:rStyle w:val="IndexLink"/>
                <w:rtl w:val="true"/>
              </w:rPr>
              <w:tab/>
            </w:r>
            <w:r>
              <w:rPr>
                <w:rStyle w:val="IndexLink"/>
              </w:rPr>
              <w:t>274</w:t>
            </w:r>
          </w:hyperlink>
        </w:p>
        <w:p>
          <w:pPr>
            <w:pStyle w:val="Contents6"/>
            <w:tabs>
              <w:tab w:val="clear" w:pos="7609"/>
              <w:tab w:val="right" w:pos="9026" w:leader="dot"/>
            </w:tabs>
            <w:rPr/>
          </w:pPr>
          <w:hyperlink w:anchor="__RefHeading___Toc97636_581953129">
            <w:r>
              <w:rPr>
                <w:webHidden/>
                <w:rStyle w:val="IndexLink"/>
                <w:rtl w:val="true"/>
              </w:rPr>
              <w:t>د</w:t>
            </w:r>
            <w:r>
              <w:rPr>
                <w:rStyle w:val="IndexLink"/>
                <w:rtl w:val="true"/>
              </w:rPr>
              <w:t>)</w:t>
            </w:r>
            <w:r>
              <w:rPr>
                <w:rStyle w:val="IndexLink"/>
                <w:rtl w:val="true"/>
              </w:rPr>
              <w:t>عدم السماح بتوزیع سهم الفقیر علی غیر المسلم</w:t>
            </w:r>
            <w:r>
              <w:rPr>
                <w:rStyle w:val="IndexLink"/>
                <w:rtl w:val="true"/>
              </w:rPr>
              <w:tab/>
            </w:r>
            <w:r>
              <w:rPr>
                <w:rStyle w:val="IndexLink"/>
              </w:rPr>
              <w:t>275</w:t>
            </w:r>
          </w:hyperlink>
        </w:p>
        <w:p>
          <w:pPr>
            <w:pStyle w:val="Contents6"/>
            <w:tabs>
              <w:tab w:val="clear" w:pos="7609"/>
              <w:tab w:val="right" w:pos="9026" w:leader="dot"/>
            </w:tabs>
            <w:rPr/>
          </w:pPr>
          <w:hyperlink w:anchor="__RefHeading___Toc97638_581953129">
            <w:r>
              <w:rPr>
                <w:webHidden/>
                <w:rStyle w:val="IndexLink"/>
                <w:rtl w:val="true"/>
              </w:rPr>
              <w:t>ه</w:t>
            </w:r>
            <w:r>
              <w:rPr>
                <w:rStyle w:val="IndexLink"/>
                <w:rtl w:val="true"/>
              </w:rPr>
              <w:t>)</w:t>
            </w:r>
            <w:r>
              <w:rPr>
                <w:rStyle w:val="IndexLink"/>
                <w:rtl w:val="true"/>
              </w:rPr>
              <w:t>عدم السماح بتوزیع سهم الفقیر علی من ینفقها فی عمل عبثی ضار</w:t>
            </w:r>
            <w:r>
              <w:rPr>
                <w:rStyle w:val="IndexLink"/>
                <w:rtl w:val="true"/>
              </w:rPr>
              <w:tab/>
            </w:r>
            <w:r>
              <w:rPr>
                <w:rStyle w:val="IndexLink"/>
              </w:rPr>
              <w:t>276</w:t>
            </w:r>
          </w:hyperlink>
        </w:p>
        <w:p>
          <w:pPr>
            <w:pStyle w:val="Contents6"/>
            <w:tabs>
              <w:tab w:val="clear" w:pos="7609"/>
              <w:tab w:val="right" w:pos="9026" w:leader="dot"/>
            </w:tabs>
            <w:rPr/>
          </w:pPr>
          <w:hyperlink w:anchor="__RefHeading___Toc97640_581953129">
            <w:r>
              <w:rPr>
                <w:webHidden/>
                <w:rStyle w:val="IndexLink"/>
                <w:rtl w:val="true"/>
              </w:rPr>
              <w:t>و</w:t>
            </w:r>
            <w:r>
              <w:rPr>
                <w:rStyle w:val="IndexLink"/>
                <w:rtl w:val="true"/>
              </w:rPr>
              <w:t>)</w:t>
            </w:r>
            <w:r>
              <w:rPr>
                <w:rStyle w:val="IndexLink"/>
                <w:rtl w:val="true"/>
              </w:rPr>
              <w:t>عدم السماح بإعطاء المستحقّ أکثر من مؤنته</w:t>
            </w:r>
            <w:r>
              <w:rPr>
                <w:rStyle w:val="IndexLink"/>
                <w:rtl w:val="true"/>
              </w:rPr>
              <w:tab/>
            </w:r>
            <w:r>
              <w:rPr>
                <w:rStyle w:val="IndexLink"/>
              </w:rPr>
              <w:t>277</w:t>
            </w:r>
          </w:hyperlink>
        </w:p>
        <w:p>
          <w:pPr>
            <w:pStyle w:val="Contents6"/>
            <w:tabs>
              <w:tab w:val="clear" w:pos="7609"/>
              <w:tab w:val="right" w:pos="9026" w:leader="dot"/>
            </w:tabs>
            <w:rPr/>
          </w:pPr>
          <w:hyperlink w:anchor="__RefHeading___Toc97642_581953129">
            <w:r>
              <w:rPr>
                <w:webHidden/>
                <w:rStyle w:val="IndexLink"/>
                <w:rtl w:val="true"/>
              </w:rPr>
              <w:t>ز</w:t>
            </w:r>
            <w:r>
              <w:rPr>
                <w:rStyle w:val="IndexLink"/>
                <w:rtl w:val="true"/>
              </w:rPr>
              <w:t>)</w:t>
            </w:r>
            <w:r>
              <w:rPr>
                <w:rStyle w:val="IndexLink"/>
                <w:rtl w:val="true"/>
              </w:rPr>
              <w:t>عدم السماح بإعطاء الهاشمی من زکاة غیر الهاشمی</w:t>
            </w:r>
            <w:r>
              <w:rPr>
                <w:rStyle w:val="IndexLink"/>
                <w:rtl w:val="true"/>
              </w:rPr>
              <w:tab/>
            </w:r>
            <w:r>
              <w:rPr>
                <w:rStyle w:val="IndexLink"/>
              </w:rPr>
              <w:t>278</w:t>
            </w:r>
          </w:hyperlink>
        </w:p>
        <w:p>
          <w:pPr>
            <w:pStyle w:val="Contents5"/>
            <w:tabs>
              <w:tab w:val="clear" w:pos="7892"/>
              <w:tab w:val="right" w:pos="9026" w:leader="dot"/>
            </w:tabs>
            <w:rPr/>
          </w:pPr>
          <w:hyperlink w:anchor="__RefHeading___Toc97644_581953129">
            <w:r>
              <w:rPr>
                <w:webHidden/>
                <w:rStyle w:val="IndexLink"/>
                <w:rtl w:val="true"/>
              </w:rPr>
              <w:t>ثانیاً</w:t>
            </w:r>
            <w:r>
              <w:rPr>
                <w:rStyle w:val="IndexLink"/>
                <w:rtl w:val="true"/>
              </w:rPr>
              <w:t>:</w:t>
            </w:r>
            <w:r>
              <w:rPr>
                <w:rStyle w:val="IndexLink"/>
                <w:rtl w:val="true"/>
              </w:rPr>
              <w:t>الخمس</w:t>
            </w:r>
            <w:r>
              <w:rPr>
                <w:rStyle w:val="IndexLink"/>
                <w:rtl w:val="true"/>
              </w:rPr>
              <w:tab/>
            </w:r>
            <w:r>
              <w:rPr>
                <w:rStyle w:val="IndexLink"/>
              </w:rPr>
              <w:t>279</w:t>
            </w:r>
          </w:hyperlink>
        </w:p>
        <w:p>
          <w:pPr>
            <w:pStyle w:val="Contents5"/>
            <w:tabs>
              <w:tab w:val="clear" w:pos="7892"/>
              <w:tab w:val="right" w:pos="9026" w:leader="dot"/>
            </w:tabs>
            <w:rPr/>
          </w:pPr>
          <w:hyperlink w:anchor="__RefHeading___Toc97646_581953129">
            <w:r>
              <w:rPr>
                <w:webHidden/>
                <w:rStyle w:val="IndexLink"/>
                <w:rtl w:val="true"/>
              </w:rPr>
              <w:t>ثالثاً</w:t>
            </w:r>
            <w:r>
              <w:rPr>
                <w:rStyle w:val="IndexLink"/>
                <w:rtl w:val="true"/>
              </w:rPr>
              <w:t>:</w:t>
            </w:r>
            <w:r>
              <w:rPr>
                <w:rStyle w:val="IndexLink"/>
                <w:rtl w:val="true"/>
              </w:rPr>
              <w:t>الکفّارات</w:t>
            </w:r>
            <w:r>
              <w:rPr>
                <w:rStyle w:val="IndexLink"/>
                <w:rtl w:val="true"/>
              </w:rPr>
              <w:tab/>
            </w:r>
            <w:r>
              <w:rPr>
                <w:rStyle w:val="IndexLink"/>
              </w:rPr>
              <w:t>282</w:t>
            </w:r>
          </w:hyperlink>
        </w:p>
        <w:p>
          <w:pPr>
            <w:pStyle w:val="Contents5"/>
            <w:tabs>
              <w:tab w:val="clear" w:pos="7892"/>
              <w:tab w:val="right" w:pos="9026" w:leader="dot"/>
            </w:tabs>
            <w:rPr/>
          </w:pPr>
          <w:hyperlink w:anchor="__RefHeading___Toc97648_581953129">
            <w:r>
              <w:rPr>
                <w:webHidden/>
                <w:rStyle w:val="IndexLink"/>
                <w:rtl w:val="true"/>
              </w:rPr>
              <w:t>رابعاً</w:t>
            </w:r>
            <w:r>
              <w:rPr>
                <w:rStyle w:val="IndexLink"/>
                <w:rtl w:val="true"/>
              </w:rPr>
              <w:t>:</w:t>
            </w:r>
            <w:r>
              <w:rPr>
                <w:rStyle w:val="IndexLink"/>
                <w:rtl w:val="true"/>
              </w:rPr>
              <w:t>المیراث</w:t>
            </w:r>
            <w:r>
              <w:rPr>
                <w:rStyle w:val="IndexLink"/>
                <w:rtl w:val="true"/>
              </w:rPr>
              <w:tab/>
            </w:r>
            <w:r>
              <w:rPr>
                <w:rStyle w:val="IndexLink"/>
              </w:rPr>
              <w:t>284</w:t>
            </w:r>
          </w:hyperlink>
        </w:p>
        <w:p>
          <w:pPr>
            <w:pStyle w:val="Contents6"/>
            <w:tabs>
              <w:tab w:val="clear" w:pos="7609"/>
              <w:tab w:val="right" w:pos="9026" w:leader="dot"/>
            </w:tabs>
            <w:rPr/>
          </w:pPr>
          <w:hyperlink w:anchor="__RefHeading___Toc97650_581953129">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97652_581953129">
            <w:r>
              <w:rPr>
                <w:webHidden/>
                <w:rStyle w:val="IndexLink"/>
                <w:rtl w:val="true"/>
              </w:rPr>
              <w:t>[</w:t>
            </w:r>
            <w:r>
              <w:rPr>
                <w:rStyle w:val="IndexLink"/>
                <w:rtl w:val="true"/>
              </w:rPr>
              <w:t>أمّهات المسائل فیما یرتبط بموضوع المیراث</w:t>
            </w:r>
            <w:r>
              <w:rPr>
                <w:rStyle w:val="IndexLink"/>
                <w:rtl w:val="true"/>
              </w:rPr>
              <w:t>]</w:t>
              <w:tab/>
            </w:r>
            <w:r>
              <w:rPr>
                <w:rStyle w:val="IndexLink"/>
              </w:rPr>
              <w:t>284</w:t>
            </w:r>
          </w:hyperlink>
        </w:p>
        <w:p>
          <w:pPr>
            <w:pStyle w:val="Contents6"/>
            <w:tabs>
              <w:tab w:val="clear" w:pos="7609"/>
              <w:tab w:val="right" w:pos="9026" w:leader="dot"/>
            </w:tabs>
            <w:rPr/>
          </w:pPr>
          <w:hyperlink w:anchor="__RefHeading___Toc97654_581953129">
            <w:r>
              <w:rPr>
                <w:webHidden/>
                <w:rStyle w:val="IndexLink"/>
                <w:rtl w:val="true"/>
              </w:rPr>
              <w:t>أ</w:t>
            </w:r>
            <w:r>
              <w:rPr>
                <w:rStyle w:val="IndexLink"/>
                <w:rtl w:val="true"/>
              </w:rPr>
              <w:t>)</w:t>
            </w:r>
            <w:r>
              <w:rPr>
                <w:rStyle w:val="IndexLink"/>
                <w:rtl w:val="true"/>
              </w:rPr>
              <w:t>عدم السماح بإرث من لم یکن وارثاً نَسبیاً أو سببیاً</w:t>
            </w:r>
            <w:r>
              <w:rPr>
                <w:rStyle w:val="IndexLink"/>
                <w:rtl w:val="true"/>
              </w:rPr>
              <w:tab/>
            </w:r>
            <w:r>
              <w:rPr>
                <w:rStyle w:val="IndexLink"/>
              </w:rPr>
              <w:t>284</w:t>
            </w:r>
          </w:hyperlink>
        </w:p>
        <w:p>
          <w:pPr>
            <w:pStyle w:val="Contents6"/>
            <w:tabs>
              <w:tab w:val="clear" w:pos="7609"/>
              <w:tab w:val="right" w:pos="9026" w:leader="dot"/>
            </w:tabs>
            <w:rPr/>
          </w:pPr>
          <w:hyperlink w:anchor="__RefHeading___Toc97656_581953129">
            <w:r>
              <w:rPr>
                <w:webHidden/>
                <w:rStyle w:val="IndexLink"/>
                <w:rtl w:val="true"/>
              </w:rPr>
              <w:t>ب</w:t>
            </w:r>
            <w:r>
              <w:rPr>
                <w:rStyle w:val="IndexLink"/>
                <w:rtl w:val="true"/>
              </w:rPr>
              <w:t>)</w:t>
            </w:r>
            <w:r>
              <w:rPr>
                <w:rStyle w:val="IndexLink"/>
                <w:rtl w:val="true"/>
              </w:rPr>
              <w:t>عدم السماح بالإرث بالقرابة إلّا بالولادة من نکاح شرعی</w:t>
            </w:r>
            <w:r>
              <w:rPr>
                <w:rStyle w:val="IndexLink"/>
                <w:rtl w:val="true"/>
              </w:rPr>
              <w:tab/>
            </w:r>
            <w:r>
              <w:rPr>
                <w:rStyle w:val="IndexLink"/>
              </w:rPr>
              <w:t>284</w:t>
            </w:r>
          </w:hyperlink>
        </w:p>
        <w:p>
          <w:pPr>
            <w:pStyle w:val="Contents6"/>
            <w:tabs>
              <w:tab w:val="clear" w:pos="7609"/>
              <w:tab w:val="right" w:pos="9026" w:leader="dot"/>
            </w:tabs>
            <w:rPr/>
          </w:pPr>
          <w:hyperlink w:anchor="__RefHeading___Toc97658_581953129">
            <w:r>
              <w:rPr>
                <w:webHidden/>
                <w:rStyle w:val="IndexLink"/>
                <w:rtl w:val="true"/>
              </w:rPr>
              <w:t>ج</w:t>
            </w:r>
            <w:r>
              <w:rPr>
                <w:rStyle w:val="IndexLink"/>
                <w:rtl w:val="true"/>
              </w:rPr>
              <w:t>)</w:t>
            </w:r>
            <w:r>
              <w:rPr>
                <w:rStyle w:val="IndexLink"/>
                <w:rtl w:val="true"/>
              </w:rPr>
              <w:t>عدم السماح بإرث غیر المسلم للمسلم</w:t>
            </w:r>
            <w:r>
              <w:rPr>
                <w:rStyle w:val="IndexLink"/>
                <w:rtl w:val="true"/>
              </w:rPr>
              <w:tab/>
            </w:r>
            <w:r>
              <w:rPr>
                <w:rStyle w:val="IndexLink"/>
              </w:rPr>
              <w:t>285</w:t>
            </w:r>
          </w:hyperlink>
        </w:p>
        <w:p>
          <w:pPr>
            <w:pStyle w:val="Contents6"/>
            <w:tabs>
              <w:tab w:val="clear" w:pos="7609"/>
              <w:tab w:val="right" w:pos="9026" w:leader="dot"/>
            </w:tabs>
            <w:rPr/>
          </w:pPr>
          <w:hyperlink w:anchor="__RefHeading___Toc97660_581953129">
            <w:r>
              <w:rPr>
                <w:webHidden/>
                <w:rStyle w:val="IndexLink"/>
                <w:rtl w:val="true"/>
              </w:rPr>
              <w:t>د</w:t>
            </w:r>
            <w:r>
              <w:rPr>
                <w:rStyle w:val="IndexLink"/>
                <w:rtl w:val="true"/>
              </w:rPr>
              <w:t>)</w:t>
            </w:r>
            <w:r>
              <w:rPr>
                <w:rStyle w:val="IndexLink"/>
                <w:rtl w:val="true"/>
              </w:rPr>
              <w:t>عدم السماح بإرث الوارث إلّا عند تحقّق حیاته وموت المورِّث فی ذات الوقت</w:t>
            </w:r>
            <w:r>
              <w:rPr>
                <w:rStyle w:val="IndexLink"/>
                <w:rtl w:val="true"/>
              </w:rPr>
              <w:tab/>
            </w:r>
            <w:r>
              <w:rPr>
                <w:rStyle w:val="IndexLink"/>
              </w:rPr>
              <w:t>285</w:t>
            </w:r>
          </w:hyperlink>
        </w:p>
        <w:p>
          <w:pPr>
            <w:pStyle w:val="Contents6"/>
            <w:tabs>
              <w:tab w:val="clear" w:pos="7609"/>
              <w:tab w:val="right" w:pos="9026" w:leader="dot"/>
            </w:tabs>
            <w:rPr/>
          </w:pPr>
          <w:hyperlink w:anchor="__RefHeading___Toc97662_581953129">
            <w:r>
              <w:rPr>
                <w:webHidden/>
                <w:rStyle w:val="IndexLink"/>
                <w:rtl w:val="true"/>
              </w:rPr>
              <w:t>ه</w:t>
            </w:r>
            <w:r>
              <w:rPr>
                <w:rStyle w:val="IndexLink"/>
                <w:rtl w:val="true"/>
              </w:rPr>
              <w:t>)</w:t>
            </w:r>
            <w:r>
              <w:rPr>
                <w:rStyle w:val="IndexLink"/>
                <w:rtl w:val="true"/>
              </w:rPr>
              <w:t>عدم السماح بإرث القاتل لمن قتله عمداً</w:t>
            </w:r>
            <w:r>
              <w:rPr>
                <w:rStyle w:val="IndexLink"/>
                <w:rtl w:val="true"/>
              </w:rPr>
              <w:tab/>
            </w:r>
            <w:r>
              <w:rPr>
                <w:rStyle w:val="IndexLink"/>
              </w:rPr>
              <w:t>286</w:t>
            </w:r>
          </w:hyperlink>
        </w:p>
        <w:p>
          <w:pPr>
            <w:pStyle w:val="Contents6"/>
            <w:tabs>
              <w:tab w:val="clear" w:pos="7609"/>
              <w:tab w:val="right" w:pos="9026" w:leader="dot"/>
            </w:tabs>
            <w:rPr/>
          </w:pPr>
          <w:hyperlink w:anchor="__RefHeading___Toc97664_581953129">
            <w:r>
              <w:rPr>
                <w:webHidden/>
                <w:rStyle w:val="IndexLink"/>
                <w:rtl w:val="true"/>
              </w:rPr>
              <w:t>و</w:t>
            </w:r>
            <w:r>
              <w:rPr>
                <w:rStyle w:val="IndexLink"/>
                <w:rtl w:val="true"/>
              </w:rPr>
              <w:t>:</w:t>
            </w:r>
            <w:r>
              <w:rPr>
                <w:rStyle w:val="IndexLink"/>
                <w:rtl w:val="true"/>
              </w:rPr>
              <w:t>عدم السماح بتوارث الزوجین إلّا بنکاح دائم</w:t>
            </w:r>
            <w:r>
              <w:rPr>
                <w:rStyle w:val="IndexLink"/>
                <w:rtl w:val="true"/>
              </w:rPr>
              <w:tab/>
            </w:r>
            <w:r>
              <w:rPr>
                <w:rStyle w:val="IndexLink"/>
              </w:rPr>
              <w:t>286</w:t>
            </w:r>
          </w:hyperlink>
        </w:p>
        <w:p>
          <w:pPr>
            <w:pStyle w:val="Contents6"/>
            <w:tabs>
              <w:tab w:val="clear" w:pos="7609"/>
              <w:tab w:val="right" w:pos="9026" w:leader="dot"/>
            </w:tabs>
            <w:rPr/>
          </w:pPr>
          <w:hyperlink w:anchor="__RefHeading___Toc97666_581953129">
            <w:r>
              <w:rPr>
                <w:webHidden/>
                <w:rStyle w:val="IndexLink"/>
                <w:rtl w:val="true"/>
              </w:rPr>
              <w:t>ز</w:t>
            </w:r>
            <w:r>
              <w:rPr>
                <w:rStyle w:val="IndexLink"/>
                <w:rtl w:val="true"/>
              </w:rPr>
              <w:t>)</w:t>
            </w:r>
            <w:r>
              <w:rPr>
                <w:rStyle w:val="IndexLink"/>
                <w:rtl w:val="true"/>
              </w:rPr>
              <w:t>عدم السماح بتوارث غیر الزوجین سببیاً إلّا بفقد الوارث النَّسبی</w:t>
            </w:r>
            <w:r>
              <w:rPr>
                <w:rStyle w:val="IndexLink"/>
                <w:rtl w:val="true"/>
              </w:rPr>
              <w:tab/>
            </w:r>
            <w:r>
              <w:rPr>
                <w:rStyle w:val="IndexLink"/>
              </w:rPr>
              <w:t>287</w:t>
            </w:r>
          </w:hyperlink>
        </w:p>
        <w:p>
          <w:pPr>
            <w:pStyle w:val="Contents6"/>
            <w:tabs>
              <w:tab w:val="clear" w:pos="7609"/>
              <w:tab w:val="right" w:pos="9026" w:leader="dot"/>
            </w:tabs>
            <w:rPr/>
          </w:pPr>
          <w:hyperlink w:anchor="__RefHeading___Toc97668_581953129">
            <w:r>
              <w:rPr>
                <w:webHidden/>
                <w:rStyle w:val="IndexLink"/>
                <w:rtl w:val="true"/>
              </w:rPr>
              <w:t>ح</w:t>
            </w:r>
            <w:r>
              <w:rPr>
                <w:rStyle w:val="IndexLink"/>
                <w:rtl w:val="true"/>
              </w:rPr>
              <w:t>)</w:t>
            </w:r>
            <w:r>
              <w:rPr>
                <w:rStyle w:val="IndexLink"/>
                <w:rtl w:val="true"/>
              </w:rPr>
              <w:t>عدم السماح بتوارث الزوجین بوقوع زواجهما فی مرض الموت للزوج إذا مات قبل الدخول</w:t>
            </w:r>
            <w:r>
              <w:rPr>
                <w:rStyle w:val="IndexLink"/>
                <w:rtl w:val="true"/>
              </w:rPr>
              <w:tab/>
            </w:r>
            <w:r>
              <w:rPr>
                <w:rStyle w:val="IndexLink"/>
              </w:rPr>
              <w:t>287</w:t>
            </w:r>
          </w:hyperlink>
        </w:p>
        <w:p>
          <w:pPr>
            <w:pStyle w:val="Contents6"/>
            <w:tabs>
              <w:tab w:val="clear" w:pos="7609"/>
              <w:tab w:val="right" w:pos="9026" w:leader="dot"/>
            </w:tabs>
            <w:rPr/>
          </w:pPr>
          <w:hyperlink w:anchor="__RefHeading___Toc97670_581953129">
            <w:r>
              <w:rPr>
                <w:webHidden/>
                <w:rStyle w:val="IndexLink"/>
                <w:rtl w:val="true"/>
              </w:rPr>
              <w:t>ط</w:t>
            </w:r>
            <w:r>
              <w:rPr>
                <w:rStyle w:val="IndexLink"/>
                <w:rtl w:val="true"/>
              </w:rPr>
              <w:t>)</w:t>
            </w:r>
            <w:r>
              <w:rPr>
                <w:rStyle w:val="IndexLink"/>
                <w:rtl w:val="true"/>
              </w:rPr>
              <w:t>عدم السماح بإرث مطلّقة المریض إلّا بموته بذلک المرض فی سنته ولم یکن برضاها ولم تتزوج</w:t>
            </w:r>
            <w:r>
              <w:rPr>
                <w:rStyle w:val="IndexLink"/>
                <w:rtl w:val="true"/>
              </w:rPr>
              <w:tab/>
            </w:r>
            <w:r>
              <w:rPr>
                <w:rStyle w:val="IndexLink"/>
              </w:rPr>
              <w:t>288</w:t>
            </w:r>
          </w:hyperlink>
        </w:p>
        <w:p>
          <w:pPr>
            <w:pStyle w:val="Contents6"/>
            <w:tabs>
              <w:tab w:val="clear" w:pos="7609"/>
              <w:tab w:val="right" w:pos="9026" w:leader="dot"/>
            </w:tabs>
            <w:rPr/>
          </w:pPr>
          <w:hyperlink w:anchor="__RefHeading___Toc97672_581953129">
            <w:r>
              <w:rPr>
                <w:webHidden/>
                <w:rStyle w:val="IndexLink"/>
                <w:rtl w:val="true"/>
              </w:rPr>
              <w:t>ی</w:t>
            </w:r>
            <w:r>
              <w:rPr>
                <w:rStyle w:val="IndexLink"/>
                <w:rtl w:val="true"/>
              </w:rPr>
              <w:t>)</w:t>
            </w:r>
            <w:r>
              <w:rPr>
                <w:rStyle w:val="IndexLink"/>
                <w:rtl w:val="true"/>
              </w:rPr>
              <w:t>عدم السماح بتنفیذ وصیة المریض مرض الموت بأکثر من الثلث إلّا برضی الورثة</w:t>
            </w:r>
            <w:r>
              <w:rPr>
                <w:rStyle w:val="IndexLink"/>
                <w:rtl w:val="true"/>
              </w:rPr>
              <w:tab/>
            </w:r>
            <w:r>
              <w:rPr>
                <w:rStyle w:val="IndexLink"/>
              </w:rPr>
              <w:t>288</w:t>
            </w:r>
          </w:hyperlink>
        </w:p>
        <w:p>
          <w:pPr>
            <w:pStyle w:val="Contents6"/>
            <w:tabs>
              <w:tab w:val="clear" w:pos="7609"/>
              <w:tab w:val="right" w:pos="9026" w:leader="dot"/>
            </w:tabs>
            <w:rPr/>
          </w:pPr>
          <w:hyperlink w:anchor="__RefHeading___Toc97674_581953129">
            <w:r>
              <w:rPr>
                <w:webHidden/>
                <w:rStyle w:val="IndexLink"/>
                <w:rtl w:val="true"/>
              </w:rPr>
              <w:t>ک</w:t>
            </w:r>
            <w:r>
              <w:rPr>
                <w:rStyle w:val="IndexLink"/>
                <w:rtl w:val="true"/>
              </w:rPr>
              <w:t>)</w:t>
            </w:r>
            <w:r>
              <w:rPr>
                <w:rStyle w:val="IndexLink"/>
                <w:rtl w:val="true"/>
              </w:rPr>
              <w:t>عدم السماح بإرث الإمام إلّا بفقد الوارث النَّسبی وضامن الجریرة و الزوج و الموصی له</w:t>
            </w:r>
            <w:r>
              <w:rPr>
                <w:rStyle w:val="IndexLink"/>
                <w:rtl w:val="true"/>
              </w:rPr>
              <w:tab/>
            </w:r>
            <w:r>
              <w:rPr>
                <w:rStyle w:val="IndexLink"/>
              </w:rPr>
              <w:t>289</w:t>
            </w:r>
          </w:hyperlink>
        </w:p>
        <w:p>
          <w:pPr>
            <w:pStyle w:val="Contents6"/>
            <w:tabs>
              <w:tab w:val="clear" w:pos="7609"/>
              <w:tab w:val="right" w:pos="9026" w:leader="dot"/>
            </w:tabs>
            <w:rPr/>
          </w:pPr>
          <w:hyperlink w:anchor="__RefHeading___Toc97676_581953129">
            <w:r>
              <w:rPr>
                <w:webHidden/>
                <w:rStyle w:val="IndexLink"/>
                <w:rtl w:val="true"/>
              </w:rPr>
              <w:t>ل</w:t>
            </w:r>
            <w:r>
              <w:rPr>
                <w:rStyle w:val="IndexLink"/>
                <w:rtl w:val="true"/>
              </w:rPr>
              <w:t>)</w:t>
            </w:r>
            <w:r>
              <w:rPr>
                <w:rStyle w:val="IndexLink"/>
                <w:rtl w:val="true"/>
              </w:rPr>
              <w:t>عدم السماح بإرث الأبعد مع وجود الأقرب</w:t>
            </w:r>
            <w:r>
              <w:rPr>
                <w:rStyle w:val="IndexLink"/>
                <w:rtl w:val="true"/>
              </w:rPr>
              <w:tab/>
            </w:r>
            <w:r>
              <w:rPr>
                <w:rStyle w:val="IndexLink"/>
              </w:rPr>
              <w:t>290</w:t>
            </w:r>
          </w:hyperlink>
        </w:p>
        <w:p>
          <w:pPr>
            <w:pStyle w:val="Contents4"/>
            <w:tabs>
              <w:tab w:val="clear" w:pos="8176"/>
              <w:tab w:val="right" w:pos="9026" w:leader="dot"/>
            </w:tabs>
            <w:rPr/>
          </w:pPr>
          <w:hyperlink w:anchor="__RefHeading___Toc97678_581953129">
            <w:r>
              <w:rPr>
                <w:webHidden/>
                <w:rStyle w:val="IndexLink"/>
                <w:rtl w:val="true"/>
              </w:rPr>
              <w:t>المطلب الثانی</w:t>
            </w:r>
            <w:r>
              <w:rPr>
                <w:rStyle w:val="IndexLink"/>
                <w:rtl w:val="true"/>
              </w:rPr>
              <w:t>:</w:t>
            </w:r>
            <w:r>
              <w:rPr>
                <w:rStyle w:val="IndexLink"/>
                <w:rtl w:val="true"/>
              </w:rPr>
              <w:t>حدود الحرّیة فی إعادة التوزیع علی المستوی الجماعی</w:t>
            </w:r>
            <w:r>
              <w:rPr>
                <w:rStyle w:val="IndexLink"/>
                <w:rtl w:val="true"/>
              </w:rPr>
              <w:tab/>
            </w:r>
            <w:r>
              <w:rPr>
                <w:rStyle w:val="IndexLink"/>
              </w:rPr>
              <w:t>291</w:t>
            </w:r>
          </w:hyperlink>
        </w:p>
        <w:p>
          <w:pPr>
            <w:pStyle w:val="Contents5"/>
            <w:tabs>
              <w:tab w:val="clear" w:pos="7892"/>
              <w:tab w:val="right" w:pos="9026" w:leader="dot"/>
            </w:tabs>
            <w:rPr/>
          </w:pPr>
          <w:hyperlink w:anchor="__RefHeading___Toc97680_581953129">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97682_581953129">
            <w:r>
              <w:rPr>
                <w:webHidden/>
                <w:rStyle w:val="IndexLink"/>
                <w:rtl w:val="true"/>
              </w:rPr>
              <w:t>أوّلاً</w:t>
            </w:r>
            <w:r>
              <w:rPr>
                <w:rStyle w:val="IndexLink"/>
                <w:rtl w:val="true"/>
              </w:rPr>
              <w:t>:</w:t>
            </w:r>
            <w:r>
              <w:rPr>
                <w:rStyle w:val="IndexLink"/>
                <w:rtl w:val="true"/>
              </w:rPr>
              <w:t>الخراج</w:t>
            </w:r>
            <w:r>
              <w:rPr>
                <w:rStyle w:val="IndexLink"/>
                <w:rtl w:val="true"/>
              </w:rPr>
              <w:tab/>
            </w:r>
            <w:r>
              <w:rPr>
                <w:rStyle w:val="IndexLink"/>
              </w:rPr>
              <w:t>291</w:t>
            </w:r>
          </w:hyperlink>
        </w:p>
        <w:p>
          <w:pPr>
            <w:pStyle w:val="Contents5"/>
            <w:tabs>
              <w:tab w:val="clear" w:pos="7892"/>
              <w:tab w:val="right" w:pos="9026" w:leader="dot"/>
            </w:tabs>
            <w:rPr/>
          </w:pPr>
          <w:hyperlink w:anchor="__RefHeading___Toc97684_581953129">
            <w:r>
              <w:rPr>
                <w:webHidden/>
                <w:rStyle w:val="IndexLink"/>
                <w:rtl w:val="true"/>
              </w:rPr>
              <w:t>ثانیاً</w:t>
            </w:r>
            <w:r>
              <w:rPr>
                <w:rStyle w:val="IndexLink"/>
                <w:rtl w:val="true"/>
              </w:rPr>
              <w:t>:</w:t>
            </w:r>
            <w:r>
              <w:rPr>
                <w:rStyle w:val="IndexLink"/>
                <w:rtl w:val="true"/>
              </w:rPr>
              <w:t>الفیء</w:t>
            </w:r>
            <w:r>
              <w:rPr>
                <w:rStyle w:val="IndexLink"/>
                <w:rtl w:val="true"/>
              </w:rPr>
              <w:tab/>
            </w:r>
            <w:r>
              <w:rPr>
                <w:rStyle w:val="IndexLink"/>
              </w:rPr>
              <w:t>292</w:t>
            </w:r>
          </w:hyperlink>
        </w:p>
        <w:p>
          <w:pPr>
            <w:pStyle w:val="Contents5"/>
            <w:tabs>
              <w:tab w:val="clear" w:pos="7892"/>
              <w:tab w:val="right" w:pos="9026" w:leader="dot"/>
            </w:tabs>
            <w:rPr/>
          </w:pPr>
          <w:hyperlink w:anchor="__RefHeading___Toc97686_581953129">
            <w:r>
              <w:rPr>
                <w:webHidden/>
                <w:rStyle w:val="IndexLink"/>
                <w:rtl w:val="true"/>
              </w:rPr>
              <w:t>ثالثاً</w:t>
            </w:r>
            <w:r>
              <w:rPr>
                <w:rStyle w:val="IndexLink"/>
                <w:rtl w:val="true"/>
              </w:rPr>
              <w:t>:</w:t>
            </w:r>
            <w:r>
              <w:rPr>
                <w:rStyle w:val="IndexLink"/>
                <w:rtl w:val="true"/>
              </w:rPr>
              <w:t>میراث من لا وارث له</w:t>
            </w:r>
            <w:r>
              <w:rPr>
                <w:rStyle w:val="IndexLink"/>
                <w:rtl w:val="true"/>
              </w:rPr>
              <w:tab/>
            </w:r>
            <w:r>
              <w:rPr>
                <w:rStyle w:val="IndexLink"/>
              </w:rPr>
              <w:t>293</w:t>
            </w:r>
          </w:hyperlink>
        </w:p>
        <w:p>
          <w:pPr>
            <w:pStyle w:val="Contents2"/>
            <w:tabs>
              <w:tab w:val="clear" w:pos="8743"/>
              <w:tab w:val="right" w:pos="9026" w:leader="dot"/>
            </w:tabs>
            <w:rPr/>
          </w:pPr>
          <w:hyperlink w:anchor="__RefHeading___Toc97688_581953129">
            <w:r>
              <w:rPr>
                <w:webHidden/>
                <w:rStyle w:val="IndexLink"/>
                <w:rtl w:val="true"/>
              </w:rPr>
              <w:t>الفصل الثالث</w:t>
            </w:r>
            <w:r>
              <w:rPr>
                <w:rStyle w:val="IndexLink"/>
                <w:rtl w:val="true"/>
              </w:rPr>
              <w:t xml:space="preserve">: </w:t>
            </w:r>
            <w:r>
              <w:rPr>
                <w:rStyle w:val="IndexLink"/>
                <w:rtl w:val="true"/>
              </w:rPr>
              <w:t>ضوابط وحدود حرّیة الاستهلاک</w:t>
            </w:r>
            <w:r>
              <w:rPr>
                <w:rStyle w:val="IndexLink"/>
                <w:rtl w:val="true"/>
              </w:rPr>
              <w:tab/>
            </w:r>
            <w:r>
              <w:rPr>
                <w:rStyle w:val="IndexLink"/>
              </w:rPr>
              <w:t>295</w:t>
            </w:r>
          </w:hyperlink>
        </w:p>
        <w:p>
          <w:pPr>
            <w:pStyle w:val="Contents3"/>
            <w:tabs>
              <w:tab w:val="clear" w:pos="8459"/>
              <w:tab w:val="right" w:pos="9026" w:leader="dot"/>
            </w:tabs>
            <w:rPr/>
          </w:pPr>
          <w:hyperlink w:anchor="__RefHeading___Toc97690_581953129">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97692_581953129">
            <w:r>
              <w:rPr>
                <w:webHidden/>
                <w:rStyle w:val="IndexLink"/>
                <w:rtl w:val="true"/>
              </w:rPr>
              <w:t>المبحث الأول</w:t>
            </w:r>
            <w:r>
              <w:rPr>
                <w:rStyle w:val="IndexLink"/>
                <w:rtl w:val="true"/>
              </w:rPr>
              <w:t>:</w:t>
            </w:r>
            <w:r>
              <w:rPr>
                <w:rStyle w:val="IndexLink"/>
                <w:rtl w:val="true"/>
              </w:rPr>
              <w:t>الاستهلاک؛المفهوم و الضوابط</w:t>
            </w:r>
            <w:r>
              <w:rPr>
                <w:rStyle w:val="IndexLink"/>
                <w:rtl w:val="true"/>
              </w:rPr>
              <w:tab/>
            </w:r>
            <w:r>
              <w:rPr>
                <w:rStyle w:val="IndexLink"/>
              </w:rPr>
              <w:t>297</w:t>
            </w:r>
          </w:hyperlink>
        </w:p>
        <w:p>
          <w:pPr>
            <w:pStyle w:val="Contents4"/>
            <w:tabs>
              <w:tab w:val="clear" w:pos="8176"/>
              <w:tab w:val="right" w:pos="9026" w:leader="dot"/>
            </w:tabs>
            <w:rPr/>
          </w:pPr>
          <w:hyperlink w:anchor="__RefHeading___Toc97694_581953129">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97696_581953129">
            <w:r>
              <w:rPr>
                <w:webHidden/>
                <w:rStyle w:val="IndexLink"/>
                <w:rtl w:val="true"/>
              </w:rPr>
              <w:t>المطلب الأوّل</w:t>
            </w:r>
            <w:r>
              <w:rPr>
                <w:rStyle w:val="IndexLink"/>
                <w:rtl w:val="true"/>
              </w:rPr>
              <w:t>:</w:t>
            </w:r>
            <w:r>
              <w:rPr>
                <w:rStyle w:val="IndexLink"/>
                <w:rtl w:val="true"/>
              </w:rPr>
              <w:t>مفهوم الاستهلاک</w:t>
            </w:r>
            <w:r>
              <w:rPr>
                <w:rStyle w:val="IndexLink"/>
                <w:rtl w:val="true"/>
              </w:rPr>
              <w:tab/>
            </w:r>
            <w:r>
              <w:rPr>
                <w:rStyle w:val="IndexLink"/>
              </w:rPr>
              <w:t>297</w:t>
            </w:r>
          </w:hyperlink>
        </w:p>
        <w:p>
          <w:pPr>
            <w:pStyle w:val="Contents5"/>
            <w:tabs>
              <w:tab w:val="clear" w:pos="7892"/>
              <w:tab w:val="right" w:pos="9026" w:leader="dot"/>
            </w:tabs>
            <w:rPr/>
          </w:pPr>
          <w:hyperlink w:anchor="__RefHeading___Toc97698_581953129">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97700_581953129">
            <w:r>
              <w:rPr>
                <w:webHidden/>
                <w:rStyle w:val="IndexLink"/>
                <w:rtl w:val="true"/>
              </w:rPr>
              <w:t>أوّلاً</w:t>
            </w:r>
            <w:r>
              <w:rPr>
                <w:rStyle w:val="IndexLink"/>
                <w:rtl w:val="true"/>
              </w:rPr>
              <w:t>:</w:t>
            </w:r>
            <w:r>
              <w:rPr>
                <w:rStyle w:val="IndexLink"/>
                <w:rtl w:val="true"/>
              </w:rPr>
              <w:t>الاستهلاک فی اللغة</w:t>
            </w:r>
            <w:r>
              <w:rPr>
                <w:rStyle w:val="IndexLink"/>
                <w:rtl w:val="true"/>
              </w:rPr>
              <w:tab/>
            </w:r>
            <w:r>
              <w:rPr>
                <w:rStyle w:val="IndexLink"/>
              </w:rPr>
              <w:t>297</w:t>
            </w:r>
          </w:hyperlink>
        </w:p>
        <w:p>
          <w:pPr>
            <w:pStyle w:val="Contents5"/>
            <w:tabs>
              <w:tab w:val="clear" w:pos="7892"/>
              <w:tab w:val="right" w:pos="9026" w:leader="dot"/>
            </w:tabs>
            <w:rPr/>
          </w:pPr>
          <w:hyperlink w:anchor="__RefHeading___Toc97702_581953129">
            <w:r>
              <w:rPr>
                <w:webHidden/>
                <w:rStyle w:val="IndexLink"/>
                <w:rtl w:val="true"/>
              </w:rPr>
              <w:t>ثانیاً</w:t>
            </w:r>
            <w:r>
              <w:rPr>
                <w:rStyle w:val="IndexLink"/>
                <w:rtl w:val="true"/>
              </w:rPr>
              <w:t>:</w:t>
            </w:r>
            <w:r>
              <w:rPr>
                <w:rStyle w:val="IndexLink"/>
                <w:rtl w:val="true"/>
              </w:rPr>
              <w:t>الاستهلاک فی الاصطلاح</w:t>
            </w:r>
            <w:r>
              <w:rPr>
                <w:rStyle w:val="IndexLink"/>
                <w:rtl w:val="true"/>
              </w:rPr>
              <w:tab/>
            </w:r>
            <w:r>
              <w:rPr>
                <w:rStyle w:val="IndexLink"/>
              </w:rPr>
              <w:t>298</w:t>
            </w:r>
          </w:hyperlink>
        </w:p>
        <w:p>
          <w:pPr>
            <w:pStyle w:val="Contents6"/>
            <w:tabs>
              <w:tab w:val="clear" w:pos="7609"/>
              <w:tab w:val="right" w:pos="9026" w:leader="dot"/>
            </w:tabs>
            <w:rPr/>
          </w:pPr>
          <w:hyperlink w:anchor="__RefHeading___Toc97704_581953129">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97706_581953129">
            <w:r>
              <w:rPr>
                <w:webHidden/>
                <w:rStyle w:val="IndexLink"/>
                <w:rtl w:val="true"/>
              </w:rPr>
              <w:t>أ</w:t>
            </w:r>
            <w:r>
              <w:rPr>
                <w:rStyle w:val="IndexLink"/>
                <w:rtl w:val="true"/>
              </w:rPr>
              <w:t>)</w:t>
            </w:r>
            <w:r>
              <w:rPr>
                <w:rStyle w:val="IndexLink"/>
                <w:rtl w:val="true"/>
              </w:rPr>
              <w:t>الاصطلاح العامّ‌</w:t>
            </w:r>
            <w:r>
              <w:rPr>
                <w:rStyle w:val="IndexLink"/>
                <w:rtl w:val="true"/>
              </w:rPr>
              <w:tab/>
            </w:r>
            <w:r>
              <w:rPr>
                <w:rStyle w:val="IndexLink"/>
              </w:rPr>
              <w:t>298</w:t>
            </w:r>
          </w:hyperlink>
        </w:p>
        <w:p>
          <w:pPr>
            <w:pStyle w:val="Contents6"/>
            <w:tabs>
              <w:tab w:val="clear" w:pos="7609"/>
              <w:tab w:val="right" w:pos="9026" w:leader="dot"/>
            </w:tabs>
            <w:rPr/>
          </w:pPr>
          <w:hyperlink w:anchor="__RefHeading___Toc97708_581953129">
            <w:r>
              <w:rPr>
                <w:webHidden/>
                <w:rStyle w:val="IndexLink"/>
                <w:rtl w:val="true"/>
              </w:rPr>
              <w:t>ب</w:t>
            </w:r>
            <w:r>
              <w:rPr>
                <w:rStyle w:val="IndexLink"/>
                <w:rtl w:val="true"/>
              </w:rPr>
              <w:t>)</w:t>
            </w:r>
            <w:r>
              <w:rPr>
                <w:rStyle w:val="IndexLink"/>
                <w:rtl w:val="true"/>
              </w:rPr>
              <w:t>الاصطلاح الخاص</w:t>
            </w:r>
            <w:r>
              <w:rPr>
                <w:rStyle w:val="IndexLink"/>
                <w:rtl w:val="true"/>
              </w:rPr>
              <w:tab/>
            </w:r>
            <w:r>
              <w:rPr>
                <w:rStyle w:val="IndexLink"/>
              </w:rPr>
              <w:t>299</w:t>
            </w:r>
          </w:hyperlink>
        </w:p>
        <w:p>
          <w:pPr>
            <w:pStyle w:val="Contents4"/>
            <w:tabs>
              <w:tab w:val="clear" w:pos="8176"/>
              <w:tab w:val="right" w:pos="9026" w:leader="dot"/>
            </w:tabs>
            <w:rPr/>
          </w:pPr>
          <w:hyperlink w:anchor="__RefHeading___Toc97710_581953129">
            <w:r>
              <w:rPr>
                <w:webHidden/>
                <w:rStyle w:val="IndexLink"/>
                <w:rtl w:val="true"/>
              </w:rPr>
              <w:t>المطلب الثانی</w:t>
            </w:r>
            <w:r>
              <w:rPr>
                <w:rStyle w:val="IndexLink"/>
                <w:rtl w:val="true"/>
              </w:rPr>
              <w:t>:</w:t>
            </w:r>
            <w:r>
              <w:rPr>
                <w:rStyle w:val="IndexLink"/>
                <w:rtl w:val="true"/>
              </w:rPr>
              <w:t>ضوابط الاستهلاک</w:t>
            </w:r>
            <w:r>
              <w:rPr>
                <w:rStyle w:val="IndexLink"/>
                <w:rtl w:val="true"/>
              </w:rPr>
              <w:tab/>
            </w:r>
            <w:r>
              <w:rPr>
                <w:rStyle w:val="IndexLink"/>
              </w:rPr>
              <w:t>300</w:t>
            </w:r>
          </w:hyperlink>
        </w:p>
        <w:p>
          <w:pPr>
            <w:pStyle w:val="Contents5"/>
            <w:tabs>
              <w:tab w:val="clear" w:pos="7892"/>
              <w:tab w:val="right" w:pos="9026" w:leader="dot"/>
            </w:tabs>
            <w:rPr/>
          </w:pPr>
          <w:hyperlink w:anchor="__RefHeading___Toc97712_581953129">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97714_581953129">
            <w:r>
              <w:rPr>
                <w:webHidden/>
                <w:rStyle w:val="IndexLink"/>
                <w:rtl w:val="true"/>
              </w:rPr>
              <w:t>الضابط الأوّل</w:t>
            </w:r>
            <w:r>
              <w:rPr>
                <w:rStyle w:val="IndexLink"/>
                <w:rtl w:val="true"/>
              </w:rPr>
              <w:t>:</w:t>
            </w:r>
            <w:r>
              <w:rPr>
                <w:rStyle w:val="IndexLink"/>
                <w:rtl w:val="true"/>
              </w:rPr>
              <w:t>تقوّم الاستهلاک بتحصیل منفعة</w:t>
            </w:r>
            <w:r>
              <w:rPr>
                <w:rStyle w:val="IndexLink"/>
                <w:rtl w:val="true"/>
              </w:rPr>
              <w:tab/>
            </w:r>
            <w:r>
              <w:rPr>
                <w:rStyle w:val="IndexLink"/>
              </w:rPr>
              <w:t>301</w:t>
            </w:r>
          </w:hyperlink>
        </w:p>
        <w:p>
          <w:pPr>
            <w:pStyle w:val="Contents5"/>
            <w:tabs>
              <w:tab w:val="clear" w:pos="7892"/>
              <w:tab w:val="right" w:pos="9026" w:leader="dot"/>
            </w:tabs>
            <w:rPr/>
          </w:pPr>
          <w:hyperlink w:anchor="__RefHeading___Toc97716_581953129">
            <w:r>
              <w:rPr>
                <w:webHidden/>
                <w:rStyle w:val="IndexLink"/>
                <w:rtl w:val="true"/>
              </w:rPr>
              <w:t>الضابط الثانی</w:t>
            </w:r>
            <w:r>
              <w:rPr>
                <w:rStyle w:val="IndexLink"/>
                <w:rtl w:val="true"/>
              </w:rPr>
              <w:t>:</w:t>
            </w:r>
            <w:r>
              <w:rPr>
                <w:rStyle w:val="IndexLink"/>
                <w:rtl w:val="true"/>
              </w:rPr>
              <w:t>قیام الاستهلاک علی عدم الإسراف</w:t>
            </w:r>
            <w:r>
              <w:rPr>
                <w:rStyle w:val="IndexLink"/>
                <w:rtl w:val="true"/>
              </w:rPr>
              <w:tab/>
            </w:r>
            <w:r>
              <w:rPr>
                <w:rStyle w:val="IndexLink"/>
              </w:rPr>
              <w:t>302</w:t>
            </w:r>
          </w:hyperlink>
        </w:p>
        <w:p>
          <w:pPr>
            <w:pStyle w:val="Contents5"/>
            <w:tabs>
              <w:tab w:val="clear" w:pos="7892"/>
              <w:tab w:val="right" w:pos="9026" w:leader="dot"/>
            </w:tabs>
            <w:rPr/>
          </w:pPr>
          <w:hyperlink w:anchor="__RefHeading___Toc97718_581953129">
            <w:r>
              <w:rPr>
                <w:webHidden/>
                <w:rStyle w:val="IndexLink"/>
                <w:rtl w:val="true"/>
              </w:rPr>
              <w:t>الضابط الثالث</w:t>
            </w:r>
            <w:r>
              <w:rPr>
                <w:rStyle w:val="IndexLink"/>
                <w:rtl w:val="true"/>
              </w:rPr>
              <w:t>:</w:t>
            </w:r>
            <w:r>
              <w:rPr>
                <w:rStyle w:val="IndexLink"/>
                <w:rtl w:val="true"/>
              </w:rPr>
              <w:t>قیام الاستهلاک علی عدم التقتیر</w:t>
            </w:r>
            <w:r>
              <w:rPr>
                <w:rStyle w:val="IndexLink"/>
                <w:rtl w:val="true"/>
              </w:rPr>
              <w:tab/>
            </w:r>
            <w:r>
              <w:rPr>
                <w:rStyle w:val="IndexLink"/>
              </w:rPr>
              <w:t>303</w:t>
            </w:r>
          </w:hyperlink>
        </w:p>
        <w:p>
          <w:pPr>
            <w:pStyle w:val="Contents5"/>
            <w:tabs>
              <w:tab w:val="clear" w:pos="7892"/>
              <w:tab w:val="right" w:pos="9026" w:leader="dot"/>
            </w:tabs>
            <w:rPr/>
          </w:pPr>
          <w:hyperlink w:anchor="__RefHeading___Toc97720_581953129">
            <w:r>
              <w:rPr>
                <w:webHidden/>
                <w:rStyle w:val="IndexLink"/>
                <w:rtl w:val="true"/>
              </w:rPr>
              <w:t>الضابط الرابع</w:t>
            </w:r>
            <w:r>
              <w:rPr>
                <w:rStyle w:val="IndexLink"/>
                <w:rtl w:val="true"/>
              </w:rPr>
              <w:t>:</w:t>
            </w:r>
            <w:r>
              <w:rPr>
                <w:rStyle w:val="IndexLink"/>
                <w:rtl w:val="true"/>
              </w:rPr>
              <w:t>اختصاص الاستهلاک بما لا یشتمل علی محظور شرعی</w:t>
            </w:r>
            <w:r>
              <w:rPr>
                <w:rStyle w:val="IndexLink"/>
                <w:rtl w:val="true"/>
              </w:rPr>
              <w:tab/>
            </w:r>
            <w:r>
              <w:rPr>
                <w:rStyle w:val="IndexLink"/>
              </w:rPr>
              <w:t>304</w:t>
            </w:r>
          </w:hyperlink>
        </w:p>
        <w:p>
          <w:pPr>
            <w:pStyle w:val="Contents3"/>
            <w:tabs>
              <w:tab w:val="clear" w:pos="8459"/>
              <w:tab w:val="right" w:pos="9026" w:leader="dot"/>
            </w:tabs>
            <w:rPr/>
          </w:pPr>
          <w:hyperlink w:anchor="__RefHeading___Toc97722_581953129">
            <w:r>
              <w:rPr>
                <w:webHidden/>
                <w:rStyle w:val="IndexLink"/>
                <w:rtl w:val="true"/>
              </w:rPr>
              <w:t>المبحث الثانی</w:t>
            </w:r>
            <w:r>
              <w:rPr>
                <w:rStyle w:val="IndexLink"/>
                <w:rtl w:val="true"/>
              </w:rPr>
              <w:t>:</w:t>
            </w:r>
            <w:r>
              <w:rPr>
                <w:rStyle w:val="IndexLink"/>
                <w:rtl w:val="true"/>
              </w:rPr>
              <w:t>حدود حرّیة الاستهلاک علی المستوی الشخصی</w:t>
            </w:r>
            <w:r>
              <w:rPr>
                <w:rStyle w:val="IndexLink"/>
                <w:rtl w:val="true"/>
              </w:rPr>
              <w:tab/>
            </w:r>
            <w:r>
              <w:rPr>
                <w:rStyle w:val="IndexLink"/>
              </w:rPr>
              <w:t>306</w:t>
            </w:r>
          </w:hyperlink>
        </w:p>
        <w:p>
          <w:pPr>
            <w:pStyle w:val="Contents4"/>
            <w:tabs>
              <w:tab w:val="clear" w:pos="8176"/>
              <w:tab w:val="right" w:pos="9026" w:leader="dot"/>
            </w:tabs>
            <w:rPr/>
          </w:pPr>
          <w:hyperlink w:anchor="__RefHeading___Toc97724_58195312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97726_581953129">
            <w:r>
              <w:rPr>
                <w:webHidden/>
                <w:rStyle w:val="IndexLink"/>
                <w:rtl w:val="true"/>
              </w:rPr>
              <w:t>المطلب الأوّل</w:t>
            </w:r>
            <w:r>
              <w:rPr>
                <w:rStyle w:val="IndexLink"/>
                <w:rtl w:val="true"/>
              </w:rPr>
              <w:t>:</w:t>
            </w:r>
            <w:r>
              <w:rPr>
                <w:rStyle w:val="IndexLink"/>
                <w:rtl w:val="true"/>
              </w:rPr>
              <w:t>حدود الحرّیة فی استهلاک الغذاء</w:t>
            </w:r>
            <w:r>
              <w:rPr>
                <w:rStyle w:val="IndexLink"/>
                <w:rtl w:val="true"/>
              </w:rPr>
              <w:tab/>
            </w:r>
            <w:r>
              <w:rPr>
                <w:rStyle w:val="IndexLink"/>
              </w:rPr>
              <w:t>307</w:t>
            </w:r>
          </w:hyperlink>
        </w:p>
        <w:p>
          <w:pPr>
            <w:pStyle w:val="Contents5"/>
            <w:tabs>
              <w:tab w:val="clear" w:pos="7892"/>
              <w:tab w:val="right" w:pos="9026" w:leader="dot"/>
            </w:tabs>
            <w:rPr/>
          </w:pPr>
          <w:hyperlink w:anchor="__RefHeading___Toc97728_581953129">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97730_581953129">
            <w:r>
              <w:rPr>
                <w:webHidden/>
                <w:rStyle w:val="IndexLink"/>
                <w:rtl w:val="true"/>
              </w:rPr>
              <w:t>أوّلاً</w:t>
            </w:r>
            <w:r>
              <w:rPr>
                <w:rStyle w:val="IndexLink"/>
                <w:rtl w:val="true"/>
              </w:rPr>
              <w:t>:</w:t>
            </w:r>
            <w:r>
              <w:rPr>
                <w:rStyle w:val="IndexLink"/>
                <w:rtl w:val="true"/>
              </w:rPr>
              <w:t>عدم السماح بتناول النجس</w:t>
            </w:r>
            <w:r>
              <w:rPr>
                <w:rStyle w:val="IndexLink"/>
                <w:rtl w:val="true"/>
              </w:rPr>
              <w:tab/>
            </w:r>
            <w:r>
              <w:rPr>
                <w:rStyle w:val="IndexLink"/>
              </w:rPr>
              <w:t>307</w:t>
            </w:r>
          </w:hyperlink>
        </w:p>
        <w:p>
          <w:pPr>
            <w:pStyle w:val="Contents6"/>
            <w:tabs>
              <w:tab w:val="clear" w:pos="7609"/>
              <w:tab w:val="right" w:pos="9026" w:leader="dot"/>
            </w:tabs>
            <w:rPr/>
          </w:pPr>
          <w:hyperlink w:anchor="__RefHeading___Toc97732_581953129">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97734_581953129">
            <w:r>
              <w:rPr>
                <w:webHidden/>
                <w:rStyle w:val="IndexLink"/>
                <w:rtl w:val="true"/>
              </w:rPr>
              <w:t>أ</w:t>
            </w:r>
            <w:r>
              <w:rPr>
                <w:rStyle w:val="IndexLink"/>
                <w:rtl w:val="true"/>
              </w:rPr>
              <w:t>)</w:t>
            </w:r>
            <w:r>
              <w:rPr>
                <w:rStyle w:val="IndexLink"/>
                <w:rtl w:val="true"/>
              </w:rPr>
              <w:t>النجس ذاتاً</w:t>
            </w:r>
            <w:r>
              <w:rPr>
                <w:rStyle w:val="IndexLink"/>
                <w:rtl w:val="true"/>
              </w:rPr>
              <w:tab/>
            </w:r>
            <w:r>
              <w:rPr>
                <w:rStyle w:val="IndexLink"/>
              </w:rPr>
              <w:t>308</w:t>
            </w:r>
          </w:hyperlink>
        </w:p>
        <w:p>
          <w:pPr>
            <w:pStyle w:val="Contents6"/>
            <w:tabs>
              <w:tab w:val="clear" w:pos="7609"/>
              <w:tab w:val="right" w:pos="9026" w:leader="dot"/>
            </w:tabs>
            <w:rPr/>
          </w:pPr>
          <w:hyperlink w:anchor="__RefHeading___Toc97736_581953129">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97738_581953129">
            <w:r>
              <w:rPr>
                <w:webHidden/>
                <w:rStyle w:val="IndexLink"/>
                <w:rtl w:val="true"/>
              </w:rPr>
              <w:t>الأوّل</w:t>
            </w:r>
            <w:r>
              <w:rPr>
                <w:rStyle w:val="IndexLink"/>
                <w:rtl w:val="true"/>
              </w:rPr>
              <w:t>:</w:t>
            </w:r>
            <w:r>
              <w:rPr>
                <w:rStyle w:val="IndexLink"/>
                <w:rtl w:val="true"/>
              </w:rPr>
              <w:t>المیتة</w:t>
            </w:r>
            <w:r>
              <w:rPr>
                <w:rStyle w:val="IndexLink"/>
                <w:rtl w:val="true"/>
              </w:rPr>
              <w:tab/>
            </w:r>
            <w:r>
              <w:rPr>
                <w:rStyle w:val="IndexLink"/>
              </w:rPr>
              <w:t>308</w:t>
            </w:r>
          </w:hyperlink>
        </w:p>
        <w:p>
          <w:pPr>
            <w:pStyle w:val="Contents6"/>
            <w:tabs>
              <w:tab w:val="clear" w:pos="7609"/>
              <w:tab w:val="right" w:pos="9026" w:leader="dot"/>
            </w:tabs>
            <w:rPr/>
          </w:pPr>
          <w:hyperlink w:anchor="__RefHeading___Toc97740_581953129">
            <w:r>
              <w:rPr>
                <w:webHidden/>
                <w:rStyle w:val="IndexLink"/>
                <w:rtl w:val="true"/>
              </w:rPr>
              <w:t>الثانی</w:t>
            </w:r>
            <w:r>
              <w:rPr>
                <w:rStyle w:val="IndexLink"/>
                <w:rtl w:val="true"/>
              </w:rPr>
              <w:t>:</w:t>
            </w:r>
            <w:r>
              <w:rPr>
                <w:rStyle w:val="IndexLink"/>
                <w:rtl w:val="true"/>
              </w:rPr>
              <w:t>الدم</w:t>
            </w:r>
            <w:r>
              <w:rPr>
                <w:rStyle w:val="IndexLink"/>
                <w:rtl w:val="true"/>
              </w:rPr>
              <w:tab/>
            </w:r>
            <w:r>
              <w:rPr>
                <w:rStyle w:val="IndexLink"/>
              </w:rPr>
              <w:t>309</w:t>
            </w:r>
          </w:hyperlink>
        </w:p>
        <w:p>
          <w:pPr>
            <w:pStyle w:val="Contents6"/>
            <w:tabs>
              <w:tab w:val="clear" w:pos="7609"/>
              <w:tab w:val="right" w:pos="9026" w:leader="dot"/>
            </w:tabs>
            <w:rPr/>
          </w:pPr>
          <w:hyperlink w:anchor="__RefHeading___Toc97742_581953129">
            <w:r>
              <w:rPr>
                <w:webHidden/>
                <w:rStyle w:val="IndexLink"/>
                <w:rtl w:val="true"/>
              </w:rPr>
              <w:t>الثالث</w:t>
            </w:r>
            <w:r>
              <w:rPr>
                <w:rStyle w:val="IndexLink"/>
                <w:rtl w:val="true"/>
              </w:rPr>
              <w:t>:</w:t>
            </w:r>
            <w:r>
              <w:rPr>
                <w:rStyle w:val="IndexLink"/>
                <w:rtl w:val="true"/>
              </w:rPr>
              <w:t>الخنزیر</w:t>
            </w:r>
            <w:r>
              <w:rPr>
                <w:rStyle w:val="IndexLink"/>
                <w:rtl w:val="true"/>
              </w:rPr>
              <w:tab/>
            </w:r>
            <w:r>
              <w:rPr>
                <w:rStyle w:val="IndexLink"/>
              </w:rPr>
              <w:t>309</w:t>
            </w:r>
          </w:hyperlink>
        </w:p>
        <w:p>
          <w:pPr>
            <w:pStyle w:val="Contents6"/>
            <w:tabs>
              <w:tab w:val="clear" w:pos="7609"/>
              <w:tab w:val="right" w:pos="9026" w:leader="dot"/>
            </w:tabs>
            <w:rPr/>
          </w:pPr>
          <w:hyperlink w:anchor="__RefHeading___Toc97744_581953129">
            <w:r>
              <w:rPr>
                <w:webHidden/>
                <w:rStyle w:val="IndexLink"/>
                <w:rtl w:val="true"/>
              </w:rPr>
              <w:t>الرابع</w:t>
            </w:r>
            <w:r>
              <w:rPr>
                <w:rStyle w:val="IndexLink"/>
                <w:rtl w:val="true"/>
              </w:rPr>
              <w:t>:</w:t>
            </w:r>
            <w:r>
              <w:rPr>
                <w:rStyle w:val="IndexLink"/>
                <w:rtl w:val="true"/>
              </w:rPr>
              <w:t>الکلب</w:t>
            </w:r>
            <w:r>
              <w:rPr>
                <w:rStyle w:val="IndexLink"/>
                <w:rtl w:val="true"/>
              </w:rPr>
              <w:tab/>
            </w:r>
            <w:r>
              <w:rPr>
                <w:rStyle w:val="IndexLink"/>
              </w:rPr>
              <w:t>310</w:t>
            </w:r>
          </w:hyperlink>
        </w:p>
        <w:p>
          <w:pPr>
            <w:pStyle w:val="Contents6"/>
            <w:tabs>
              <w:tab w:val="clear" w:pos="7609"/>
              <w:tab w:val="right" w:pos="9026" w:leader="dot"/>
            </w:tabs>
            <w:rPr/>
          </w:pPr>
          <w:hyperlink w:anchor="__RefHeading___Toc97746_581953129">
            <w:r>
              <w:rPr>
                <w:webHidden/>
                <w:rStyle w:val="IndexLink"/>
                <w:rtl w:val="true"/>
              </w:rPr>
              <w:t>الخامس</w:t>
            </w:r>
            <w:r>
              <w:rPr>
                <w:rStyle w:val="IndexLink"/>
                <w:rtl w:val="true"/>
              </w:rPr>
              <w:t>:</w:t>
            </w:r>
            <w:r>
              <w:rPr>
                <w:rStyle w:val="IndexLink"/>
                <w:rtl w:val="true"/>
              </w:rPr>
              <w:t>المنی</w:t>
            </w:r>
            <w:r>
              <w:rPr>
                <w:rStyle w:val="IndexLink"/>
                <w:rtl w:val="true"/>
              </w:rPr>
              <w:tab/>
            </w:r>
            <w:r>
              <w:rPr>
                <w:rStyle w:val="IndexLink"/>
              </w:rPr>
              <w:t>310</w:t>
            </w:r>
          </w:hyperlink>
        </w:p>
        <w:p>
          <w:pPr>
            <w:pStyle w:val="Contents6"/>
            <w:tabs>
              <w:tab w:val="clear" w:pos="7609"/>
              <w:tab w:val="right" w:pos="9026" w:leader="dot"/>
            </w:tabs>
            <w:rPr/>
          </w:pPr>
          <w:hyperlink w:anchor="__RefHeading___Toc97748_581953129">
            <w:r>
              <w:rPr>
                <w:webHidden/>
                <w:rStyle w:val="IndexLink"/>
                <w:rtl w:val="true"/>
              </w:rPr>
              <w:t>السادس</w:t>
            </w:r>
            <w:r>
              <w:rPr>
                <w:rStyle w:val="IndexLink"/>
                <w:rtl w:val="true"/>
              </w:rPr>
              <w:t>:</w:t>
            </w:r>
            <w:r>
              <w:rPr>
                <w:rStyle w:val="IndexLink"/>
                <w:rtl w:val="true"/>
              </w:rPr>
              <w:t>البول و الغائط</w:t>
            </w:r>
            <w:r>
              <w:rPr>
                <w:rStyle w:val="IndexLink"/>
                <w:rtl w:val="true"/>
              </w:rPr>
              <w:t>(</w:t>
            </w:r>
            <w:r>
              <w:rPr>
                <w:rStyle w:val="IndexLink"/>
                <w:rtl w:val="true"/>
              </w:rPr>
              <w:t>البراز</w:t>
            </w:r>
            <w:r>
              <w:rPr>
                <w:rStyle w:val="IndexLink"/>
                <w:rtl w:val="true"/>
              </w:rPr>
              <w:t>)</w:t>
              <w:tab/>
            </w:r>
            <w:r>
              <w:rPr>
                <w:rStyle w:val="IndexLink"/>
              </w:rPr>
              <w:t>310</w:t>
            </w:r>
          </w:hyperlink>
        </w:p>
        <w:p>
          <w:pPr>
            <w:pStyle w:val="Contents6"/>
            <w:tabs>
              <w:tab w:val="clear" w:pos="7609"/>
              <w:tab w:val="right" w:pos="9026" w:leader="dot"/>
            </w:tabs>
            <w:rPr/>
          </w:pPr>
          <w:hyperlink w:anchor="__RefHeading___Toc97750_581953129">
            <w:r>
              <w:rPr>
                <w:webHidden/>
                <w:rStyle w:val="IndexLink"/>
                <w:rtl w:val="true"/>
              </w:rPr>
              <w:t>ب</w:t>
            </w:r>
            <w:r>
              <w:rPr>
                <w:rStyle w:val="IndexLink"/>
                <w:rtl w:val="true"/>
              </w:rPr>
              <w:t>)</w:t>
            </w:r>
            <w:r>
              <w:rPr>
                <w:rStyle w:val="IndexLink"/>
                <w:rtl w:val="true"/>
              </w:rPr>
              <w:t>النجس عرضاً</w:t>
            </w:r>
            <w:r>
              <w:rPr>
                <w:rStyle w:val="IndexLink"/>
                <w:rtl w:val="true"/>
              </w:rPr>
              <w:tab/>
            </w:r>
            <w:r>
              <w:rPr>
                <w:rStyle w:val="IndexLink"/>
              </w:rPr>
              <w:t>311</w:t>
            </w:r>
          </w:hyperlink>
        </w:p>
        <w:p>
          <w:pPr>
            <w:pStyle w:val="Contents6"/>
            <w:tabs>
              <w:tab w:val="clear" w:pos="7609"/>
              <w:tab w:val="right" w:pos="9026" w:leader="dot"/>
            </w:tabs>
            <w:rPr/>
          </w:pPr>
          <w:hyperlink w:anchor="__RefHeading___Toc97752_581953129">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97754_581953129">
            <w:r>
              <w:rPr>
                <w:webHidden/>
                <w:rStyle w:val="IndexLink"/>
                <w:rtl w:val="true"/>
              </w:rPr>
              <w:t>الأوّل</w:t>
            </w:r>
            <w:r>
              <w:rPr>
                <w:rStyle w:val="IndexLink"/>
                <w:rtl w:val="true"/>
              </w:rPr>
              <w:t>:</w:t>
            </w:r>
            <w:r>
              <w:rPr>
                <w:rStyle w:val="IndexLink"/>
                <w:rtl w:val="true"/>
              </w:rPr>
              <w:t>الحیوان الجلّال</w:t>
            </w:r>
            <w:r>
              <w:rPr>
                <w:rStyle w:val="IndexLink"/>
                <w:rtl w:val="true"/>
              </w:rPr>
              <w:tab/>
            </w:r>
            <w:r>
              <w:rPr>
                <w:rStyle w:val="IndexLink"/>
              </w:rPr>
              <w:t>311</w:t>
            </w:r>
          </w:hyperlink>
        </w:p>
        <w:p>
          <w:pPr>
            <w:pStyle w:val="Contents6"/>
            <w:tabs>
              <w:tab w:val="clear" w:pos="7609"/>
              <w:tab w:val="right" w:pos="9026" w:leader="dot"/>
            </w:tabs>
            <w:rPr/>
          </w:pPr>
          <w:hyperlink w:anchor="__RefHeading___Toc97756_581953129">
            <w:r>
              <w:rPr>
                <w:webHidden/>
                <w:rStyle w:val="IndexLink"/>
                <w:rtl w:val="true"/>
              </w:rPr>
              <w:t>الثانی</w:t>
            </w:r>
            <w:r>
              <w:rPr>
                <w:rStyle w:val="IndexLink"/>
                <w:rtl w:val="true"/>
              </w:rPr>
              <w:t>:</w:t>
            </w:r>
            <w:r>
              <w:rPr>
                <w:rStyle w:val="IndexLink"/>
                <w:rtl w:val="true"/>
              </w:rPr>
              <w:t>الحیوان الموطوء</w:t>
            </w:r>
            <w:r>
              <w:rPr>
                <w:rStyle w:val="IndexLink"/>
                <w:rtl w:val="true"/>
              </w:rPr>
              <w:tab/>
            </w:r>
            <w:r>
              <w:rPr>
                <w:rStyle w:val="IndexLink"/>
              </w:rPr>
              <w:t>312</w:t>
            </w:r>
          </w:hyperlink>
        </w:p>
        <w:p>
          <w:pPr>
            <w:pStyle w:val="Contents6"/>
            <w:tabs>
              <w:tab w:val="clear" w:pos="7609"/>
              <w:tab w:val="right" w:pos="9026" w:leader="dot"/>
            </w:tabs>
            <w:rPr/>
          </w:pPr>
          <w:hyperlink w:anchor="__RefHeading___Toc97758_581953129">
            <w:r>
              <w:rPr>
                <w:webHidden/>
                <w:rStyle w:val="IndexLink"/>
                <w:rtl w:val="true"/>
              </w:rPr>
              <w:t>ثانیاً</w:t>
            </w:r>
            <w:r>
              <w:rPr>
                <w:rStyle w:val="IndexLink"/>
                <w:rtl w:val="true"/>
              </w:rPr>
              <w:t>:</w:t>
            </w:r>
            <w:r>
              <w:rPr>
                <w:rStyle w:val="IndexLink"/>
                <w:rtl w:val="true"/>
              </w:rPr>
              <w:t>عدم السماح بتناول المتنجّس</w:t>
            </w:r>
            <w:r>
              <w:rPr>
                <w:rStyle w:val="IndexLink"/>
                <w:rtl w:val="true"/>
              </w:rPr>
              <w:tab/>
            </w:r>
            <w:r>
              <w:rPr>
                <w:rStyle w:val="IndexLink"/>
              </w:rPr>
              <w:t>312</w:t>
            </w:r>
          </w:hyperlink>
        </w:p>
        <w:p>
          <w:pPr>
            <w:pStyle w:val="Contents6"/>
            <w:tabs>
              <w:tab w:val="clear" w:pos="7609"/>
              <w:tab w:val="right" w:pos="9026" w:leader="dot"/>
            </w:tabs>
            <w:rPr/>
          </w:pPr>
          <w:hyperlink w:anchor="__RefHeading___Toc97760_581953129">
            <w:r>
              <w:rPr>
                <w:webHidden/>
                <w:rStyle w:val="IndexLink"/>
                <w:rtl w:val="true"/>
              </w:rPr>
              <w:t>ثالثاً</w:t>
            </w:r>
            <w:r>
              <w:rPr>
                <w:rStyle w:val="IndexLink"/>
                <w:rtl w:val="true"/>
              </w:rPr>
              <w:t>:</w:t>
            </w:r>
            <w:r>
              <w:rPr>
                <w:rStyle w:val="IndexLink"/>
                <w:rtl w:val="true"/>
              </w:rPr>
              <w:t>عدم السماح بتناول ذی الناب أو المخلب من الحیوان</w:t>
            </w:r>
            <w:r>
              <w:rPr>
                <w:rStyle w:val="IndexLink"/>
                <w:rtl w:val="true"/>
              </w:rPr>
              <w:tab/>
            </w:r>
            <w:r>
              <w:rPr>
                <w:rStyle w:val="IndexLink"/>
              </w:rPr>
              <w:t>313</w:t>
            </w:r>
          </w:hyperlink>
        </w:p>
        <w:p>
          <w:pPr>
            <w:pStyle w:val="Contents6"/>
            <w:tabs>
              <w:tab w:val="clear" w:pos="7609"/>
              <w:tab w:val="right" w:pos="9026" w:leader="dot"/>
            </w:tabs>
            <w:rPr/>
          </w:pPr>
          <w:hyperlink w:anchor="__RefHeading___Toc97762_581953129">
            <w:r>
              <w:rPr>
                <w:webHidden/>
                <w:rStyle w:val="IndexLink"/>
                <w:rtl w:val="true"/>
              </w:rPr>
              <w:t>رابعاً</w:t>
            </w:r>
            <w:r>
              <w:rPr>
                <w:rStyle w:val="IndexLink"/>
                <w:rtl w:val="true"/>
              </w:rPr>
              <w:t>:</w:t>
            </w:r>
            <w:r>
              <w:rPr>
                <w:rStyle w:val="IndexLink"/>
                <w:rtl w:val="true"/>
              </w:rPr>
              <w:t>عدم السماح بتناول ذی المخلب من الطیر</w:t>
            </w:r>
            <w:r>
              <w:rPr>
                <w:rStyle w:val="IndexLink"/>
                <w:rtl w:val="true"/>
              </w:rPr>
              <w:tab/>
            </w:r>
            <w:r>
              <w:rPr>
                <w:rStyle w:val="IndexLink"/>
              </w:rPr>
              <w:t>314</w:t>
            </w:r>
          </w:hyperlink>
        </w:p>
        <w:p>
          <w:pPr>
            <w:pStyle w:val="Contents6"/>
            <w:tabs>
              <w:tab w:val="clear" w:pos="7609"/>
              <w:tab w:val="right" w:pos="9026" w:leader="dot"/>
            </w:tabs>
            <w:rPr/>
          </w:pPr>
          <w:hyperlink w:anchor="__RefHeading___Toc97764_581953129">
            <w:r>
              <w:rPr>
                <w:webHidden/>
                <w:rStyle w:val="IndexLink"/>
                <w:rtl w:val="true"/>
              </w:rPr>
              <w:t>خامساً</w:t>
            </w:r>
            <w:r>
              <w:rPr>
                <w:rStyle w:val="IndexLink"/>
                <w:rtl w:val="true"/>
              </w:rPr>
              <w:t>:</w:t>
            </w:r>
            <w:r>
              <w:rPr>
                <w:rStyle w:val="IndexLink"/>
                <w:rtl w:val="true"/>
              </w:rPr>
              <w:t>عدم السماح بتناول الزواحف و الحشرات</w:t>
            </w:r>
            <w:r>
              <w:rPr>
                <w:rStyle w:val="IndexLink"/>
                <w:rtl w:val="true"/>
              </w:rPr>
              <w:tab/>
            </w:r>
            <w:r>
              <w:rPr>
                <w:rStyle w:val="IndexLink"/>
              </w:rPr>
              <w:t>314</w:t>
            </w:r>
          </w:hyperlink>
        </w:p>
        <w:p>
          <w:pPr>
            <w:pStyle w:val="Contents6"/>
            <w:tabs>
              <w:tab w:val="clear" w:pos="7609"/>
              <w:tab w:val="right" w:pos="9026" w:leader="dot"/>
            </w:tabs>
            <w:rPr/>
          </w:pPr>
          <w:hyperlink w:anchor="__RefHeading___Toc97766_581953129">
            <w:r>
              <w:rPr>
                <w:webHidden/>
                <w:rStyle w:val="IndexLink"/>
                <w:rtl w:val="true"/>
              </w:rPr>
              <w:t>سادساً</w:t>
            </w:r>
            <w:r>
              <w:rPr>
                <w:rStyle w:val="IndexLink"/>
                <w:rtl w:val="true"/>
              </w:rPr>
              <w:t>:</w:t>
            </w:r>
            <w:r>
              <w:rPr>
                <w:rStyle w:val="IndexLink"/>
                <w:rtl w:val="true"/>
              </w:rPr>
              <w:t>عدم السماح بتناول غیر ذی الفلس من حیوان البحر</w:t>
            </w:r>
            <w:r>
              <w:rPr>
                <w:rStyle w:val="IndexLink"/>
                <w:rtl w:val="true"/>
              </w:rPr>
              <w:tab/>
            </w:r>
            <w:r>
              <w:rPr>
                <w:rStyle w:val="IndexLink"/>
              </w:rPr>
              <w:t>315</w:t>
            </w:r>
          </w:hyperlink>
        </w:p>
        <w:p>
          <w:pPr>
            <w:pStyle w:val="Contents6"/>
            <w:tabs>
              <w:tab w:val="clear" w:pos="7609"/>
              <w:tab w:val="right" w:pos="9026" w:leader="dot"/>
            </w:tabs>
            <w:rPr/>
          </w:pPr>
          <w:hyperlink w:anchor="__RefHeading___Toc97768_581953129">
            <w:r>
              <w:rPr>
                <w:webHidden/>
                <w:rStyle w:val="IndexLink"/>
                <w:rtl w:val="true"/>
              </w:rPr>
              <w:t>سابعاً</w:t>
            </w:r>
            <w:r>
              <w:rPr>
                <w:rStyle w:val="IndexLink"/>
                <w:rtl w:val="true"/>
              </w:rPr>
              <w:t>:</w:t>
            </w:r>
            <w:r>
              <w:rPr>
                <w:rStyle w:val="IndexLink"/>
                <w:rtl w:val="true"/>
              </w:rPr>
              <w:t>عدم السماح بتناول مستثنیات الذبیحة</w:t>
            </w:r>
            <w:r>
              <w:rPr>
                <w:rStyle w:val="IndexLink"/>
                <w:rtl w:val="true"/>
              </w:rPr>
              <w:tab/>
            </w:r>
            <w:r>
              <w:rPr>
                <w:rStyle w:val="IndexLink"/>
              </w:rPr>
              <w:t>316</w:t>
            </w:r>
          </w:hyperlink>
        </w:p>
        <w:p>
          <w:pPr>
            <w:pStyle w:val="Contents6"/>
            <w:tabs>
              <w:tab w:val="clear" w:pos="7609"/>
              <w:tab w:val="right" w:pos="9026" w:leader="dot"/>
            </w:tabs>
            <w:rPr/>
          </w:pPr>
          <w:hyperlink w:anchor="__RefHeading___Toc97770_581953129">
            <w:r>
              <w:rPr>
                <w:webHidden/>
                <w:rStyle w:val="IndexLink"/>
                <w:rtl w:val="true"/>
              </w:rPr>
              <w:t>ثامناً</w:t>
            </w:r>
            <w:r>
              <w:rPr>
                <w:rStyle w:val="IndexLink"/>
                <w:rtl w:val="true"/>
              </w:rPr>
              <w:t>:</w:t>
            </w:r>
            <w:r>
              <w:rPr>
                <w:rStyle w:val="IndexLink"/>
                <w:rtl w:val="true"/>
              </w:rPr>
              <w:t>عدم السماح بتناول الضار</w:t>
            </w:r>
            <w:r>
              <w:rPr>
                <w:rStyle w:val="IndexLink"/>
                <w:rtl w:val="true"/>
              </w:rPr>
              <w:tab/>
            </w:r>
            <w:r>
              <w:rPr>
                <w:rStyle w:val="IndexLink"/>
              </w:rPr>
              <w:t>317</w:t>
            </w:r>
          </w:hyperlink>
        </w:p>
        <w:p>
          <w:pPr>
            <w:pStyle w:val="Contents6"/>
            <w:tabs>
              <w:tab w:val="clear" w:pos="7609"/>
              <w:tab w:val="right" w:pos="9026" w:leader="dot"/>
            </w:tabs>
            <w:rPr/>
          </w:pPr>
          <w:hyperlink w:anchor="__RefHeading___Toc97772_581953129">
            <w:r>
              <w:rPr>
                <w:webHidden/>
                <w:rStyle w:val="IndexLink"/>
                <w:rtl w:val="true"/>
              </w:rPr>
              <w:t>تاسعاً</w:t>
            </w:r>
            <w:r>
              <w:rPr>
                <w:rStyle w:val="IndexLink"/>
                <w:rtl w:val="true"/>
              </w:rPr>
              <w:t>:</w:t>
            </w:r>
            <w:r>
              <w:rPr>
                <w:rStyle w:val="IndexLink"/>
                <w:rtl w:val="true"/>
              </w:rPr>
              <w:t>عدم السماح بتناول مال الغیر</w:t>
            </w:r>
            <w:r>
              <w:rPr>
                <w:rStyle w:val="IndexLink"/>
                <w:rtl w:val="true"/>
              </w:rPr>
              <w:tab/>
            </w:r>
            <w:r>
              <w:rPr>
                <w:rStyle w:val="IndexLink"/>
              </w:rPr>
              <w:t>318</w:t>
            </w:r>
          </w:hyperlink>
        </w:p>
        <w:p>
          <w:pPr>
            <w:pStyle w:val="Contents4"/>
            <w:tabs>
              <w:tab w:val="clear" w:pos="8176"/>
              <w:tab w:val="right" w:pos="9026" w:leader="dot"/>
            </w:tabs>
            <w:rPr/>
          </w:pPr>
          <w:hyperlink w:anchor="__RefHeading___Toc97774_581953129">
            <w:r>
              <w:rPr>
                <w:webHidden/>
                <w:rStyle w:val="IndexLink"/>
                <w:rtl w:val="true"/>
              </w:rPr>
              <w:t>المطلب الثانی</w:t>
            </w:r>
            <w:r>
              <w:rPr>
                <w:rStyle w:val="IndexLink"/>
                <w:rtl w:val="true"/>
              </w:rPr>
              <w:t>:</w:t>
            </w:r>
            <w:r>
              <w:rPr>
                <w:rStyle w:val="IndexLink"/>
                <w:rtl w:val="true"/>
              </w:rPr>
              <w:t>حدود الحرّیة فی استهلاک غیر الغذاء</w:t>
            </w:r>
            <w:r>
              <w:rPr>
                <w:rStyle w:val="IndexLink"/>
                <w:rtl w:val="true"/>
              </w:rPr>
              <w:tab/>
            </w:r>
            <w:r>
              <w:rPr>
                <w:rStyle w:val="IndexLink"/>
              </w:rPr>
              <w:t>319</w:t>
            </w:r>
          </w:hyperlink>
        </w:p>
        <w:p>
          <w:pPr>
            <w:pStyle w:val="Contents5"/>
            <w:tabs>
              <w:tab w:val="clear" w:pos="7892"/>
              <w:tab w:val="right" w:pos="9026" w:leader="dot"/>
            </w:tabs>
            <w:rPr/>
          </w:pPr>
          <w:hyperlink w:anchor="__RefHeading___Toc97776_581953129">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97778_581953129">
            <w:r>
              <w:rPr>
                <w:webHidden/>
                <w:rStyle w:val="IndexLink"/>
                <w:rtl w:val="true"/>
              </w:rPr>
              <w:t>أوّلاً</w:t>
            </w:r>
            <w:r>
              <w:rPr>
                <w:rStyle w:val="IndexLink"/>
                <w:rtl w:val="true"/>
              </w:rPr>
              <w:t>:</w:t>
            </w:r>
            <w:r>
              <w:rPr>
                <w:rStyle w:val="IndexLink"/>
                <w:rtl w:val="true"/>
              </w:rPr>
              <w:t>عدم السماح باستعمال آنیة الذهب و الفضّة</w:t>
            </w:r>
            <w:r>
              <w:rPr>
                <w:rStyle w:val="IndexLink"/>
                <w:rtl w:val="true"/>
              </w:rPr>
              <w:tab/>
            </w:r>
            <w:r>
              <w:rPr>
                <w:rStyle w:val="IndexLink"/>
              </w:rPr>
              <w:t>319</w:t>
            </w:r>
          </w:hyperlink>
        </w:p>
        <w:p>
          <w:pPr>
            <w:pStyle w:val="Contents5"/>
            <w:tabs>
              <w:tab w:val="clear" w:pos="7892"/>
              <w:tab w:val="right" w:pos="9026" w:leader="dot"/>
            </w:tabs>
            <w:rPr/>
          </w:pPr>
          <w:hyperlink w:anchor="__RefHeading___Toc97780_581953129">
            <w:r>
              <w:rPr>
                <w:webHidden/>
                <w:rStyle w:val="IndexLink"/>
                <w:rtl w:val="true"/>
              </w:rPr>
              <w:t>ثانیاً</w:t>
            </w:r>
            <w:r>
              <w:rPr>
                <w:rStyle w:val="IndexLink"/>
                <w:rtl w:val="true"/>
              </w:rPr>
              <w:t>:</w:t>
            </w:r>
            <w:r>
              <w:rPr>
                <w:rStyle w:val="IndexLink"/>
                <w:rtl w:val="true"/>
              </w:rPr>
              <w:t>عدم السماح للرجل بلبس الذهب</w:t>
            </w:r>
            <w:r>
              <w:rPr>
                <w:rStyle w:val="IndexLink"/>
                <w:rtl w:val="true"/>
              </w:rPr>
              <w:tab/>
            </w:r>
            <w:r>
              <w:rPr>
                <w:rStyle w:val="IndexLink"/>
              </w:rPr>
              <w:t>320</w:t>
            </w:r>
          </w:hyperlink>
        </w:p>
        <w:p>
          <w:pPr>
            <w:pStyle w:val="Contents5"/>
            <w:tabs>
              <w:tab w:val="clear" w:pos="7892"/>
              <w:tab w:val="right" w:pos="9026" w:leader="dot"/>
            </w:tabs>
            <w:rPr/>
          </w:pPr>
          <w:hyperlink w:anchor="__RefHeading___Toc97782_581953129">
            <w:r>
              <w:rPr>
                <w:webHidden/>
                <w:rStyle w:val="IndexLink"/>
                <w:rtl w:val="true"/>
              </w:rPr>
              <w:t>ثالثاً</w:t>
            </w:r>
            <w:r>
              <w:rPr>
                <w:rStyle w:val="IndexLink"/>
                <w:rtl w:val="true"/>
              </w:rPr>
              <w:t>:</w:t>
            </w:r>
            <w:r>
              <w:rPr>
                <w:rStyle w:val="IndexLink"/>
                <w:rtl w:val="true"/>
              </w:rPr>
              <w:t>عدم السماح للرجل بلبس الحریر</w:t>
            </w:r>
            <w:r>
              <w:rPr>
                <w:rStyle w:val="IndexLink"/>
                <w:rtl w:val="true"/>
              </w:rPr>
              <w:tab/>
            </w:r>
            <w:r>
              <w:rPr>
                <w:rStyle w:val="IndexLink"/>
              </w:rPr>
              <w:t>320</w:t>
            </w:r>
          </w:hyperlink>
        </w:p>
        <w:p>
          <w:pPr>
            <w:pStyle w:val="Contents5"/>
            <w:tabs>
              <w:tab w:val="clear" w:pos="7892"/>
              <w:tab w:val="right" w:pos="9026" w:leader="dot"/>
            </w:tabs>
            <w:rPr/>
          </w:pPr>
          <w:hyperlink w:anchor="__RefHeading___Toc97784_581953129">
            <w:r>
              <w:rPr>
                <w:webHidden/>
                <w:rStyle w:val="IndexLink"/>
                <w:rtl w:val="true"/>
              </w:rPr>
              <w:t>رابعاً</w:t>
            </w:r>
            <w:r>
              <w:rPr>
                <w:rStyle w:val="IndexLink"/>
                <w:rtl w:val="true"/>
              </w:rPr>
              <w:t>:</w:t>
            </w:r>
            <w:r>
              <w:rPr>
                <w:rStyle w:val="IndexLink"/>
                <w:rtl w:val="true"/>
              </w:rPr>
              <w:t>عدم السماح بلبس المستهجَن</w:t>
            </w:r>
            <w:r>
              <w:rPr>
                <w:rStyle w:val="IndexLink"/>
                <w:rtl w:val="true"/>
              </w:rPr>
              <w:tab/>
            </w:r>
            <w:r>
              <w:rPr>
                <w:rStyle w:val="IndexLink"/>
              </w:rPr>
              <w:t>321</w:t>
            </w:r>
          </w:hyperlink>
        </w:p>
        <w:p>
          <w:pPr>
            <w:pStyle w:val="Contents3"/>
            <w:tabs>
              <w:tab w:val="clear" w:pos="8459"/>
              <w:tab w:val="right" w:pos="9026" w:leader="dot"/>
            </w:tabs>
            <w:rPr/>
          </w:pPr>
          <w:hyperlink w:anchor="__RefHeading___Toc97786_581953129">
            <w:r>
              <w:rPr>
                <w:webHidden/>
                <w:rStyle w:val="IndexLink"/>
                <w:rtl w:val="true"/>
              </w:rPr>
              <w:t>المبحث الثالث</w:t>
            </w:r>
            <w:r>
              <w:rPr>
                <w:rStyle w:val="IndexLink"/>
                <w:rtl w:val="true"/>
              </w:rPr>
              <w:t>:</w:t>
            </w:r>
            <w:r>
              <w:rPr>
                <w:rStyle w:val="IndexLink"/>
                <w:rtl w:val="true"/>
              </w:rPr>
              <w:t>حدود حرّیة الاستهلاک علی المستوی العمومی</w:t>
            </w:r>
            <w:r>
              <w:rPr>
                <w:rStyle w:val="IndexLink"/>
                <w:rtl w:val="true"/>
              </w:rPr>
              <w:tab/>
            </w:r>
            <w:r>
              <w:rPr>
                <w:rStyle w:val="IndexLink"/>
              </w:rPr>
              <w:t>322</w:t>
            </w:r>
          </w:hyperlink>
        </w:p>
        <w:p>
          <w:pPr>
            <w:pStyle w:val="Contents4"/>
            <w:tabs>
              <w:tab w:val="clear" w:pos="8176"/>
              <w:tab w:val="right" w:pos="9026" w:leader="dot"/>
            </w:tabs>
            <w:rPr/>
          </w:pPr>
          <w:hyperlink w:anchor="__RefHeading___Toc97788_581953129">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97790_581953129">
            <w:r>
              <w:rPr>
                <w:webHidden/>
                <w:rStyle w:val="IndexLink"/>
                <w:rtl w:val="true"/>
              </w:rPr>
              <w:t>المطلب الأوّل</w:t>
            </w:r>
            <w:r>
              <w:rPr>
                <w:rStyle w:val="IndexLink"/>
                <w:rtl w:val="true"/>
              </w:rPr>
              <w:t>:</w:t>
            </w:r>
            <w:r>
              <w:rPr>
                <w:rStyle w:val="IndexLink"/>
                <w:rtl w:val="true"/>
              </w:rPr>
              <w:t>حدود الحرّیة فی الانتفاع بالطرق</w:t>
            </w:r>
            <w:r>
              <w:rPr>
                <w:rStyle w:val="IndexLink"/>
                <w:rtl w:val="true"/>
              </w:rPr>
              <w:tab/>
            </w:r>
            <w:r>
              <w:rPr>
                <w:rStyle w:val="IndexLink"/>
              </w:rPr>
              <w:t>322</w:t>
            </w:r>
          </w:hyperlink>
        </w:p>
        <w:p>
          <w:pPr>
            <w:pStyle w:val="Contents5"/>
            <w:tabs>
              <w:tab w:val="clear" w:pos="7892"/>
              <w:tab w:val="right" w:pos="9026" w:leader="dot"/>
            </w:tabs>
            <w:rPr/>
          </w:pPr>
          <w:hyperlink w:anchor="__RefHeading___Toc97792_581953129">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97794_581953129">
            <w:r>
              <w:rPr>
                <w:webHidden/>
                <w:rStyle w:val="IndexLink"/>
                <w:rtl w:val="true"/>
              </w:rPr>
              <w:t>أوّلاً</w:t>
            </w:r>
            <w:r>
              <w:rPr>
                <w:rStyle w:val="IndexLink"/>
                <w:rtl w:val="true"/>
              </w:rPr>
              <w:t>:</w:t>
            </w:r>
            <w:r>
              <w:rPr>
                <w:rStyle w:val="IndexLink"/>
                <w:rtl w:val="true"/>
              </w:rPr>
              <w:t>عدم السماح بإحداث شیء فی الطریق یرجع نفعه إلی الفرد خاصّة</w:t>
            </w:r>
            <w:r>
              <w:rPr>
                <w:rStyle w:val="IndexLink"/>
                <w:rtl w:val="true"/>
              </w:rPr>
              <w:tab/>
            </w:r>
            <w:r>
              <w:rPr>
                <w:rStyle w:val="IndexLink"/>
              </w:rPr>
              <w:t>322</w:t>
            </w:r>
          </w:hyperlink>
        </w:p>
        <w:p>
          <w:pPr>
            <w:pStyle w:val="Contents5"/>
            <w:tabs>
              <w:tab w:val="clear" w:pos="7892"/>
              <w:tab w:val="right" w:pos="9026" w:leader="dot"/>
            </w:tabs>
            <w:rPr/>
          </w:pPr>
          <w:hyperlink w:anchor="__RefHeading___Toc97796_581953129">
            <w:r>
              <w:rPr>
                <w:webHidden/>
                <w:rStyle w:val="IndexLink"/>
                <w:rtl w:val="true"/>
              </w:rPr>
              <w:t>ثانیاً</w:t>
            </w:r>
            <w:r>
              <w:rPr>
                <w:rStyle w:val="IndexLink"/>
                <w:rtl w:val="true"/>
              </w:rPr>
              <w:t>:</w:t>
            </w:r>
            <w:r>
              <w:rPr>
                <w:rStyle w:val="IndexLink"/>
                <w:rtl w:val="true"/>
              </w:rPr>
              <w:t>عدم السماح بمزاحمة الغیر فی حال انتفاعه العامّ بالطریق</w:t>
            </w:r>
            <w:r>
              <w:rPr>
                <w:rStyle w:val="IndexLink"/>
                <w:rtl w:val="true"/>
              </w:rPr>
              <w:tab/>
            </w:r>
            <w:r>
              <w:rPr>
                <w:rStyle w:val="IndexLink"/>
              </w:rPr>
              <w:t>323</w:t>
            </w:r>
          </w:hyperlink>
        </w:p>
        <w:p>
          <w:pPr>
            <w:pStyle w:val="Contents4"/>
            <w:tabs>
              <w:tab w:val="clear" w:pos="8176"/>
              <w:tab w:val="right" w:pos="9026" w:leader="dot"/>
            </w:tabs>
            <w:rPr/>
          </w:pPr>
          <w:hyperlink w:anchor="__RefHeading___Toc97798_581953129">
            <w:r>
              <w:rPr>
                <w:webHidden/>
                <w:rStyle w:val="IndexLink"/>
                <w:rtl w:val="true"/>
              </w:rPr>
              <w:t>المطلب الثانی</w:t>
            </w:r>
            <w:r>
              <w:rPr>
                <w:rStyle w:val="IndexLink"/>
                <w:rtl w:val="true"/>
              </w:rPr>
              <w:t>:</w:t>
            </w:r>
            <w:r>
              <w:rPr>
                <w:rStyle w:val="IndexLink"/>
                <w:rtl w:val="true"/>
              </w:rPr>
              <w:t>حدود الحرّیة فی الانتفاع بالمنشآت العامّة</w:t>
            </w:r>
            <w:r>
              <w:rPr>
                <w:rStyle w:val="IndexLink"/>
                <w:rtl w:val="true"/>
              </w:rPr>
              <w:tab/>
            </w:r>
            <w:r>
              <w:rPr>
                <w:rStyle w:val="IndexLink"/>
              </w:rPr>
              <w:t>324</w:t>
            </w:r>
          </w:hyperlink>
        </w:p>
        <w:p>
          <w:pPr>
            <w:pStyle w:val="Contents5"/>
            <w:tabs>
              <w:tab w:val="clear" w:pos="7892"/>
              <w:tab w:val="right" w:pos="9026" w:leader="dot"/>
            </w:tabs>
            <w:rPr/>
          </w:pPr>
          <w:hyperlink w:anchor="__RefHeading___Toc97800_581953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97802_581953129">
            <w:r>
              <w:rPr>
                <w:webHidden/>
                <w:rStyle w:val="IndexLink"/>
                <w:rtl w:val="true"/>
              </w:rPr>
              <w:t>أوّلاً</w:t>
            </w:r>
            <w:r>
              <w:rPr>
                <w:rStyle w:val="IndexLink"/>
                <w:rtl w:val="true"/>
              </w:rPr>
              <w:t>:</w:t>
            </w:r>
            <w:r>
              <w:rPr>
                <w:rStyle w:val="IndexLink"/>
                <w:rtl w:val="true"/>
              </w:rPr>
              <w:t>عدم السماح بالانتفاع بالمرفق العامّ فی غیر العنوان المجعول له</w:t>
            </w:r>
            <w:r>
              <w:rPr>
                <w:rStyle w:val="IndexLink"/>
                <w:rtl w:val="true"/>
              </w:rPr>
              <w:tab/>
            </w:r>
            <w:r>
              <w:rPr>
                <w:rStyle w:val="IndexLink"/>
              </w:rPr>
              <w:t>324</w:t>
            </w:r>
          </w:hyperlink>
        </w:p>
        <w:p>
          <w:pPr>
            <w:pStyle w:val="Contents5"/>
            <w:tabs>
              <w:tab w:val="clear" w:pos="7892"/>
              <w:tab w:val="right" w:pos="9026" w:leader="dot"/>
            </w:tabs>
            <w:rPr/>
          </w:pPr>
          <w:hyperlink w:anchor="__RefHeading___Toc97804_581953129">
            <w:r>
              <w:rPr>
                <w:webHidden/>
                <w:rStyle w:val="IndexLink"/>
                <w:rtl w:val="true"/>
              </w:rPr>
              <w:t>ثانیاً</w:t>
            </w:r>
            <w:r>
              <w:rPr>
                <w:rStyle w:val="IndexLink"/>
                <w:rtl w:val="true"/>
              </w:rPr>
              <w:t>:</w:t>
            </w:r>
            <w:r>
              <w:rPr>
                <w:rStyle w:val="IndexLink"/>
                <w:rtl w:val="true"/>
              </w:rPr>
              <w:t>عدم السماح للّاحق بمزاحمة السابق فی الانتفاع بما سبق إلیه</w:t>
            </w:r>
            <w:r>
              <w:rPr>
                <w:rStyle w:val="IndexLink"/>
                <w:rtl w:val="true"/>
              </w:rPr>
              <w:tab/>
            </w:r>
            <w:r>
              <w:rPr>
                <w:rStyle w:val="IndexLink"/>
              </w:rPr>
              <w:t>325</w:t>
            </w:r>
          </w:hyperlink>
        </w:p>
        <w:p>
          <w:pPr>
            <w:pStyle w:val="Contents3"/>
            <w:tabs>
              <w:tab w:val="clear" w:pos="8459"/>
              <w:tab w:val="right" w:pos="9026" w:leader="dot"/>
            </w:tabs>
            <w:rPr/>
          </w:pPr>
          <w:hyperlink w:anchor="__RefHeading___Toc97806_581953129">
            <w:r>
              <w:rPr>
                <w:webHidden/>
                <w:rStyle w:val="IndexLink"/>
                <w:rtl w:val="true"/>
              </w:rPr>
              <w:t>المبحث الرابع</w:t>
            </w:r>
            <w:r>
              <w:rPr>
                <w:rStyle w:val="IndexLink"/>
                <w:rtl w:val="true"/>
              </w:rPr>
              <w:t>:</w:t>
            </w:r>
            <w:r>
              <w:rPr>
                <w:rStyle w:val="IndexLink"/>
                <w:rtl w:val="true"/>
              </w:rPr>
              <w:t>حدود حرّیة الاستهلاک علی المستوی الحکومی</w:t>
            </w:r>
            <w:r>
              <w:rPr>
                <w:rStyle w:val="IndexLink"/>
                <w:rtl w:val="true"/>
              </w:rPr>
              <w:tab/>
            </w:r>
            <w:r>
              <w:rPr>
                <w:rStyle w:val="IndexLink"/>
              </w:rPr>
              <w:t>326</w:t>
            </w:r>
          </w:hyperlink>
        </w:p>
        <w:p>
          <w:pPr>
            <w:pStyle w:val="Contents4"/>
            <w:tabs>
              <w:tab w:val="clear" w:pos="8176"/>
              <w:tab w:val="right" w:pos="9026" w:leader="dot"/>
            </w:tabs>
            <w:rPr/>
          </w:pPr>
          <w:hyperlink w:anchor="__RefHeading___Toc97808_581953129">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97810_581953129">
            <w:r>
              <w:rPr>
                <w:webHidden/>
                <w:rStyle w:val="IndexLink"/>
                <w:rtl w:val="true"/>
              </w:rPr>
              <w:t>المطلب الأوّل</w:t>
            </w:r>
            <w:r>
              <w:rPr>
                <w:rStyle w:val="IndexLink"/>
                <w:rtl w:val="true"/>
              </w:rPr>
              <w:t>:</w:t>
            </w:r>
            <w:r>
              <w:rPr>
                <w:rStyle w:val="IndexLink"/>
                <w:rtl w:val="true"/>
              </w:rPr>
              <w:t>حدود الحرّیة فی الإنفاق الحکومی</w:t>
            </w:r>
            <w:r>
              <w:rPr>
                <w:rStyle w:val="IndexLink"/>
                <w:rtl w:val="true"/>
              </w:rPr>
              <w:tab/>
            </w:r>
            <w:r>
              <w:rPr>
                <w:rStyle w:val="IndexLink"/>
              </w:rPr>
              <w:t>327</w:t>
            </w:r>
          </w:hyperlink>
        </w:p>
        <w:p>
          <w:pPr>
            <w:pStyle w:val="Contents5"/>
            <w:tabs>
              <w:tab w:val="clear" w:pos="7892"/>
              <w:tab w:val="right" w:pos="9026" w:leader="dot"/>
            </w:tabs>
            <w:rPr/>
          </w:pPr>
          <w:hyperlink w:anchor="__RefHeading___Toc97812_581953129">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97814_581953129">
            <w:r>
              <w:rPr>
                <w:webHidden/>
                <w:rStyle w:val="IndexLink"/>
                <w:rtl w:val="true"/>
              </w:rPr>
              <w:t>أوّلاً</w:t>
            </w:r>
            <w:r>
              <w:rPr>
                <w:rStyle w:val="IndexLink"/>
                <w:rtl w:val="true"/>
              </w:rPr>
              <w:t>:</w:t>
            </w:r>
            <w:r>
              <w:rPr>
                <w:rStyle w:val="IndexLink"/>
                <w:rtl w:val="true"/>
              </w:rPr>
              <w:t>عدم السماح بإنفاق مؤنة الحکومة فی المجال الشخصی</w:t>
            </w:r>
            <w:r>
              <w:rPr>
                <w:rStyle w:val="IndexLink"/>
                <w:rtl w:val="true"/>
              </w:rPr>
              <w:tab/>
            </w:r>
            <w:r>
              <w:rPr>
                <w:rStyle w:val="IndexLink"/>
              </w:rPr>
              <w:t>327</w:t>
            </w:r>
          </w:hyperlink>
        </w:p>
        <w:p>
          <w:pPr>
            <w:pStyle w:val="Contents5"/>
            <w:tabs>
              <w:tab w:val="clear" w:pos="7892"/>
              <w:tab w:val="right" w:pos="9026" w:leader="dot"/>
            </w:tabs>
            <w:rPr/>
          </w:pPr>
          <w:hyperlink w:anchor="__RefHeading___Toc97816_581953129">
            <w:r>
              <w:rPr>
                <w:webHidden/>
                <w:rStyle w:val="IndexLink"/>
                <w:rtl w:val="true"/>
              </w:rPr>
              <w:t>ثانیاً</w:t>
            </w:r>
            <w:r>
              <w:rPr>
                <w:rStyle w:val="IndexLink"/>
                <w:rtl w:val="true"/>
              </w:rPr>
              <w:t>:</w:t>
            </w:r>
            <w:r>
              <w:rPr>
                <w:rStyle w:val="IndexLink"/>
                <w:rtl w:val="true"/>
              </w:rPr>
              <w:t>عدم السماح بإنفاق مؤنة الدولة علی الشخص غیر المؤهّل</w:t>
            </w:r>
            <w:r>
              <w:rPr>
                <w:rStyle w:val="IndexLink"/>
                <w:rtl w:val="true"/>
              </w:rPr>
              <w:tab/>
            </w:r>
            <w:r>
              <w:rPr>
                <w:rStyle w:val="IndexLink"/>
              </w:rPr>
              <w:t>327</w:t>
            </w:r>
          </w:hyperlink>
        </w:p>
        <w:p>
          <w:pPr>
            <w:pStyle w:val="Contents5"/>
            <w:tabs>
              <w:tab w:val="clear" w:pos="7892"/>
              <w:tab w:val="right" w:pos="9026" w:leader="dot"/>
            </w:tabs>
            <w:rPr/>
          </w:pPr>
          <w:hyperlink w:anchor="__RefHeading___Toc97818_581953129">
            <w:r>
              <w:rPr>
                <w:webHidden/>
                <w:rStyle w:val="IndexLink"/>
                <w:rtl w:val="true"/>
              </w:rPr>
              <w:t>ثالثاً</w:t>
            </w:r>
            <w:r>
              <w:rPr>
                <w:rStyle w:val="IndexLink"/>
                <w:rtl w:val="true"/>
              </w:rPr>
              <w:t>:</w:t>
            </w:r>
            <w:r>
              <w:rPr>
                <w:rStyle w:val="IndexLink"/>
                <w:rtl w:val="true"/>
              </w:rPr>
              <w:t>عدم السماح بالإسراف و التبذیر فی مؤنة الدولة</w:t>
            </w:r>
            <w:r>
              <w:rPr>
                <w:rStyle w:val="IndexLink"/>
                <w:rtl w:val="true"/>
              </w:rPr>
              <w:tab/>
            </w:r>
            <w:r>
              <w:rPr>
                <w:rStyle w:val="IndexLink"/>
              </w:rPr>
              <w:t>328</w:t>
            </w:r>
          </w:hyperlink>
        </w:p>
        <w:p>
          <w:pPr>
            <w:pStyle w:val="Contents5"/>
            <w:tabs>
              <w:tab w:val="clear" w:pos="7892"/>
              <w:tab w:val="right" w:pos="9026" w:leader="dot"/>
            </w:tabs>
            <w:rPr/>
          </w:pPr>
          <w:hyperlink w:anchor="__RefHeading___Toc97820_581953129">
            <w:r>
              <w:rPr>
                <w:webHidden/>
                <w:rStyle w:val="IndexLink"/>
                <w:rtl w:val="true"/>
              </w:rPr>
              <w:t>رابعاً</w:t>
            </w:r>
            <w:r>
              <w:rPr>
                <w:rStyle w:val="IndexLink"/>
                <w:rtl w:val="true"/>
              </w:rPr>
              <w:t>:</w:t>
            </w:r>
            <w:r>
              <w:rPr>
                <w:rStyle w:val="IndexLink"/>
                <w:rtl w:val="true"/>
              </w:rPr>
              <w:t>عدم السماح للحاکم بتجاوز عیش الطبقة السفلی من المجتمع</w:t>
            </w:r>
            <w:r>
              <w:rPr>
                <w:rStyle w:val="IndexLink"/>
                <w:rtl w:val="true"/>
              </w:rPr>
              <w:tab/>
            </w:r>
            <w:r>
              <w:rPr>
                <w:rStyle w:val="IndexLink"/>
              </w:rPr>
              <w:t>328</w:t>
            </w:r>
          </w:hyperlink>
        </w:p>
        <w:p>
          <w:pPr>
            <w:pStyle w:val="Contents4"/>
            <w:tabs>
              <w:tab w:val="clear" w:pos="8176"/>
              <w:tab w:val="right" w:pos="9026" w:leader="dot"/>
            </w:tabs>
            <w:rPr/>
          </w:pPr>
          <w:hyperlink w:anchor="__RefHeading___Toc97822_581953129">
            <w:r>
              <w:rPr>
                <w:webHidden/>
                <w:rStyle w:val="IndexLink"/>
                <w:rtl w:val="true"/>
              </w:rPr>
              <w:t>المطلب الثانی</w:t>
            </w:r>
            <w:r>
              <w:rPr>
                <w:rStyle w:val="IndexLink"/>
                <w:rtl w:val="true"/>
              </w:rPr>
              <w:t>:</w:t>
            </w:r>
            <w:r>
              <w:rPr>
                <w:rStyle w:val="IndexLink"/>
                <w:rtl w:val="true"/>
              </w:rPr>
              <w:t>حدود الحرّیة فی التصرّف فی الأموال العامّة</w:t>
            </w:r>
            <w:r>
              <w:rPr>
                <w:rStyle w:val="IndexLink"/>
                <w:rtl w:val="true"/>
              </w:rPr>
              <w:tab/>
            </w:r>
            <w:r>
              <w:rPr>
                <w:rStyle w:val="IndexLink"/>
              </w:rPr>
              <w:t>328</w:t>
            </w:r>
          </w:hyperlink>
        </w:p>
        <w:p>
          <w:pPr>
            <w:pStyle w:val="Contents5"/>
            <w:tabs>
              <w:tab w:val="clear" w:pos="7892"/>
              <w:tab w:val="right" w:pos="9026" w:leader="dot"/>
            </w:tabs>
            <w:rPr/>
          </w:pPr>
          <w:hyperlink w:anchor="__RefHeading___Toc97824_581953129">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97826_581953129">
            <w:r>
              <w:rPr>
                <w:webHidden/>
                <w:rStyle w:val="IndexLink"/>
                <w:rtl w:val="true"/>
              </w:rPr>
              <w:t>أوّلاً</w:t>
            </w:r>
            <w:r>
              <w:rPr>
                <w:rStyle w:val="IndexLink"/>
                <w:rtl w:val="true"/>
              </w:rPr>
              <w:t>:</w:t>
            </w:r>
            <w:r>
              <w:rPr>
                <w:rStyle w:val="IndexLink"/>
                <w:rtl w:val="true"/>
              </w:rPr>
              <w:t>عدم السماح بإخراج مؤنة الحکومة من الأموال العامّة</w:t>
            </w:r>
            <w:r>
              <w:rPr>
                <w:rStyle w:val="IndexLink"/>
                <w:rtl w:val="true"/>
              </w:rPr>
              <w:tab/>
            </w:r>
            <w:r>
              <w:rPr>
                <w:rStyle w:val="IndexLink"/>
              </w:rPr>
              <w:t>329</w:t>
            </w:r>
          </w:hyperlink>
        </w:p>
        <w:p>
          <w:pPr>
            <w:pStyle w:val="Contents5"/>
            <w:tabs>
              <w:tab w:val="clear" w:pos="7892"/>
              <w:tab w:val="right" w:pos="9026" w:leader="dot"/>
            </w:tabs>
            <w:rPr/>
          </w:pPr>
          <w:hyperlink w:anchor="__RefHeading___Toc97828_581953129">
            <w:r>
              <w:rPr>
                <w:webHidden/>
                <w:rStyle w:val="IndexLink"/>
                <w:rtl w:val="true"/>
              </w:rPr>
              <w:t>ثانیاً</w:t>
            </w:r>
            <w:r>
              <w:rPr>
                <w:rStyle w:val="IndexLink"/>
                <w:rtl w:val="true"/>
              </w:rPr>
              <w:t>:</w:t>
            </w:r>
            <w:r>
              <w:rPr>
                <w:rStyle w:val="IndexLink"/>
                <w:rtl w:val="true"/>
              </w:rPr>
              <w:t>عدم السماح بإنفاق الأموال العاّمة فی غیر مواردها المعینة</w:t>
            </w:r>
            <w:r>
              <w:rPr>
                <w:rStyle w:val="IndexLink"/>
                <w:rtl w:val="true"/>
              </w:rPr>
              <w:tab/>
            </w:r>
            <w:r>
              <w:rPr>
                <w:rStyle w:val="IndexLink"/>
              </w:rPr>
              <w:t>329</w:t>
            </w:r>
          </w:hyperlink>
        </w:p>
        <w:p>
          <w:pPr>
            <w:pStyle w:val="Contents2"/>
            <w:tabs>
              <w:tab w:val="clear" w:pos="8743"/>
              <w:tab w:val="right" w:pos="9026" w:leader="dot"/>
            </w:tabs>
            <w:rPr/>
          </w:pPr>
          <w:hyperlink w:anchor="__RefHeading___Toc97830_581953129">
            <w:r>
              <w:rPr>
                <w:webHidden/>
                <w:rStyle w:val="IndexLink"/>
                <w:rtl w:val="true"/>
              </w:rPr>
              <w:t>الخاتمة</w:t>
            </w:r>
            <w:r>
              <w:rPr>
                <w:rStyle w:val="IndexLink"/>
                <w:rtl w:val="true"/>
              </w:rPr>
              <w:tab/>
            </w:r>
            <w:r>
              <w:rPr>
                <w:rStyle w:val="IndexLink"/>
              </w:rPr>
              <w:t>331</w:t>
            </w:r>
          </w:hyperlink>
        </w:p>
        <w:p>
          <w:pPr>
            <w:pStyle w:val="Contents2"/>
            <w:tabs>
              <w:tab w:val="clear" w:pos="8743"/>
              <w:tab w:val="right" w:pos="9026" w:leader="dot"/>
            </w:tabs>
            <w:rPr/>
          </w:pPr>
          <w:hyperlink w:anchor="__RefHeading___Toc97832_581953129">
            <w:r>
              <w:rPr>
                <w:webHidden/>
                <w:rStyle w:val="IndexLink"/>
                <w:rtl w:val="true"/>
              </w:rPr>
              <w:t>مسرد الآیات</w:t>
            </w:r>
            <w:r>
              <w:rPr>
                <w:rStyle w:val="IndexLink"/>
                <w:rtl w:val="true"/>
              </w:rPr>
              <w:tab/>
            </w:r>
            <w:r>
              <w:rPr>
                <w:rStyle w:val="IndexLink"/>
              </w:rPr>
              <w:t>334</w:t>
            </w:r>
          </w:hyperlink>
        </w:p>
        <w:p>
          <w:pPr>
            <w:pStyle w:val="Contents2"/>
            <w:tabs>
              <w:tab w:val="clear" w:pos="8743"/>
              <w:tab w:val="right" w:pos="9026" w:leader="dot"/>
            </w:tabs>
            <w:rPr/>
          </w:pPr>
          <w:hyperlink w:anchor="__RefHeading___Toc97834_581953129">
            <w:r>
              <w:rPr>
                <w:webHidden/>
                <w:rStyle w:val="IndexLink"/>
                <w:rtl w:val="true"/>
              </w:rPr>
              <w:t>المصادر</w:t>
            </w:r>
            <w:r>
              <w:rPr>
                <w:rStyle w:val="IndexLink"/>
                <w:rtl w:val="true"/>
              </w:rPr>
              <w:tab/>
            </w:r>
            <w:r>
              <w:rPr>
                <w:rStyle w:val="IndexLink"/>
              </w:rPr>
              <w:t>338</w:t>
            </w:r>
          </w:hyperlink>
        </w:p>
        <w:p>
          <w:pPr>
            <w:pStyle w:val="Contents3"/>
            <w:tabs>
              <w:tab w:val="clear" w:pos="8459"/>
              <w:tab w:val="right" w:pos="9026" w:leader="dot"/>
            </w:tabs>
            <w:rPr/>
          </w:pPr>
          <w:hyperlink w:anchor="__RefHeading___Toc97836_581953129">
            <w:r>
              <w:rPr>
                <w:webHidden/>
                <w:rStyle w:val="IndexLink"/>
                <w:rtl w:val="true"/>
              </w:rPr>
              <w:t>أ</w:t>
            </w:r>
            <w:r>
              <w:rPr>
                <w:rStyle w:val="IndexLink"/>
                <w:rtl w:val="true"/>
              </w:rPr>
              <w:t>)</w:t>
            </w:r>
            <w:r>
              <w:rPr>
                <w:rStyle w:val="IndexLink"/>
                <w:rtl w:val="true"/>
              </w:rPr>
              <w:t>المصادر الروائیة</w:t>
            </w:r>
            <w:r>
              <w:rPr>
                <w:rStyle w:val="IndexLink"/>
                <w:rtl w:val="true"/>
              </w:rPr>
              <w:tab/>
            </w:r>
            <w:r>
              <w:rPr>
                <w:rStyle w:val="IndexLink"/>
              </w:rPr>
              <w:t>338</w:t>
            </w:r>
          </w:hyperlink>
        </w:p>
        <w:p>
          <w:pPr>
            <w:pStyle w:val="Contents3"/>
            <w:tabs>
              <w:tab w:val="clear" w:pos="8459"/>
              <w:tab w:val="right" w:pos="9026" w:leader="dot"/>
            </w:tabs>
            <w:rPr/>
          </w:pPr>
          <w:hyperlink w:anchor="__RefHeading___Toc97838_581953129">
            <w:r>
              <w:rPr>
                <w:webHidden/>
                <w:rStyle w:val="IndexLink"/>
                <w:rtl w:val="true"/>
              </w:rPr>
              <w:t>ب</w:t>
            </w:r>
            <w:r>
              <w:rPr>
                <w:rStyle w:val="IndexLink"/>
                <w:rtl w:val="true"/>
              </w:rPr>
              <w:t>)</w:t>
            </w:r>
            <w:r>
              <w:rPr>
                <w:rStyle w:val="IndexLink"/>
                <w:rtl w:val="true"/>
              </w:rPr>
              <w:t>المصادر اللغویة</w:t>
            </w:r>
            <w:r>
              <w:rPr>
                <w:rStyle w:val="IndexLink"/>
                <w:rtl w:val="true"/>
              </w:rPr>
              <w:tab/>
            </w:r>
            <w:r>
              <w:rPr>
                <w:rStyle w:val="IndexLink"/>
              </w:rPr>
              <w:t>338</w:t>
            </w:r>
          </w:hyperlink>
        </w:p>
        <w:p>
          <w:pPr>
            <w:pStyle w:val="Contents3"/>
            <w:tabs>
              <w:tab w:val="clear" w:pos="8459"/>
              <w:tab w:val="right" w:pos="9026" w:leader="dot"/>
            </w:tabs>
            <w:rPr/>
          </w:pPr>
          <w:hyperlink w:anchor="__RefHeading___Toc97840_581953129">
            <w:r>
              <w:rPr>
                <w:webHidden/>
                <w:rStyle w:val="IndexLink"/>
                <w:rtl w:val="true"/>
              </w:rPr>
              <w:t>ج</w:t>
            </w:r>
            <w:r>
              <w:rPr>
                <w:rStyle w:val="IndexLink"/>
                <w:rtl w:val="true"/>
              </w:rPr>
              <w:t>)</w:t>
            </w:r>
            <w:r>
              <w:rPr>
                <w:rStyle w:val="IndexLink"/>
                <w:rtl w:val="true"/>
              </w:rPr>
              <w:t>المصادر التفسیریة</w:t>
            </w:r>
            <w:r>
              <w:rPr>
                <w:rStyle w:val="IndexLink"/>
                <w:rtl w:val="true"/>
              </w:rPr>
              <w:tab/>
            </w:r>
            <w:r>
              <w:rPr>
                <w:rStyle w:val="IndexLink"/>
              </w:rPr>
              <w:t>339</w:t>
            </w:r>
          </w:hyperlink>
        </w:p>
        <w:p>
          <w:pPr>
            <w:pStyle w:val="Contents3"/>
            <w:tabs>
              <w:tab w:val="clear" w:pos="8459"/>
              <w:tab w:val="right" w:pos="9026" w:leader="dot"/>
            </w:tabs>
            <w:rPr/>
          </w:pPr>
          <w:hyperlink w:anchor="__RefHeading___Toc97842_581953129">
            <w:r>
              <w:rPr>
                <w:webHidden/>
                <w:rStyle w:val="IndexLink"/>
                <w:rtl w:val="true"/>
              </w:rPr>
              <w:t>د</w:t>
            </w:r>
            <w:r>
              <w:rPr>
                <w:rStyle w:val="IndexLink"/>
                <w:rtl w:val="true"/>
              </w:rPr>
              <w:t>)</w:t>
            </w:r>
            <w:r>
              <w:rPr>
                <w:rStyle w:val="IndexLink"/>
                <w:rtl w:val="true"/>
              </w:rPr>
              <w:t>المصادر الفقهیة</w:t>
            </w:r>
            <w:r>
              <w:rPr>
                <w:rStyle w:val="IndexLink"/>
                <w:rtl w:val="true"/>
              </w:rPr>
              <w:tab/>
            </w:r>
            <w:r>
              <w:rPr>
                <w:rStyle w:val="IndexLink"/>
              </w:rPr>
              <w:t>339</w:t>
            </w:r>
          </w:hyperlink>
        </w:p>
        <w:p>
          <w:pPr>
            <w:pStyle w:val="Contents3"/>
            <w:tabs>
              <w:tab w:val="clear" w:pos="8459"/>
              <w:tab w:val="right" w:pos="9026" w:leader="dot"/>
            </w:tabs>
            <w:rPr/>
          </w:pPr>
          <w:hyperlink w:anchor="__RefHeading___Toc97844_581953129">
            <w:r>
              <w:rPr>
                <w:webHidden/>
                <w:rStyle w:val="IndexLink"/>
                <w:rtl w:val="true"/>
              </w:rPr>
              <w:t>ه</w:t>
            </w:r>
            <w:r>
              <w:rPr>
                <w:rStyle w:val="IndexLink"/>
                <w:rtl w:val="true"/>
              </w:rPr>
              <w:t>-)</w:t>
            </w:r>
            <w:r>
              <w:rPr>
                <w:rStyle w:val="IndexLink"/>
                <w:rtl w:val="true"/>
              </w:rPr>
              <w:t>المصادر الأصولیة</w:t>
            </w:r>
            <w:r>
              <w:rPr>
                <w:rStyle w:val="IndexLink"/>
                <w:rtl w:val="true"/>
              </w:rPr>
              <w:tab/>
            </w:r>
            <w:r>
              <w:rPr>
                <w:rStyle w:val="IndexLink"/>
              </w:rPr>
              <w:t>340</w:t>
            </w:r>
          </w:hyperlink>
        </w:p>
        <w:p>
          <w:pPr>
            <w:pStyle w:val="Contents3"/>
            <w:tabs>
              <w:tab w:val="clear" w:pos="8459"/>
              <w:tab w:val="right" w:pos="9026" w:leader="dot"/>
            </w:tabs>
            <w:rPr/>
          </w:pPr>
          <w:hyperlink w:anchor="__RefHeading___Toc97846_581953129">
            <w:r>
              <w:rPr>
                <w:webHidden/>
                <w:rStyle w:val="IndexLink"/>
                <w:rtl w:val="true"/>
              </w:rPr>
              <w:t>و</w:t>
            </w:r>
            <w:r>
              <w:rPr>
                <w:rStyle w:val="IndexLink"/>
                <w:rtl w:val="true"/>
              </w:rPr>
              <w:t>)</w:t>
            </w:r>
            <w:r>
              <w:rPr>
                <w:rStyle w:val="IndexLink"/>
                <w:rtl w:val="true"/>
              </w:rPr>
              <w:t>المصادر الاقتصادیة</w:t>
            </w:r>
            <w:r>
              <w:rPr>
                <w:rStyle w:val="IndexLink"/>
                <w:rtl w:val="true"/>
              </w:rPr>
              <w:tab/>
            </w:r>
            <w:r>
              <w:rPr>
                <w:rStyle w:val="IndexLink"/>
              </w:rPr>
              <w:t>341</w:t>
            </w:r>
          </w:hyperlink>
        </w:p>
        <w:p>
          <w:pPr>
            <w:pStyle w:val="Contents3"/>
            <w:tabs>
              <w:tab w:val="clear" w:pos="8459"/>
              <w:tab w:val="right" w:pos="9026" w:leader="dot"/>
            </w:tabs>
            <w:rPr/>
          </w:pPr>
          <w:hyperlink w:anchor="__RefHeading___Toc97848_581953129">
            <w:r>
              <w:rPr>
                <w:webHidden/>
                <w:rStyle w:val="IndexLink"/>
                <w:rtl w:val="true"/>
              </w:rPr>
              <w:t>ز</w:t>
            </w:r>
            <w:r>
              <w:rPr>
                <w:rStyle w:val="IndexLink"/>
                <w:rtl w:val="true"/>
              </w:rPr>
              <w:t>)</w:t>
            </w:r>
            <w:r>
              <w:rPr>
                <w:rStyle w:val="IndexLink"/>
                <w:rtl w:val="true"/>
              </w:rPr>
              <w:t>المصادر العامّة</w:t>
            </w:r>
            <w:r>
              <w:rPr>
                <w:rStyle w:val="IndexLink"/>
                <w:rtl w:val="true"/>
              </w:rPr>
              <w:tab/>
            </w:r>
            <w:r>
              <w:rPr>
                <w:rStyle w:val="IndexLink"/>
              </w:rPr>
              <w:t>341</w:t>
            </w:r>
          </w:hyperlink>
        </w:p>
        <w:p>
          <w:pPr>
            <w:pStyle w:val="Contents3"/>
            <w:tabs>
              <w:tab w:val="clear" w:pos="8459"/>
              <w:tab w:val="right" w:pos="9026" w:leader="dot"/>
            </w:tabs>
            <w:rPr/>
          </w:pPr>
          <w:hyperlink w:anchor="__RefHeading___Toc97850_581953129">
            <w:r>
              <w:rPr>
                <w:webHidden/>
                <w:rStyle w:val="IndexLink"/>
                <w:rtl w:val="true"/>
              </w:rPr>
              <w:t>ح</w:t>
            </w:r>
            <w:r>
              <w:rPr>
                <w:rStyle w:val="IndexLink"/>
                <w:rtl w:val="true"/>
              </w:rPr>
              <w:t>)</w:t>
            </w:r>
            <w:r>
              <w:rPr>
                <w:rStyle w:val="IndexLink"/>
                <w:rtl w:val="true"/>
              </w:rPr>
              <w:t>المجلات</w:t>
            </w:r>
            <w:r>
              <w:rPr>
                <w:rStyle w:val="IndexLink"/>
                <w:rtl w:val="true"/>
              </w:rPr>
              <w:tab/>
            </w:r>
            <w:r>
              <w:rPr>
                <w:rStyle w:val="IndexLink"/>
              </w:rPr>
              <w:t>342</w:t>
            </w:r>
          </w:hyperlink>
        </w:p>
        <w:p>
          <w:pPr>
            <w:pStyle w:val="Contents3"/>
            <w:tabs>
              <w:tab w:val="clear" w:pos="8459"/>
              <w:tab w:val="right" w:pos="9026" w:leader="dot"/>
            </w:tabs>
            <w:rPr/>
          </w:pPr>
          <w:hyperlink w:anchor="__RefHeading___Toc97852_581953129">
            <w:r>
              <w:rPr>
                <w:webHidden/>
                <w:rStyle w:val="IndexLink"/>
                <w:rtl w:val="true"/>
              </w:rPr>
              <w:t xml:space="preserve">ط </w:t>
            </w:r>
            <w:r>
              <w:rPr>
                <w:rStyle w:val="IndexLink"/>
                <w:rtl w:val="true"/>
              </w:rPr>
              <w:t>)</w:t>
            </w:r>
            <w:r>
              <w:rPr>
                <w:rStyle w:val="IndexLink"/>
                <w:rtl w:val="true"/>
              </w:rPr>
              <w:t>المصادر الفارسیة</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4_66012"/>
      <w:bookmarkStart w:id="1" w:name="pg5204_66012"/>
      <w:bookmarkEnd w:id="1"/>
    </w:p>
    <w:p>
      <w:pPr>
        <w:pStyle w:val="Heading2"/>
        <w:numPr>
          <w:ilvl w:val="1"/>
          <w:numId w:val="1"/>
        </w:numPr>
        <w:rPr/>
      </w:pPr>
      <w:bookmarkStart w:id="2" w:name="pg5204_66012"/>
      <w:bookmarkStart w:id="3" w:name="__RefHeading___Toc9701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بحراوی طعمه، عبدالکریم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الحریة‌الاقتصادیة؛ ضوابطها و حدودها فی‌الفقه‌الاسلامی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بحراوی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معاونیةالتحقیق؛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۲۵۵۶۳۴۲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18_581953129"/>
      <w:bookmarkStart w:id="6" w:name="_Toc2"/>
      <w:bookmarkEnd w:id="5"/>
      <w:r>
        <w:rPr>
          <w:rtl w:val="true"/>
        </w:rPr>
        <w:t>الإهداء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کلّ الذین سعوا إلی إحیاء تجربة الإسلام بألسنتهم وأقلامهم وجهودهم،حتّی أولئک الذین تعاطفوا معها بنیاتهم وإحساسهم،بل حتّی الذین خالفوها،لکنّهم لم یقفوا بوجهها أو یجاهروا بمعارضتها،بل حتّی الذین حشّدوا الحشود وشحذوا النفوس للقضاء علیها،فإنّهم‌أمدّوها بروح جدیدة ودماء غزیرة،وعسی أن تتنبّه‌نفوسهم وتصحو عقولهم علی حقیقة أنّها تهب الإنسان أکثر ممّا یطلب ویرید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الحرّیة الاقتصادیة؛ ضوابطها وحدودها فی الفقه الإسلامی عبدالکریم بحراوی</w:t>
      </w:r>
    </w:p>
    <w:p>
      <w:pPr>
        <w:pStyle w:val="BookText"/>
        <w:rPr/>
      </w:pPr>
      <w:r>
        <w:rPr>
          <w:rFonts w:ascii="IRNazanin" w:hAnsi="IRNazanin" w:eastAsia="IRNazanin"/>
          <w:color w:val="111111"/>
          <w:sz w:val="28"/>
          <w:sz w:val="28"/>
          <w:szCs w:val="28"/>
          <w:rtl w:val="true"/>
          <w:lang w:bidi="fa-IR"/>
        </w:rPr>
        <w:t>الحرّیة الاقتصادیة؛ضوابطها وحدودها فی الفقه الإسلامی</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بحراوی</w:t>
      </w:r>
    </w:p>
    <w:p>
      <w:pPr>
        <w:pStyle w:val="BookText"/>
        <w:rPr/>
      </w:pPr>
      <w:r>
        <w:rPr>
          <w:rFonts w:ascii="Amiri" w:hAnsi="Amiri" w:eastAsia="Amiri" w:cs="Amiri"/>
          <w:color w:val="111111"/>
          <w:sz w:val="28"/>
          <w:sz w:val="28"/>
          <w:szCs w:val="28"/>
          <w:rtl w:val="true"/>
          <w:lang w:bidi="ar-SA"/>
        </w:rPr>
        <w:t>الطّبعة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قم،استدارة الشهداء،شارع الحجتیة،معرض 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w:t>
      </w:r>
      <w:r>
        <w:rPr>
          <w:rFonts w:eastAsia="IRNazanin" w:cs="IRNazanin"/>
          <w:color w:val="111111"/>
          <w:sz w:val="28"/>
          <w:szCs w:val="28"/>
          <w:lang w:bidi="fa-IR"/>
        </w:rPr>
        <w:t>902517839305</w:t>
      </w:r>
    </w:p>
    <w:p>
      <w:pPr>
        <w:pStyle w:val="BookText"/>
        <w:rPr/>
      </w:pPr>
      <w:r>
        <w:rPr>
          <w:rFonts w:ascii="IRNazanin" w:hAnsi="IRNazanin" w:eastAsia="IRNazanin"/>
          <w:color w:val="111111"/>
          <w:sz w:val="28"/>
          <w:sz w:val="28"/>
          <w:szCs w:val="28"/>
          <w:rtl w:val="true"/>
          <w:lang w:bidi="fa-IR"/>
        </w:rPr>
        <w:t>قم،شارع محمّد الأمین،تقاطع سالاریة،معرض 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w:t>
      </w:r>
    </w:p>
    <w:p>
      <w:pPr>
        <w:pStyle w:val="BookText"/>
        <w:rPr/>
      </w:pPr>
      <w:r>
        <w:rPr>
          <w:rFonts w:eastAsia="Times New Roman" w:cs="Times New Roman" w:ascii="Times New Roman" w:hAnsi="Times New Roman"/>
          <w:color w:val="111111"/>
          <w:sz w:val="28"/>
          <w:szCs w:val="28"/>
          <w:lang w:val="en-US" w:bidi="en-US"/>
        </w:rPr>
        <w:t>miup.ir E-mail:admin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miup.ir</w:t>
      </w:r>
      <w:bookmarkStart w:id="7" w:name="pg5204_66016"/>
    </w:p>
    <w:p>
      <w:pPr>
        <w:pStyle w:val="Heading2"/>
        <w:numPr>
          <w:ilvl w:val="1"/>
          <w:numId w:val="1"/>
        </w:numPr>
        <w:rPr/>
      </w:pPr>
      <w:bookmarkStart w:id="8" w:name="__RefHeading___Toc97020_581953129"/>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والصلاة و السلام علی النبی الأمین محمّد صلی الله علیه و آله وآله الهداة المهدیین وصحبه المنتجبین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شهدت علوم الدین طیلة تاریخها العلمی المشرف مستویً من التغیر المستمرّ فی حرکتها نحو الأمام علی صعید الثقافة و الحضارة الإسلامیة فأحدثت تطوّراً منهجیاً فی العلوم الرئیسة المختصّة بالشریعة کالفقه الاسلامی وعلم الکلام و الفلسفة 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هذا التطوّر تبعا لذلک انطباعا موازیاً بانت صورته فی العلوم الأداتیة کالمنطق وعلم الرجال و الحقوق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وحدثها الداعی إلی رؤیة دینیة حدیثة فی مجال الحکم وذلک فی خضم هذا القرن الذی یدعو إلی الانفلات من الدین و الأیدیولوجیة الدینیة وما یعرض فی مسرح أحداثه من تطوّرات فی مسار نظریات العلاقات الدولیة أو تصاعد الاستفسارات المعرفیة المتعلّقة بمفهوم الوجود ومستلزماته التی شغلت ذهن الإنسان فی العصر الحاضر وکذلک ما حصل من توسّع لدی علم الوجود الإنسانی فی ظلّ الأحداث و المتغیرات المعنیة بهذا الجانب؛زادت من مسؤولیة المفکّر الإسلامی أکثر من ذی قبل خاصّة فی الدول الإسلامیة التی باتت تتطلب محاولة ضروریة لمواجهة الشعارات الخوّاء فی عصر العولمة فی ضوء التدقیق و الملاحظة و 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فإنه یقع علی عاتق الحوزوة العلمیة ضرورة الوقوف علی آخر المستجدّات الفکریة فی حقولها المتعدّدة والاستعانة بضروب من التحقیق العلمی الرصین بمعاییر عالمیة حیة لتوظَّف فی نطاق الدین و الشریعة للإجابة علی المتطلّبات العصریة و المنطلق الداعی إلی التکامل و الارتقاء فی ظلّ الدین و التزام نظامه فی العلم و الحیاة من جهة أخری حیث یتطلّب الأمر من الحوزة العلمیة مسؤولیة وضع حدّ لتهذیب الجانب العولمی وتبعاته الخطیرة علی الإنسان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عنی مؤسسی الحوزة العلمیة هذه الشجرة الطیبة الذی أَصْلُها ثابِتٌ وَ فَرْعُها فِی السَّماءِ ،سیما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الراحل وقائده المبجّل الإمام السید علی الخامنئی دام ظله الوارف فی التصدی لهذا الامر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سعت جامعة المصطفی صلی الله علیه و آله العالمیة فی ضوء ما تقدم لتأسیس مرکز المصطفی صلی الله علیه و آله العالمی للترجمه و 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الدراسة الحرّیة الاقتصادیة؛ضوابطها حدودها فی الفقه الإسلامی جاءت بجهود فضیلة الأستاذ عبد الکریم بحراوی متوافقة مع نسق الرؤیة السائدة المتّبعة و الأهداف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المتوخاة</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بالمساهمة معنا و المشارکة فی نشر علوم أهل البیت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الذین سعوا فی إعداد هذا الکتاب للطباعة و النشر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204_66018"/>
    </w:p>
    <w:p>
      <w:pPr>
        <w:pStyle w:val="Heading2"/>
        <w:numPr>
          <w:ilvl w:val="1"/>
          <w:numId w:val="1"/>
        </w:numPr>
        <w:rPr/>
      </w:pPr>
      <w:bookmarkStart w:id="11" w:name="__RefHeading___Toc97022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تمهیدیة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المفاهیم العامّة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الحرّیة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الحرّیة فی اللغة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الحرّیة فی القرآن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الحرّیة فی اصطلاحها العامّ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الحرّیة فی موضوع البحث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الاقتصاد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الاقتصاد فی اللغة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الاقتصاد فی القرآن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الاقتصاد فی الاصطلاح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الاقتصاد فی موضوع البحث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الضابط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الضابط فی اللغة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الضابط فی الاصطلاح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الضابط فی موضوع البحث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الحدّ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فی اللغة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فی القرآن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 فی الاصطلاح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 فی موضوع البحث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المسار التاریخی لحدود الحرّیة الاقتصادیة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العصور المتقدّمة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العهد البابلی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العهد الآشوری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العهد العبرانی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الهند القدیمة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العهد الیونانی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العهد الرومانی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العصور الوسطی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المسیحیة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العصور المتأخّرة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المدرسة التجاریة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المدرسة الطبیعیة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المدرسة التقلیدیة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النظام الرأسمالی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حدود الحرّیة الاقتصادیة فی النظام الاشتراکی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العقلی فی تحدید نطاق الحرّیة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الإباحة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الارتکاز العرفی و العقلائی فی باب المولویات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العقاب من دون حُجّة ظلماً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المحرّکیة علی وصول التکلیف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المحرّکیة بالحکم الحقیقی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الاحتیاط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استلزام العلم الإجمالی فی الشبهات لحکم العقل بلزوم الاحتیاط فی أطرافها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لزوم دفع الضرر المحتمل علی لزوم الاحتیاط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بأصالة الحظر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العقل بحقّ الطاعة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الإشکالات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الإشکالات المبنائیة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الإشکالات البنائیة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عامّة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هو المالک الحقیقی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خلیفة الله فی الأرض </w:t>
      </w:r>
      <w:r>
        <w:rPr>
          <w:rFonts w:eastAsia="IRNazanin" w:cs="IRNazanin"/>
          <w:color w:val="111111"/>
          <w:sz w:val="28"/>
          <w:szCs w:val="28"/>
          <w:lang w:bidi="fa-IR"/>
        </w:rPr>
        <w:t>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العامّة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الخاصّة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بالقسط،وسیلةٌ وغایة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کلٌّ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مترابط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ذو کرامة ذاتیة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وحدود حرّیة الإنتاج</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الإنتاج؛المفهوم و الضوابط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الإنتاج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الإنتاج فی اللغة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الإنتاج فی الاصطلاح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حرّیة الإنتاج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الضابط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تقوّم الإنتاج بالعمل المباشر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الإنتاج الأوّلی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الإنتاج الثانوی أو التداول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الضابط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الإنتاج علی مادّة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الضابط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الإنتاج الثانوی علی التوافق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الضابط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الإنتاج علی ما یسدّ حاجةً مشروعة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الإنتاج الصناعی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استخراج المعادن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باستخراج المعادن،إلّا باستئذان الحاکم الشرعی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بالتصرّف فیما لم یستخرج فعلیاً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بتعدّی استخراج القدر المسموح به من قِبل الحاکم الشرعی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بمزاحمة السابق بما یمنع ممارسته الاستخراج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بمنع اللّاحق من القیام بالاستخراج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بالتجاوز علی الحریم الخاصّ و العامّ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التصنیع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بصنع ما ینافی الأسس الاعتقادیة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بصنع ما یروّج للضلال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بصنع ما یروّج للفساد و الرذیلة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بصنع ما یوجب الظلم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الإنتاج الزراعی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الحیازة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المیاه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بمنع الغیر من الاستفادة من المیاه الأصلیة العامّة فی غیر موضع الحاجة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بمنع الغیر من الاستفادة من المیاه الفرعیة من دون أخذها بقصد الانتفاع بها </w:t>
      </w:r>
      <w:r>
        <w:rPr>
          <w:rFonts w:eastAsia="IRNazanin" w:cs="IRNazanin"/>
          <w:color w:val="111111"/>
          <w:sz w:val="28"/>
          <w:szCs w:val="28"/>
          <w:lang w:bidi="fa-IR"/>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بحرمان من سُمح له بالاستفادة الإنتاجیة من المیاه الفرعیة المملوکة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بالتصرّف فی حریم المیاه بما یلحق ضرراً بها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بممارسة إنتاجه من الأراضی المملوکة إلّا بعد استئذان المالک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بمنع الغیر من إنتاجه من دون السبق إلیه ووضع الید علیه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بمزاحمة الغیر فی ما سبق إلیه ووضع یده علیه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بحیازة الأصول إلّا بإحیائها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بحیازته دون محاولة القضاء علی مقاومته وإعجازه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بالاصطیاد اللهوی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بالتجاوز علی ممتلکات الغیر أثناء الاصطیاد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الزراعة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العامّة لحرّیة الإنتاج الزراعی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بالزراعة فی الأراضی التی یتطلّب إحیاؤها الاستئذان إلّا بعده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السماح بزراعة الفائض عن الحاجة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بزراعة ما یتنافی وما حظره الإسلام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الخاصّة لحرّیة الإنتاج الزراعی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الإنتاج الاستحداثی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الإنتاج التکمیلی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قطاع الخدمات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الشخصیة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یکون صغیراً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مجنوناً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یکون سفیهاً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یکون مُکرَهاً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یکون مفلّساً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یکون مریضاً مرضَ الموت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العوضیة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بتداول غیر المعین وغیر المعلوم </w:t>
      </w:r>
      <w:r>
        <w:rPr>
          <w:rFonts w:eastAsia="IRNazanin" w:cs="IRNazanin"/>
          <w:color w:val="111111"/>
          <w:sz w:val="28"/>
          <w:szCs w:val="28"/>
          <w:lang w:bidi="fa-IR"/>
        </w:rPr>
        <w:t>184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بتداول ما لا ینفذ التصرّف فیه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بالتداول علی غیر المقدور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بتداول غیر النافع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بالتداول علی الواجب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باحتکار ما یضرّ احتکاره بالعامّة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بالإجحاف بالثمن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بتداول المحظور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المحظور الذاتی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الجنسی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اللهوی و الشهوانی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الوهمی و الخرافی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الدعائی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المحظور التبعی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بالعمل فی الإعانة علی المحظور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باستیفاء ولو جزء من العوضین دون مقابل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وحدود حرّیة التوزیع</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التوزیع؛المفهوم و الضوابط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التوزیع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التوزیع فی اللغة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التوزیع فی الاصطلاح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التوزیع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الضابط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توزیع ثروات الطبیعة علی القیام بعمل تنموی أو انتفاعی فعلی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الضابط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توزیع نتاج الثروات الخاصّة علی أساس العمل المنفَق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الضابط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استلزام حقّ الجماعة فی الثروات العامّه لضمان عیش المحتاجین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الضابط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خضوع التوزیع لسلطة الحاکم للحفاظ علی توازن المجتمع وکرامته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توزیع ما قبل الإنتاج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توزیع الأراضی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الموات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بالتصرّف فیها إلّا بإذن الحاکم الشرعی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بالتصرّف فیها إلّا بممارسة عمل إحیائی مستمرّ علیها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بالتصرّف فیها إلّا بممارسة الإحیاء مباشرةً دون وسیط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بمزاحمة السابق فیما أحیاه أو حجّره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العامرة طبیعیاً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العامرة بشریاً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توزیع الثروات المنقولة </w:t>
      </w:r>
      <w:r>
        <w:rPr>
          <w:rFonts w:eastAsia="IRNazanin" w:cs="IRNazanin"/>
          <w:color w:val="111111"/>
          <w:sz w:val="28"/>
          <w:szCs w:val="28"/>
          <w:lang w:bidi="fa-IR"/>
        </w:rPr>
        <w:t>248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الثروات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توزیع ما بعد الإنتاج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الإنتاج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أدوات الإنتاج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المال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إعادة التوزیع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إعادة التوزیع علی المستوی الفردی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الزکاة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بتوزیعها من دون مراجعة الحاکم الشرعی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بتوزیعها علی القادر علی العمل بما یناسبه مع توفّر أسبابه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بتوزیعها علی من کانت نفقته واجبةً علی غیره بمقدار وجوبها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بتوزیع سهم الفقیر علی غیر المسلم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بتوزیع سهم الفقیر علی من ینفقها فی عمل عبثی ضار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بإعطاء المستحقّ أکثر من مؤنته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بإعطاء الهاشمی من زکاة غیر الهاشمی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الکفّارات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من لم یکن وارثاً نَسبیاً أو سببیاً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بالإرث بالقرابة إلّا بالولادة من نکاح شرعی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غیر المسلم للمسلم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الوارث إلّا عند تحقّق حیاته وموت المورِّث فی ذات الوقت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القاتل لمن قتله عمداً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بتوارث الزوجین إلّا بنکاح دائم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بتوارث غیر الزوجین سببیاً إلّا بفقد الوارث النَّسبی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بتوارث الزوجین بوقوع زواجهما فی مرض الموت للزوج إذا مات قبل الدخول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مطلّقة المریض إلّا بموته بذلک المرض فی سنته ولم یکن برضاها ولم تتزوج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بتنفیذ وصیة المریض مرض الموت بأکثر من الثلث إلّا برضی الورثة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الإمام إلّا بفقد الوارث النَّسبی وضامن الجریرة و الزوج و الموصی له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بإرث الأبعد مع وجود الأقرب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إعادة التوزیع علی المستوی الجماعی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الفیء </w:t>
      </w:r>
      <w:r>
        <w:rPr>
          <w:rFonts w:eastAsia="IRNazanin" w:cs="IRNazanin"/>
          <w:color w:val="111111"/>
          <w:sz w:val="28"/>
          <w:szCs w:val="28"/>
          <w:lang w:bidi="fa-IR"/>
        </w:rPr>
        <w:t>289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من لا وارث له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وحدود حرّیة الاستهلاک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الاستهلاک؛المفهوم و الضوابط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الاستهلاک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الاستهلاک فی اللغة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الاستهلاک فی الاصطلاح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الاصطلاح العامّ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الاصطلاح الخاص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الاستهلاک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الضابط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تقوّم الاستهلاک بتحصیل منفعة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الضابط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الاستهلاک علی عدم الإسراف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الضابط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الاستهلاک علی عدم التقتیر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الضابط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الاستهلاک بما لا یشتمل علی محظور شرعی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حرّیة الاستهلاک علی المستوی الشخصی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استهلاک الغذاء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النجس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النجس ذاتاً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الخنزیر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النجس عرضاً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الحیوان الجلّال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 الموطوء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المتنجّس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ذی الناب أو المخلب من الحیوان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ذی المخلب من الطیر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الزواحف و الحشرات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غیر ذی الفلس من حیوان البحر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مستثنیات الذبیحة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الضار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بتناول مال الغیر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استهلاک غیر الغذاء </w:t>
      </w:r>
      <w:r>
        <w:rPr>
          <w:rFonts w:eastAsia="IRNazanin" w:cs="IRNazanin"/>
          <w:color w:val="111111"/>
          <w:sz w:val="28"/>
          <w:szCs w:val="28"/>
          <w:lang w:bidi="fa-IR"/>
        </w:rPr>
        <w:t>318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باستعمال آنیة الذهب و الفضّة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للرجل بلبس الذهب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للرجل بلبس الحریر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بلبس المستهجَن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حرّیة الاستهلاک علی المستوی العمومی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الانتفاع بالطرق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بإحداث شیء فی الطریق یرجع نفعه إلی الفرد خاصّة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بمزاحمة الغیر فی حال انتفاعه العامّ بالطریق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الانتفاع بالمنشآت العامّة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بالانتفاع بالمرفق العامّ فی غیر العنوان المجعول 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للّاحق بمزاحمة السابق فی الانتفاع بما سبق إلیه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حرّیة الاستهلاک علی المستوی الحکومی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الإنفاق الحکومی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بإنفاق مؤنة الحکومة فی المجال الشخصی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بإنفاق مؤنة الدولة علی الشخص غیر المؤهّل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بالإسراف و التبذیر فی مؤنة الدولة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للحاکم بتجاوز عیش الطبقة السفلی من المجتمع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الحرّیة فی التصرّف فی الأموال العامّة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بإخراج مؤنة الحکومة من الأموال العامّة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السماح بإنفاق الأموال العاّمة فی غیر مواردها المعینة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مسرد الآیات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الروائیة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اللغویة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التفسیریة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الفقهیة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الأصولیة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الاقتصادیة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المصادر العامّة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343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 344</w:t>
      </w:r>
      <w:bookmarkStart w:id="13" w:name="pg5204_66026"/>
    </w:p>
    <w:p>
      <w:pPr>
        <w:pStyle w:val="Heading2"/>
        <w:numPr>
          <w:ilvl w:val="1"/>
          <w:numId w:val="1"/>
        </w:numPr>
        <w:rPr/>
      </w:pPr>
      <w:bookmarkStart w:id="14" w:name="__RefHeading___Toc97024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العالمین،والصلاة و السلام علی أشرف الأنبیاء و المرسلین،حبیب إله العالمین محمّد و آله الأطهار،وصحبه الأخیار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الاقتصاد ذو حقول مختلفة وجوانب متعدّدة،ونحن تماشیاً مع اختصاصنا ارتأینا أن نخوض فی البحث فیه من خلال جانب الحرّیة التی طغت علی العالم من خلال اتّجاهها الرأسمالی،فسنسعی فی هذه الدراسة لبیان الضوابط و الحدود التی وضعها الإسلام فی جانبه الفقهی علی حرّیة ممارسة الأنشطة الاقتصادیة بکافّة حقولها الإنتاجیة و التوزیعیة والاستهلاکیة،فهو بحثٌ یرتبط بمذهب الإسلام فی جانبه الاقتصادی،ولیس له علاقةٌ بما یعرف بعلم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وتنطلق أهمّیة مثل هذه الدراسة من خلال الفوضی الاقتصادیة التی تعمّ العالم بشقّیه الإسلامی وغیر الإسلامی،فالحرّیة التی أُرید لها أن تسمو وتحلّق بالإنسان فی مدارج العیش الرغید و الأمن الاجتماعی،ارتدّت علیه لتهدّده فی أمسّ حاجاته وأوّلیات أمنه،وما ذلک إلّا لأجل أنّها لم تقم علی أسس تأخذ بعین الاعتبار حاجاته الفطریة،والمتطلّبات الحقیقیة لحیاته المعاشیة،فانتهکت بذلک کلّ العوامل التی تؤمّن للإنسان حیاةً سویة،وجعلته أسیراً لما لیس له أی دور حقیقی فی الحصول علی مبتغاه من الطمأنینة والاستقرار،وألقت به فی وطیس أزمات لا یکاد یفرّ من أحدها إلّا هوی فی الأخری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فالمشکلة التی یعانی منها الاقتصاد العالمی فی قطاع واسع منه،هی أنّه لم یدرک</w:t>
      </w:r>
    </w:p>
    <w:p>
      <w:pPr>
        <w:pStyle w:val="BookText"/>
        <w:rPr/>
      </w:pPr>
      <w:r>
        <w:rPr>
          <w:rFonts w:ascii="IRNazanin" w:hAnsi="IRNazanin" w:eastAsia="IRNazanin"/>
          <w:color w:val="111111"/>
          <w:sz w:val="28"/>
          <w:sz w:val="28"/>
          <w:szCs w:val="28"/>
          <w:rtl w:val="true"/>
          <w:lang w:bidi="fa-IR"/>
        </w:rPr>
        <w:t>الضوابط و الحدود الواقعیة التی یجب علی الحرّیة أن تکبح جماحها عندها،أمّا الإسلام الذی ینبع من منبع الوجود وفاطره الذی یعلم بکلّ ما من شأنه إسعاد هذا الإنسان فی جمیع مراحله الحیاتیة،فقد أسّس لتلک الحرّیة ووضع لها ضوابط وحدوداً لا تؤمّن إذا ما التزم بها العیش الرغید له فحسب،و إنّما تقوده إلی أرقی درجات الرقی و التطوّر مادّیاً ومعنویاّ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کلّ هذا کان البحث فی بیان تلک الضوابط و الحدود التی یزخر بها الفقه الإسلامی ذا أهمّیة بالغة للإنسان المعاصر،بما هو فردٌ،وبما هو مجتمع،لیساهم العمل وفقها فی انتشاله ممّا یعانیه من فقر وحرمان وضیاع واستبداد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توضیح الصورة عن موضوع هذه الدراسة،لابدّ لنا من التنبیه علی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الغایة الأساسیة من هذا البحث تتمثّل فی محاولتنا کشف النقاب عن أحکام الإسلام فی مجالها الاقتصادی،لعرض صورة واضحة عن الضوابط و الحدود التی وضعها لتوجیه الحرّیة الاقتصادیة،والتی سیکفی التأمّل البسیط فیها للإیمان بدورها الخلّاق فی إیجاد التوازن المعیشی بین بنی الإنسان وترسیخ کرامتهم التی حباهم الله بها،ومن ثمّ القیام بدورهم الخلافتی الإعماری علی أفضل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أنّ ضوابط وحدود الحرّیة الاقتصادیة من المواضیع التی تطرّقت وتعرّضت إلیها بعض الکتب،والتی یعدّ بعضها ذا أهمّیة علمیة فائقة،کما هو الحال فیما تعرّض إلیه الشهید الصدر فی کتابه الفرید اقتصادنا،وکذا بعض المقالات المتمیزة کما فی الحرّیة الاقتصادیة مبانیها وحدودها </w:t>
      </w:r>
      <w:r>
        <w:rPr>
          <w:rStyle w:val="FootnoteAnchor"/>
          <w:rtl w:val="true"/>
        </w:rPr>
        <w:footnoteReference w:id="2"/>
      </w:r>
      <w:r>
        <w:rPr>
          <w:rFonts w:ascii="IRNazanin" w:hAnsi="IRNazanin" w:eastAsia="IRNazanin"/>
          <w:color w:val="111111"/>
          <w:sz w:val="28"/>
          <w:sz w:val="28"/>
          <w:szCs w:val="28"/>
          <w:rtl w:val="true"/>
          <w:lang w:bidi="fa-IR"/>
        </w:rPr>
        <w:t>للشیخ التسخیری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تکاد تقتصر علی جانبها وإطارها العامّ،و إن خاضت فیها بعض الأقلام علی مستوی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غالباً ما جاء جزئیاً أو عابراً دون التعدّی و الغوص فی جمیع التفاصیل،هذا مع کون الفقه الإسلامی یزخر بالأحکام الاقتصادیة فی أدقّ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فتأتی هذه الدراسة لتحاول أن تجبر هذا النقص وتورد ضوابط الحرّیة الاقتصادیة وحدودها بشکل تفصیلی وإضفاء طابع حدیث علیها ینسجم ومتطلّبات العصر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یمیز دراستنا هذه،هو أنّها ستقوم بالکشف عن ضوابط الحرّیة الاقتصادیة من خلال اعتمادها الأسس التی یقوم علیها الاقتصاد الإسلامی،والتی سیکون القرآن الکریم</w:t>
      </w:r>
    </w:p>
    <w:p>
      <w:pPr>
        <w:pStyle w:val="BookText"/>
        <w:rPr/>
      </w:pPr>
      <w:r>
        <w:rPr>
          <w:rFonts w:ascii="IRNazanin" w:hAnsi="IRNazanin" w:eastAsia="IRNazanin"/>
          <w:color w:val="111111"/>
          <w:sz w:val="28"/>
          <w:sz w:val="28"/>
          <w:szCs w:val="28"/>
          <w:rtl w:val="true"/>
          <w:lang w:bidi="fa-IR"/>
        </w:rPr>
        <w:t>عمدتنا الأساس فی استخلاصها واستنتاجها،ومن ثمّ سنخوض فی البحث عن حدود تلک الحرّیة فی إطار تلک الضوابط و الأسس،و هو ما یضفی طابع الانسجام علی البحث الذی یحاول التوصّل إلی رؤیة شاملة ومتکاملة بخصوص الحرّیة الاقتصادیة،یترابط فیها الإنتاج و التوزیع والاستهلاک ترابطاً بنیویاً وغائیاً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الضوابط و الحدود سندرسها علی ضوء ما ورد حولها فی الفقه الإسلامی متمثّلاً بالفقه الإمامی و الحنفی،مع التنبیه إلی أنّ هذه الدراسة لا تُعدّ مقارنةً بین فتاوی الطرفین فی هذا الخصوص،و إنّما هی أقرب ما تکون مقاربةً بینها،مع أنّهما یکادان یشترکان ویتوافقان فی أغلب المسائل الاقتصادیة إلّا فی النزر الیسیر الذی سنحاول توجیه اختلافهما فیه بالطریقة التی تقارب بینهما؛وذلک بأسلوب حیادی خال من التعصّب،وسلاحنا فی ذلک هو ما سنتوصّل إلیه من الأسس التی یقوم علیها الاقتصاد الإسلامی،وما نعتمده من الضوابط التی تحدّد حرکته فی شعبه الثلاث إنتاجاً وتوزیعاً واستهلاکاً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فستکون هذه الأسس و الضوابط المعیار الفیصل فی انتقاء وترجیح وتثبیت تفاصیل حدود الحرّیة الاقتصادیة فی الإسلام فی جانبها الفقهی،سواء کانت تلک الحدود ممّا وقع الخلاف بین المذهبین حولها،أو اختلفت الفتوی فیها حتّی بین أصحاب المذهب الواحد،لأجل أن تتمّ رؤیتنا إلی الأمور من المنظر الأعلی دون الضیاع فی دهالیز التحلیلات والاستدلالات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ذکره هنا هو أنّنا سنقتصر فی استدلالنا فی الفصول التی ترتبط مباشرةً بموضوع البحث،أعنی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الانتاج،والتوزیع،والاستهلاک؛علی فتاوی وأحکام بعض المتأخّرین المشهورین من فقهاء الإمامیة؛إذ إنّ فتاواهم تمثّل آخر ما توصّلت إلیه الذهنیة الفقهیة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قد تتفاوت فتاواهم فی بعض الأحیان بحسب المبانی التی یتّبعونها أصولیاً،أمّا فی الجانب الحنفی،فسنعتمد علی أمّهات کتبهم التی دوّنوا فیها فتاواهم بکلّ ما یرتبط بشؤون الحیاة،وعلی الخصوص الاقتصادیة منها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وتحاول هذه الدراسة أیضاً مخاطبة جمیع القرّاء مسلمین وغیر مسلمین علی أساس أنّ فوائد وآثار أحکام الإسلام،وعلی الخصوص الاقتصادیة منها غیر مختصّة بالمسلم من جهة،و أنّ الإسلام قد أقرّ حقوق غیر المسلم فی التمتّع بمکاسب الطبیعة وتنمیة ثروته بناءً علی شمول الکرامة الإنسانیة التی نادی بها البشریة جمعاء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ستأتی تفاصیله من جهة أخری؛ولذا فستقوم بعرض تلک الضوابط و الحدود بثوب عصری من خلال اعتمادها لغةً عصریةً غیر</w:t>
      </w:r>
    </w:p>
    <w:p>
      <w:pPr>
        <w:pStyle w:val="BookText"/>
        <w:rPr/>
      </w:pPr>
      <w:r>
        <w:rPr>
          <w:rFonts w:ascii="IRNazanin" w:hAnsi="IRNazanin" w:eastAsia="IRNazanin"/>
          <w:color w:val="111111"/>
          <w:sz w:val="28"/>
          <w:sz w:val="28"/>
          <w:szCs w:val="28"/>
          <w:rtl w:val="true"/>
          <w:lang w:bidi="fa-IR"/>
        </w:rPr>
        <w:t>ما درجت علیه الکتب الفقهیة،وکذا اعتمادها التقسیمات الاقتصادیة الحدیثة التی تتوزّع علی الإنتاج و التوزیع والاستهلاک،لتکون أکثر تنظیماً وأقرب تناولاً من قِبل مَنْ یهمّهم قسم من تلک الأقسام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إنّنا سنعقد دراستنا هذه فی مدخل وثلاثة فصول،حیث سیمثّل المدخل الأرضیة التی سننطلق منها للدخول فی المهمّة الأصلیة للدراسة،وهی تحدید ضوابط وحدود الحرّیة الاقتصادیة؛</w:t>
      </w:r>
    </w:p>
    <w:p>
      <w:pPr>
        <w:pStyle w:val="BookText"/>
        <w:rPr/>
      </w:pPr>
      <w:r>
        <w:rPr>
          <w:rFonts w:ascii="IRNazanin" w:hAnsi="IRNazanin" w:eastAsia="IRNazanin"/>
          <w:color w:val="111111"/>
          <w:sz w:val="28"/>
          <w:sz w:val="28"/>
          <w:szCs w:val="28"/>
          <w:rtl w:val="true"/>
          <w:lang w:bidi="fa-IR"/>
        </w:rPr>
        <w:t>فرأَینا أنّه من اللازم فیه القیام بتوضیح مفاهیم عنوان الدراسة لإناطة اللثام عمّا ربّما یشوّه إدراک المقصود الدقیق منه،ومن ثمّ تقلیب صفحات التاریخ للسیر فی ما تجسّد من تشریعات ومقرّرات بخصوص الحرّیة الاقتصادیة نفیاً أو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موضوعنا یتّصل بالحرّیة فمن المناسب القیام ببحثها من خلال الرؤیة الأصولیة التی یقوم علیها الفقه الإسلامی،وذلک لتحدید دائرتها الابتدائیة و التی ستقوم الأحکام الفقهیة بتحدید نطاقها فی مجالها الاقتصادی،هذا إضافةً إلی ما سنتطرّق إلیه من توضیحات بشأنها فی مبحث المفاهیم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نأتی أخیراً علی الأسس التی یقوم علیها الاقتصاد الإسلامی،والتی نراها علی جانب کبیر من الأهمّیة لاعتماد أغلب ضوابط الحرّیة الاقتصادیة فی الفقه الإسلامی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وستُخصّص الفصول الثلاثة للبحث فی ضوابط وحدود الحرّیة فی کلّ من الإنتاج و التوزیع والاستهلاک،وذلک بشیء من التفصیل الذی یحاول استعیاب جمیع الحالات التی تدخل فی کلّ قسم من تلک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ینبغی لنا إلفات الأنظار إلی أنّ ما قاد الکثیرین إلی الاعتقاد بأنّ النظام الإسلامی یکّبل العملیة الاقتصادیة بأنواع من القیود التی تعیق حرکة الإنسان التطوّریة فی کافّة المجالات،هو أنّهم لم یطّلعوا،ولم یدرسوا النظام الاقتصادی فی الإسلام بتفاصیله التی قامت بتأمین الحرّیة الحقیقیة التی تکفل التقدّم و التطوّر و الرقی دون أن تقع فی دوّامة الأزمات الناشئة من التعدّی علی هذه الحرّیة ذاتها،لا کما یزعَم من إطلاق العنان لها،وذلک من خلال سیطرة فئة لا تکاد تمثّل سوی عصابةً تتحکّم بکلّ مفاصل الاقتصاد العالمی،هذا من جانب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هو أنّهم لم یعایشوا تجربةً کاملةً للإسلام فی هذا المضمار،فکما سنلاحظ أنّ أحکام الإسلام الاقتصادیة لا تقبل التفکیک و التجزئّة،فلا یمکن فصل قوانین الإنتاج عنها فی التوزیع والاستهلاک،علاوةً علی أحکامه فی المجالات الحیاتیة الأخری،فإذا ما أُرید لتلک الأحکام أن تُثمر نتائج طیبةً ترفل البشریة فی ظلالها لا بدّ من تطبیقها فی</w:t>
      </w:r>
    </w:p>
    <w:p>
      <w:pPr>
        <w:pStyle w:val="BookText"/>
        <w:rPr/>
      </w:pPr>
      <w:r>
        <w:rPr>
          <w:rFonts w:ascii="IRNazanin" w:hAnsi="IRNazanin" w:eastAsia="IRNazanin"/>
          <w:color w:val="111111"/>
          <w:sz w:val="28"/>
          <w:sz w:val="28"/>
          <w:szCs w:val="28"/>
          <w:rtl w:val="true"/>
          <w:lang w:bidi="fa-IR"/>
        </w:rPr>
        <w:t>کلّ فصول الاقتصاد،ولا یکتفی بفصل منه دون آخر،فهی ذات وحدة مترابطة یؤثّر کلّ جزء منها فی الأجزاء الأخری سلباً أو إیجاباً بحسب صحّة وسقامة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دراستنا هذه تمثّل دراسةً نظریةً لمجمل القیود التی أخضع الإسلام الحرکة الاقتصادیة لها فی إطاره المذهبی،إلّا أنّها فی حقیقتها تمثّل الجوانب العملیة للإسلام فی واقعه الاقتصادی بما یمتلکه من قابلیة تطبیقة،کما أکّدتها تجاربه أبّان حکمه السیاسی فی بدایاته،ولکن یلزم القیام بتفعیل الوسائل التی تجعل من هذه الحرّیة،و هذه الضوابط و الحدود فاعلةً فی الواقع الذی تُظلّه سُحب التماهل والاختلاف فی جانب،والانتهازیة والاستبداد فی جانب آخر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بحراوی</w:t>
      </w:r>
      <w:bookmarkStart w:id="16" w:name="pg5204_66032"/>
    </w:p>
    <w:p>
      <w:pPr>
        <w:pStyle w:val="Heading2"/>
        <w:numPr>
          <w:ilvl w:val="1"/>
          <w:numId w:val="1"/>
        </w:numPr>
        <w:rPr/>
      </w:pPr>
      <w:bookmarkStart w:id="17" w:name="__RefHeading___Toc97026_581953129"/>
      <w:bookmarkStart w:id="18" w:name="_Toc6"/>
      <w:bookmarkEnd w:id="16"/>
      <w:bookmarkEnd w:id="17"/>
      <w:r>
        <w:rPr>
          <w:rtl w:val="true"/>
        </w:rPr>
        <w:t>المدخل</w:t>
      </w:r>
      <w:bookmarkEnd w:id="18"/>
    </w:p>
    <w:p>
      <w:pPr>
        <w:pStyle w:val="Heading3"/>
        <w:numPr>
          <w:ilvl w:val="2"/>
          <w:numId w:val="1"/>
        </w:numPr>
        <w:rPr/>
      </w:pPr>
      <w:bookmarkStart w:id="19" w:name="__RefHeading___Toc97028_581953129"/>
      <w:bookmarkStart w:id="20" w:name="_Toc7"/>
      <w:bookmarkEnd w:id="19"/>
      <w:r>
        <w:rPr>
          <w:rtl w:val="true"/>
        </w:rPr>
        <w:t>اشارة</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بحوث تمهیدیة</w:t>
      </w:r>
      <w:bookmarkStart w:id="21" w:name="pg5204_66034"/>
    </w:p>
    <w:p>
      <w:pPr>
        <w:pStyle w:val="Heading3"/>
        <w:numPr>
          <w:ilvl w:val="2"/>
          <w:numId w:val="1"/>
        </w:numPr>
        <w:rPr/>
      </w:pPr>
      <w:bookmarkStart w:id="22" w:name="__RefHeading___Toc97030_581953129"/>
      <w:bookmarkStart w:id="23" w:name="_Toc8"/>
      <w:bookmarkEnd w:id="21"/>
      <w:bookmarkEnd w:id="22"/>
      <w:r>
        <w:rPr>
          <w:rtl w:val="true"/>
        </w:rPr>
        <w:t>المبحث الأوّل</w:t>
      </w:r>
      <w:r>
        <w:rPr>
          <w:rtl w:val="true"/>
        </w:rPr>
        <w:t>:</w:t>
      </w:r>
      <w:r>
        <w:rPr>
          <w:rtl w:val="true"/>
        </w:rPr>
        <w:t>المفاهیم العامّة</w:t>
      </w:r>
      <w:bookmarkEnd w:id="23"/>
    </w:p>
    <w:p>
      <w:pPr>
        <w:pStyle w:val="Heading4"/>
        <w:numPr>
          <w:ilvl w:val="3"/>
          <w:numId w:val="1"/>
        </w:numPr>
        <w:rPr/>
      </w:pPr>
      <w:bookmarkStart w:id="24" w:name="__RefHeading___Toc97032_581953129"/>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ونتطرّق فیه إلی المفاهیم الرئیسیة فی عنوان البحث،وذلک فی أربعة مطالب</w:t>
      </w:r>
      <w:r>
        <w:rPr>
          <w:rFonts w:eastAsia="IRNazanin" w:cs="IRNazanin"/>
          <w:color w:val="111111"/>
          <w:sz w:val="28"/>
          <w:szCs w:val="28"/>
          <w:rtl w:val="true"/>
          <w:lang w:bidi="fa-IR"/>
        </w:rPr>
        <w:t>:</w:t>
      </w:r>
    </w:p>
    <w:p>
      <w:pPr>
        <w:pStyle w:val="Heading4"/>
        <w:numPr>
          <w:ilvl w:val="3"/>
          <w:numId w:val="1"/>
        </w:numPr>
        <w:rPr/>
      </w:pPr>
      <w:bookmarkStart w:id="26" w:name="__RefHeading___Toc97034_581953129"/>
      <w:bookmarkStart w:id="27" w:name="_Toc10"/>
      <w:bookmarkEnd w:id="26"/>
      <w:r>
        <w:rPr>
          <w:rtl w:val="true"/>
        </w:rPr>
        <w:t>المطلب الأوّل</w:t>
      </w:r>
      <w:r>
        <w:rPr>
          <w:rtl w:val="true"/>
        </w:rPr>
        <w:t>:</w:t>
      </w:r>
      <w:r>
        <w:rPr>
          <w:rtl w:val="true"/>
        </w:rPr>
        <w:t>مفهوم الحرّیة</w:t>
      </w:r>
      <w:bookmarkEnd w:id="27"/>
    </w:p>
    <w:p>
      <w:pPr>
        <w:pStyle w:val="Heading5"/>
        <w:numPr>
          <w:ilvl w:val="4"/>
          <w:numId w:val="1"/>
        </w:numPr>
        <w:rPr/>
      </w:pPr>
      <w:bookmarkStart w:id="28" w:name="__RefHeading___Toc97036_581953129"/>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ونبحث فیه عن مفهوم الحرّیة فی اللغة،وفی اصطلاحها العامّ وما تعرّض له القرآن الکریم من مفهومها لفظاً ومعنی،ومن ثمّ ما نقصده منها فی موضوع البحث</w:t>
      </w:r>
      <w:r>
        <w:rPr>
          <w:rFonts w:eastAsia="IRNazanin" w:cs="IRNazanin"/>
          <w:color w:val="111111"/>
          <w:sz w:val="28"/>
          <w:szCs w:val="28"/>
          <w:rtl w:val="true"/>
          <w:lang w:bidi="fa-IR"/>
        </w:rPr>
        <w:t>.</w:t>
      </w:r>
    </w:p>
    <w:p>
      <w:pPr>
        <w:pStyle w:val="Heading5"/>
        <w:numPr>
          <w:ilvl w:val="4"/>
          <w:numId w:val="1"/>
        </w:numPr>
        <w:rPr/>
      </w:pPr>
      <w:bookmarkStart w:id="30" w:name="__RefHeading___Toc97038_581953129"/>
      <w:bookmarkStart w:id="31" w:name="_Toc12"/>
      <w:bookmarkEnd w:id="30"/>
      <w:r>
        <w:rPr>
          <w:rtl w:val="true"/>
        </w:rPr>
        <w:t>أوّلاً</w:t>
      </w:r>
      <w:r>
        <w:rPr>
          <w:rtl w:val="true"/>
        </w:rPr>
        <w:t>:</w:t>
      </w:r>
      <w:r>
        <w:rPr>
          <w:rtl w:val="true"/>
        </w:rPr>
        <w:t>الحرّیة فی اللغة</w:t>
      </w:r>
      <w:bookmarkEnd w:id="31"/>
    </w:p>
    <w:p>
      <w:pPr>
        <w:pStyle w:val="BookText"/>
        <w:rPr/>
      </w:pPr>
      <w:r>
        <w:rPr>
          <w:rFonts w:ascii="IRNazanin" w:hAnsi="IRNazanin" w:eastAsia="IRNazanin"/>
          <w:color w:val="111111"/>
          <w:sz w:val="28"/>
          <w:sz w:val="28"/>
          <w:szCs w:val="28"/>
          <w:rtl w:val="true"/>
          <w:lang w:bidi="fa-IR"/>
        </w:rPr>
        <w:t>وجاءت بالمعانی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یحرّ حرّیة،من حرّیة الأصل</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أشرافهم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وهما بمعنیً واحد،فالشرف الأصالة؛ولذلک قیل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حراراً وحرّیة کان حرّ الأصل شریفه </w:t>
      </w:r>
      <w:r>
        <w:rPr>
          <w:rStyle w:val="FootnoteAnchor"/>
          <w:rtl w:val="true"/>
        </w:rPr>
        <w:footnoteReference w:id="5"/>
      </w:r>
      <w:r>
        <w:rPr>
          <w:rFonts w:ascii="IRNazanin" w:hAnsi="IRNazanin" w:eastAsia="IRNazanin"/>
          <w:color w:val="111111"/>
          <w:sz w:val="28"/>
          <w:sz w:val="28"/>
          <w:szCs w:val="28"/>
          <w:rtl w:val="true"/>
          <w:lang w:bidi="fa-IR"/>
        </w:rPr>
        <w:t>فهی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علی حالته الأصلیة من الطلاقة و الخلوص؛ولذا قالوا</w:t>
      </w:r>
      <w:r>
        <w:rPr>
          <w:rFonts w:eastAsia="IRNazanin" w:cs="IRNazanin"/>
          <w:color w:val="111111"/>
          <w:sz w:val="28"/>
          <w:szCs w:val="28"/>
          <w:rtl w:val="true"/>
          <w:lang w:bidi="fa-IR"/>
        </w:rPr>
        <w:t>:</w:t>
      </w:r>
      <w:bookmarkStart w:id="32" w:name="pg5204_66035"/>
    </w:p>
    <w:p>
      <w:pPr>
        <w:pStyle w:val="BookText"/>
        <w:rPr/>
      </w:pPr>
      <w:bookmarkEnd w:id="32"/>
      <w:r>
        <w:rPr>
          <w:rFonts w:ascii="IRNazanin" w:hAnsi="IRNazanin" w:eastAsia="IRNazanin"/>
          <w:color w:val="111111"/>
          <w:sz w:val="28"/>
          <w:sz w:val="28"/>
          <w:szCs w:val="28"/>
          <w:rtl w:val="true"/>
          <w:lang w:bidi="fa-IR"/>
        </w:rPr>
        <w:t xml:space="preserve">الحرّ من الرمل ما خلص من الاختلاط بغیره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وعرّفوا الحرّ بأنّه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 العبد،سُمی بذلک لخلاصه من الرقّیة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لم یجر علیه حکم شیء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خارجاً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لم تتملّکه الصفات الذمیمة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97040_581953129"/>
      <w:bookmarkStart w:id="34" w:name="_Toc13"/>
      <w:bookmarkEnd w:id="33"/>
      <w:r>
        <w:rPr>
          <w:rtl w:val="true"/>
        </w:rPr>
        <w:t>ثانیاً</w:t>
      </w:r>
      <w:r>
        <w:rPr>
          <w:rtl w:val="true"/>
        </w:rPr>
        <w:t>:</w:t>
      </w:r>
      <w:r>
        <w:rPr>
          <w:rtl w:val="true"/>
        </w:rPr>
        <w:t>الحرّیة فی القرآن</w:t>
      </w:r>
      <w:bookmarkEnd w:id="34"/>
    </w:p>
    <w:p>
      <w:pPr>
        <w:pStyle w:val="Heading6"/>
        <w:numPr>
          <w:ilvl w:val="5"/>
          <w:numId w:val="1"/>
        </w:numPr>
        <w:rPr/>
      </w:pPr>
      <w:bookmarkStart w:id="35" w:name="__RefHeading___Toc97042_581953129"/>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لقد جاءت الحرّیة فی القرآن الکریم لفظاً ومعنی کالتالی</w:t>
      </w:r>
      <w:r>
        <w:rPr>
          <w:rFonts w:eastAsia="IRNazanin" w:cs="IRNazanin"/>
          <w:color w:val="111111"/>
          <w:sz w:val="28"/>
          <w:szCs w:val="28"/>
          <w:rtl w:val="true"/>
          <w:lang w:bidi="fa-IR"/>
        </w:rPr>
        <w:t>:</w:t>
      </w:r>
    </w:p>
    <w:p>
      <w:pPr>
        <w:pStyle w:val="Heading6"/>
        <w:numPr>
          <w:ilvl w:val="5"/>
          <w:numId w:val="1"/>
        </w:numPr>
        <w:rPr/>
      </w:pPr>
      <w:bookmarkStart w:id="37" w:name="__RefHeading___Toc97044_581953129"/>
      <w:bookmarkStart w:id="38" w:name="_Toc15"/>
      <w:bookmarkEnd w:id="37"/>
      <w:r>
        <w:rPr>
          <w:rtl w:val="true"/>
        </w:rPr>
        <w:t>أ</w:t>
      </w:r>
      <w:r>
        <w:rPr>
          <w:rtl w:val="true"/>
        </w:rPr>
        <w:t>)</w:t>
      </w:r>
      <w:r>
        <w:rPr>
          <w:rtl w:val="true"/>
        </w:rPr>
        <w:t>لفظاً</w:t>
      </w:r>
      <w:bookmarkEnd w:id="38"/>
    </w:p>
    <w:p>
      <w:pPr>
        <w:pStyle w:val="Heading6"/>
        <w:numPr>
          <w:ilvl w:val="5"/>
          <w:numId w:val="1"/>
        </w:numPr>
        <w:rPr/>
      </w:pPr>
      <w:bookmarkStart w:id="39" w:name="__RefHeading___Toc97046_581953129"/>
      <w:bookmarkStart w:id="40" w:name="_Toc16"/>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،وانتظم علی النحو التالی</w:t>
      </w:r>
      <w:r>
        <w:rPr>
          <w:rFonts w:eastAsia="IRNazanin" w:cs="IRNazanin"/>
          <w:color w:val="111111"/>
          <w:sz w:val="28"/>
          <w:szCs w:val="28"/>
          <w:rtl w:val="true"/>
          <w:lang w:bidi="fa-IR"/>
        </w:rPr>
        <w:t>:</w:t>
      </w:r>
    </w:p>
    <w:p>
      <w:pPr>
        <w:pStyle w:val="Heading6"/>
        <w:numPr>
          <w:ilvl w:val="5"/>
          <w:numId w:val="1"/>
        </w:numPr>
        <w:rPr/>
      </w:pPr>
      <w:bookmarkStart w:id="41" w:name="__RefHeading___Toc97048_581953129"/>
      <w:bookmarkStart w:id="42" w:name="_Toc17"/>
      <w:bookmarkEnd w:id="41"/>
      <w:r>
        <w:rPr>
          <w:rtl w:val="true"/>
        </w:rPr>
        <w:t>الأوّل</w:t>
      </w:r>
      <w:r>
        <w:rPr>
          <w:rtl w:val="true"/>
        </w:rPr>
        <w:t>:</w:t>
      </w:r>
      <w:r>
        <w:rPr>
          <w:rtl w:val="true"/>
        </w:rPr>
        <w:t>التحریر</w:t>
      </w:r>
      <w:r>
        <w:rPr>
          <w:rtl w:val="true"/>
        </w:rPr>
        <w:t>:</w:t>
      </w:r>
      <w:bookmarkEnd w:id="42"/>
    </w:p>
    <w:p>
      <w:pPr>
        <w:pStyle w:val="BookText"/>
        <w:rPr/>
      </w:pPr>
      <w:r>
        <w:rPr>
          <w:rFonts w:ascii="Amiri" w:hAnsi="Amiri" w:eastAsia="Amiri" w:cs="Amiri"/>
          <w:color w:val="111111"/>
          <w:sz w:val="28"/>
          <w:sz w:val="28"/>
          <w:szCs w:val="28"/>
          <w:rtl w:val="true"/>
          <w:lang w:bidi="ar-SA"/>
        </w:rPr>
        <w:t xml:space="preserve">فَتَحْرِیرُ رَقَبَةٍ مُؤْمِنَةٍ ، </w:t>
      </w:r>
      <w:r>
        <w:rPr>
          <w:rStyle w:val="FootnoteAnchor"/>
          <w:rtl w:val="true"/>
        </w:rPr>
        <w:footnoteReference w:id="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 المملوک فحرّ،أعتقته فعُتق</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الإنسان حرّا</w:t>
      </w:r>
      <w:r>
        <w:rPr>
          <w:rFonts w:eastAsia="IRNazanin" w:cs="IRNazanin"/>
          <w:color w:val="111111"/>
          <w:sz w:val="28"/>
          <w:szCs w:val="28"/>
          <w:rtl w:val="true"/>
          <w:lang w:bidi="fa-IR"/>
        </w:rPr>
        <w:t xml:space="preserve">. </w:t>
      </w:r>
      <w:r>
        <w:rPr>
          <w:rStyle w:val="FootnoteAnchor"/>
          <w:rtl w:val="true"/>
        </w:rPr>
        <w:footnoteReference w:id="12"/>
      </w:r>
    </w:p>
    <w:p>
      <w:pPr>
        <w:pStyle w:val="Heading6"/>
        <w:numPr>
          <w:ilvl w:val="5"/>
          <w:numId w:val="1"/>
        </w:numPr>
        <w:rPr/>
      </w:pPr>
      <w:bookmarkStart w:id="43" w:name="__RefHeading___Toc97050_581953129"/>
      <w:bookmarkStart w:id="44" w:name="_Toc18"/>
      <w:bookmarkEnd w:id="43"/>
      <w:r>
        <w:rPr>
          <w:rtl w:val="true"/>
        </w:rPr>
        <w:t>الثانی</w:t>
      </w:r>
      <w:r>
        <w:rPr>
          <w:rtl w:val="true"/>
        </w:rPr>
        <w:t>:</w:t>
      </w:r>
      <w:r>
        <w:rPr>
          <w:rtl w:val="true"/>
        </w:rPr>
        <w:t>الحرّ</w:t>
      </w:r>
      <w:r>
        <w:rPr>
          <w:rtl w:val="true"/>
        </w:rPr>
        <w:t>:</w:t>
      </w:r>
      <w:bookmarkEnd w:id="44"/>
    </w:p>
    <w:p>
      <w:pPr>
        <w:pStyle w:val="BookText"/>
        <w:rPr/>
      </w:pPr>
      <w:r>
        <w:rPr>
          <w:rFonts w:ascii="Amiri" w:hAnsi="Amiri" w:eastAsia="Amiri" w:cs="Amiri"/>
          <w:color w:val="111111"/>
          <w:sz w:val="28"/>
          <w:sz w:val="28"/>
          <w:szCs w:val="28"/>
          <w:rtl w:val="true"/>
          <w:lang w:bidi="ar-SA"/>
        </w:rPr>
        <w:t xml:space="preserve">اَلْحُرُّ بِالْحُرِّ ، </w:t>
      </w:r>
      <w:r>
        <w:rPr>
          <w:rStyle w:val="FootnoteAnchor"/>
          <w:rtl w:val="true"/>
        </w:rPr>
        <w:footnoteReference w:id="13"/>
      </w:r>
      <w:r>
        <w:rPr>
          <w:rFonts w:ascii="IRNazanin" w:hAnsi="IRNazanin" w:eastAsia="IRNazanin"/>
          <w:color w:val="111111"/>
          <w:sz w:val="28"/>
          <w:sz w:val="28"/>
          <w:szCs w:val="28"/>
          <w:rtl w:val="true"/>
          <w:lang w:bidi="fa-IR"/>
        </w:rPr>
        <w:t>و هو من لم یجرِ علیه حکم شیء</w:t>
      </w:r>
      <w:r>
        <w:rPr>
          <w:rFonts w:eastAsia="IRNazanin" w:cs="IRNazanin"/>
          <w:color w:val="111111"/>
          <w:sz w:val="28"/>
          <w:szCs w:val="28"/>
          <w:rtl w:val="true"/>
          <w:lang w:bidi="fa-IR"/>
        </w:rPr>
        <w:t xml:space="preserve">. </w:t>
      </w:r>
      <w:r>
        <w:rPr>
          <w:rStyle w:val="FootnoteAnchor"/>
          <w:rtl w:val="true"/>
        </w:rPr>
        <w:footnoteReference w:id="14"/>
      </w:r>
    </w:p>
    <w:p>
      <w:pPr>
        <w:pStyle w:val="Heading6"/>
        <w:numPr>
          <w:ilvl w:val="5"/>
          <w:numId w:val="1"/>
        </w:numPr>
        <w:rPr/>
      </w:pPr>
      <w:bookmarkStart w:id="45" w:name="__RefHeading___Toc97052_581953129"/>
      <w:bookmarkStart w:id="46" w:name="_Toc19"/>
      <w:bookmarkEnd w:id="45"/>
      <w:r>
        <w:rPr>
          <w:rtl w:val="true"/>
        </w:rPr>
        <w:t>الثالث</w:t>
      </w:r>
      <w:r>
        <w:rPr>
          <w:rtl w:val="true"/>
        </w:rPr>
        <w:t>:</w:t>
      </w:r>
      <w:r>
        <w:rPr>
          <w:rtl w:val="true"/>
        </w:rPr>
        <w:t>المحرّر</w:t>
      </w:r>
      <w:r>
        <w:rPr>
          <w:rtl w:val="true"/>
        </w:rPr>
        <w:t>:</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نَذَرْتُ لَکَ ما فِی بَطْنِی مُحَرَّراً ، </w:t>
      </w:r>
      <w:r>
        <w:rPr>
          <w:rStyle w:val="FootnoteAnchor"/>
          <w:rtl w:val="true"/>
        </w:rPr>
        <w:footnoteReference w:id="15"/>
      </w:r>
      <w:r>
        <w:rPr>
          <w:rFonts w:ascii="IRNazanin" w:hAnsi="IRNazanin" w:eastAsia="IRNazanin"/>
          <w:color w:val="111111"/>
          <w:sz w:val="28"/>
          <w:sz w:val="28"/>
          <w:szCs w:val="28"/>
          <w:rtl w:val="true"/>
          <w:lang w:bidi="fa-IR"/>
        </w:rPr>
        <w:t>أی مخلصاً لک مفرداً لعبادتک</w:t>
      </w:r>
      <w:r>
        <w:rPr>
          <w:rFonts w:eastAsia="IRNazanin" w:cs="IRNazanin"/>
          <w:color w:val="111111"/>
          <w:sz w:val="28"/>
          <w:szCs w:val="28"/>
          <w:rtl w:val="true"/>
          <w:lang w:bidi="fa-IR"/>
        </w:rPr>
        <w:t xml:space="preserve">. </w:t>
      </w:r>
      <w:r>
        <w:rPr>
          <w:rStyle w:val="FootnoteAnchor"/>
          <w:rtl w:val="true"/>
        </w:rPr>
        <w:footnoteReference w:id="16"/>
      </w:r>
      <w:bookmarkStart w:id="47" w:name="pg5204_66036"/>
    </w:p>
    <w:p>
      <w:pPr>
        <w:pStyle w:val="BookText"/>
        <w:rPr/>
      </w:pPr>
      <w:bookmarkEnd w:id="47"/>
      <w:r>
        <w:rPr>
          <w:rFonts w:ascii="IRNazanin" w:hAnsi="IRNazanin" w:eastAsia="IRNazanin"/>
          <w:color w:val="111111"/>
          <w:sz w:val="28"/>
          <w:sz w:val="28"/>
          <w:szCs w:val="28"/>
          <w:rtl w:val="true"/>
          <w:lang w:bidi="fa-IR"/>
        </w:rPr>
        <w:t>فتلاحظ أنّ المعنی اللُّغوی الذی قدّمناه مأخوذٌ فی جمیع تلک المفردات،فالتحریر إعادةٌ إلی الحالة الأصلیة التی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 هو ما لم یجرِ علیه عنوان وقیود العبودیة فهو طلق،والمحرّر هو ما لم تشوبه أی حالة من حالات العلوق بالدنیا وعدم الخلوص لله،ولذا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جعل ولده بحیث لا ینتفع به الانتفاع الدنیوی المذکور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بَنِینَ وَ حَفَدَةً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Style w:val="FootnoteAnchor"/>
          <w:rtl w:val="true"/>
        </w:rPr>
        <w:footnoteReference w:id="18"/>
      </w:r>
    </w:p>
    <w:p>
      <w:pPr>
        <w:pStyle w:val="Heading6"/>
        <w:numPr>
          <w:ilvl w:val="5"/>
          <w:numId w:val="1"/>
        </w:numPr>
        <w:rPr/>
      </w:pPr>
      <w:bookmarkStart w:id="48" w:name="__RefHeading___Toc97054_581953129"/>
      <w:bookmarkStart w:id="49" w:name="_Toc20"/>
      <w:bookmarkEnd w:id="48"/>
      <w:r>
        <w:rPr>
          <w:rtl w:val="true"/>
        </w:rPr>
        <w:t>ب</w:t>
      </w:r>
      <w:r>
        <w:rPr>
          <w:rtl w:val="true"/>
        </w:rPr>
        <w:t>)</w:t>
      </w:r>
      <w:r>
        <w:rPr>
          <w:rtl w:val="true"/>
        </w:rPr>
        <w:t>معنی،</w:t>
      </w:r>
      <w:bookmarkEnd w:id="49"/>
    </w:p>
    <w:p>
      <w:pPr>
        <w:pStyle w:val="Heading6"/>
        <w:numPr>
          <w:ilvl w:val="5"/>
          <w:numId w:val="1"/>
        </w:numPr>
        <w:rPr/>
      </w:pPr>
      <w:bookmarkStart w:id="50" w:name="__RefHeading___Toc97056_581953129"/>
      <w:bookmarkStart w:id="51" w:name="_Toc21"/>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 هذه نماذج منه</w:t>
      </w:r>
      <w:r>
        <w:rPr>
          <w:rFonts w:eastAsia="IRNazanin" w:cs="IRNazanin"/>
          <w:color w:val="111111"/>
          <w:sz w:val="28"/>
          <w:szCs w:val="28"/>
          <w:rtl w:val="true"/>
          <w:lang w:bidi="fa-IR"/>
        </w:rPr>
        <w:t>:</w:t>
      </w:r>
    </w:p>
    <w:p>
      <w:pPr>
        <w:pStyle w:val="Heading6"/>
        <w:numPr>
          <w:ilvl w:val="5"/>
          <w:numId w:val="1"/>
        </w:numPr>
        <w:rPr/>
      </w:pPr>
      <w:bookmarkStart w:id="52" w:name="__RefHeading___Toc97058_581953129"/>
      <w:bookmarkStart w:id="53" w:name="_Toc22"/>
      <w:bookmarkEnd w:id="52"/>
      <w:r>
        <w:rPr>
          <w:rtl w:val="true"/>
        </w:rPr>
        <w:t>الأوّل</w:t>
      </w:r>
      <w:r>
        <w:rPr>
          <w:rtl w:val="true"/>
        </w:rPr>
        <w:t>:</w:t>
      </w:r>
      <w:r>
        <w:rPr>
          <w:rtl w:val="true"/>
        </w:rPr>
        <w:t>ما جاء بنحو الإشاءة،</w:t>
      </w:r>
      <w:bookmarkEnd w:id="53"/>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نَفْعَلَ فِی أَمْوالِنا ما نَشؤُا ، </w:t>
      </w:r>
      <w:r>
        <w:rPr>
          <w:rStyle w:val="FootnoteAnchor"/>
          <w:rtl w:val="true"/>
        </w:rPr>
        <w:footnoteReference w:id="19"/>
      </w:r>
      <w:r>
        <w:rPr>
          <w:rFonts w:ascii="IRNazanin" w:hAnsi="IRNazanin" w:eastAsia="IRNazanin"/>
          <w:color w:val="111111"/>
          <w:sz w:val="28"/>
          <w:sz w:val="28"/>
          <w:szCs w:val="28"/>
          <w:rtl w:val="true"/>
          <w:lang w:bidi="fa-IR"/>
        </w:rPr>
        <w:t>ونحوه کثیر</w:t>
      </w:r>
      <w:r>
        <w:rPr>
          <w:rFonts w:eastAsia="IRNazanin" w:cs="IRNazanin"/>
          <w:color w:val="111111"/>
          <w:sz w:val="28"/>
          <w:szCs w:val="28"/>
          <w:rtl w:val="true"/>
          <w:lang w:bidi="fa-IR"/>
        </w:rPr>
        <w:t>.</w:t>
      </w:r>
    </w:p>
    <w:p>
      <w:pPr>
        <w:pStyle w:val="Heading6"/>
        <w:numPr>
          <w:ilvl w:val="5"/>
          <w:numId w:val="1"/>
        </w:numPr>
        <w:rPr/>
      </w:pPr>
      <w:bookmarkStart w:id="54" w:name="__RefHeading___Toc97060_581953129"/>
      <w:bookmarkStart w:id="55" w:name="_Toc23"/>
      <w:bookmarkEnd w:id="54"/>
      <w:r>
        <w:rPr>
          <w:rtl w:val="true"/>
        </w:rPr>
        <w:t>الثانی</w:t>
      </w:r>
      <w:r>
        <w:rPr>
          <w:rtl w:val="true"/>
        </w:rPr>
        <w:t>:</w:t>
      </w:r>
      <w:r>
        <w:rPr>
          <w:rtl w:val="true"/>
        </w:rPr>
        <w:t>ما جاء بنحو الخیرة،</w:t>
      </w:r>
      <w:bookmarkEnd w:id="55"/>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لَهُمُ الْخِیَرَةُ مِنْ أَمْرِهِمْ ، </w:t>
      </w:r>
      <w:r>
        <w:rPr>
          <w:rStyle w:val="FootnoteAnchor"/>
          <w:rtl w:val="true"/>
        </w:rPr>
        <w:footnoteReference w:id="2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6"/>
        <w:numPr>
          <w:ilvl w:val="5"/>
          <w:numId w:val="1"/>
        </w:numPr>
        <w:rPr/>
      </w:pPr>
      <w:bookmarkStart w:id="56" w:name="__RefHeading___Toc97062_581953129"/>
      <w:bookmarkStart w:id="57" w:name="_Toc24"/>
      <w:bookmarkEnd w:id="56"/>
      <w:r>
        <w:rPr>
          <w:rtl w:val="true"/>
        </w:rPr>
        <w:t>الثالث</w:t>
      </w:r>
      <w:r>
        <w:rPr>
          <w:rtl w:val="true"/>
        </w:rPr>
        <w:t>:</w:t>
      </w:r>
      <w:r>
        <w:rPr>
          <w:rtl w:val="true"/>
        </w:rPr>
        <w:t>ما جاء بنحو الإرادة،</w:t>
      </w:r>
      <w:bookmarkEnd w:id="57"/>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 تَسْتَرْضِعُوا أَوْلادَکُمْ فَلا جُناحَ عَلَیْکُمْ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ونحوها من الألفاظ</w:t>
      </w:r>
      <w:r>
        <w:rPr>
          <w:rFonts w:eastAsia="IRNazanin" w:cs="IRNazanin"/>
          <w:color w:val="111111"/>
          <w:sz w:val="28"/>
          <w:szCs w:val="28"/>
          <w:rtl w:val="true"/>
          <w:lang w:bidi="fa-IR"/>
        </w:rPr>
        <w:t>.</w:t>
      </w:r>
    </w:p>
    <w:p>
      <w:pPr>
        <w:pStyle w:val="Heading5"/>
        <w:numPr>
          <w:ilvl w:val="4"/>
          <w:numId w:val="1"/>
        </w:numPr>
        <w:rPr/>
      </w:pPr>
      <w:bookmarkStart w:id="58" w:name="__RefHeading___Toc97064_581953129"/>
      <w:bookmarkStart w:id="59" w:name="_Toc25"/>
      <w:bookmarkEnd w:id="58"/>
      <w:r>
        <w:rPr>
          <w:rtl w:val="true"/>
        </w:rPr>
        <w:t>ثالثاً</w:t>
      </w:r>
      <w:r>
        <w:rPr>
          <w:rtl w:val="true"/>
        </w:rPr>
        <w:t>:</w:t>
      </w:r>
      <w:r>
        <w:rPr>
          <w:rtl w:val="true"/>
        </w:rPr>
        <w:t>الحرّیة فی اصطلاحها العامّ‌</w:t>
      </w:r>
      <w:bookmarkEnd w:id="59"/>
    </w:p>
    <w:p>
      <w:pPr>
        <w:pStyle w:val="Heading6"/>
        <w:numPr>
          <w:ilvl w:val="5"/>
          <w:numId w:val="1"/>
        </w:numPr>
        <w:rPr/>
      </w:pPr>
      <w:bookmarkStart w:id="60" w:name="__RefHeading___Toc97066_581953129"/>
      <w:bookmarkStart w:id="61" w:name="_Toc26"/>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وذکروا لها هنا عدّة تعاریف،منها</w:t>
      </w:r>
      <w:r>
        <w:rPr>
          <w:rFonts w:eastAsia="IRNazanin" w:cs="IRNazanin"/>
          <w:color w:val="111111"/>
          <w:sz w:val="28"/>
          <w:szCs w:val="28"/>
          <w:rtl w:val="true"/>
          <w:lang w:bidi="fa-IR"/>
        </w:rPr>
        <w:t>:</w:t>
      </w:r>
    </w:p>
    <w:p>
      <w:pPr>
        <w:pStyle w:val="Heading6"/>
        <w:numPr>
          <w:ilvl w:val="5"/>
          <w:numId w:val="1"/>
        </w:numPr>
        <w:rPr/>
      </w:pPr>
      <w:bookmarkStart w:id="62" w:name="__RefHeading___Toc97068_581953129"/>
      <w:bookmarkStart w:id="63" w:name="_Toc27"/>
      <w:bookmarkEnd w:id="62"/>
      <w:r>
        <w:rPr>
          <w:rtl w:val="true"/>
        </w:rPr>
        <w:t>أ</w:t>
      </w:r>
      <w:r>
        <w:rPr>
          <w:rtl w:val="true"/>
        </w:rPr>
        <w:t>)</w:t>
      </w:r>
      <w:r>
        <w:rPr>
          <w:rtl w:val="true"/>
        </w:rPr>
        <w:t>القدرة علی التصرّف بإرادة الذات واختیارها</w:t>
      </w:r>
      <w:r>
        <w:rPr>
          <w:rtl w:val="true"/>
        </w:rPr>
        <w:t>.</w:t>
      </w:r>
      <w:bookmarkEnd w:id="63"/>
    </w:p>
    <w:p>
      <w:pPr>
        <w:pStyle w:val="BookText"/>
        <w:rPr/>
      </w:pPr>
      <w:r>
        <w:rPr>
          <w:rStyle w:val="FootnoteAnchor"/>
          <w:rtl w:val="true"/>
        </w:rPr>
        <w:footnoteReference w:id="22"/>
      </w:r>
    </w:p>
    <w:p>
      <w:pPr>
        <w:pStyle w:val="Heading6"/>
        <w:numPr>
          <w:ilvl w:val="5"/>
          <w:numId w:val="1"/>
        </w:numPr>
        <w:rPr/>
      </w:pPr>
      <w:bookmarkStart w:id="64" w:name="__RefHeading___Toc97070_581953129"/>
      <w:bookmarkStart w:id="65" w:name="_Toc28"/>
      <w:bookmarkEnd w:id="64"/>
      <w:r>
        <w:rPr>
          <w:rtl w:val="true"/>
        </w:rPr>
        <w:t>ب</w:t>
      </w:r>
      <w:r>
        <w:rPr>
          <w:rtl w:val="true"/>
        </w:rPr>
        <w:t>)</w:t>
      </w:r>
      <w:r>
        <w:rPr>
          <w:rtl w:val="true"/>
        </w:rPr>
        <w:t>حرّیة إرادة الإنسان فی تقریر نوع السّلوک</w:t>
      </w:r>
      <w:r>
        <w:rPr>
          <w:rtl w:val="true"/>
        </w:rPr>
        <w:t>.</w:t>
      </w:r>
      <w:bookmarkEnd w:id="65"/>
    </w:p>
    <w:p>
      <w:pPr>
        <w:pStyle w:val="BookText"/>
        <w:rPr/>
      </w:pPr>
      <w:r>
        <w:rPr>
          <w:rStyle w:val="FootnoteAnchor"/>
          <w:rtl w:val="true"/>
        </w:rPr>
        <w:footnoteReference w:id="23"/>
      </w:r>
    </w:p>
    <w:p>
      <w:pPr>
        <w:pStyle w:val="Heading6"/>
        <w:numPr>
          <w:ilvl w:val="5"/>
          <w:numId w:val="1"/>
        </w:numPr>
        <w:rPr/>
      </w:pPr>
      <w:bookmarkStart w:id="66" w:name="__RefHeading___Toc97072_581953129"/>
      <w:bookmarkStart w:id="67" w:name="_Toc29"/>
      <w:bookmarkEnd w:id="66"/>
      <w:r>
        <w:rPr>
          <w:rtl w:val="true"/>
        </w:rPr>
        <w:t>ج</w:t>
      </w:r>
      <w:r>
        <w:rPr>
          <w:rtl w:val="true"/>
        </w:rPr>
        <w:t>)</w:t>
      </w:r>
      <w:r>
        <w:rPr>
          <w:rtl w:val="true"/>
        </w:rPr>
        <w:t>الحرّیة عبارة عن عدم وجود مانع فی طریق تحقیق الإنسان لآماله</w:t>
      </w:r>
      <w:r>
        <w:rPr>
          <w:rtl w:val="true"/>
        </w:rPr>
        <w:t>.</w:t>
      </w:r>
      <w:bookmarkEnd w:id="67"/>
    </w:p>
    <w:p>
      <w:pPr>
        <w:pStyle w:val="BookText"/>
        <w:rPr/>
      </w:pPr>
      <w:r>
        <w:rPr>
          <w:rStyle w:val="FootnoteAnchor"/>
          <w:rtl w:val="true"/>
        </w:rPr>
        <w:footnoteReference w:id="24"/>
      </w:r>
    </w:p>
    <w:p>
      <w:pPr>
        <w:pStyle w:val="Heading6"/>
        <w:numPr>
          <w:ilvl w:val="5"/>
          <w:numId w:val="1"/>
        </w:numPr>
        <w:rPr/>
      </w:pPr>
      <w:bookmarkStart w:id="68" w:name="__RefHeading___Toc97074_581953129"/>
      <w:bookmarkStart w:id="69" w:name="_Toc30"/>
      <w:bookmarkEnd w:id="68"/>
      <w:r>
        <w:rPr>
          <w:rtl w:val="true"/>
        </w:rPr>
        <w:t>د</w:t>
      </w:r>
      <w:r>
        <w:rPr>
          <w:rtl w:val="true"/>
        </w:rPr>
        <w:t>)</w:t>
      </w:r>
      <w:r>
        <w:rPr>
          <w:rtl w:val="true"/>
        </w:rPr>
        <w:t>الإنسان الحرّ هو ذلک الشخص الذی یتمکّن من القیام بعمل بالاعتماد علی قدرته وعلمه دون أن یواجهه مانع،فهو یفعل ما یرید</w:t>
      </w:r>
      <w:r>
        <w:rPr>
          <w:rtl w:val="true"/>
        </w:rPr>
        <w:t>.</w:t>
      </w:r>
      <w:bookmarkEnd w:id="69"/>
    </w:p>
    <w:p>
      <w:pPr>
        <w:pStyle w:val="BookText"/>
        <w:rPr/>
      </w:pPr>
      <w:r>
        <w:rPr>
          <w:rStyle w:val="FootnoteAnchor"/>
          <w:rtl w:val="true"/>
        </w:rPr>
        <w:footnoteReference w:id="25"/>
      </w:r>
    </w:p>
    <w:p>
      <w:pPr>
        <w:pStyle w:val="Heading6"/>
        <w:numPr>
          <w:ilvl w:val="5"/>
          <w:numId w:val="1"/>
        </w:numPr>
        <w:rPr/>
      </w:pPr>
      <w:bookmarkStart w:id="70" w:name="__RefHeading___Toc97076_581953129"/>
      <w:bookmarkStart w:id="71" w:name="_Toc31"/>
      <w:bookmarkEnd w:id="70"/>
      <w:r>
        <w:rPr>
          <w:rtl w:val="true"/>
        </w:rPr>
        <w:t>ه</w:t>
      </w:r>
      <w:r>
        <w:rPr>
          <w:rtl w:val="true"/>
        </w:rPr>
        <w:t>)</w:t>
      </w:r>
      <w:r>
        <w:rPr>
          <w:rtl w:val="true"/>
        </w:rPr>
        <w:t>أن یترک الأفراد أحراراً فی سبیل تحقیق مصالحهم الذاتیة،</w:t>
      </w:r>
      <w:bookmarkEnd w:id="7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قید إلّا</w:t>
      </w:r>
      <w:bookmarkStart w:id="72" w:name="pg5204_66037"/>
    </w:p>
    <w:p>
      <w:pPr>
        <w:pStyle w:val="BookText"/>
        <w:rPr/>
      </w:pPr>
      <w:bookmarkEnd w:id="72"/>
      <w:r>
        <w:rPr>
          <w:rFonts w:ascii="IRNazanin" w:hAnsi="IRNazanin" w:eastAsia="IRNazanin"/>
          <w:color w:val="111111"/>
          <w:sz w:val="28"/>
          <w:sz w:val="28"/>
          <w:szCs w:val="28"/>
          <w:rtl w:val="true"/>
          <w:lang w:bidi="fa-IR"/>
        </w:rPr>
        <w:t>عدم تعارض سلوک أی فرد من أفراد الجماعة مع تحقیق الأفراد الآخرین لمصالحهم الذاتیة</w:t>
      </w:r>
      <w:r>
        <w:rPr>
          <w:rFonts w:eastAsia="IRNazanin" w:cs="IRNazanin"/>
          <w:color w:val="111111"/>
          <w:sz w:val="28"/>
          <w:szCs w:val="28"/>
          <w:rtl w:val="true"/>
          <w:lang w:bidi="fa-IR"/>
        </w:rPr>
        <w:t xml:space="preserve">. </w:t>
      </w:r>
      <w:r>
        <w:rPr>
          <w:rStyle w:val="FootnoteAnchor"/>
          <w:rtl w:val="true"/>
        </w:rPr>
        <w:footnoteReference w:id="26"/>
      </w:r>
    </w:p>
    <w:p>
      <w:pPr>
        <w:pStyle w:val="Heading6"/>
        <w:numPr>
          <w:ilvl w:val="5"/>
          <w:numId w:val="1"/>
        </w:numPr>
        <w:rPr/>
      </w:pPr>
      <w:bookmarkStart w:id="73" w:name="__RefHeading___Toc97078_581953129"/>
      <w:bookmarkStart w:id="74" w:name="_Toc32"/>
      <w:bookmarkEnd w:id="73"/>
      <w:r>
        <w:rPr>
          <w:rtl w:val="true"/>
        </w:rPr>
        <w:t>و</w:t>
      </w:r>
      <w:r>
        <w:rPr>
          <w:rtl w:val="true"/>
        </w:rPr>
        <w:t>)</w:t>
      </w:r>
      <w:r>
        <w:rPr>
          <w:rtl w:val="true"/>
        </w:rPr>
        <w:t>أن یستطیع کلّ إنسان السعی نحو مصلحته بطریقته الخاصّة،</w:t>
      </w:r>
      <w:bookmarkEnd w:id="74"/>
    </w:p>
    <w:p>
      <w:pPr>
        <w:pStyle w:val="BookText"/>
        <w:rPr/>
      </w:pPr>
      <w:r>
        <w:rPr>
          <w:rFonts w:ascii="IRNazanin" w:hAnsi="IRNazanin" w:eastAsia="IRNazanin"/>
          <w:color w:val="111111"/>
          <w:sz w:val="28"/>
          <w:sz w:val="28"/>
          <w:szCs w:val="28"/>
          <w:rtl w:val="true"/>
          <w:lang w:bidi="fa-IR"/>
        </w:rPr>
        <w:t>بشرط أن لا یعرّض مصالح الآخرین للضرر</w:t>
      </w:r>
      <w:r>
        <w:rPr>
          <w:rFonts w:eastAsia="IRNazanin" w:cs="IRNazanin"/>
          <w:color w:val="111111"/>
          <w:sz w:val="28"/>
          <w:szCs w:val="28"/>
          <w:rtl w:val="true"/>
          <w:lang w:bidi="fa-IR"/>
        </w:rPr>
        <w:t xml:space="preserve">. </w:t>
      </w:r>
      <w:r>
        <w:rPr>
          <w:rStyle w:val="FootnoteAnchor"/>
          <w:rtl w:val="true"/>
        </w:rPr>
        <w:footnoteReference w:id="27"/>
      </w:r>
    </w:p>
    <w:p>
      <w:pPr>
        <w:pStyle w:val="Heading6"/>
        <w:numPr>
          <w:ilvl w:val="5"/>
          <w:numId w:val="1"/>
        </w:numPr>
        <w:rPr/>
      </w:pPr>
      <w:bookmarkStart w:id="75" w:name="__RefHeading___Toc97080_581953129"/>
      <w:bookmarkStart w:id="76" w:name="_Toc33"/>
      <w:bookmarkEnd w:id="75"/>
      <w:r>
        <w:rPr>
          <w:rtl w:val="true"/>
        </w:rPr>
        <w:t>ز</w:t>
      </w:r>
      <w:r>
        <w:rPr>
          <w:rtl w:val="true"/>
        </w:rPr>
        <w:t>)</w:t>
      </w:r>
      <w:r>
        <w:rPr>
          <w:rtl w:val="true"/>
        </w:rPr>
        <w:t>الحرّیة عبارة عن الاستقلال عن کلّ شیء سوی القانون الأخلاقی</w:t>
      </w:r>
      <w:r>
        <w:rPr>
          <w:rtl w:val="true"/>
        </w:rPr>
        <w:t>.</w:t>
      </w:r>
      <w:bookmarkEnd w:id="76"/>
    </w:p>
    <w:p>
      <w:pPr>
        <w:pStyle w:val="BookText"/>
        <w:rPr/>
      </w:pPr>
      <w:r>
        <w:rPr>
          <w:rStyle w:val="FootnoteAnchor"/>
          <w:rtl w:val="true"/>
        </w:rPr>
        <w:footnoteReference w:id="28"/>
      </w:r>
      <w:r>
        <w:rPr>
          <w:rFonts w:ascii="IRNazanin" w:hAnsi="IRNazanin" w:eastAsia="IRNazanin"/>
          <w:color w:val="111111"/>
          <w:sz w:val="28"/>
          <w:sz w:val="28"/>
          <w:szCs w:val="28"/>
          <w:rtl w:val="true"/>
          <w:lang w:bidi="fa-IR"/>
        </w:rPr>
        <w:t>وقبل الخوض فی مناقشة هذه التعریفات لتمییز مدی مصداقیتها ینبغی الإشارة إلی نقطة مهمّة ترتبط بمفهوم الحرّیة،وهی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الحرّیة علی نوعین،فهناک حرّیةٌ أساسیةٌ أو طبیعیةٌ أو تکوینیةٌ؛یتمیز بها الإنسان عن غیره من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ترکیبته النفسیة و العضویة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 من خلالها مجاراة میوله وغرائزه أو مخالفتها،فهذه الحرّیة میزةٌ طبیعیةٌ للإنسان بما هو إنسانٌ یستطیع من خلالها ممارسة إنسانیته بغضّ النظر عن أی شیء آخر،فهی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تعتبر بحقّ إحدی المقوّمات الجوهریة للإنسانیة؛لأنّها تعبیر عن الطاقة الحیویة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فالإنسانیة بدون هذه الحرّیة لفظ بدون معنی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هذه الحرّیة ذاتها تتّخذ شکلاً آخر عندما یبدأ الإنسان بممارسة نشاطه الاجتماعی،ویعیش فی محیط بشری له حرّیاتٌ مشابهةٌ لما لدیه،فهنا سیتحدّد نطاق حرّیته التکوینیة بما لا یتزاحم وحرّیة بنی جنسه،ویحاول بالتعاون معهم علی وضع حدود لحرّیاتهم تلک بما یساهم فی عدم اختلال حیاتهم الاجتماعیة کمجموعة،فتکون حرّیاتهم مقیدةً بما ینظّم حیاتهم تنظیماً یضمن مصالح کلّ منهم،و هذا ممّا لا یختلف بشأنه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من بعد ذلک النظام المتَّبع لیوسّع أو یضیق من الحدود الاجتماعیة للحرّیة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وقیمه الّتی یؤمن بها و الأهداف التی یتوخّی الوصول إلیها،لتتحوّل إلی حرّیة تصطبغ بصبغة النظام الذی یؤمن صاحبها به،وهی ما یطلق علیها بالحدود الدینیة أو المذهبیة للحرّیة،فیأتی من یؤمن ومن لا یؤمن بنطام لیضع لها تعریفاً یتّفق وما یعتقده،وعلی هذا الأساس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نلاحظه علی التعریفین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أنّهما نظرا إلی الحرّیة من الزاویة الأولی وهی الحرّیة التکوینیة أو الفلسفیة،کما یعبّرون و التی یعرّفونها بالاختیار فی مقابل الإجبار،خصوصاً إذا ما علمنا بأنّ صاحبَی التعریف من المنهجیین الإسلامیین الذین یأخذون نظامهم الإسلامی بعین</w:t>
      </w:r>
      <w:bookmarkStart w:id="77" w:name="pg5204_66038"/>
    </w:p>
    <w:p>
      <w:pPr>
        <w:pStyle w:val="BookText"/>
        <w:rPr/>
      </w:pPr>
      <w:bookmarkEnd w:id="77"/>
      <w:r>
        <w:rPr>
          <w:rFonts w:ascii="IRNazanin" w:hAnsi="IRNazanin" w:eastAsia="IRNazanin"/>
          <w:color w:val="111111"/>
          <w:sz w:val="28"/>
          <w:sz w:val="28"/>
          <w:szCs w:val="28"/>
          <w:rtl w:val="true"/>
          <w:lang w:bidi="fa-IR"/>
        </w:rPr>
        <w:t>الاعتبار،فلم یقیدوا تعریفهم بأی قید ینمّ عن نظرهما إلی زاویة غیر الزاویة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خلط بین الحرّیة التکوینیة والاجتماعیة،فأنزل الثانیة منزلة الأولی،وممّا یدلّل علی أنّ التعریف ناظرٌ إلی الحرّیة الاجتماعیة هو أنّ تحقیق الآمال لیس من الحاجات البسیطة؛إذ هی تتطلّب خوض الغمار الاجتماعی،وأوقف وجودها علی عدم وجود مانع،و هذا یعنی عدم وجود حرّیة مع وجود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حرّیات الآخرین تقف حائلاً بوجه تحقّقها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کالتعریف الذی سبقه،وأضاف إلی ذلک شروطاً ذاتیة یستلزم توفّرها فیمن یرید القیام بعمل حرّ،و هذا یبین بوضوح أنّ المراد منها؛الحرّیة علی المستوی الاجتماعی،وإلّا لیس کلّ الأعمال تتطلّب علماً و قدرةً مساوقةً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بوضوح أنّ التعریفین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یختصّان بالنوع الثانی من الحرّیة ألَا،وهی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الاجتماعیة،ولا یتعدّاه إلی نوعها الثالث،وأعنی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ضبطها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بعبارة بطریقته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الانفلات من أی مذهب إلّا المذهب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عائماً فیما بین نوعها الاجتماعی و المذهبی،فهل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الأخلاقی النزعة الفطریة أم الضوابط المذهبیة أم القوانین الاجتماعیة التوافقیة؟</w:t>
      </w:r>
    </w:p>
    <w:p>
      <w:pPr>
        <w:pStyle w:val="Heading5"/>
        <w:numPr>
          <w:ilvl w:val="4"/>
          <w:numId w:val="1"/>
        </w:numPr>
        <w:rPr/>
      </w:pPr>
      <w:bookmarkStart w:id="78" w:name="__RefHeading___Toc97082_581953129"/>
      <w:bookmarkStart w:id="79" w:name="_Toc34"/>
      <w:bookmarkEnd w:id="78"/>
      <w:r>
        <w:rPr>
          <w:rtl w:val="true"/>
        </w:rPr>
        <w:t>رابعاً</w:t>
      </w:r>
      <w:r>
        <w:rPr>
          <w:rtl w:val="true"/>
        </w:rPr>
        <w:t>:</w:t>
      </w:r>
      <w:r>
        <w:rPr>
          <w:rtl w:val="true"/>
        </w:rPr>
        <w:t>الحرّیة فی موضوع البحث</w:t>
      </w:r>
      <w:bookmarkEnd w:id="79"/>
    </w:p>
    <w:p>
      <w:pPr>
        <w:pStyle w:val="BookText"/>
        <w:rPr/>
      </w:pPr>
      <w:r>
        <w:rPr>
          <w:rFonts w:ascii="IRNazanin" w:hAnsi="IRNazanin" w:eastAsia="IRNazanin"/>
          <w:color w:val="111111"/>
          <w:sz w:val="28"/>
          <w:sz w:val="28"/>
          <w:szCs w:val="28"/>
          <w:rtl w:val="true"/>
          <w:lang w:bidi="fa-IR"/>
        </w:rPr>
        <w:t>بما أنّ بحثنا یرتبط بالاتّجاه المذهبی الدینی،فهو بالتالی یحدّد الحرّیة المقصودة فیه بذلک الإطار،مع الأخذ بنظر الاعتبار أنّ الحرّیة بجانبها المنهجی و الدینی ترتکز علی جانبها التکوینی الذی اعترف به الإسلام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وتتحدّد کذلک بجانبها الاجتماعی إضافةً إلی الدینی،ولکن حسب الرؤیة التی حدّدها وقرّرها الإسلام لذلک الجانب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بحثنا یختصّ بالحرّیة فی جانبها الاقتصادی،فلا بدّ لنا من عرض بعض تعاریفها الاصطلاحیة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تعریفها ذاک من 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إباحة تصرّف الفرد فی ملکه حیثما شاء فله أن یمارس أی لون من ألوان التجارة و الصناعة</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التعریف ناظرٌ إلی جانبها الفردی المرتبط بالجانب الإنتاجی دون بقیة فروع الاقتصاد کالتوزیع والاستهلاک</w:t>
      </w:r>
      <w:r>
        <w:rPr>
          <w:rFonts w:eastAsia="IRNazanin" w:cs="IRNazanin"/>
          <w:color w:val="111111"/>
          <w:sz w:val="28"/>
          <w:szCs w:val="28"/>
          <w:rtl w:val="true"/>
          <w:lang w:bidi="fa-IR"/>
        </w:rPr>
        <w:t>.</w:t>
      </w:r>
      <w:bookmarkStart w:id="80" w:name="pg5204_66039"/>
    </w:p>
    <w:p>
      <w:pPr>
        <w:pStyle w:val="BookText"/>
        <w:rPr/>
      </w:pPr>
      <w:bookmarkEnd w:id="80"/>
      <w:r>
        <w:rPr>
          <w:rFonts w:ascii="Amiri" w:hAnsi="Amiri" w:eastAsia="Amiri" w:cs="Amiri"/>
          <w:color w:val="111111"/>
          <w:sz w:val="28"/>
          <w:sz w:val="28"/>
          <w:szCs w:val="28"/>
          <w:rtl w:val="true"/>
          <w:lang w:bidi="ar-SA"/>
        </w:rPr>
        <w:t>أو أنّ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فرد مطلق الحرّیة فی انتهاج أی أسلوب وسلوک أی طریق،لکسب الثروة وتضخیمها ومضاعفتها،علی ضوء مصالحه ومنافعه الشخصیة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هذا التعریف کسابقه إلّا أنّه یبین الأسالیب التی لا تقف عند حدّ لممارسة الفرد حرّیته الاقتصادیة القائمة علی أساس مصالحه،و هو یعبّر عن الحرّیة الاقتصادیة باتّجاهها الرأسمالی؛أمّا التعریف الذی یعرّفها بأنّها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فسح المجال للفرد فی أن یتملّک ما یشاء ویعمل مواهبه فی إنماء ملکیته دون تعرّض لتحکّم السلطات فی شأنه</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فهو أکثر وضوحاً فی عدم وقوف مؤسّسة الدولة بوجه تلک الحرّیة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مرّ یتّضح المقصود منها فی موضوع بحثنا هذا،فالحرّیة الاقتصادیة،تعنی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ممارسة النشاط الاقتصادی بکافّة أبعادة علی ضوء المبادئ و القوانین و القیود التی وضعها الإسلام فی هذا الإطار</w:t>
      </w:r>
      <w:r>
        <w:rPr>
          <w:rFonts w:eastAsia="IRNazanin" w:cs="IRNazanin"/>
          <w:color w:val="111111"/>
          <w:sz w:val="28"/>
          <w:szCs w:val="28"/>
          <w:rtl w:val="true"/>
          <w:lang w:bidi="fa-IR"/>
        </w:rPr>
        <w:t>.</w:t>
      </w:r>
    </w:p>
    <w:p>
      <w:pPr>
        <w:pStyle w:val="Heading4"/>
        <w:numPr>
          <w:ilvl w:val="3"/>
          <w:numId w:val="1"/>
        </w:numPr>
        <w:rPr/>
      </w:pPr>
      <w:bookmarkStart w:id="81" w:name="__RefHeading___Toc97084_581953129"/>
      <w:bookmarkStart w:id="82" w:name="_Toc35"/>
      <w:bookmarkEnd w:id="81"/>
      <w:r>
        <w:rPr>
          <w:rtl w:val="true"/>
        </w:rPr>
        <w:t>المطلب الثانی</w:t>
      </w:r>
      <w:r>
        <w:rPr>
          <w:rtl w:val="true"/>
        </w:rPr>
        <w:t>:</w:t>
      </w:r>
      <w:r>
        <w:rPr>
          <w:rtl w:val="true"/>
        </w:rPr>
        <w:t>مفهوم الاقتصاد</w:t>
      </w:r>
      <w:bookmarkEnd w:id="82"/>
    </w:p>
    <w:p>
      <w:pPr>
        <w:pStyle w:val="Heading5"/>
        <w:numPr>
          <w:ilvl w:val="4"/>
          <w:numId w:val="1"/>
        </w:numPr>
        <w:rPr/>
      </w:pPr>
      <w:bookmarkStart w:id="83" w:name="__RefHeading___Toc97086_581953129"/>
      <w:bookmarkStart w:id="84" w:name="_Toc36"/>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وسنبحثه ضمن ثلاثة عناوین لغةً و اصطلاحاً ما ورد عنه فی القرآن،وفی موضوع البحث</w:t>
      </w:r>
      <w:r>
        <w:rPr>
          <w:rFonts w:eastAsia="IRNazanin" w:cs="IRNazanin"/>
          <w:color w:val="111111"/>
          <w:sz w:val="28"/>
          <w:szCs w:val="28"/>
          <w:rtl w:val="true"/>
          <w:lang w:bidi="fa-IR"/>
        </w:rPr>
        <w:t>:</w:t>
      </w:r>
    </w:p>
    <w:p>
      <w:pPr>
        <w:pStyle w:val="Heading5"/>
        <w:numPr>
          <w:ilvl w:val="4"/>
          <w:numId w:val="1"/>
        </w:numPr>
        <w:rPr/>
      </w:pPr>
      <w:bookmarkStart w:id="85" w:name="__RefHeading___Toc97088_581953129"/>
      <w:bookmarkStart w:id="86" w:name="_Toc37"/>
      <w:bookmarkEnd w:id="85"/>
      <w:r>
        <w:rPr>
          <w:rtl w:val="true"/>
        </w:rPr>
        <w:t>أوّلاً</w:t>
      </w:r>
      <w:r>
        <w:rPr>
          <w:rtl w:val="true"/>
        </w:rPr>
        <w:t>:</w:t>
      </w:r>
      <w:r>
        <w:rPr>
          <w:rtl w:val="true"/>
        </w:rPr>
        <w:t>الاقتصاد فی اللغة</w:t>
      </w:r>
      <w:bookmarkEnd w:id="86"/>
    </w:p>
    <w:p>
      <w:pPr>
        <w:pStyle w:val="Heading6"/>
        <w:numPr>
          <w:ilvl w:val="5"/>
          <w:numId w:val="1"/>
        </w:numPr>
        <w:rPr/>
      </w:pPr>
      <w:bookmarkStart w:id="87" w:name="__RefHeading___Toc97090_581953129"/>
      <w:bookmarkStart w:id="88" w:name="_Toc38"/>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والاقتصاد فی اللغة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اقتصد،وصیغة افتعال من قصد،وتعنی</w:t>
      </w:r>
      <w:r>
        <w:rPr>
          <w:rFonts w:eastAsia="IRNazanin" w:cs="IRNazanin"/>
          <w:color w:val="111111"/>
          <w:sz w:val="28"/>
          <w:szCs w:val="28"/>
          <w:rtl w:val="true"/>
          <w:lang w:bidi="fa-IR"/>
        </w:rPr>
        <w:t>:</w:t>
      </w:r>
    </w:p>
    <w:p>
      <w:pPr>
        <w:pStyle w:val="Heading6"/>
        <w:numPr>
          <w:ilvl w:val="5"/>
          <w:numId w:val="1"/>
        </w:numPr>
        <w:rPr/>
      </w:pPr>
      <w:bookmarkStart w:id="89" w:name="__RefHeading___Toc97092_581953129"/>
      <w:bookmarkStart w:id="90" w:name="_Toc39"/>
      <w:bookmarkEnd w:id="89"/>
      <w:r>
        <w:rPr>
          <w:rtl w:val="true"/>
        </w:rPr>
        <w:t>أ</w:t>
      </w:r>
      <w:r>
        <w:rPr>
          <w:rtl w:val="true"/>
        </w:rPr>
        <w:t>)</w:t>
      </w:r>
      <w:r>
        <w:rPr>
          <w:rtl w:val="true"/>
        </w:rPr>
        <w:t>الاستقامة</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اقتصد فلان فی أمره،أی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 </w:t>
      </w:r>
      <w:r>
        <w:rPr>
          <w:rStyle w:val="FootnoteAnchor"/>
          <w:rtl w:val="true"/>
        </w:rPr>
        <w:footnoteReference w:id="33"/>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استقامة الطریقة</w:t>
      </w:r>
      <w:r>
        <w:rPr>
          <w:rFonts w:eastAsia="IRNazanin" w:cs="IRNazanin"/>
          <w:color w:val="111111"/>
          <w:sz w:val="28"/>
          <w:szCs w:val="28"/>
          <w:rtl w:val="true"/>
          <w:lang w:bidi="fa-IR"/>
        </w:rPr>
        <w:t xml:space="preserve">. </w:t>
      </w:r>
      <w:r>
        <w:rPr>
          <w:rStyle w:val="FootnoteAnchor"/>
          <w:rtl w:val="true"/>
        </w:rPr>
        <w:footnoteReference w:id="34"/>
      </w:r>
    </w:p>
    <w:p>
      <w:pPr>
        <w:pStyle w:val="Heading6"/>
        <w:numPr>
          <w:ilvl w:val="5"/>
          <w:numId w:val="1"/>
        </w:numPr>
        <w:rPr/>
      </w:pPr>
      <w:bookmarkStart w:id="91" w:name="__RefHeading___Toc97094_581953129"/>
      <w:bookmarkStart w:id="92" w:name="_Toc40"/>
      <w:bookmarkEnd w:id="91"/>
      <w:r>
        <w:rPr>
          <w:rtl w:val="true"/>
        </w:rPr>
        <w:t>ب</w:t>
      </w:r>
      <w:r>
        <w:rPr>
          <w:rtl w:val="true"/>
        </w:rPr>
        <w:t>)</w:t>
      </w:r>
      <w:r>
        <w:rPr>
          <w:rtl w:val="true"/>
        </w:rPr>
        <w:t>التوسّط‌</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الإفراط،و هو ما بین الإسراف و التقتیر، </w:t>
      </w:r>
      <w:r>
        <w:rPr>
          <w:rStyle w:val="FootnoteAnchor"/>
          <w:rtl w:val="true"/>
        </w:rPr>
        <w:footnoteReference w:id="35"/>
      </w:r>
      <w:r>
        <w:rPr>
          <w:rFonts w:ascii="IRNazanin" w:hAnsi="IRNazanin" w:eastAsia="IRNazanin"/>
          <w:color w:val="111111"/>
          <w:sz w:val="28"/>
          <w:sz w:val="28"/>
          <w:szCs w:val="28"/>
          <w:rtl w:val="true"/>
          <w:lang w:bidi="fa-IR"/>
        </w:rPr>
        <w:t>والاقتصاد فی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التوسّط بین التبذیر و التقتیر، </w:t>
      </w:r>
      <w:r>
        <w:rPr>
          <w:rStyle w:val="FootnoteAnchor"/>
          <w:rtl w:val="true"/>
        </w:rPr>
        <w:footnoteReference w:id="36"/>
      </w:r>
      <w:r>
        <w:rPr>
          <w:rFonts w:ascii="IRNazanin" w:hAnsi="IRNazanin" w:eastAsia="IRNazanin"/>
          <w:color w:val="111111"/>
          <w:sz w:val="28"/>
          <w:sz w:val="28"/>
          <w:szCs w:val="28"/>
          <w:rtl w:val="true"/>
          <w:lang w:bidi="fa-IR"/>
        </w:rPr>
        <w:t>اقتصد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بین الإفراط و التقتیر</w:t>
      </w:r>
      <w:r>
        <w:rPr>
          <w:rFonts w:eastAsia="IRNazanin" w:cs="IRNazanin"/>
          <w:color w:val="111111"/>
          <w:sz w:val="28"/>
          <w:szCs w:val="28"/>
          <w:rtl w:val="true"/>
          <w:lang w:bidi="fa-IR"/>
        </w:rPr>
        <w:t xml:space="preserve">. </w:t>
      </w:r>
      <w:r>
        <w:rPr>
          <w:rStyle w:val="FootnoteAnchor"/>
          <w:rtl w:val="true"/>
        </w:rPr>
        <w:footnoteReference w:id="37"/>
      </w:r>
      <w:bookmarkStart w:id="93" w:name="pg5204_66040"/>
    </w:p>
    <w:p>
      <w:pPr>
        <w:pStyle w:val="BookText"/>
        <w:rPr/>
      </w:pPr>
      <w:bookmarkEnd w:id="93"/>
      <w:r>
        <w:rPr>
          <w:rFonts w:ascii="IRNazanin" w:hAnsi="IRNazanin" w:eastAsia="IRNazanin"/>
          <w:color w:val="111111"/>
          <w:sz w:val="28"/>
          <w:sz w:val="28"/>
          <w:szCs w:val="28"/>
          <w:rtl w:val="true"/>
          <w:lang w:bidi="fa-IR"/>
        </w:rPr>
        <w:t>وهما بمعنیً واحد و هو الاعتدال،حیث الاستقامة هنا هی الاعتدال بالمعنی الأعمّ،والتوسّط استعمل هنا بالمعنی الأخصّ فی مجال الإنفاق،فقالوا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القصد،أی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القصد و التمسوه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وتؤل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القصد یستعمل فیما بین الإسراف و التقتیر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الإفراط و التفریط</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وجاء القصد بمعان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النیة،العزم،الغرض و الغایة،الوجهة،البیان،التعمّد،الإرادة والاختیار</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94" w:name="__RefHeading___Toc97096_581953129"/>
      <w:bookmarkStart w:id="95" w:name="_Toc41"/>
      <w:bookmarkEnd w:id="94"/>
      <w:r>
        <w:rPr>
          <w:rtl w:val="true"/>
        </w:rPr>
        <w:t>ثانیاً</w:t>
      </w:r>
      <w:r>
        <w:rPr>
          <w:rtl w:val="true"/>
        </w:rPr>
        <w:t>:</w:t>
      </w:r>
      <w:r>
        <w:rPr>
          <w:rtl w:val="true"/>
        </w:rPr>
        <w:t>الاقتصاد فی القرآن</w:t>
      </w:r>
      <w:bookmarkEnd w:id="95"/>
    </w:p>
    <w:p>
      <w:pPr>
        <w:pStyle w:val="BookText"/>
        <w:rPr/>
      </w:pPr>
      <w:r>
        <w:rPr>
          <w:rFonts w:ascii="IRNazanin" w:hAnsi="IRNazanin" w:eastAsia="IRNazanin"/>
          <w:color w:val="111111"/>
          <w:sz w:val="28"/>
          <w:sz w:val="28"/>
          <w:szCs w:val="28"/>
          <w:rtl w:val="true"/>
          <w:lang w:bidi="fa-IR"/>
        </w:rPr>
        <w:t>وورد الاقتصاد فی القرآن الکریم بمعناه اللُّغوی علی نحوین،وهما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تضمّنته الآیات التالیة حسب المعانی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اقْصِدْ فِی مَشْیِکَ ، </w:t>
      </w:r>
      <w:r>
        <w:rPr>
          <w:rStyle w:val="FootnoteAnchor"/>
          <w:rtl w:val="true"/>
        </w:rPr>
        <w:footnoteReference w:id="4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اعدل،ولا تتبختر فیه ولا تدبّ دبیباً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القصد،و هو مشی الاعتدال</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سَفَراً قاصِداً ، </w:t>
      </w:r>
      <w:r>
        <w:rPr>
          <w:rStyle w:val="FootnoteAnchor"/>
          <w:rtl w:val="true"/>
        </w:rPr>
        <w:footnoteReference w:id="42"/>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 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متناهی البعد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مُقْتَصِدَةٌ ، </w:t>
      </w:r>
      <w:r>
        <w:rPr>
          <w:rStyle w:val="FootnoteAnchor"/>
          <w:rtl w:val="true"/>
        </w:rPr>
        <w:footnoteReference w:id="4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عادلة</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 الذی هو فی قصد السبیل،وسواء الطریق</w:t>
      </w:r>
      <w:r>
        <w:rPr>
          <w:rFonts w:eastAsia="IRNazanin" w:cs="IRNazanin"/>
          <w:color w:val="111111"/>
          <w:sz w:val="28"/>
          <w:szCs w:val="28"/>
          <w:rtl w:val="true"/>
          <w:lang w:bidi="fa-IR"/>
        </w:rPr>
        <w:t xml:space="preserve">. </w:t>
      </w:r>
      <w:r>
        <w:rPr>
          <w:rStyle w:val="FootnoteAnchor"/>
          <w:rtl w:val="true"/>
        </w:rPr>
        <w:footnoteReference w:id="47"/>
      </w:r>
      <w:bookmarkStart w:id="96" w:name="pg5204_66041"/>
    </w:p>
    <w:p>
      <w:pPr>
        <w:pStyle w:val="BookText"/>
        <w:rPr/>
      </w:pPr>
      <w:bookmarkEnd w:id="96"/>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w:t>
      </w:r>
      <w:r>
        <w:rPr>
          <w:rStyle w:val="FootnoteAnchor"/>
          <w:rtl w:val="true"/>
        </w:rPr>
        <w:footnoteReference w:id="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الطریق المستقیم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ویعود جمیع ما تقدّم إلی المعنی اللُّغوی الأساس،أی التوسّط والاعتدال،کما تلاحظ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بلفظ آخر مرادف لمعناه اللغوی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قواماً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سویاً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5"/>
        <w:numPr>
          <w:ilvl w:val="4"/>
          <w:numId w:val="1"/>
        </w:numPr>
        <w:rPr/>
      </w:pPr>
      <w:bookmarkStart w:id="97" w:name="__RefHeading___Toc97098_581953129"/>
      <w:bookmarkStart w:id="98" w:name="_Toc42"/>
      <w:bookmarkEnd w:id="97"/>
      <w:r>
        <w:rPr>
          <w:rtl w:val="true"/>
        </w:rPr>
        <w:t>ثالثاً</w:t>
      </w:r>
      <w:r>
        <w:rPr>
          <w:rtl w:val="true"/>
        </w:rPr>
        <w:t>:</w:t>
      </w:r>
      <w:r>
        <w:rPr>
          <w:rtl w:val="true"/>
        </w:rPr>
        <w:t>الاقتصاد فی الاصطلاح</w:t>
      </w:r>
      <w:bookmarkEnd w:id="98"/>
    </w:p>
    <w:p>
      <w:pPr>
        <w:pStyle w:val="BookText"/>
        <w:rPr/>
      </w:pPr>
      <w:r>
        <w:rPr>
          <w:rFonts w:ascii="IRNazanin" w:hAnsi="IRNazanin" w:eastAsia="IRNazanin"/>
          <w:color w:val="111111"/>
          <w:sz w:val="28"/>
          <w:sz w:val="28"/>
          <w:szCs w:val="28"/>
          <w:rtl w:val="true"/>
          <w:lang w:bidi="fa-IR"/>
        </w:rPr>
        <w:t>إنّ الاقتصاد فی مفهومه العرفی العامّ غالباً ما یطلق علی حسن التدبیر والاستخدام الأمثل للثروة،ویراد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إهدارها وإتلافها دون نفع أو فائدة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فی مفهومه العلمی یطلق علی مجالین،وهما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 التحلیلی،ویراد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والمجال التقنینی و التشریعی،ویراد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المجال الأوّل هناک من التعاریف ما لا یعدّ ولا یحصی،و هذه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تصرّفات الفرد فی نطاق أعمال حیاته الیومیة،وأنّه یتناول ذلک الجزء من حیاته الذی یتّصل بکیفیة حصوله علی الدخل وکیفیة استخدامه لهذا الدخل</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سلوک الإنسان فی إدارة الموارد النادرة وتنمیتها لإشباع حاجاته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کلّ ما یتعلّق بالنشاط الإنسانی المؤدّی إلی خلق المنافع وزیادتها،ویستهدف وراء ذلک إشباع أکبر قدر من حاجات الإنسان الاقتصادیة</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الّذی یتناول تفسیر الحیاة الاقتصادیة وأحداثها وظواهرها،وربط تلک الأحداث و الظواهر بالأسباب و العوامل العامّة التی تتحکّم فیها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ولا نرید الخوض فی محاکمة هذه التعاریف ومقارنتها ببعضها البعض؛لأنّ موضوع بحثنا لا یرتبط بها،فهو بنیوی یرتبط بالمذهب الاقتصادی من حیث الأسس و الضوابط و الأحکام التی یعتمدها،ویخضع الفعّالیات الاقتصادیة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هنا،أنّ البعض قد خلط بین علم الاقتصاد و المذهب و النظام الاقتصادی،فلم یمیز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عند کلامه عن المحاور الأساسیة للنظام الاقتصادی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أنّه یستعمل کلمة نظام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علم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ولاحظوا مرّةً أخری أنّه یستعمل کلمة علم هذه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العلم الذی یبحث فی کیفیة واستغلال الموارد الاقتصادیة النادرة لإنتاج ما یمکن إنتاجه من السلع و الخدمات؛وذلک لإشباع الحاجات الإنسانیة،فی ظلّ إطار معین من القیم و التقالید و التطلّعات الحضاریة للمجتمع الإسلامی،أی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تتمّ العملیة الإنتاجیة فی ظلّ تعالیم الدین الإسلامی الحنیف،و هو أیضاً العلم الذی یبحث فی الطریقة التی یوزّع بها الناتج الاقتصادی بین المشترکین فی العملیة الانتاجیة فی ظلّ الإطار الحضاری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وقیم الدین الإسلامی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فهو یتحدّث عن؛عملیة انتاج وتوزیع تتمّ حسب تعالیم الإسلام،أی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وقوانین الإسلام،و هو یتحدّث عن طریقة معینة لتنظیم الحیاة الاقتصادیة،و هذا هو بالضبط ما یراد بالمذهب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آنفاً تعاریف بعض الاقتصادیین و المفکّرین لعلم الاقتصاد،والتی تتلخّص بأنّه دراسة للسلوک و التصرّفات،وتفسیر للظواهر الاقتصادیة،واکتشاف للقوانین الموضوعیة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نرید أن ننفی وجود ارتباط بین المذهب و العلم،فإنّ الاکتشاف العلمی یؤدّی أحیاناً إلی وضع قانون مذهبی،فأنصار المدرسة التجاریة مثلاً حینما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فسّروا من ناحیة علمیة کمّیة الثروة لدی 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بالمقدار الذی تملکه من النقد،استخدموا هذه الفکرة فی وضع مذهبهم التجاری،فدعوا إلی تنشیط التجارة الخارجیة بوصفها الأداة الوحیدة لجلب النقد من الخارج،ووضعوا معالم سیاسة اقتصادیة،تؤدّی إلی زیادة کمّیة البضائع المصدّرة علی قیمة البضائع المستوردة،لتدخل إلی البلاد نقود بقدر الزیادة فی الصادرات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ولکنّنا نرید أن نقول إنّ المذهب یمثّل الأنظمة و القوانین المشرّعة التی نتّبعها ویقوم علیها الفعل الاقتصادی،هذا إضافةً إلی أنّه لم یظهر إلی النور حتّی الآن علم اقتصاد إسلامی،یستلهم وجهة نظر الإسلام المذهبیة فی تفسیر الظواهر الاقتصادیة،بالشکل الذی یمکن ادّعاء أنّه علم اقتصاد إسلامی،بل إنّ البعض یری بأنّ العلم بحدّ ذاته،لا یمکن أن یکون مذهبیاً،لنصنّفه بأنّه إسلامی وغیر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الکشف عن القوانین و العلائق الموضوعیة بین الظواهر الکونیة أو الاجتماعیة من وظیفة العلم،ولا یدخل فی صلاحیات المذهب إطلاقاً؛ولهذا کانت لمجتمعات مختلفة فی مذاهبها الاقتصادیة،أن تلتقی علی الصعید العلمی وتتّفق علی استخدام مُعطیات علم الاقتصاد وسائر العلوم والاسترشاد بها فی مجالات الإنتاج</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فوظیفة علم الاقتصاد تتمثّل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اکتشاف القوانین التی یتاح للمنتج عن طریق معرفتها،تنظیم الجانب الموضوعی لعملیة الإنتاج بالشکل الذی یؤدّی إلی نتیجة أضخم وإنتاج أوفر وأجود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أمّا المذهب،فإنّه یرتبط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بالجانب الذاتی الذی یتمثّل فی الدافع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والغایة التی تُستهدف من تلک العملیة،وتُقیم العملیة تبعاً للتصوّرات المتبنّاة عن العدالة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ففی هذا الجانب ینعکس التناقض المذهبی بین المجتمعات التی تختلف فی مذاهبها الاقتصادیة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فهل أنّ الأسالیب التی نتّبعها کمسلمین ملتزمین بالإسلام فی ممارسة النشاط الاقتصادی؛وضعناها نحن،أم أنّ الإسلام کان قد جاء بها قبل أکثر من ألف وأربعمائة عام؟وهل أنّ علم الفقه مثلاً هو الفقه نفسه،أم أنّه العملیة التی نقوم بها و التی تحتمل الخطأ،لاستنباط أحکام الإسلام و التکالیف التی یلزم علی الإنسان المسلم الالتزام بها فی حیاته العملیة؟</w:t>
      </w:r>
    </w:p>
    <w:p>
      <w:pPr>
        <w:pStyle w:val="BookText"/>
        <w:rPr/>
      </w:pPr>
      <w:r>
        <w:rPr>
          <w:rFonts w:ascii="IRNazanin" w:hAnsi="IRNazanin" w:eastAsia="IRNazanin"/>
          <w:color w:val="111111"/>
          <w:sz w:val="28"/>
          <w:sz w:val="28"/>
          <w:szCs w:val="28"/>
          <w:rtl w:val="true"/>
          <w:lang w:bidi="fa-IR"/>
        </w:rPr>
        <w:t>فالمذهب هو الطریقة العملیة التی یلزم تطبیقها؛أمّا العلم،فهو معلوماتٌ وضوابط یختزنها الذهن للکشف عن هذه الطریقة أو سواها من المعلومات،فما ذکره البعض،تعقیباً علی نقله تعریف المذهب الاقتصادی بأنّه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الطریقة التی یفضّل الإسلام اتّباعها فی الحیاة الاقتصادیة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ویؤخذ علی هذا التعریف أنّه جعل الاقتصاد الإسلامی طریقةً ولیس علماً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یستشفّ منه عدم إدراکه بشکل دقیق للفارق بین مفهومَی العلم 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فی تعریفه کمذهب ونظام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النشاط البشری المنظّم الذی تحکمه معاییر حدّدها الإسلام بوضوح</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التشریعی هو ذلک القسم من الاقتصاد الذی یتعلّق بالأوامر و النواهی أو تفسیرها وتقییمها فی مذهب ما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المذهب الاقتصادی للمجتمع عبارة عن الطریقة الّتی یفضّل المجتمع اتّباعها فی حیاته الاقتصادیة وحلّ مشاکلها العملیة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فمن خلال التعاریف الثلاثة المتقدّمة یمکننا تحدید رکائز المفهوم الاصطلاحی للاقتصاد،وهی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ومنهجٌ یتّبع فی ممارسة النشاط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وما لا ینبغی أو ما یجوز وما لا یجوز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استخدم التعریف الأوّل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معاییر حدّدها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بالأوامر و النواهی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التی یفضّل المجتمع اتّباعها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؛للتعبیر عن هذا المنهج المتَّبع،و هذا هو الممیز الأساسی للمذهب الاقتصادی عن علم الاقتصاد،حیث إنّ علم الاقتصاد یختصّ بتفسیر الظواهر و الفعّالیات الاقتصادیة،ومن ثمّ اقتراح حلول للمشاکل التی تعتریها بما یؤدّی إلی الاستمثار الأمثل للموارد،کما تلاحِظ من خلال مضمون تعاریف القسم الأوّل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یشمل کافّة وجوه النشاط و الفعّالیات الاقتصادیة للمجتمع،ولا یختصّ بالمفهوم اللُّغوی و العرفی الذی معنَوْه بالتوسّط والاعتدال فیما بین الإفراط أو الإسراف و التفریط أو التقتیر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نری أنّ التعریف الأوّل عبّر عن ذلک بوحدة النشاط البشری المنظّم و الأخیر بالمجتمع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بالتصرّفات الشخصیة التی تقتصر علی الشخص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التعریف الثانی لم یشر إلی ذلک إلّا أنّ فحواه هو ما ذهبنا إلیه،ولم یرد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القسم</w:t>
      </w:r>
      <w:bookmarkStart w:id="99" w:name="pg5204_66045"/>
    </w:p>
    <w:p>
      <w:pPr>
        <w:pStyle w:val="BookText"/>
        <w:rPr/>
      </w:pPr>
      <w:bookmarkEnd w:id="99"/>
      <w:r>
        <w:rPr>
          <w:rFonts w:ascii="IRNazanin" w:hAnsi="IRNazanin" w:eastAsia="IRNazanin"/>
          <w:color w:val="111111"/>
          <w:sz w:val="28"/>
          <w:sz w:val="28"/>
          <w:szCs w:val="28"/>
          <w:rtl w:val="true"/>
          <w:lang w:bidi="fa-IR"/>
        </w:rPr>
        <w:t>من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خاصّاً منه و إنّما النوع فی مقابل الاقتصاد التحلیلی أو علم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المنهج یقوم علی قیم ویتوخّی أهداف المذهب الذی یمثّله،و هذا ممّا لم تُشر إلیه التعاریف المتقدّمة،وما ذلک إلّا لأنّ هذه النقطة تمثّل الغایة من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الاقتصاد ذاته؛ولذا قالوا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فالمذهب الاقتصادی یشمل کلّ قاعدة أساسیة فی الحیاة الاقتصادیة تتّصل بفکرة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الاجتماعیة </w:t>
      </w:r>
      <w:r>
        <w:rPr>
          <w:rStyle w:val="FootnoteAnchor"/>
          <w:rtl w:val="true"/>
        </w:rPr>
        <w:footnoteReference w:id="67"/>
      </w:r>
      <w:r>
        <w:rPr>
          <w:rFonts w:ascii="IRNazanin" w:hAnsi="IRNazanin" w:eastAsia="IRNazanin"/>
          <w:color w:val="111111"/>
          <w:sz w:val="28"/>
          <w:sz w:val="28"/>
          <w:szCs w:val="28"/>
          <w:rtl w:val="true"/>
          <w:lang w:bidi="fa-IR"/>
        </w:rPr>
        <w:t>حیث إنّ فکرة العدالة الاجتماعیة تمثّل الهدف،والغایة التی یبغیها مذهبٌ ما،ویسعی إلی تحقیقها من خلال القوانین التی یضعها لضبط الفعّالیات الاقتصادیة</w:t>
      </w:r>
      <w:r>
        <w:rPr>
          <w:rFonts w:eastAsia="IRNazanin" w:cs="IRNazanin"/>
          <w:color w:val="111111"/>
          <w:sz w:val="28"/>
          <w:szCs w:val="28"/>
          <w:rtl w:val="true"/>
          <w:lang w:bidi="fa-IR"/>
        </w:rPr>
        <w:t>.</w:t>
      </w:r>
    </w:p>
    <w:p>
      <w:pPr>
        <w:pStyle w:val="Heading5"/>
        <w:numPr>
          <w:ilvl w:val="4"/>
          <w:numId w:val="1"/>
        </w:numPr>
        <w:rPr/>
      </w:pPr>
      <w:bookmarkStart w:id="100" w:name="__RefHeading___Toc97100_581953129"/>
      <w:bookmarkStart w:id="101" w:name="_Toc43"/>
      <w:bookmarkEnd w:id="100"/>
      <w:r>
        <w:rPr>
          <w:rtl w:val="true"/>
        </w:rPr>
        <w:t>رابعاً</w:t>
      </w:r>
      <w:r>
        <w:rPr>
          <w:rtl w:val="true"/>
        </w:rPr>
        <w:t>:</w:t>
      </w:r>
      <w:r>
        <w:rPr>
          <w:rtl w:val="true"/>
        </w:rPr>
        <w:t>الاقتصاد فی موضوع البحث</w:t>
      </w:r>
      <w:bookmarkEnd w:id="101"/>
    </w:p>
    <w:p>
      <w:pPr>
        <w:pStyle w:val="BookText"/>
        <w:rPr/>
      </w:pPr>
      <w:r>
        <w:rPr>
          <w:rFonts w:ascii="IRNazanin" w:hAnsi="IRNazanin" w:eastAsia="IRNazanin"/>
          <w:color w:val="111111"/>
          <w:sz w:val="28"/>
          <w:sz w:val="28"/>
          <w:szCs w:val="28"/>
          <w:rtl w:val="true"/>
          <w:lang w:bidi="fa-IR"/>
        </w:rPr>
        <w:t>وممّا تقدّم یمکن تعریف المذهب الاقتصادی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الأسس و الضوابط و الأحکام التی تنظّم کافّة الممارسات التی تتّصل بتولید الثروة وتوزیعها واستهلاکها فی مجتمع ما بشکل یکفل تحقیق المُثل و القیم التی یقوم علیها ذلک المجتمع</w:t>
      </w:r>
      <w:r>
        <w:rPr>
          <w:rFonts w:eastAsia="IRNazanin" w:cs="IRNazanin"/>
          <w:color w:val="111111"/>
          <w:sz w:val="28"/>
          <w:szCs w:val="28"/>
          <w:rtl w:val="true"/>
          <w:lang w:bidi="fa-IR"/>
        </w:rPr>
        <w:t>.</w:t>
      </w:r>
    </w:p>
    <w:p>
      <w:pPr>
        <w:pStyle w:val="Heading4"/>
        <w:numPr>
          <w:ilvl w:val="3"/>
          <w:numId w:val="1"/>
        </w:numPr>
        <w:rPr/>
      </w:pPr>
      <w:bookmarkStart w:id="102" w:name="__RefHeading___Toc97102_581953129"/>
      <w:bookmarkStart w:id="103" w:name="_Toc44"/>
      <w:bookmarkEnd w:id="102"/>
      <w:r>
        <w:rPr>
          <w:rtl w:val="true"/>
        </w:rPr>
        <w:t>المطلب الثالث</w:t>
      </w:r>
      <w:r>
        <w:rPr>
          <w:rtl w:val="true"/>
        </w:rPr>
        <w:t>:</w:t>
      </w:r>
      <w:r>
        <w:rPr>
          <w:rtl w:val="true"/>
        </w:rPr>
        <w:t>مفهوم الضابط</w:t>
      </w:r>
      <w:bookmarkEnd w:id="103"/>
    </w:p>
    <w:p>
      <w:pPr>
        <w:pStyle w:val="Heading5"/>
        <w:numPr>
          <w:ilvl w:val="4"/>
          <w:numId w:val="1"/>
        </w:numPr>
        <w:rPr/>
      </w:pPr>
      <w:bookmarkStart w:id="104" w:name="__RefHeading___Toc97104_581953129"/>
      <w:bookmarkStart w:id="105" w:name="_Toc45"/>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ونبحث فیه مفهوم الضابط أو الضابطة لغةً واصطلاحاً لنخلُص إلی مفهومه فی موضوع بحثنا</w:t>
      </w:r>
      <w:r>
        <w:rPr>
          <w:rFonts w:eastAsia="IRNazanin" w:cs="IRNazanin"/>
          <w:color w:val="111111"/>
          <w:sz w:val="28"/>
          <w:szCs w:val="28"/>
          <w:rtl w:val="true"/>
          <w:lang w:bidi="fa-IR"/>
        </w:rPr>
        <w:t>:</w:t>
      </w:r>
    </w:p>
    <w:p>
      <w:pPr>
        <w:pStyle w:val="Heading5"/>
        <w:numPr>
          <w:ilvl w:val="4"/>
          <w:numId w:val="1"/>
        </w:numPr>
        <w:rPr/>
      </w:pPr>
      <w:bookmarkStart w:id="106" w:name="__RefHeading___Toc97106_581953129"/>
      <w:bookmarkStart w:id="107" w:name="_Toc46"/>
      <w:bookmarkEnd w:id="106"/>
      <w:r>
        <w:rPr>
          <w:rtl w:val="true"/>
        </w:rPr>
        <w:t>أوّلاً</w:t>
      </w:r>
      <w:r>
        <w:rPr>
          <w:rtl w:val="true"/>
        </w:rPr>
        <w:t>:</w:t>
      </w:r>
      <w:r>
        <w:rPr>
          <w:rtl w:val="true"/>
        </w:rPr>
        <w:t>الضابط فی اللغة</w:t>
      </w:r>
      <w:bookmarkEnd w:id="107"/>
    </w:p>
    <w:p>
      <w:pPr>
        <w:pStyle w:val="BookText"/>
        <w:rPr/>
      </w:pPr>
      <w:r>
        <w:rPr>
          <w:rFonts w:ascii="IRNazanin" w:hAnsi="IRNazanin" w:eastAsia="IRNazanin"/>
          <w:color w:val="111111"/>
          <w:sz w:val="28"/>
          <w:sz w:val="28"/>
          <w:szCs w:val="28"/>
          <w:rtl w:val="true"/>
          <w:lang w:bidi="fa-IR"/>
        </w:rPr>
        <w:t>الضابط هو اسم فاعل من الضبط،ولو راجعنا مفهوم الضبط لُغویاً لوجدنا أنّه قد جاء بالمعانی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بالحزم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ومنهم من اقتصر فی معناه هذا علی الحزم،فیأتی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ضابط،أی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حفظاً بلیغا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p>
    <w:p>
      <w:pPr>
        <w:pStyle w:val="BookText"/>
        <w:rPr/>
      </w:pP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الشیء</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وجمیع المعانی المتقدّمة تستقی من کون الضبط هو حسن القیام علی الشیء و السیطرة علیه</w:t>
      </w:r>
    </w:p>
    <w:p>
      <w:pPr>
        <w:pStyle w:val="BookText"/>
        <w:rPr/>
      </w:pPr>
      <w:r>
        <w:rPr>
          <w:rFonts w:ascii="IRNazanin" w:hAnsi="IRNazanin" w:eastAsia="IRNazanin"/>
          <w:color w:val="111111"/>
          <w:sz w:val="28"/>
          <w:sz w:val="28"/>
          <w:szCs w:val="28"/>
          <w:rtl w:val="true"/>
          <w:lang w:bidi="fa-IR"/>
        </w:rPr>
        <w:t>من کافّة أنحائه،وعلی هذا الأساس استُعمل فی معانی مجازیة عدیدة،فیقال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ضبطه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الرجل الشیء یضبطه ضبطاً،إذا أخذه أخذاً شدیدا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کما عن ابن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وشکّله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ضابط وضبنطی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شدید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أتقنه وأحکمه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وعلی هذا الأساس فالضابط فی اللغة یأتی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الحازم،والقوی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یلزم الشئ ویحبسه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وبمعنی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المتقن</w:t>
      </w:r>
      <w:r>
        <w:rPr>
          <w:rFonts w:eastAsia="IRNazanin" w:cs="IRNazanin"/>
          <w:color w:val="111111"/>
          <w:sz w:val="28"/>
          <w:szCs w:val="28"/>
          <w:rtl w:val="true"/>
          <w:lang w:bidi="fa-IR"/>
        </w:rPr>
        <w:t xml:space="preserve">. </w:t>
      </w:r>
      <w:r>
        <w:rPr>
          <w:rStyle w:val="FootnoteAnchor"/>
          <w:rtl w:val="true"/>
        </w:rPr>
        <w:footnoteReference w:id="79"/>
      </w:r>
      <w:bookmarkStart w:id="108" w:name="pg5204_66047"/>
    </w:p>
    <w:p>
      <w:pPr>
        <w:pStyle w:val="Heading5"/>
        <w:numPr>
          <w:ilvl w:val="4"/>
          <w:numId w:val="1"/>
        </w:numPr>
        <w:rPr/>
      </w:pPr>
      <w:bookmarkStart w:id="109" w:name="__RefHeading___Toc97108_581953129"/>
      <w:bookmarkStart w:id="110" w:name="_Toc47"/>
      <w:bookmarkEnd w:id="108"/>
      <w:bookmarkEnd w:id="109"/>
      <w:r>
        <w:rPr>
          <w:rtl w:val="true"/>
        </w:rPr>
        <w:t>ثانیاً</w:t>
      </w:r>
      <w:r>
        <w:rPr>
          <w:rtl w:val="true"/>
        </w:rPr>
        <w:t>:</w:t>
      </w:r>
      <w:r>
        <w:rPr>
          <w:rtl w:val="true"/>
        </w:rPr>
        <w:t>الضابط فی الاصطلاح</w:t>
      </w:r>
      <w:bookmarkEnd w:id="110"/>
    </w:p>
    <w:p>
      <w:pPr>
        <w:pStyle w:val="BookText"/>
        <w:rPr/>
      </w:pPr>
      <w:r>
        <w:rPr>
          <w:rFonts w:ascii="IRNazanin" w:hAnsi="IRNazanin" w:eastAsia="IRNazanin"/>
          <w:color w:val="111111"/>
          <w:sz w:val="28"/>
          <w:sz w:val="28"/>
          <w:szCs w:val="28"/>
          <w:rtl w:val="true"/>
          <w:lang w:bidi="fa-IR"/>
        </w:rPr>
        <w:t>أمّا فی الاصطلاح،فقد جاء الضابط بالمعانی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یغلبه النسیان،من کان ذکره أکثر من سهوه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هو ما یعرف به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ینطبق علی جزئیاته</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11" w:name="__RefHeading___Toc97110_581953129"/>
      <w:bookmarkStart w:id="112" w:name="_Toc48"/>
      <w:bookmarkEnd w:id="111"/>
      <w:r>
        <w:rPr>
          <w:rtl w:val="true"/>
        </w:rPr>
        <w:t>ثالثاً</w:t>
      </w:r>
      <w:r>
        <w:rPr>
          <w:rtl w:val="true"/>
        </w:rPr>
        <w:t>:</w:t>
      </w:r>
      <w:r>
        <w:rPr>
          <w:rtl w:val="true"/>
        </w:rPr>
        <w:t>الضابط فی موضوع البحث</w:t>
      </w:r>
      <w:bookmarkEnd w:id="112"/>
    </w:p>
    <w:p>
      <w:pPr>
        <w:pStyle w:val="BookText"/>
        <w:rPr/>
      </w:pPr>
      <w:r>
        <w:rPr>
          <w:rFonts w:ascii="IRNazanin" w:hAnsi="IRNazanin" w:eastAsia="IRNazanin"/>
          <w:color w:val="111111"/>
          <w:sz w:val="28"/>
          <w:sz w:val="28"/>
          <w:szCs w:val="28"/>
          <w:rtl w:val="true"/>
          <w:lang w:bidi="fa-IR"/>
        </w:rPr>
        <w:t>ویختصّ مفهوم الضابط فی موضوع بحثنا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معانیه الاصطلاحیة،فهو هنا بمثابة المعیار التی تتقید جزئیات وفرعیات موضوع کالإنتاج أو التوزیع أو الاستهلاک به ولا تزیغ عنه،فهی تُخضع نفسها له وتتّخذ مساراً واتّجاهاً موافقاً له</w:t>
      </w:r>
      <w:r>
        <w:rPr>
          <w:rFonts w:eastAsia="IRNazanin" w:cs="IRNazanin"/>
          <w:color w:val="111111"/>
          <w:sz w:val="28"/>
          <w:szCs w:val="28"/>
          <w:rtl w:val="true"/>
          <w:lang w:bidi="fa-IR"/>
        </w:rPr>
        <w:t>.</w:t>
      </w:r>
    </w:p>
    <w:p>
      <w:pPr>
        <w:pStyle w:val="Heading4"/>
        <w:numPr>
          <w:ilvl w:val="3"/>
          <w:numId w:val="1"/>
        </w:numPr>
        <w:rPr/>
      </w:pPr>
      <w:bookmarkStart w:id="113" w:name="__RefHeading___Toc97112_581953129"/>
      <w:bookmarkStart w:id="114" w:name="_Toc49"/>
      <w:bookmarkEnd w:id="113"/>
      <w:r>
        <w:rPr>
          <w:rtl w:val="true"/>
        </w:rPr>
        <w:t>المطلب الرابع</w:t>
      </w:r>
      <w:r>
        <w:rPr>
          <w:rtl w:val="true"/>
        </w:rPr>
        <w:t>:</w:t>
      </w:r>
      <w:r>
        <w:rPr>
          <w:rtl w:val="true"/>
        </w:rPr>
        <w:t>مفهوم الحدّ</w:t>
      </w:r>
      <w:bookmarkEnd w:id="114"/>
    </w:p>
    <w:p>
      <w:pPr>
        <w:pStyle w:val="Heading5"/>
        <w:numPr>
          <w:ilvl w:val="4"/>
          <w:numId w:val="1"/>
        </w:numPr>
        <w:rPr/>
      </w:pPr>
      <w:bookmarkStart w:id="115" w:name="__RefHeading___Toc97114_581953129"/>
      <w:bookmarkStart w:id="116" w:name="_Toc50"/>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ویتضمّن مفهوم الحدّ لُغویاً واصطلاحیاً،وما جاء عنه فی القرآن الکریم،ومن ثمّ فی موضوع البحث</w:t>
      </w:r>
      <w:r>
        <w:rPr>
          <w:rFonts w:eastAsia="IRNazanin" w:cs="IRNazanin"/>
          <w:color w:val="111111"/>
          <w:sz w:val="28"/>
          <w:szCs w:val="28"/>
          <w:rtl w:val="true"/>
          <w:lang w:bidi="fa-IR"/>
        </w:rPr>
        <w:t>:</w:t>
      </w:r>
    </w:p>
    <w:p>
      <w:pPr>
        <w:pStyle w:val="Heading5"/>
        <w:numPr>
          <w:ilvl w:val="4"/>
          <w:numId w:val="1"/>
        </w:numPr>
        <w:rPr/>
      </w:pPr>
      <w:bookmarkStart w:id="117" w:name="__RefHeading___Toc97116_581953129"/>
      <w:bookmarkStart w:id="118" w:name="_Toc51"/>
      <w:bookmarkEnd w:id="117"/>
      <w:r>
        <w:rPr>
          <w:rtl w:val="true"/>
        </w:rPr>
        <w:t>أوّلاً</w:t>
      </w:r>
      <w:r>
        <w:rPr>
          <w:rtl w:val="true"/>
        </w:rPr>
        <w:t>:</w:t>
      </w:r>
      <w:r>
        <w:rPr>
          <w:rtl w:val="true"/>
        </w:rPr>
        <w:t>الحدّ فی اللغة</w:t>
      </w:r>
      <w:bookmarkEnd w:id="118"/>
    </w:p>
    <w:p>
      <w:pPr>
        <w:pStyle w:val="BookText"/>
        <w:rPr/>
      </w:pPr>
      <w:r>
        <w:rPr>
          <w:rFonts w:ascii="IRNazanin" w:hAnsi="IRNazanin" w:eastAsia="IRNazanin"/>
          <w:color w:val="111111"/>
          <w:sz w:val="28"/>
          <w:sz w:val="28"/>
          <w:szCs w:val="28"/>
          <w:rtl w:val="true"/>
          <w:lang w:bidi="fa-IR"/>
        </w:rPr>
        <w:t>لقد جاء الحدّ فیها علی عدّة معان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عن الشیء من الخیر و الشر</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بین الشیئین لئلّا یختلط أحدهما بالآخر أو لئلّا یتعدّی أحدهما علی الآخر</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الرقیق الحاد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من کلّ ذلک ما دقّ من شفرته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منتهاه</w:t>
      </w:r>
      <w:r>
        <w:rPr>
          <w:rFonts w:eastAsia="IRNazanin" w:cs="IRNazanin"/>
          <w:color w:val="111111"/>
          <w:sz w:val="28"/>
          <w:szCs w:val="28"/>
          <w:rtl w:val="true"/>
          <w:lang w:bidi="fa-IR"/>
        </w:rPr>
        <w:t xml:space="preserve">. </w:t>
      </w:r>
      <w:r>
        <w:rPr>
          <w:rStyle w:val="FootnoteAnchor"/>
          <w:rtl w:val="true"/>
        </w:rPr>
        <w:footnoteReference w:id="87"/>
      </w:r>
      <w:bookmarkStart w:id="119" w:name="pg5204_66048"/>
    </w:p>
    <w:p>
      <w:pPr>
        <w:pStyle w:val="BookText"/>
        <w:rPr/>
      </w:pPr>
      <w:bookmarkEnd w:id="11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علیه الحدّ وأدّبه ممّا یمنع غیره ویمنعه من ارتکاب الذنب</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الصرف الخاصّ هنا یعود إلی المعنی الأعمّ و هو المنع،والفصل بین الشیئین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الحقیقة منع أحدهما عن الآخر،والمعنی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المنع أیضاً بإرادة الغایة،وهی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إلی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طرف الشیء هو منتهاه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علی معنیین؛المنع،ومنتهی الشیء،والمنتهی فی الحقیقة،هو النقطة التی تمنع الشیء عن أن یتجاوزها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 کلّ شیء منتهاه،لأنّه یردّه ویمنعه عن التمادی،والجمع حدود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إمّا ذاتاً کالأقوال التی تُمعنیه بالمنتهی أو عرَضاً وذلک بقوّة خارجیة کالمنع و الصرف و الفصل</w:t>
      </w:r>
      <w:r>
        <w:rPr>
          <w:rFonts w:eastAsia="IRNazanin" w:cs="IRNazanin"/>
          <w:color w:val="111111"/>
          <w:sz w:val="28"/>
          <w:szCs w:val="28"/>
          <w:rtl w:val="true"/>
          <w:lang w:bidi="fa-IR"/>
        </w:rPr>
        <w:t>.</w:t>
      </w:r>
    </w:p>
    <w:p>
      <w:pPr>
        <w:pStyle w:val="Heading5"/>
        <w:numPr>
          <w:ilvl w:val="4"/>
          <w:numId w:val="1"/>
        </w:numPr>
        <w:rPr/>
      </w:pPr>
      <w:bookmarkStart w:id="120" w:name="__RefHeading___Toc97118_581953129"/>
      <w:bookmarkStart w:id="121" w:name="_Toc52"/>
      <w:bookmarkEnd w:id="120"/>
      <w:r>
        <w:rPr>
          <w:rtl w:val="true"/>
        </w:rPr>
        <w:t>ثانیاً</w:t>
      </w:r>
      <w:r>
        <w:rPr>
          <w:rtl w:val="true"/>
        </w:rPr>
        <w:t>:</w:t>
      </w:r>
      <w:r>
        <w:rPr>
          <w:rtl w:val="true"/>
        </w:rPr>
        <w:t>الحدّ فی القرآن</w:t>
      </w:r>
      <w:bookmarkEnd w:id="121"/>
    </w:p>
    <w:p>
      <w:pPr>
        <w:pStyle w:val="BookText"/>
        <w:rPr/>
      </w:pPr>
      <w:r>
        <w:rPr>
          <w:rFonts w:ascii="IRNazanin" w:hAnsi="IRNazanin" w:eastAsia="IRNazanin"/>
          <w:color w:val="111111"/>
          <w:sz w:val="28"/>
          <w:sz w:val="28"/>
          <w:szCs w:val="28"/>
          <w:rtl w:val="true"/>
          <w:lang w:bidi="fa-IR"/>
        </w:rPr>
        <w:t>أمّا معانی الحدّ فی القرآن،فقد جاءت علی 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سبحانه ونهیه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فَلا تَقْرَبُوها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وو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یتعدّی کالمواریث المعینة وتزویج الأربع،ومنه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فَلا تَعْتَدُوها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وبقلیل من التأمّل یتّضح بأنّهما یجتمعان فی معنیً واحد،و هو الفرائض التی افترضها الله إیجاباً بالإتیان بها أو انتهاءً بالاجتناب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یعود إلی المعنی اللُّغوی،فإنّه یرتبط بالمنع من مخالفة ما فرضه الله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الحدّ المنع و الفصل بین الشیئین،فکأنّ حدود الشرع فصلت بین الحلال‌والحرام</w:t>
      </w:r>
      <w:r>
        <w:rPr>
          <w:rFonts w:eastAsia="IRNazanin" w:cs="IRNazanin"/>
          <w:color w:val="111111"/>
          <w:sz w:val="28"/>
          <w:szCs w:val="28"/>
          <w:rtl w:val="true"/>
          <w:lang w:bidi="fa-IR"/>
        </w:rPr>
        <w:t xml:space="preserve">. </w:t>
      </w:r>
      <w:r>
        <w:rPr>
          <w:rStyle w:val="FootnoteAnchor"/>
          <w:rtl w:val="true"/>
        </w:rPr>
        <w:footnoteReference w:id="94"/>
      </w:r>
      <w:bookmarkStart w:id="122" w:name="pg5204_66049"/>
    </w:p>
    <w:p>
      <w:pPr>
        <w:pStyle w:val="Heading5"/>
        <w:numPr>
          <w:ilvl w:val="4"/>
          <w:numId w:val="1"/>
        </w:numPr>
        <w:rPr/>
      </w:pPr>
      <w:bookmarkStart w:id="123" w:name="__RefHeading___Toc97120_581953129"/>
      <w:bookmarkStart w:id="124" w:name="_Toc53"/>
      <w:bookmarkEnd w:id="122"/>
      <w:bookmarkEnd w:id="123"/>
      <w:r>
        <w:rPr>
          <w:rtl w:val="true"/>
        </w:rPr>
        <w:t>ثالثاً</w:t>
      </w:r>
      <w:r>
        <w:rPr>
          <w:rtl w:val="true"/>
        </w:rPr>
        <w:t>:</w:t>
      </w:r>
      <w:r>
        <w:rPr>
          <w:rtl w:val="true"/>
        </w:rPr>
        <w:t>الحدّ فی الاصطلاح</w:t>
      </w:r>
      <w:bookmarkEnd w:id="124"/>
    </w:p>
    <w:p>
      <w:pPr>
        <w:pStyle w:val="BookText"/>
        <w:rPr/>
      </w:pPr>
      <w:r>
        <w:rPr>
          <w:rFonts w:ascii="IRNazanin" w:hAnsi="IRNazanin" w:eastAsia="IRNazanin"/>
          <w:color w:val="111111"/>
          <w:sz w:val="28"/>
          <w:sz w:val="28"/>
          <w:szCs w:val="28"/>
          <w:rtl w:val="true"/>
          <w:lang w:bidi="fa-IR"/>
        </w:rPr>
        <w:t>واستُخدم الحدّ فیه بالمعانی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حدّدها الشارع علی جنایة مثل القتل و الزنا وغیرهما</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اللفظ الجامع المانع حدّاً؛لأنّه یجمع معنی الشیء ویمنع دخول غیره فیه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فالحدّ اصطلاحاً یطلق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 الشرعیة المحدّدة،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المنطقی</w:t>
      </w:r>
      <w:r>
        <w:rPr>
          <w:rFonts w:eastAsia="IRNazanin" w:cs="IRNazanin"/>
          <w:color w:val="111111"/>
          <w:sz w:val="28"/>
          <w:szCs w:val="28"/>
          <w:rtl w:val="true"/>
          <w:lang w:bidi="fa-IR"/>
        </w:rPr>
        <w:t>.</w:t>
      </w:r>
    </w:p>
    <w:p>
      <w:pPr>
        <w:pStyle w:val="Heading5"/>
        <w:numPr>
          <w:ilvl w:val="4"/>
          <w:numId w:val="1"/>
        </w:numPr>
        <w:rPr/>
      </w:pPr>
      <w:bookmarkStart w:id="125" w:name="__RefHeading___Toc97122_581953129"/>
      <w:bookmarkStart w:id="126" w:name="_Toc54"/>
      <w:bookmarkEnd w:id="125"/>
      <w:r>
        <w:rPr>
          <w:rtl w:val="true"/>
        </w:rPr>
        <w:t>رابعاً</w:t>
      </w:r>
      <w:r>
        <w:rPr>
          <w:rtl w:val="true"/>
        </w:rPr>
        <w:t>:</w:t>
      </w:r>
      <w:r>
        <w:rPr>
          <w:rtl w:val="true"/>
        </w:rPr>
        <w:t>الحدّ فی موضوع البحث</w:t>
      </w:r>
      <w:bookmarkEnd w:id="126"/>
    </w:p>
    <w:p>
      <w:pPr>
        <w:pStyle w:val="BookText"/>
        <w:rPr/>
      </w:pPr>
      <w:r>
        <w:rPr>
          <w:rFonts w:ascii="IRNazanin" w:hAnsi="IRNazanin" w:eastAsia="IRNazanin"/>
          <w:color w:val="111111"/>
          <w:sz w:val="28"/>
          <w:sz w:val="28"/>
          <w:szCs w:val="28"/>
          <w:rtl w:val="true"/>
          <w:lang w:bidi="fa-IR"/>
        </w:rPr>
        <w:t>وممّا تقدّم یمکن تحدید مفهوم الحدود فی موضوع بحثنا،فهو یرجع فی الأساس إلی المفهوم اللغوی للحدّ،والذی یعضده ما جاء عنه فی القرآن؛فهی الأحکام و القیود و الشروط التی أقرّها الإسلام و التی تخضع لضوابطه الاقتصادیة فلا تتعدّاها أو تتجاوزها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نعنیه من ضوابط الحرّیة الاقتصادیة وحدودها،هو المِلاکات أو المعاییر التی تتحکّم بالحرّیة الاقتصادیة وتُخضعها لها و المدیات التی تخضع لها فی إطار تلک المعاییر ولا تشذّ عنها،وذلک علی القول بأنّ الأصل الأوّلی هو الإباحة؛أمّا علی القول بأنّه الحظر والاحتیاط ولو فیما یحتمل فیه التکلیف و إن لم یقطع به فإنّه سیؤول إلی ذات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نطاق ضیق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بالأصل العملی الذی یتمثّل بالبراءة الشرعیة،فیما لم یتحقّق فیه قطع،کما سنبحثه لاحقاً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تمثّل الضوابط المعاییر العامّة للفعالیات الاقتصادیة،والحدود،الجزئیات التی تقف عندها الحرّیة الاقتصادیة،والتی تتأطّر بإطار تلک الضوابط إنتاجاً وتوزیعاً واستهلاکاً،لتنتظم بشکل ینسجم و القیم و الأهداف التی یؤمن بها،وتحقّق ما یصبو إلیه من قیام الإنسان بدوره البنّاء فی خلافة الله فی الأرض،وسوقه باتّجاه الغایة التی أنشأه من أجلها و المتمثّلة بطاعته،ومن ثمّ ظفره بالسعادة فی حیاته الدنیویة المؤقّتة وحیاته الأخرویة الخالدة</w:t>
      </w:r>
      <w:r>
        <w:rPr>
          <w:rFonts w:eastAsia="IRNazanin" w:cs="IRNazanin"/>
          <w:color w:val="111111"/>
          <w:sz w:val="28"/>
          <w:szCs w:val="28"/>
          <w:rtl w:val="true"/>
          <w:lang w:bidi="fa-IR"/>
        </w:rPr>
        <w:t>.</w:t>
      </w:r>
      <w:bookmarkStart w:id="127" w:name="pg5204_66050"/>
    </w:p>
    <w:p>
      <w:pPr>
        <w:pStyle w:val="Heading3"/>
        <w:numPr>
          <w:ilvl w:val="2"/>
          <w:numId w:val="1"/>
        </w:numPr>
        <w:rPr/>
      </w:pPr>
      <w:bookmarkStart w:id="128" w:name="__RefHeading___Toc97124_581953129"/>
      <w:bookmarkStart w:id="129" w:name="_Toc55"/>
      <w:bookmarkEnd w:id="127"/>
      <w:bookmarkEnd w:id="128"/>
      <w:r>
        <w:rPr>
          <w:rtl w:val="true"/>
        </w:rPr>
        <w:t>المبحث الثانی</w:t>
      </w:r>
      <w:r>
        <w:rPr>
          <w:rtl w:val="true"/>
        </w:rPr>
        <w:t>:</w:t>
      </w:r>
      <w:r>
        <w:rPr>
          <w:rtl w:val="true"/>
        </w:rPr>
        <w:t>المسار التاریخی لحدود الحرّیة الاقتصادیة</w:t>
      </w:r>
      <w:bookmarkEnd w:id="129"/>
    </w:p>
    <w:p>
      <w:pPr>
        <w:pStyle w:val="Heading4"/>
        <w:numPr>
          <w:ilvl w:val="3"/>
          <w:numId w:val="1"/>
        </w:numPr>
        <w:rPr/>
      </w:pPr>
      <w:bookmarkStart w:id="130" w:name="__RefHeading___Toc97126_581953129"/>
      <w:bookmarkStart w:id="131" w:name="_Toc56"/>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عندما ابتدأ الإنسان حیاته علی وجه الأرض،لم یکن یمارس إنتاجاً اقتصادیاً أو توزیعاً للثروات المحیطة به بالشکل المتعارف،حیث کانت حاجاته بسیطة جدّاً تتمثّل فی تحصیل ما یسدّ رمقه و العثور علی مأویً یأوی إلیه عند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یمارس حرّیته بشکل مطلق من خلال عملیة الحیازة المقتصرة علی توفیر ما أشرنا إلیه فیتناول ما تُنبته الأرض من طعام وصید ما تصل إلیه یداه من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عرف کیف یصنع آلات بسیطةً للقیام بعملیة الصید واستغلال الأرض لزراعة المحاصیل التی یحتاجها هو،خطی خطوةً هامّةً وتاریخیةً علی مستوی عملیة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أخذ بالتوالد وتشکّلت إثر ذلک مجتمعاتٌ بسیطةٌ وصغیرة،أخذ یسعی نحو الکسب الأکثر للثروات لتوفیر احتیاجاته المتزایدة ممّا أدّی إلی حدوث تصادم مع الأفراد الآخرین الذین یسعون فی ذات الاتّجاه،أضف إلی ذلک اتّساع تلک المجتمعات الصغیرة وقیامها بعملیة تقسیم الأعمال و التخصّص فیها ونشوء عملیة التبادل التجاری،والذی ابتدأ بشکله البسیط المتمثّل بعملیة المقایضة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أدّی إلی تنامی وتفاقم المشاکل سواء علی مستوی توفیر ما یحتاجه أو علی مستوی النزاعات التی تحدث بینه وبین أفراد جنسه نتیجةً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 بالتفکیر فی نوع من التفاهم و التوافق حول إیجاد مستویً من النظام یحفظ مصالح الجمیع ویؤمّن انسجام حرکته</w:t>
      </w:r>
      <w:bookmarkStart w:id="132" w:name="pg5204_66051"/>
    </w:p>
    <w:p>
      <w:pPr>
        <w:pStyle w:val="BookText"/>
        <w:rPr/>
      </w:pPr>
      <w:bookmarkEnd w:id="132"/>
      <w:r>
        <w:rPr>
          <w:rFonts w:ascii="IRNazanin" w:hAnsi="IRNazanin" w:eastAsia="IRNazanin"/>
          <w:color w:val="111111"/>
          <w:sz w:val="28"/>
          <w:sz w:val="28"/>
          <w:szCs w:val="28"/>
          <w:rtl w:val="true"/>
          <w:lang w:bidi="fa-IR"/>
        </w:rPr>
        <w:t>الاقتصادیة و المعاشیة،وکان لا بدّ له من أن یتنازل عن جزء من حرّیته الأساسیة تلک للتوصّل إلی ذلک النظام الذی یهیئ له أسباب الأمن و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یذکره کثیرٌ من العلماء حول نشوء الأنظمة الإنسانیة علی العموم و النظام الاقتصادی علی الخصوص،ویعدّ ذلک أمراً طبیعیاً وجریاناً یتناسب و العقلیة التدبیریة للإنسان فی کافّة شؤون حیاته،إذا ما نظرنا إلیه بمنأیً عن المؤثّرات الأخری؛أمّا إذا کنّا نؤمن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کأتباع دین کالإسلام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الأنظمة و القوانین،قد أنزلها الله مع أوّل إنسان وطأت قدمیه الأرض باعتباره خلیفته فیها ونبیاً یوحی إلیه من قِبله،وذلک لتنظیم حیاته وعلاقاته بمختلف الموجودات،فإنّ الأمر سیکون أقرب وأیسر إدراکاً وفهماً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الإنسان باختزان بعض تلک التعالیم و القوانین فی ذهنیته وأسلوب حیاته علی الرغم من ابتعاده عن إطارها المُلزم،وانعکس ذلک علی شکل قوانین وضعها فی مختلف الأدوار التاریخیة التی مرّ بها و الحضارات التی أشادها،ویمکننا إلقاء نظرة إجمالیة علی حدود الحرّیة الاقتصادیة حسب الأدوار التاریخیة المختلفة التی مرّت بها،وذلک فی‌مطلبین</w:t>
      </w:r>
      <w:r>
        <w:rPr>
          <w:rFonts w:eastAsia="IRNazanin" w:cs="IRNazanin"/>
          <w:color w:val="111111"/>
          <w:sz w:val="28"/>
          <w:szCs w:val="28"/>
          <w:rtl w:val="true"/>
          <w:lang w:bidi="fa-IR"/>
        </w:rPr>
        <w:t>:</w:t>
      </w:r>
    </w:p>
    <w:p>
      <w:pPr>
        <w:pStyle w:val="Heading4"/>
        <w:numPr>
          <w:ilvl w:val="3"/>
          <w:numId w:val="1"/>
        </w:numPr>
        <w:rPr/>
      </w:pPr>
      <w:bookmarkStart w:id="133" w:name="__RefHeading___Toc97128_581953129"/>
      <w:bookmarkStart w:id="134" w:name="_Toc57"/>
      <w:bookmarkEnd w:id="133"/>
      <w:r>
        <w:rPr>
          <w:rtl w:val="true"/>
        </w:rPr>
        <w:t>المطلب الأوّل</w:t>
      </w:r>
      <w:r>
        <w:rPr>
          <w:rtl w:val="true"/>
        </w:rPr>
        <w:t>:</w:t>
      </w:r>
      <w:r>
        <w:rPr>
          <w:rtl w:val="true"/>
        </w:rPr>
        <w:t>ملامح حدود الحرّیة الاقتصادیة فی العصور المتقدّمة</w:t>
      </w:r>
      <w:bookmarkEnd w:id="134"/>
    </w:p>
    <w:p>
      <w:pPr>
        <w:pStyle w:val="Heading5"/>
        <w:numPr>
          <w:ilvl w:val="4"/>
          <w:numId w:val="1"/>
        </w:numPr>
        <w:rPr/>
      </w:pPr>
      <w:bookmarkStart w:id="135" w:name="__RefHeading___Toc97130_581953129"/>
      <w:bookmarkStart w:id="136" w:name="_Toc58"/>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وهی العصور التی تمثّلت فیها تلک الحدود علی شکل إجراءات مبعثرة،وهی کما یلی</w:t>
      </w:r>
      <w:r>
        <w:rPr>
          <w:rFonts w:eastAsia="IRNazanin" w:cs="IRNazanin"/>
          <w:color w:val="111111"/>
          <w:sz w:val="28"/>
          <w:szCs w:val="28"/>
          <w:rtl w:val="true"/>
          <w:lang w:bidi="fa-IR"/>
        </w:rPr>
        <w:t>:</w:t>
      </w:r>
    </w:p>
    <w:p>
      <w:pPr>
        <w:pStyle w:val="Heading5"/>
        <w:numPr>
          <w:ilvl w:val="4"/>
          <w:numId w:val="1"/>
        </w:numPr>
        <w:rPr/>
      </w:pPr>
      <w:bookmarkStart w:id="137" w:name="__RefHeading___Toc97132_581953129"/>
      <w:bookmarkStart w:id="138" w:name="_Toc59"/>
      <w:bookmarkEnd w:id="137"/>
      <w:r>
        <w:rPr>
          <w:rtl w:val="true"/>
        </w:rPr>
        <w:t>أوّلاً</w:t>
      </w:r>
      <w:r>
        <w:rPr>
          <w:rtl w:val="true"/>
        </w:rPr>
        <w:t>:</w:t>
      </w:r>
      <w:r>
        <w:rPr>
          <w:rtl w:val="true"/>
        </w:rPr>
        <w:t>ملامح حدود الحرّیة الاقتصادیة فی العهد البابلی</w:t>
      </w:r>
      <w:bookmarkEnd w:id="138"/>
    </w:p>
    <w:p>
      <w:pPr>
        <w:pStyle w:val="BookText"/>
        <w:rPr/>
      </w:pPr>
      <w:r>
        <w:rPr>
          <w:rFonts w:ascii="IRNazanin" w:hAnsi="IRNazanin" w:eastAsia="IRNazanin"/>
          <w:color w:val="111111"/>
          <w:sz w:val="28"/>
          <w:sz w:val="28"/>
          <w:szCs w:val="28"/>
          <w:rtl w:val="true"/>
          <w:lang w:bidi="fa-IR"/>
        </w:rPr>
        <w:t>فقد قامت الدولة البابلیة بتحجیم حرّیة التجّار فی عملیة المبادلات التجاریة،فقامت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بتحدید أسعار کثیر من البضائع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ولأجل حمایة أموال الناس من التعرّض للعدوان والانتهاک ومنع الاستغلال؛وضعت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عقوبة الأعدام علی السرقة و الرشوة</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وکان ذلک انعکاساً لما جاء فی إحدی فقرات قانون حمورابی الشهیر من الحدیث عن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العدالة،ومحاربة أنواع الظلم،وتحقیق الرفاه العام</w:t>
      </w:r>
      <w:r>
        <w:rPr>
          <w:rFonts w:eastAsia="IRNazanin" w:cs="IRNazanin"/>
          <w:color w:val="111111"/>
          <w:sz w:val="28"/>
          <w:szCs w:val="28"/>
          <w:rtl w:val="true"/>
          <w:lang w:bidi="fa-IR"/>
        </w:rPr>
        <w:t xml:space="preserve">. </w:t>
      </w:r>
      <w:r>
        <w:rPr>
          <w:rStyle w:val="FootnoteAnchor"/>
          <w:rtl w:val="true"/>
        </w:rPr>
        <w:footnoteReference w:id="99"/>
      </w:r>
      <w:bookmarkStart w:id="139" w:name="pg5204_66052"/>
    </w:p>
    <w:p>
      <w:pPr>
        <w:pStyle w:val="BookText"/>
        <w:rPr/>
      </w:pPr>
      <w:bookmarkEnd w:id="139"/>
      <w:r>
        <w:rPr>
          <w:rFonts w:ascii="IRNazanin" w:hAnsi="IRNazanin" w:eastAsia="IRNazanin"/>
          <w:color w:val="111111"/>
          <w:sz w:val="28"/>
          <w:sz w:val="28"/>
          <w:szCs w:val="28"/>
          <w:rtl w:val="true"/>
          <w:lang w:bidi="fa-IR"/>
        </w:rPr>
        <w:t>أمّا فی مجال التوزیع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هناک مقرّرات خاصّة للمیراث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ویستشفّ من قانون بابل القدیم بأنّ الدولة کان لها دورٌ مهمٌّ فی عملیة إعادة توزیع الثروات،حیث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تُجبی الضرائب باسم الله و الشعب وقیام الحاکم بالإشراف علی إنفاقها</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40" w:name="__RefHeading___Toc97134_581953129"/>
      <w:bookmarkStart w:id="141" w:name="_Toc60"/>
      <w:bookmarkEnd w:id="140"/>
      <w:r>
        <w:rPr>
          <w:rtl w:val="true"/>
        </w:rPr>
        <w:t>ثانیاً</w:t>
      </w:r>
      <w:r>
        <w:rPr>
          <w:rtl w:val="true"/>
        </w:rPr>
        <w:t>:</w:t>
      </w:r>
      <w:r>
        <w:rPr>
          <w:rtl w:val="true"/>
        </w:rPr>
        <w:t>ملامح حدود الحرّیة الاقتصادیة فی العهد الآشوری</w:t>
      </w:r>
      <w:bookmarkEnd w:id="141"/>
    </w:p>
    <w:p>
      <w:pPr>
        <w:pStyle w:val="BookText"/>
        <w:rPr/>
      </w:pPr>
      <w:r>
        <w:rPr>
          <w:rFonts w:ascii="IRNazanin" w:hAnsi="IRNazanin" w:eastAsia="IRNazanin"/>
          <w:color w:val="111111"/>
          <w:sz w:val="28"/>
          <w:sz w:val="28"/>
          <w:szCs w:val="28"/>
          <w:rtl w:val="true"/>
          <w:lang w:bidi="fa-IR"/>
        </w:rPr>
        <w:t>أمّا الآشوریون،فقد کانوا یهتمّون کثیراً بممارسة عملیات الانتاج ویرجّحونها علی العملیات التجاریة؛لما تتّصف به عملیات الانتاج من صفاء وإخلاص وتحصیل للقمة العیش بعرق الجبین،وبُعد عن الظلم والاحتیال الذی کثیراً ما تختلط به الفعّالیات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یعتقدون بأنّ التجارة عمل حقیر،و أنّ الانتاج فعّالیة کریمة</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42" w:name="__RefHeading___Toc97136_581953129"/>
      <w:bookmarkStart w:id="143" w:name="_Toc61"/>
      <w:bookmarkEnd w:id="142"/>
      <w:r>
        <w:rPr>
          <w:rtl w:val="true"/>
        </w:rPr>
        <w:t>ثالثاً</w:t>
      </w:r>
      <w:r>
        <w:rPr>
          <w:rtl w:val="true"/>
        </w:rPr>
        <w:t>:</w:t>
      </w:r>
      <w:r>
        <w:rPr>
          <w:rtl w:val="true"/>
        </w:rPr>
        <w:t>ملامح حدود الحرّیة الاقتصادیة فی العهد العبرانی</w:t>
      </w:r>
      <w:bookmarkEnd w:id="143"/>
    </w:p>
    <w:p>
      <w:pPr>
        <w:pStyle w:val="BookText"/>
        <w:rPr/>
      </w:pPr>
      <w:r>
        <w:rPr>
          <w:rFonts w:ascii="IRNazanin" w:hAnsi="IRNazanin" w:eastAsia="IRNazanin"/>
          <w:color w:val="111111"/>
          <w:sz w:val="28"/>
          <w:sz w:val="28"/>
          <w:szCs w:val="28"/>
          <w:rtl w:val="true"/>
          <w:lang w:bidi="fa-IR"/>
        </w:rPr>
        <w:t>وبخصوص العبرانیین،فقد جاء النبی عاموس لیحذّر بنی إسرائیل من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أخذتم الرشوة،ولم ترحموا الفقراء،فستمحق ثرواتکم وأموالکم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ویتعلّق الأمر الثامن من الأوامر الإلهیة العشرة للنبی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بتوفیر الأمن وضمان الملکیة الخاصّة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وأولت تلک الأوامر أهمّیةً خاصّةً لقیام عملیة الکسب علی بذل الجهد وعدم تنامی الثروات وتمرکزها فی ید طبقة خاصّة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الربا أحد تلک الأوامر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وأکّدت علی التربیة الأخلاقیة فی صیانة أموال الآخرین ومراعاة حرمتها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فأکّدت علی اجتناب الطمع بأموال الجار</w:t>
      </w:r>
      <w:r>
        <w:rPr>
          <w:rFonts w:eastAsia="IRNazanin" w:cs="IRNazanin"/>
          <w:color w:val="111111"/>
          <w:sz w:val="28"/>
          <w:szCs w:val="28"/>
          <w:rtl w:val="true"/>
          <w:lang w:bidi="fa-IR"/>
        </w:rPr>
        <w:t xml:space="preserve">. </w:t>
      </w:r>
      <w:r>
        <w:rPr>
          <w:rStyle w:val="FootnoteAnchor"/>
          <w:rtl w:val="true"/>
        </w:rPr>
        <w:footnoteReference w:id="106"/>
      </w:r>
      <w:bookmarkStart w:id="144" w:name="pg5204_66053"/>
    </w:p>
    <w:p>
      <w:pPr>
        <w:pStyle w:val="Heading5"/>
        <w:numPr>
          <w:ilvl w:val="4"/>
          <w:numId w:val="1"/>
        </w:numPr>
        <w:rPr/>
      </w:pPr>
      <w:bookmarkStart w:id="145" w:name="__RefHeading___Toc97138_581953129"/>
      <w:bookmarkStart w:id="146" w:name="_Toc62"/>
      <w:bookmarkEnd w:id="144"/>
      <w:bookmarkEnd w:id="145"/>
      <w:r>
        <w:rPr>
          <w:rtl w:val="true"/>
        </w:rPr>
        <w:t>رابعاً</w:t>
      </w:r>
      <w:r>
        <w:rPr>
          <w:rtl w:val="true"/>
        </w:rPr>
        <w:t>:</w:t>
      </w:r>
      <w:r>
        <w:rPr>
          <w:rtl w:val="true"/>
        </w:rPr>
        <w:t>ملامح حدود الحرّیة الاقتصادیة فی الهند القدیمة</w:t>
      </w:r>
      <w:bookmarkEnd w:id="146"/>
    </w:p>
    <w:p>
      <w:pPr>
        <w:pStyle w:val="BookText"/>
        <w:rPr/>
      </w:pPr>
      <w:r>
        <w:rPr>
          <w:rFonts w:ascii="IRNazanin" w:hAnsi="IRNazanin" w:eastAsia="IRNazanin"/>
          <w:color w:val="111111"/>
          <w:sz w:val="28"/>
          <w:sz w:val="28"/>
          <w:szCs w:val="28"/>
          <w:rtl w:val="true"/>
          <w:lang w:bidi="fa-IR"/>
        </w:rPr>
        <w:t>أمّا الهنود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بتسعیر السلع حسب الضوابط التی تراها النقابات المهنیة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 تشاوری فیما بین الدولة و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وعمّموا النظام الضرائبی حتّی شمل دور القمار،وفرضوه علی سائر الخدمات سوی القطاع الزراعی</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وبالغ کنفوشیوس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فی إیصاء حکّام المجتمع بالحدّ من الترف وتوزیع الثروة بشکل عادل بین أفراد المجتمع،والحیلولة دون تمرکزها بید طبقة خاصّة،فیصرّح فی ذلک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تمرکز الثروة بید فئة خاصّة یؤدّی إلی تفرّق الناس وتفرّقها بین الناس یؤدّی إلی اتّحادهم وتضامنهم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وکان للعمل قیمةٌ أخلاقیةٌ کبری فی أفکار کونفوشیوس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فأوجبه علی الجمیع حتّی الکهول؛لأنّ الکسل و البطالة شیء بغیض ومنبوذ</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علی حدّ تعبیره،لکنّه حذّر من الأنانیة لما لها من دور فی التجاوز علی حقوق الأفراد التی أوصی باحترامها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ینبغی الاقتصار علی تحقیق المصالح الفردیة أثناء العمل،فمن خلال هذا الطریق یمکن القضاء علی الأفکار الأنانیة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هو فی ذات الوقت الذی أوجب العمل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علی الدولة ضمان إعالة الیتامی و الضعفاء</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وکان الأصل لدیه هو الحرّیة فی ممارسة الأفراد للفعّالیات الاقتصادیة،فحثّ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لترک الناس أحراراً،وعدم سنّ القوانین بهذا الخصوص إلّا فی أضیق دائرة ممکنة</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147" w:name="__RefHeading___Toc97140_581953129"/>
      <w:bookmarkStart w:id="148" w:name="_Toc63"/>
      <w:bookmarkEnd w:id="147"/>
      <w:r>
        <w:rPr>
          <w:rtl w:val="true"/>
        </w:rPr>
        <w:t>خامساً</w:t>
      </w:r>
      <w:r>
        <w:rPr>
          <w:rtl w:val="true"/>
        </w:rPr>
        <w:t>:</w:t>
      </w:r>
      <w:r>
        <w:rPr>
          <w:rtl w:val="true"/>
        </w:rPr>
        <w:t>ملامح حدود الحرّیة الاقتصادیة فی العهد الیونانی</w:t>
      </w:r>
      <w:bookmarkEnd w:id="148"/>
    </w:p>
    <w:p>
      <w:pPr>
        <w:pStyle w:val="BookText"/>
        <w:rPr/>
      </w:pPr>
      <w:r>
        <w:rPr>
          <w:rFonts w:ascii="IRNazanin" w:hAnsi="IRNazanin" w:eastAsia="IRNazanin"/>
          <w:color w:val="111111"/>
          <w:sz w:val="28"/>
          <w:sz w:val="28"/>
          <w:szCs w:val="28"/>
          <w:rtl w:val="true"/>
          <w:lang w:bidi="fa-IR"/>
        </w:rPr>
        <w:t>أمّا فی الیونان القدیمة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قام صولون،و هو سیاسی ومشرّع أثینی،فی القرن السادس قبل المیلاد،بوضع دستور ضمّنه عدداً من الإصلاحات؛وذلک بهدف احتواء الآثار الاجتماعیة للصراع</w:t>
      </w:r>
    </w:p>
    <w:p>
      <w:pPr>
        <w:pStyle w:val="BookText"/>
        <w:rPr/>
      </w:pPr>
      <w:r>
        <w:rPr>
          <w:rFonts w:ascii="IRNazanin" w:hAnsi="IRNazanin" w:eastAsia="IRNazanin"/>
          <w:color w:val="111111"/>
          <w:sz w:val="28"/>
          <w:sz w:val="28"/>
          <w:szCs w:val="28"/>
          <w:rtl w:val="true"/>
          <w:lang w:bidi="fa-IR"/>
        </w:rPr>
        <w:t>المحتدم فیما بین طبقة التجار و الطبقة الارستقراطیة المکوّنة من کبار ملّاک الأرض إثر تنامی النشاط التجاری،وانعکاس هذا الصراع سلباً علی الفلاحین الذین جری استعبادهم تدریجیاً بعد إفقارهم؛وتمثّلت أبرز تلک الإصلاحات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استرقاق المدین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بعض العبید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تخفیض کثیر من الدیون إن کان إلغاؤها متعذّرا</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ویلاحَظ بوضوح أنّ الهدف من هذه الإصلاحات هو إعادة التوازن الاجتماعی والاقتصادی عن طریق تحدید الحرّیة اللّامحدودة التی تتمتّع بها الطبقة الارستقراطیة،والتی کانت تستغلّها لتوسیع نفوذها وسحق الطبقات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الحدّ من الانقسام الطبقی الذی کانت تنوء تحت وطأته طبقة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العبید یقومون بکلّ النشاطات الزراعیة و الحرفیة والاستخراجیة،وکلّ الأشغال العامّة التی کانت الدولة تقوم بتنفیذها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وبالنظر إلی هذا الدور الحیوی لطبقة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نشطت وازدهرت تجارة العبید فی هذا العصر الذی کان فیه المجتمع الیونانی قائماً علی العبودیة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فبینما نلاحظ الطبقة الارستقراطیة تستأثر بالأرض و الثروة التی ترکّزت فی یدیها الأمر الذی مکّنها من احتکار النفوذ و الحکم،تأتی طبقة صغار الملّاک و الحرفیین لتخصّ نفسها بالوظائف الرفیعة فی المجتمع،بینما یمنع الأجانب من حقّ التملک،ومن أی حقوق سیاسیة مع ما کانوا یقومون به من دور مهمّ وحیوی فی الحیاة التجاریة فیما بین المدن الیونانیة و المدن الساحلیة الأخری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وعندما جاء أفلاطون </w:t>
      </w:r>
      <w:r>
        <w:rPr>
          <w:rFonts w:eastAsia="IRNazanin" w:cs="IRNazanin"/>
          <w:color w:val="111111"/>
          <w:sz w:val="28"/>
          <w:szCs w:val="28"/>
          <w:lang w:bidi="fa-IR"/>
        </w:rPr>
        <w:t>427347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ولاحَظ الحقوق الواسعة التی یتمتّع بها أفراد الطبقتین المتقدّمتین علی حساب الطبقات الأخری حضّ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إلغاء الملکیة الفردیة لتحلّ محلّها الملکیة العامّة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التملک الخاصّ وتکوین الأسرة قیوداً ینبغی أن یتحرّر منها الحکّام،فالحیاة ملیئة بالمغریات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التملک الخاصّ علی طبقة المنتجین،إلّا أنّه حذّر من تکوین ثراء فاحش؛لأنّ فی هذا الثراء الفاحش ما من شأنه أن یهدّد قیم المجتمع ویزعزع استقراره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وجاء هنا لیعطی الدولة دوراً مهمّاً فی تحقیق العدالة الاجتماعیة لما لها من شأن فعّال فی حفظ توازن المجتمع واستقراره،فحضّها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ضرورة التدخّل بغرض منع حدوث الثراء الفاحش لما له من عواقب وخیمة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وبینما نلاحظ أفلاطون حاول حسر الملکیة الخاصّة عن الفئات الأکثر نفوذاً فی المجتمع ولم یراعِ النزوع الفطری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لاعتقاده بأنّ ذلک هو السبیل الوحید للحدّ من سطوات الطبقات المتنفّذة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 أنّ أرسطو </w:t>
      </w:r>
      <w:r>
        <w:rPr>
          <w:rFonts w:eastAsia="IRNazanin" w:cs="IRNazanin"/>
          <w:color w:val="111111"/>
          <w:sz w:val="28"/>
          <w:szCs w:val="28"/>
          <w:lang w:bidi="fa-IR"/>
        </w:rPr>
        <w:t>384322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صلی الله علیه و آله اتّخذ أسلوباً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إلی احترام الملکیة الفردیة واعتبرها من أهمّ وسائل زیادة الإنتاج وجودته وعارض الملکیة العامّة وأظهر عیوبها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وما ذلک باعتقادی،إلّا لاختلاف الزاویة التی نظر منها کلا العَلمین للمشکلة الاقتصادیة القائمة آنذاک،فأفلاطون لم یحارب الملکیة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 منه بعدم جدواها وسلبیتها،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إنّما أراد نزع فتیل الأزمة القائمة فی المجتمع،والتی کان یری أنّ سببها یکمن فی استئثار الطبقة الارستقراطیة بالثروة دون بقیة فئات المجتمع،ممّا یدعوهم إلی إعمال نفوذهم،وسحق باقی الطبقات عن هذه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یعضد ذلک هو أنّه کان یحذّر من الثراء الفاحش الذی کان السبب الأساسی للمشکلة لا الملکیة الخاصّة بحدّ ذاتها،وإلّا لما سمح بها للمنتجین؛أمّا بالنسبة إلی تلمیذه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أرسطو لم یجعل من الملکیة الخاصّة حقّاً مطلقاً،إذ لیس هدف الإنسان تحقیق الثروة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فهو قد عارض کأستاذه الثراء الفاحش الذی کان قد علّل معارضته تلک،بالعواقب الوخیمة المترتّبة علیه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فحرص علی وضع قیود وضوابط،تحدّ من احتمال حصول ثراء فاحش فی المجتمع،یعود بأسوء العواقب علیه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قد مرّ علینا کیف أنّ أفلاطون کان حریصاً أشدّ الحرص،علی الوقوف بوجه ما یهدّد قیم المجتمع ویزعزع استقراره،وها هو أرسطو یصبو نحو تلک الغایة ذاتها،ولکن من خلال تعمیمه للملکیة الفردیة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للملکیة الخاصّة،فی اعتقاد أرسطو،وظیفة اجتماعیة محدّدة تستهدف خدمة المجتمع ککلّ</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فقد کانت العوامل الأخلاقیة ومحاولة تحقیق العدالة الاجتماعیة من أهمّ البواعث التی دعتهما للذهاب إلی ما ذهبا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أرسطو،فی تأکیده وضع ضوابط تقید حقّ الملکیة الخاصّة وتحدّ من الإفراط فیها،من عدّة اعتبارات لعلّ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أخلاقیة،الحرص علی تأمین قدر معین من العدالة فی المجتمع</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وحدا هذا المحرّک الذی حرّک أرسطو لإقرار الملکیة الخاصّة،ألَا،و هو الحیلولة دون العواقب السیئة التی تزعزع استقرار المجتمع حدا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مهاجمة الاحتکار؛ </w:t>
      </w:r>
      <w:r>
        <w:rPr>
          <w:rStyle w:val="FootnoteAnchor"/>
          <w:rtl w:val="true"/>
        </w:rPr>
        <w:footnoteReference w:id="125"/>
      </w:r>
      <w:r>
        <w:rPr>
          <w:rFonts w:ascii="IRNazanin" w:hAnsi="IRNazanin" w:eastAsia="IRNazanin"/>
          <w:color w:val="111111"/>
          <w:sz w:val="28"/>
          <w:sz w:val="28"/>
          <w:szCs w:val="28"/>
          <w:rtl w:val="true"/>
          <w:lang w:bidi="fa-IR"/>
        </w:rPr>
        <w:t>لأنّ هذا من شأنه أن یلحق ضرراً فادحاً بالمجتمع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ولکونه یتعارض مع فکرة العدالة الاجتماعیة</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ذلک أنّ الاحتکار یقوم علی أساس استغلال البائع للمشتری</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أرسطو لم یقرّ بأنّ العمل المبذول فی إنتاج السلعة هو أساس التبادل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من جهة أنّه یؤدّی إلی تمرکز الثروة فی أیدی فئة خاصّة فی المجتمع،و هو ما یتنافی و العدالة الاجتماعیة الّتی ینشدها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 التعاطی مع الربا أسوأ شکل من أشکال تجمیع المال</w:t>
      </w:r>
      <w:r>
        <w:rPr>
          <w:rFonts w:eastAsia="IRNazanin" w:cs="IRNazanin"/>
          <w:color w:val="111111"/>
          <w:sz w:val="28"/>
          <w:szCs w:val="28"/>
          <w:rtl w:val="true"/>
          <w:lang w:bidi="fa-IR"/>
        </w:rPr>
        <w:t xml:space="preserve">. </w:t>
      </w:r>
      <w:r>
        <w:rPr>
          <w:rStyle w:val="FootnoteAnchor"/>
          <w:rtl w:val="true"/>
        </w:rPr>
        <w:footnoteReference w:id="130"/>
      </w:r>
      <w:bookmarkStart w:id="149" w:name="pg5204_66057"/>
    </w:p>
    <w:p>
      <w:pPr>
        <w:pStyle w:val="BookText"/>
        <w:rPr/>
      </w:pPr>
      <w:bookmarkEnd w:id="149"/>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الغرض من النقود یتحدّد فی استخدامها فی التبادل،لا زیادتها عن طریق تحصیل الربا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فهی وسیلةٌ ولیست غایة</w:t>
      </w:r>
      <w:r>
        <w:rPr>
          <w:rFonts w:eastAsia="IRNazanin" w:cs="IRNazanin"/>
          <w:color w:val="111111"/>
          <w:sz w:val="28"/>
          <w:szCs w:val="28"/>
          <w:rtl w:val="true"/>
          <w:lang w:bidi="fa-IR"/>
        </w:rPr>
        <w:t>.</w:t>
      </w:r>
    </w:p>
    <w:p>
      <w:pPr>
        <w:pStyle w:val="Heading5"/>
        <w:numPr>
          <w:ilvl w:val="4"/>
          <w:numId w:val="1"/>
        </w:numPr>
        <w:rPr/>
      </w:pPr>
      <w:bookmarkStart w:id="150" w:name="__RefHeading___Toc97142_581953129"/>
      <w:bookmarkStart w:id="151" w:name="_Toc64"/>
      <w:bookmarkEnd w:id="150"/>
      <w:r>
        <w:rPr>
          <w:rtl w:val="true"/>
        </w:rPr>
        <w:t>سادساً</w:t>
      </w:r>
      <w:r>
        <w:rPr>
          <w:rtl w:val="true"/>
        </w:rPr>
        <w:t>:</w:t>
      </w:r>
      <w:r>
        <w:rPr>
          <w:rtl w:val="true"/>
        </w:rPr>
        <w:t>ملامح حدود الحرّیة الاقتصادیة فی العهد الرومانی</w:t>
      </w:r>
      <w:bookmarkEnd w:id="151"/>
    </w:p>
    <w:p>
      <w:pPr>
        <w:pStyle w:val="BookText"/>
        <w:rPr/>
      </w:pPr>
      <w:r>
        <w:rPr>
          <w:rFonts w:ascii="IRNazanin" w:hAnsi="IRNazanin" w:eastAsia="IRNazanin"/>
          <w:color w:val="111111"/>
          <w:sz w:val="28"/>
          <w:sz w:val="28"/>
          <w:szCs w:val="28"/>
          <w:rtl w:val="true"/>
          <w:lang w:bidi="fa-IR"/>
        </w:rPr>
        <w:t>أمّا الرومان،فإنّهم قاموا بتنظیم المعاملات التجاریة،ولم یترکوا الأمور تجری علی عواهنها فی السّوق،حیث أبدعوا نظریةً مهمّةً عُرفت بنظریة العقد،فحدّدوا الأساس الذی تقوم علیه المعاملات،و هو الرضی بین المتعاملین حیث إنّهم کانوا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نادوا باحترام الملکیة الفردیة</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فوفقاً لنظریة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المعاملات مبنیةً علی الرضا بین المتعاقدین فی السوق</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ومن جهة أخری،فقد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أکّدوا علی مشروعیة تحقیق ربح ناتج عن النشاط الزراعی إلّا أنّهم اعتبروا حجم الربح الناتج عن الزراعة متوقّفاً علی مدی قرب أو بعد قطعة الأرض الزراعیة من السوق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ولم یطلقوا العنان کذلک للملکیة الخاصّة للتتنامی کیفما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فعارضوا الاحتکار وحرّموا الربا</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152" w:name="__RefHeading___Toc97144_581953129"/>
      <w:bookmarkStart w:id="153" w:name="_Toc65"/>
      <w:bookmarkEnd w:id="152"/>
      <w:r>
        <w:rPr>
          <w:rtl w:val="true"/>
        </w:rPr>
        <w:t>سابعاً</w:t>
      </w:r>
      <w:r>
        <w:rPr>
          <w:rtl w:val="true"/>
        </w:rPr>
        <w:t>:</w:t>
      </w:r>
      <w:r>
        <w:rPr>
          <w:rtl w:val="true"/>
        </w:rPr>
        <w:t>ملامح حدود الحرّیة الاقتصادیة فی العصور الوسطی</w:t>
      </w:r>
      <w:bookmarkEnd w:id="153"/>
    </w:p>
    <w:p>
      <w:pPr>
        <w:pStyle w:val="BookText"/>
        <w:rPr/>
      </w:pPr>
      <w:r>
        <w:rPr>
          <w:rFonts w:ascii="IRNazanin" w:hAnsi="IRNazanin" w:eastAsia="IRNazanin"/>
          <w:color w:val="111111"/>
          <w:sz w:val="28"/>
          <w:sz w:val="28"/>
          <w:szCs w:val="28"/>
          <w:rtl w:val="true"/>
          <w:lang w:bidi="fa-IR"/>
        </w:rPr>
        <w:t>أمّا فی العصور الوسطی،فقد حدث انتهاکٌ خطیرٌ جدّاً لحرّیة الأفراد فی الملکیة الخاصّة،بل انجرّ الأمر إلی استرقاقهم من قِبل الحکّام؛وذلک إثر تفتّت الإمبراطوریة الرومانیة،وقیام النظام الإقطاعی،من خلال حکّام الأقالیم الذین سیطروا علی أقالیمهم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فاستحدثوا نظاماً اجتماعیاً عُرف بنظام رقیق الأرض،فتحوّل الفلّاحون الأحرار،بعد أن جُرّدوا من أراضیهم بالإکراه إلی مجرّد رقیق تربطهم بسید الأرض الجدید</w:t>
      </w:r>
      <w:bookmarkStart w:id="154" w:name="pg5204_66058"/>
    </w:p>
    <w:p>
      <w:pPr>
        <w:pStyle w:val="BookText"/>
        <w:rPr/>
      </w:pPr>
      <w:bookmarkEnd w:id="154"/>
      <w:r>
        <w:rPr>
          <w:rFonts w:ascii="IRNazanin" w:hAnsi="IRNazanin" w:eastAsia="IRNazanin"/>
          <w:color w:val="111111"/>
          <w:sz w:val="28"/>
          <w:sz w:val="28"/>
          <w:szCs w:val="28"/>
          <w:rtl w:val="true"/>
          <w:lang w:bidi="fa-IR"/>
        </w:rPr>
        <w:t>علاقات متبادلة،فیقومون بزراعة أرض الحاکم دون مقابل،ویلزم علیهم کذلک تقدیم الخدمات فی قصره،ولم یعطَوا سوی قطعة من الأرض یقومون بزراعتها لصالحهم مع التزامهم بتقدیم جزء من محصولها إلیه</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155" w:name="__RefHeading___Toc97146_581953129"/>
      <w:bookmarkStart w:id="156" w:name="_Toc66"/>
      <w:bookmarkEnd w:id="155"/>
      <w:r>
        <w:rPr>
          <w:rtl w:val="true"/>
        </w:rPr>
        <w:t>ثامناً</w:t>
      </w:r>
      <w:r>
        <w:rPr>
          <w:rtl w:val="true"/>
        </w:rPr>
        <w:t>:</w:t>
      </w:r>
      <w:r>
        <w:rPr>
          <w:rtl w:val="true"/>
        </w:rPr>
        <w:t>ملامح حدود الحرّیة الاقتصادیة فی المسیحیة</w:t>
      </w:r>
      <w:bookmarkEnd w:id="156"/>
    </w:p>
    <w:p>
      <w:pPr>
        <w:pStyle w:val="BookText"/>
        <w:rPr/>
      </w:pPr>
      <w:r>
        <w:rPr>
          <w:rFonts w:ascii="IRNazanin" w:hAnsi="IRNazanin" w:eastAsia="IRNazanin"/>
          <w:color w:val="111111"/>
          <w:sz w:val="28"/>
          <w:sz w:val="28"/>
          <w:szCs w:val="28"/>
          <w:rtl w:val="true"/>
          <w:lang w:bidi="fa-IR"/>
        </w:rPr>
        <w:t>ومع أنّ المسیحیة کانت قد اعترفت بالملکیة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حذّرت من مساوئ الإفراط فی التملّک،وبالتالی جنحت إلی عدم تشجیع الملکیة الخاصّة المطلقة و المفرطة،وذلک بالنظر إلی ما یمکن أن یسفر عن هذا الإفراط فی الملکیة،وفی تکوین الثروة،من إجحاف بحقّ المحرومین و الفقراء</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وعندما ظهرت جماعة المدرّسین من بین رجال الکنیسة،أشادت نظاماً اقتصادیاً کان من أهمّ مبادئه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الملکیة الفردیة؛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الاقتصاد بالدین و الأخلاق،فدعوا إلی تحریم الربا وطالبوا بالحدّ من الثراء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طالبوا بتحدید الأجر العادل و الثمن العادل</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 توما الأکوینی بحقّ التملّک الخاص،باعتبار أنّ الملکیة تجسید للنظام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ولکنّه وضع لهذه الملکیة ضوابط وقواعد تحول دون أن تترتّب علیها مساوئ تلحق ضرراً بالمجتمع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علی اعتبار أنّ من حقّ الجمیع أن یحیوا حیاةً متکافئةً دون أن یتجاوز أحدٌ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فتعامل مع موضوع الملکیة علی أساس أخلاقی مستمدّ من التعالیم المسیحیة التی تؤکّد أن الله خلق الأرض من أجل کل الناس ولا یستطیع أی منهم أن یحرم الآخرین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ومع أنّه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 للبائع حصوله علی ثمن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یتجاهل مصلحة المستهلک وضرورة حمایته من جشع البائع،ولا سیما إذا کان هذا البائع ضمن تکتّل احتکاری لمجموعة من البائعین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وحتّی لا یقع غبن علی المستهلک،أکّد الأکوینی علی ضرورة أن یکون الفارق،فی الثمن الذی یحصل علیه البائع،بسیطاً ومشابهاً لأجر العمل المبذول،بحیث یتمّ تحدید ثمن السلعة،فی السوق،بشکل طبیعی وعادل،یرضی البائع،ولا یرهق کاهل المستهلک </w:t>
      </w:r>
      <w:r>
        <w:rPr>
          <w:rStyle w:val="FootnoteAnchor"/>
          <w:rtl w:val="true"/>
        </w:rPr>
        <w:footnoteReference w:id="141"/>
      </w:r>
      <w:bookmarkStart w:id="157" w:name="pg5204_66059"/>
    </w:p>
    <w:p>
      <w:pPr>
        <w:pStyle w:val="BookText"/>
        <w:rPr/>
      </w:pPr>
      <w:bookmarkEnd w:id="157"/>
      <w:r>
        <w:rPr>
          <w:rFonts w:ascii="IRNazanin" w:hAnsi="IRNazanin" w:eastAsia="IRNazanin"/>
          <w:color w:val="111111"/>
          <w:sz w:val="28"/>
          <w:sz w:val="28"/>
          <w:szCs w:val="28"/>
          <w:rtl w:val="true"/>
          <w:lang w:bidi="fa-IR"/>
        </w:rPr>
        <w:t>وبناء علی اعتباراته الأخلاقیة التی بنی علیها ضوابطه تلک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تقاضی الربا سلوکاً یتنافی مع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تعارضها مع التعالیم المسیحیة الأمر الذی یوجب تحریمها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وبالرغم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الکنیسة فی البدایة قد خصّت بالتحریم،رجال الدین وحدهم،ولکنّها قامت بتعمیم هذا التحریم،فی وقت لاحق،بحیث أصبح تعاطی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 محرّماً علی کلّ الناس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ومع أنّ الأکوینی </w:t>
      </w:r>
      <w:r>
        <w:rPr>
          <w:rFonts w:eastAsia="IRNazanin" w:cs="IRNazanin"/>
          <w:color w:val="111111"/>
          <w:sz w:val="28"/>
          <w:szCs w:val="28"/>
          <w:lang w:bidi="fa-IR"/>
        </w:rPr>
        <w:t>12251274</w:t>
      </w:r>
      <w:r>
        <w:rPr>
          <w:rFonts w:ascii="IRNazanin" w:hAnsi="IRNazanin" w:eastAsia="IRNazanin"/>
          <w:color w:val="111111"/>
          <w:sz w:val="28"/>
          <w:sz w:val="28"/>
          <w:szCs w:val="28"/>
          <w:rtl w:val="true"/>
          <w:lang w:bidi="fa-IR"/>
        </w:rPr>
        <w:t>م سمح لاحقاً فی تقاضی الربا،ولکنّه لم یسمح به بصورة مطلقة،وحدّده بالموادّ التی لا یمکن استهلاکها دفعةً واحدة؛أمّا ما یستهلک دفعةً واحدةً فأبقاه علی الحظر السابق،فهو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کمحاولة منه،فی وقت لاحق،إیجاد سبب مقنع لتقاضی الربا،فی ضوء ما استجدّ من متغیرات نجد أنّه یمیز بین موادّ یمکن استهلاکها دفعة واحدة کالنقود،ومواد لا یمکن استهلاکها دفعة واحدة،کالبیوت،والأراضی الزراعیة،وأدوات الإنتاج </w:t>
      </w:r>
      <w:r>
        <w:rPr>
          <w:rStyle w:val="FootnoteAnchor"/>
          <w:rtl w:val="true"/>
        </w:rPr>
        <w:footnoteReference w:id="144"/>
      </w:r>
    </w:p>
    <w:p>
      <w:pPr>
        <w:pStyle w:val="Heading4"/>
        <w:numPr>
          <w:ilvl w:val="3"/>
          <w:numId w:val="1"/>
        </w:numPr>
        <w:rPr/>
      </w:pPr>
      <w:bookmarkStart w:id="158" w:name="__RefHeading___Toc97148_581953129"/>
      <w:bookmarkStart w:id="159" w:name="_Toc67"/>
      <w:bookmarkEnd w:id="158"/>
      <w:r>
        <w:rPr>
          <w:rtl w:val="true"/>
        </w:rPr>
        <w:t>المطلب الثانی</w:t>
      </w:r>
      <w:r>
        <w:rPr>
          <w:rtl w:val="true"/>
        </w:rPr>
        <w:t>:</w:t>
      </w:r>
      <w:r>
        <w:rPr>
          <w:rtl w:val="true"/>
        </w:rPr>
        <w:t>ملامح حدود الحرّیة الاقتصادیة فی العصور المتأخّرة</w:t>
      </w:r>
      <w:bookmarkEnd w:id="159"/>
    </w:p>
    <w:p>
      <w:pPr>
        <w:pStyle w:val="Heading5"/>
        <w:numPr>
          <w:ilvl w:val="4"/>
          <w:numId w:val="1"/>
        </w:numPr>
        <w:rPr/>
      </w:pPr>
      <w:bookmarkStart w:id="160" w:name="__RefHeading___Toc97150_581953129"/>
      <w:bookmarkStart w:id="161" w:name="_Toc68"/>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وهی العصور التی اتّخذت فیها الحرّیة الاقتصادیة طابعاً منظّماً تمثّل علی شکل مدارس وأنظمة،ویمکننا تحدید ملامح تلک الحرّیة وفقاً لما یأتی</w:t>
      </w:r>
      <w:r>
        <w:rPr>
          <w:rFonts w:eastAsia="IRNazanin" w:cs="IRNazanin"/>
          <w:color w:val="111111"/>
          <w:sz w:val="28"/>
          <w:szCs w:val="28"/>
          <w:rtl w:val="true"/>
          <w:lang w:bidi="fa-IR"/>
        </w:rPr>
        <w:t>:</w:t>
      </w:r>
    </w:p>
    <w:p>
      <w:pPr>
        <w:pStyle w:val="Heading5"/>
        <w:numPr>
          <w:ilvl w:val="4"/>
          <w:numId w:val="1"/>
        </w:numPr>
        <w:rPr/>
      </w:pPr>
      <w:bookmarkStart w:id="162" w:name="__RefHeading___Toc97152_581953129"/>
      <w:bookmarkStart w:id="163" w:name="_Toc69"/>
      <w:bookmarkEnd w:id="162"/>
      <w:r>
        <w:rPr>
          <w:rtl w:val="true"/>
        </w:rPr>
        <w:t>أوّلاً</w:t>
      </w:r>
      <w:r>
        <w:rPr>
          <w:rtl w:val="true"/>
        </w:rPr>
        <w:t>:</w:t>
      </w:r>
      <w:r>
        <w:rPr>
          <w:rtl w:val="true"/>
        </w:rPr>
        <w:t>ملامح حدود الحرّیة الاقتصادیة فی المدرسة التجاریة</w:t>
      </w:r>
      <w:bookmarkEnd w:id="163"/>
    </w:p>
    <w:p>
      <w:pPr>
        <w:pStyle w:val="BookText"/>
        <w:rPr/>
      </w:pPr>
      <w:r>
        <w:rPr>
          <w:rFonts w:ascii="IRNazanin" w:hAnsi="IRNazanin" w:eastAsia="IRNazanin"/>
          <w:color w:val="111111"/>
          <w:sz w:val="28"/>
          <w:sz w:val="28"/>
          <w:szCs w:val="28"/>
          <w:rtl w:val="true"/>
          <w:lang w:bidi="fa-IR"/>
        </w:rPr>
        <w:t>عندما استعاد ملوک أوربا نفوذهم اتّبعوا سیاسةً تهدف إلی تحقیق الثراء و القوّة للدولة عن طریق تدخّلها فی الشؤون الاقتصادیة،وذلک عن طریق إقامة تحالف مع التجّار فنشأ ما عُرف بالمدرسة التجاریة،التی أطلقت حرّیة التجّار فی الثراء الفاحش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الملوک بسنّ القوانین ووضع النُّظم التی من شأنها أن تؤمّن للتجّار أکبر قدر من الربح،یعود جزء منه للملوک </w:t>
      </w:r>
      <w:r>
        <w:rPr>
          <w:rStyle w:val="FootnoteAnchor"/>
          <w:rtl w:val="true"/>
        </w:rPr>
        <w:footnoteReference w:id="145"/>
      </w:r>
      <w:bookmarkStart w:id="164" w:name="pg5204_66060"/>
    </w:p>
    <w:p>
      <w:pPr>
        <w:pStyle w:val="BookText"/>
        <w:rPr/>
      </w:pPr>
      <w:bookmarkEnd w:id="164"/>
      <w:r>
        <w:rPr>
          <w:rFonts w:ascii="IRNazanin" w:hAnsi="IRNazanin" w:eastAsia="IRNazanin"/>
          <w:color w:val="111111"/>
          <w:sz w:val="28"/>
          <w:sz w:val="28"/>
          <w:szCs w:val="28"/>
          <w:rtl w:val="true"/>
          <w:lang w:bidi="fa-IR"/>
        </w:rPr>
        <w:t>ولکنّ ذلک لم یتمّ إلّا علی أساس هضم حقوق المنتجین و العمّال و الحدّ من حرّیتهم التجاریة،فکان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وإصرار الدول علی منع زیادة سعر الحنطة ومقدار الأجور،سبباً فی فقر وفاقة المزارعین و العمّال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ولم یقتصر هذا المنع علی الأسعار بل تعدّاه إلی کیفیة ومحلّ بیع منتجاتهم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شراء وبیع الغلّات من قِبل المزارعین کان ممنوعاً حتّی فی داخل الولایات و المناطق وکان یجب أن یتمّ فی السوق الرسمیة ویخضع لرقابة موظّفی الدولة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فقبضت الدولة بید من حدید علی جمیع العملیات الاقتصادیة،ولم تراعِ أی اعتبارات أخلاقیة فی ما یعزّز نفوذها،وبکلّ الوسائل المشروعة وغیر المشروعة،فجاءت دعوة میکافیلّی </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الفصل بین السیاسة من جهة،والأخلاق و الدین من جهة أخری،مؤکّداً،بشکل یوحی بالجزم بأنّ تطوّر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یتطلّب سلطة مرکزیة قویة ممثّلة بالملک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وعلی هذا الاعتبار أطلق نهمها حتّی تجاوز تخوم بلادها لتسارع إلی استعمار بقیة البلدان واستثمار خیراتها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تقوم لوحدها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بتحدید أسعار السلع ومستویات الأجور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وباستغلال المناجم و المزارع فی المستعمرات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ولکن کان من نتیجة هذه السیاسة المتشدّدة و الضاغطة علی الحرّیات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میل عند جمیع الأفراد نحو الحرّیة و الخلاص من ضغوط هذه المقرّرات المتعدّدة و المتزایدة وسوء استخدامها،فانعکس ذلک فی أفکار وعقائد مدرسة جدیدة عُرفت بمدرسة الطبیعیین </w:t>
      </w:r>
      <w:r>
        <w:rPr>
          <w:rStyle w:val="FootnoteAnchor"/>
          <w:rtl w:val="true"/>
        </w:rPr>
        <w:footnoteReference w:id="150"/>
      </w:r>
    </w:p>
    <w:p>
      <w:pPr>
        <w:pStyle w:val="Heading5"/>
        <w:numPr>
          <w:ilvl w:val="4"/>
          <w:numId w:val="1"/>
        </w:numPr>
        <w:rPr/>
      </w:pPr>
      <w:bookmarkStart w:id="165" w:name="__RefHeading___Toc97154_581953129"/>
      <w:bookmarkStart w:id="166" w:name="_Toc70"/>
      <w:bookmarkEnd w:id="165"/>
      <w:r>
        <w:rPr>
          <w:rtl w:val="true"/>
        </w:rPr>
        <w:t>ثانیاً</w:t>
      </w:r>
      <w:r>
        <w:rPr>
          <w:rtl w:val="true"/>
        </w:rPr>
        <w:t>:</w:t>
      </w:r>
      <w:r>
        <w:rPr>
          <w:rtl w:val="true"/>
        </w:rPr>
        <w:t>ملامح حدود الحرّیة الاقتصادیة فی المدرسة الطبیعیة</w:t>
      </w:r>
      <w:bookmarkEnd w:id="1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قامت فکرة هذه المدرسة،علی أنّ</w:t>
      </w:r>
      <w:bookmarkStart w:id="167" w:name="pg5204_66061"/>
    </w:p>
    <w:p>
      <w:pPr>
        <w:pStyle w:val="BookText"/>
        <w:rPr/>
      </w:pPr>
      <w:bookmarkEnd w:id="167"/>
      <w:r>
        <w:rPr>
          <w:rFonts w:ascii="IRNazanin" w:hAnsi="IRNazanin" w:eastAsia="IRNazanin"/>
          <w:color w:val="111111"/>
          <w:sz w:val="28"/>
          <w:sz w:val="28"/>
          <w:szCs w:val="28"/>
          <w:rtl w:val="true"/>
          <w:lang w:bidi="fa-IR"/>
        </w:rPr>
        <w:t xml:space="preserve">المصلحة العامّة تتحقّق تلقائیاً من خلال المصلحة الخاصّة إذ لا یوجد بینهما تعارض وفقاً للنظام الطبیعی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فکان من أهمّ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تعطی لکلّ فرد الحقّ فی ممارسة واختیار العمل الذی یلائمه وعبّروا عنها بالمبدأ اترکه یعمل اترکه 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لکلّ فرد الحقّ فی التملّک،وعلی الدولة احترام هذا الحقّ و المحافظة علیه مع احترام المیراث وتطبیق قواعده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وعلی هذا الأساس رفضت تدخّل الدولة فی الحیاة الاقتصادیة،إلّا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لا یتعارض مع جوهر وروح النظام الطبیعی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بل إنّها دعت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حمایة الملکیة الخاصّة وتأمینها ضدّ أیة تعدّیات أو تجاوزات،باعتبارها عنصراً أساسیاً یقوم علیها النظام الطبیعی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فکانت تری بأنّ الاقتصاد الحرّ هو أفضل وسیلة لتحقیق الرفاه الشامل تطبیقاً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لفکرتهم المتجسّدة فی الشعار القائل دع الأمور تسیر علی أعنّتها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ومن الجدیر ذکره أنّ المدرسة الطبیعیة کانت قد صبّت جلّ اهتمامها علی الزراعة دون الصناعة و التجارة،کردّ فعل علی التجاریین الذین رکّزوا علی التجارة،حیث اعتبروا غیرها من الأعمال غیر منتجة؛لأنّ الزراعة هی الوحیدة حسب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القادرة علی إیجاد محصول خالص یکون منبعاً لجمیع الثروات؛ولذا فإنّ اشتغال باقی طبقات المجتمع بأعمال غیر الزراعة عقیمة </w:t>
      </w:r>
      <w:r>
        <w:rPr>
          <w:rStyle w:val="FootnoteAnchor"/>
          <w:rtl w:val="true"/>
        </w:rPr>
        <w:footnoteReference w:id="156"/>
      </w:r>
    </w:p>
    <w:p>
      <w:pPr>
        <w:pStyle w:val="Heading5"/>
        <w:numPr>
          <w:ilvl w:val="4"/>
          <w:numId w:val="1"/>
        </w:numPr>
        <w:rPr/>
      </w:pPr>
      <w:bookmarkStart w:id="168" w:name="__RefHeading___Toc97156_581953129"/>
      <w:bookmarkStart w:id="169" w:name="_Toc71"/>
      <w:bookmarkEnd w:id="168"/>
      <w:r>
        <w:rPr>
          <w:rtl w:val="true"/>
        </w:rPr>
        <w:t>ثالثاً</w:t>
      </w:r>
      <w:r>
        <w:rPr>
          <w:rtl w:val="true"/>
        </w:rPr>
        <w:t>:</w:t>
      </w:r>
      <w:r>
        <w:rPr>
          <w:rtl w:val="true"/>
        </w:rPr>
        <w:t>ملامح حدود الحرّیة الاقتصادیة فی المدرسة التقلیدیة</w:t>
      </w:r>
      <w:bookmarkEnd w:id="1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وردّاً علی هذه الرؤیة التی رأتها المدرسة الطبیعیة،نشأت المدرسة الکلاسیکیة أو التقلیدیة التی هدفت إلی توجیه الجهود نحو الصناعة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ویعدّ آدم سمیث </w:t>
      </w:r>
      <w:r>
        <w:rPr>
          <w:rFonts w:eastAsia="IRNazanin" w:cs="IRNazanin"/>
          <w:color w:val="111111"/>
          <w:sz w:val="28"/>
          <w:szCs w:val="28"/>
          <w:lang w:bidi="fa-IR"/>
        </w:rPr>
        <w:t>17231790</w:t>
      </w:r>
      <w:r>
        <w:rPr>
          <w:rFonts w:ascii="IRNazanin" w:hAnsi="IRNazanin" w:eastAsia="IRNazanin"/>
          <w:color w:val="111111"/>
          <w:sz w:val="28"/>
          <w:sz w:val="28"/>
          <w:szCs w:val="28"/>
          <w:rtl w:val="true"/>
          <w:lang w:bidi="fa-IR"/>
        </w:rPr>
        <w:t>م من أبرز</w:t>
      </w:r>
    </w:p>
    <w:p>
      <w:pPr>
        <w:pStyle w:val="BookText"/>
        <w:rPr/>
      </w:pPr>
      <w:r>
        <w:rPr>
          <w:rFonts w:ascii="IRNazanin" w:hAnsi="IRNazanin" w:eastAsia="IRNazanin"/>
          <w:color w:val="111111"/>
          <w:sz w:val="28"/>
          <w:sz w:val="28"/>
          <w:szCs w:val="28"/>
          <w:rtl w:val="true"/>
          <w:lang w:bidi="fa-IR"/>
        </w:rPr>
        <w:t>روّادها،الذی أشاد أفکاره علی أساس الحرّیة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خلاف کثیر من النقّاد و المحلّلین،لم یکن قائلاً بلزوم رعایة الحرّیة بشکل‌مطلق فی الأمور الاقتصادیة،و إنّما قام بالعدول عن کثیر من عقائده فهو قد ألزم الدولة بضرورة اتّخاذها تدابیر من أجل تحقیق أصول الحرّیة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مقصوده من ذلک هو أنّه یجب علی الدولة تأمین وضمان‌مجموعة إجراءات مختلفة کی تسیر الفعّالیات الاقتصادیة الحرّة بشکل طبیعی ونافع</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ومن ضمن تلک الإجراءات التی رآها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 الدولة فی تحدید أسعار السلع التی یحتکر التعاطی بها صنف أو مؤسّسة خاصّة؛لأنّ ذلک یعدّ الوسیلة و العامل الأمثل فی الحفاظ علی حقوق المستهلکین وصیانتها فی مثل هذه الموارد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ودعا إلی أن یکون مستوی الأجور متناسباً و الحاجات المعاشیة فی زمن الرخص و الغلاء علی السواء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یستطیع العامل تأمین النفقات الأساسیة له ولأسرته حتّی فی زمن الغلاء،وأن تکون قوّته الشرائیة أکثر من الحدّ الأدنی لما یحتاجه زمن الرخص</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هذا ممّا یدلّ علی قوله بحدود وضوابط للحرّیة الاقتصادیة التی دعا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ضمن المبادئ التی قام علیها هذا المذهب و التی تُعدّ بمثابة ضوابط وقیود علی الحرّیة الاقتصادیة التی آمن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وحده قوام الثروة القومیة و المورد الأصیل لها؛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الإنتاج وموازنته وفقاً للأسعار السائدة فی الأسواق؛</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مصالح العمّال وحمایتهم من أصحاب رؤوس الأموال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ویأتی یبدی تورجو </w:t>
      </w:r>
      <w:r>
        <w:rPr>
          <w:rFonts w:eastAsia="IRNazanin" w:cs="IRNazanin"/>
          <w:color w:val="111111"/>
          <w:sz w:val="28"/>
          <w:szCs w:val="28"/>
          <w:lang w:bidi="fa-IR"/>
        </w:rPr>
        <w:t>17271781</w:t>
      </w:r>
      <w:r>
        <w:rPr>
          <w:rFonts w:ascii="IRNazanin" w:hAnsi="IRNazanin" w:eastAsia="IRNazanin"/>
          <w:color w:val="111111"/>
          <w:sz w:val="28"/>
          <w:sz w:val="28"/>
          <w:szCs w:val="28"/>
          <w:rtl w:val="true"/>
          <w:lang w:bidi="fa-IR"/>
        </w:rPr>
        <w:t>م لیناظر آدم سمیث فی شدّة تمسّکه بمذهب أصالة الفرد ومبدأ الحرّیة الاقتصادیة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مؤکّداً،فی دفاعه عن هذا المبدأ،علی أنّ کلّ فرد فی المجتمع،هو أعرف بمصلحته،وبالتالی،فهو الأقدر علی تحقیقها</w:t>
      </w:r>
      <w:r>
        <w:rPr>
          <w:rFonts w:eastAsia="IRNazanin" w:cs="IRNazanin"/>
          <w:color w:val="111111"/>
          <w:sz w:val="28"/>
          <w:szCs w:val="28"/>
          <w:rtl w:val="true"/>
          <w:lang w:bidi="fa-IR"/>
        </w:rPr>
        <w:t xml:space="preserve">. </w:t>
      </w:r>
      <w:r>
        <w:rPr>
          <w:rStyle w:val="FootnoteAnchor"/>
          <w:rtl w:val="true"/>
        </w:rPr>
        <w:footnoteReference w:id="161"/>
      </w:r>
      <w:bookmarkStart w:id="170" w:name="pg5204_66063"/>
    </w:p>
    <w:p>
      <w:pPr>
        <w:pStyle w:val="BookText"/>
        <w:rPr/>
      </w:pPr>
      <w:bookmarkEnd w:id="170"/>
      <w:r>
        <w:rPr>
          <w:rFonts w:ascii="IRNazanin" w:hAnsi="IRNazanin" w:eastAsia="IRNazanin"/>
          <w:color w:val="111111"/>
          <w:sz w:val="28"/>
          <w:sz w:val="28"/>
          <w:szCs w:val="28"/>
          <w:rtl w:val="true"/>
          <w:lang w:bidi="fa-IR"/>
        </w:rPr>
        <w:t xml:space="preserve">أمّا جون باتیست سه </w:t>
      </w:r>
      <w:r>
        <w:rPr>
          <w:rFonts w:eastAsia="IRNazanin" w:cs="IRNazanin"/>
          <w:color w:val="111111"/>
          <w:sz w:val="28"/>
          <w:szCs w:val="28"/>
          <w:lang w:bidi="fa-IR"/>
        </w:rPr>
        <w:t>17671832</w:t>
      </w:r>
      <w:r>
        <w:rPr>
          <w:rFonts w:ascii="IRNazanin" w:hAnsi="IRNazanin" w:eastAsia="IRNazanin"/>
          <w:color w:val="111111"/>
          <w:sz w:val="28"/>
          <w:sz w:val="28"/>
          <w:szCs w:val="28"/>
          <w:rtl w:val="true"/>
          <w:lang w:bidi="fa-IR"/>
        </w:rPr>
        <w:t>م فقد اعتمد مبدأ المقایضة فتتمّ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مقایضة السلع و الخدمات بالسلع و الخدمات فحسب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ولم یعطِ للنقد دوراً سوی اعتباره وسیطاً فی المعاملات و الحصول علی السلع لیس إلّا؛ولذا فقد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الاکتناز مجرّد مرض استثنائی فی الحیاة الاقتصادیة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وکان من نتائج هذه المدرسة،قیام النظام الرأسمالی،الذی اتّخذت فیه الحرّیة الاقتصادیة أبعاداً أخری مستمدّةً من الحرّیة الفردیة المطلقة،التی بنی دعائمه علی أساسها،والتی أطلقت العنان للفرد فی أن یفعل ما یشاء</w:t>
      </w:r>
      <w:r>
        <w:rPr>
          <w:rFonts w:eastAsia="IRNazanin" w:cs="IRNazanin"/>
          <w:color w:val="111111"/>
          <w:sz w:val="28"/>
          <w:szCs w:val="28"/>
          <w:rtl w:val="true"/>
          <w:lang w:bidi="fa-IR"/>
        </w:rPr>
        <w:t>.</w:t>
      </w:r>
    </w:p>
    <w:p>
      <w:pPr>
        <w:pStyle w:val="Heading5"/>
        <w:numPr>
          <w:ilvl w:val="4"/>
          <w:numId w:val="1"/>
        </w:numPr>
        <w:rPr/>
      </w:pPr>
      <w:bookmarkStart w:id="171" w:name="__RefHeading___Toc97158_581953129"/>
      <w:bookmarkStart w:id="172" w:name="_Toc72"/>
      <w:bookmarkEnd w:id="171"/>
      <w:r>
        <w:rPr>
          <w:rtl w:val="true"/>
        </w:rPr>
        <w:t>رابعاً</w:t>
      </w:r>
      <w:r>
        <w:rPr>
          <w:rtl w:val="true"/>
        </w:rPr>
        <w:t>:</w:t>
      </w:r>
      <w:r>
        <w:rPr>
          <w:rtl w:val="true"/>
        </w:rPr>
        <w:t>ملامح حدود الحرّیة الاقتصادیة فی النظام الرأسمالی</w:t>
      </w:r>
      <w:bookmarkEnd w:id="172"/>
    </w:p>
    <w:p>
      <w:pPr>
        <w:pStyle w:val="BookText"/>
        <w:rPr/>
      </w:pPr>
      <w:r>
        <w:rPr>
          <w:rFonts w:ascii="IRNazanin" w:hAnsi="IRNazanin" w:eastAsia="IRNazanin"/>
          <w:color w:val="111111"/>
          <w:sz w:val="28"/>
          <w:sz w:val="28"/>
          <w:szCs w:val="28"/>
          <w:rtl w:val="true"/>
          <w:lang w:bidi="fa-IR"/>
        </w:rPr>
        <w:t>وعلی هذا فقد قام الاقتصاد الرأسمالی علی ثلاثة أرکان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بمبدأ الملکیة الخاصّة بشکل غیر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فسمح للملکیة الخاصّة بغزو جمیع عناصر الانتاج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الآلات و المبانی و المعادن،وغیر ذلک من ألوان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 المجال أمام کلّ فرد لاستغلال ملکیته وإمکاناته علی الوجه الذی یروق له،والسماح له بتنمیة ثروته بمختلف الوسائل و الأسالیب التی یتمکّن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حرّیة الاستهلاک،کما تضمن حرّیة‌الاستغلال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شخص الحرّیة فی الإنفاق من ماله کیف یشاء علی حاجاته ورغباته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ولا یقف بوجه هذه الحرّیة شیءٌ سوی ما یؤدّی إلی الإضرار بما یرتبط بالمصلحة العامّة،ولا یسوغ حتّی للدولة التدخّل فی الحدّ من هذه الحرّیة،سوی فی مجال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استهلاک بعض السلع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کاستهلاک المخدّرات</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بالقدر الذی یتطلّبه الحفاظ علیها،وصیانتها من الفوضی والاصطدام،لأنّ هذا هو القدر الذی یسمح به الأفراد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التدخّل خارج هذه الحدود،فلا مسوّغ له من حتمیة تاریخیة،أو دین،أو قیم وأخلاق</w:t>
      </w:r>
      <w:r>
        <w:rPr>
          <w:rFonts w:eastAsia="IRNazanin" w:cs="IRNazanin"/>
          <w:color w:val="111111"/>
          <w:sz w:val="28"/>
          <w:szCs w:val="28"/>
          <w:rtl w:val="true"/>
          <w:lang w:bidi="fa-IR"/>
        </w:rPr>
        <w:t xml:space="preserve">. </w:t>
      </w:r>
      <w:r>
        <w:rPr>
          <w:rStyle w:val="FootnoteAnchor"/>
          <w:rtl w:val="true"/>
        </w:rPr>
        <w:footnoteReference w:id="166"/>
      </w:r>
      <w:bookmarkStart w:id="173" w:name="pg5204_66064"/>
    </w:p>
    <w:p>
      <w:pPr>
        <w:pStyle w:val="Heading5"/>
        <w:numPr>
          <w:ilvl w:val="4"/>
          <w:numId w:val="1"/>
        </w:numPr>
        <w:rPr/>
      </w:pPr>
      <w:bookmarkStart w:id="174" w:name="__RefHeading___Toc97160_581953129"/>
      <w:bookmarkStart w:id="175" w:name="_Toc73"/>
      <w:bookmarkEnd w:id="173"/>
      <w:bookmarkEnd w:id="174"/>
      <w:r>
        <w:rPr>
          <w:rtl w:val="true"/>
        </w:rPr>
        <w:t>خامساً</w:t>
      </w:r>
      <w:r>
        <w:rPr>
          <w:rtl w:val="true"/>
        </w:rPr>
        <w:t>:</w:t>
      </w:r>
      <w:r>
        <w:rPr>
          <w:rtl w:val="true"/>
        </w:rPr>
        <w:t>ملامح حدود الحرّیة الاقتصادیة فی النظام الاشتراکی</w:t>
      </w:r>
      <w:bookmarkEnd w:id="175"/>
    </w:p>
    <w:p>
      <w:pPr>
        <w:pStyle w:val="BookText"/>
        <w:rPr/>
      </w:pPr>
      <w:r>
        <w:rPr>
          <w:rFonts w:ascii="IRNazanin" w:hAnsi="IRNazanin" w:eastAsia="IRNazanin"/>
          <w:color w:val="111111"/>
          <w:sz w:val="28"/>
          <w:sz w:val="28"/>
          <w:szCs w:val="28"/>
          <w:rtl w:val="true"/>
          <w:lang w:bidi="fa-IR"/>
        </w:rPr>
        <w:t>وإثر المآسی التی حدثت نتیجةً للتجربة الرأسمالیة،التی تعدّت حدود بلدانها،فأخضعت دولاً لسلطانها،لتتناول سلعها الإنتاجیة وتدرّ علیها موادّ أوّلیة،تدیر بها طاحونة إنتاجها الذی لیس له نهایةٌ یقف عندها،جاءت المارکسیة لتقضی علی الملکیة الخاصّة لوسائل الإنتاج التی کانت تری بأنّها السبب المباشر فی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 مذهبها علی مرحلتین،المرحلة الاشتراکیة التی یتمّ فیما یتمّ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تأمیم مصادر الثروة ووسائل الإنتاج الرأسمالیة فی البلاد واعتبارها ملکاً للمجموع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لتحدّ من تلک الحرّیة الاقتصادیة التی تُعدّ الدعامة الأساسیة للملکیة الخاصّة،و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التوزیع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حسب طاقته ولکلّ حسب عمله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بعد أن یصبح المجتمع طبقةً واحدةً فی مرحلة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 التوزیع علی أساس ما یؤدّیه کلّ فرد من عمل</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وتقوم الدولة بتوجیه النشاط الاقتصادی نحو إنتاج السلع الاستهلاکیة اللازمة لسدّ حاجات الناس الضروریة ولا تسمح بإنتاج السلع الکمالیة إلّا بعد توفّر السلع الضروریة أوّلا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ولا یقتصر دور الدولة علی تحدید الإنتاج بالحاجات الضروریة،بل إنّها ومن أجل تمکین الناس من الحصول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تحدّد أسعار ما یتّفق مع قدرتهم الشرائیة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أمّا مرحلتها الثانیة المعروفة بالشیوعیة،فإنّها مجرّد أفکار حالمة،فرّ فردوسها الموعود ذعراً،إثر انهیار مرحلتها الأولی عن بطون خاویة،فلا داعی للتعرّض لها؛إذ إنّها لم ترَ النور مطلقاً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نُنهی حدیثنا عن المراحل التی طوتها الحرّیة الاقتصادیة تاریخیاً،والتی تَبین من خلال تلک المراحل تأرجحها فیما بین السعة و الضیق،فالمحظورات و القیود و الضوابط التی توضع علی حرّیة ممارسة النشاط الاقتصادی مرّة،وتُلغی أخری حسب الغایة أو المذهب الذی تقوم علیه؛لم تکن مستمدّةً من مبدء یدرِک بعمق خصوصیات النزعة الإنسانیة من جهة،والعوامل الحقیقیة المؤثّرة فی سلاسة وحیویة وفعّالیة النظام الاقتصادی الذی یؤدّی</w:t>
      </w:r>
    </w:p>
    <w:p>
      <w:pPr>
        <w:pStyle w:val="BookText"/>
        <w:rPr/>
      </w:pPr>
      <w:r>
        <w:rPr>
          <w:rFonts w:ascii="IRNazanin" w:hAnsi="IRNazanin" w:eastAsia="IRNazanin"/>
          <w:color w:val="111111"/>
          <w:sz w:val="28"/>
          <w:sz w:val="28"/>
          <w:szCs w:val="28"/>
          <w:rtl w:val="true"/>
          <w:lang w:bidi="fa-IR"/>
        </w:rPr>
        <w:t>إلی تأمین النظم والاستقرار الاجتماعی،والذی یتوقّف بدوره علی القیم و الأهداف التی یتبنّاها ویرتکز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لاحظنا البون الشاسع و المتعاکس أحیاناً بین الأسالیب التی اتّبعها کلٌّ من أفلاطون وأرسطو،مع أنّهما یعدّان من أکثر المفکّرین و الفلاسفة إدراکاً لأهمّیة مراعاة القیم واستیعاباً لدور الرؤیة العلمیة و الموضوعیة فی نجاح الأسالیب المتّبعة لإقرار النّظام،فمع أنّهما کانا یؤمنان بلزوم مراعاة المصلحة العامّة و العدالة،کغایة یلزم تحقیقها،نری أحدهما یدعو إلی إلغاء الملکیة الخاصّة لتحلّ محلّها الملکیة العامّة،ویدعو الآخر وعلی العکس منه،إلی احترام الملکیة الخاصّة ویعارض الملکیة العامّة،مع أنّهما یبغیان الهدف ذاته؛وما ذلک إلّا لأنّهما لم یستقیا من مبدء یضخّهما برؤیة کونیة شاملة،وأحکام واضحة ومتوازنة حول الإنسان و المجتمع و الحیاة وأسسها وغایاتها،فلم تسعفهما نیاتهما الصادقة فی اختیار الأصلح للمجتمع؛فی عدم الخضوع للظروف الآنیة المحیطة بهما،والتی ساقتهما إلی ما ذهبا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 بعض الأنظمة و القوانین التی مرّت بنا،والتی عملت علی تقیید حرّیة النشاط الاقتصادی بما لا طائل منه،نزوعاً نحو تحقیق مصالح فردیة وفئویة،فهی تتغیر وتتبدّل تبعاً للمصالح التی یراها من یمسک بأزمّة الأمور،فهی بالتالی لا ترتکز علی رؤیة منهجیة وواقعیة للأمور،بل إنّ هذه الفئات،لا ترید لها أن تکون کذلک؛لأنّها تسدّ الطریق علی ما یبغونه من منافع فئویة،والأنکی من ذلک،هو أنّهم أضافةً إلی ذلک،یحاولون تسخیر الجمیع من أجل تحقیق مصالحهم تلک،ویمارسون أقسی أنواع الظلم ضدّهم من أجل أن لا یصبحوا قوّةً تشکّل تهدیداً لهم،حتّی وصل الأمر إلی مستوی استعبادهم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وتلاحَظ ضمن هذا المعترک،بعض التشریعات التی أُقرّت فی أغلب تلک الأدوار کمنع الربا والاحتکار،ممّا اختزنته الذهنیة البشریة من خلال التعالیم التی جاء بها الأنبیاء علیهما السلام وربما ساعد علی ذلک،ما جرّبته من آثارها المفجعة علی مرّ العصور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ویدلّل هذا الأخیر علی قیام أحکام وتعالیم الرؤیة الدینیة،علی إدراک عمیق وصحیح للمصالح و المفاسد الواقعیة</w:t>
      </w:r>
      <w:r>
        <w:rPr>
          <w:rFonts w:eastAsia="IRNazanin" w:cs="IRNazanin"/>
          <w:color w:val="111111"/>
          <w:sz w:val="28"/>
          <w:szCs w:val="28"/>
          <w:rtl w:val="true"/>
          <w:lang w:bidi="fa-IR"/>
        </w:rPr>
        <w:t>.</w:t>
      </w:r>
      <w:bookmarkStart w:id="176" w:name="pg5204_66066"/>
    </w:p>
    <w:p>
      <w:pPr>
        <w:pStyle w:val="Heading3"/>
        <w:numPr>
          <w:ilvl w:val="2"/>
          <w:numId w:val="1"/>
        </w:numPr>
        <w:rPr/>
      </w:pPr>
      <w:bookmarkStart w:id="177" w:name="__RefHeading___Toc97162_581953129"/>
      <w:bookmarkStart w:id="178" w:name="_Toc74"/>
      <w:bookmarkEnd w:id="176"/>
      <w:bookmarkEnd w:id="177"/>
      <w:r>
        <w:rPr>
          <w:rtl w:val="true"/>
        </w:rPr>
        <w:t>المبحث الثالث</w:t>
      </w:r>
      <w:r>
        <w:rPr>
          <w:rtl w:val="true"/>
        </w:rPr>
        <w:t>:</w:t>
      </w:r>
      <w:r>
        <w:rPr>
          <w:rtl w:val="true"/>
        </w:rPr>
        <w:t>الأصل العقلی فی تحدید نطاق الحرّیة</w:t>
      </w:r>
      <w:bookmarkEnd w:id="178"/>
    </w:p>
    <w:p>
      <w:pPr>
        <w:pStyle w:val="Heading4"/>
        <w:numPr>
          <w:ilvl w:val="3"/>
          <w:numId w:val="1"/>
        </w:numPr>
        <w:rPr/>
      </w:pPr>
      <w:bookmarkStart w:id="179" w:name="__RefHeading___Toc97164_581953129"/>
      <w:bookmarkStart w:id="180" w:name="_Toc75"/>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بما أنّ موضع بحثنا یرتبط بالحرّیة،فقد ارتأینا تنقیح الأصل العملی الأوّلی،لتحدید القاعدة الأساسیة الأوّلیة،بخصوص مقدار الحرّیة التی یتمتّع بها الإنسان من حیث المبدأ،فی مجال تصرّفاته فی الواقع الحیاتی الذی یعیشه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قد قسّمنا الحرّیة،وذلک عند التطرّق لمفهومها،إلی ثلاثة أقسام،وقلنا إنّها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التکوینیة و التی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میزةً طبیعیةً للإنسان بما هو إنسانٌ یستطیع من خلالها ممارسة إنسانیته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عرّفها البعض بأنّها قدرة الإنسان علی التصرّف بإرادة الذات واختیارها،کما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الحرّیة التی تخضع للحدود الاجتماعیة التی تحدّ من الحرّیة التکوینیة بالمقدار الذی یتمّ التوافق حوله مع أفراد المجتمع الذی یعیش فی إطاره؛ثمّ الحرّیة التی یحدّ أو یوسّع منها المذهب،والتی قصدنا بها ما یقرّره المذهب بخصوص الحرّیتین المتقدّمتین علی أساس القیم التی یقوم علیها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هذا،فالبحث فی الأصل الأوّلی،یرتبط بالحرّیة المذهبیة التی یحدّدها طبیعة المذهب الذی یؤمن به الإنسان،ولیس بالحرّیة التکوینیة،کما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فالحرّیة التکوینیة تتعلّق بالقدرة التی یتمتّع بها الإنسان فی اختیار السلوک الذی یرغبه،سواء کان مؤمناً بمذهب معین أم لا،یعیش فی مجتمع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فالقدرة علی الاختیار میزةٌ طبیعیةٌ للإنسان بإمکانه من خلالها مخالفة أو موافقة ما یملیه علیه المذهب أو المجتمع لو خُلّی وشأنه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الأوّلی هو ما یراه العقل من الحدود المسموح له فیها بالتصرّف فی إطار المذهب الذی یؤمن به،ومن المعلوم أنّنا نبحثه هنا فی إطار مذهب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تقاسم الساحة الأصولیة فی مسألة الأصل الأوّلی بخصوص حکم الموقف الابتدائی للإنسان من کلّ ما یحیط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الرؤیة العقلیة المحضة؛یتقسامها تیاران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الأوّلی هو إباحة جمیع التصرّفات للإنسان إلّا بخصوص ما وصل إلیه من دلیل قطعی أو ظنّی نزّلته الأدلّة منزلة القطعی؛علی تکلیف معین فعلاً أو ترکاً،فیثبت التکلیف به،وتکون له الحُجّیة التی تثبت بثبوت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العقاب علی ترک ما قطع بلزوم الإتیان به أو فعل ما قطع بلزوم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یعبَّر عنه بالمنجّزیة،بمعنی تنجّز التکلیف وثبوته فی عهدة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العذر فیما لم یتمّ فیه قطعٌ وعلم،لتوقّف الحُجّیة التی یؤاخذ علیها،علی القطع ولا قطع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یطلق علیه بالمعذّریة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غیر مکلّف من حیث الأساس،إلّا فی ما ثبت فیه التکلیف،فیکون المکلَّف معذوراً فی فعل أو ترک کلّ ما لم یقطع به،و إن کان ثابتاً فی لوح الواقع،و هذه الحُجّیة التی نبحثها هنا ترتبط بجانب الامتثال و الطاعة فی مجال علاقة العبد بمولاه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کون القطع منجِّزاً أو معذِّراً فی حقّ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یختصّ بحثها فی علم الأصول،وهی غیر الحُجّیة بمعنی مدی حقّانیة وموضوعیة القطع،أو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الدافعیة و المحرّکیة المناسبة لطبیعة القاطع للإقدام علی ما یریده و التی هی تکوینیة،فالحُجّیة المبحوث عنها هنا تتجاوز هاتین الحُجّیتین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لا یرتبط بأنّ هذه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صحیحةٌ أم خاطئةٌ فی حقیقتها؟أو أنّها تستطیع أن تدفع الإنسان تکوینیاً وطبیعیاً علی نحو مناسب لغرضه أم لا؟</w:t>
      </w:r>
    </w:p>
    <w:p>
      <w:pPr>
        <w:pStyle w:val="BookText"/>
        <w:rPr/>
      </w:pPr>
      <w:r>
        <w:rPr>
          <w:rFonts w:ascii="IRNazanin" w:hAnsi="IRNazanin" w:eastAsia="IRNazanin"/>
          <w:color w:val="111111"/>
          <w:sz w:val="28"/>
          <w:sz w:val="28"/>
          <w:szCs w:val="28"/>
          <w:rtl w:val="true"/>
          <w:lang w:bidi="fa-IR"/>
        </w:rPr>
        <w:t>و إنّما ترتبط بالجانب الأصولی الذی یختصّ بمجال تنجُّز العقاب بحقّه بترکه امتثال القطع وتعذُّره بحقّه مع عدم امتثاله ما لم یقطع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کونه صائباً أو خاطئاً فی واقعه،أو أنّه مناسبٌ مع طبیعته فی تحریکه نحو ما 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القاعدة الأوّلیة لهذا التیار،والتی أطلقوا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،والبیان هو القطع القائم علی الدلیل الواصل إلی المکلَّف،وتسمّی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العقلیة فی مقابل الشرعیة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التیار الآخر،فیقول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الأوّلی هو الحظر والاحتیاط فی جمیع ذلک،إلّا فی خصوص ما یقطع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 ممّا ذهب إلیه التیار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w:t>
      </w:r>
    </w:p>
    <w:p>
      <w:pPr>
        <w:pStyle w:val="BookText"/>
        <w:rPr/>
      </w:pPr>
      <w:r>
        <w:rPr>
          <w:rFonts w:ascii="IRNazanin" w:hAnsi="IRNazanin" w:eastAsia="IRNazanin"/>
          <w:color w:val="111111"/>
          <w:sz w:val="28"/>
          <w:sz w:val="28"/>
          <w:szCs w:val="28"/>
          <w:rtl w:val="true"/>
          <w:lang w:bidi="fa-IR"/>
        </w:rPr>
        <w:t>مکلَّف،إلّا ما خرج بالدلیل علی عدم ثبوت تکلیف فیه،فهو یأخذ فی حسبانه أنّ هناک تکلیفاً واقعیاً یواجهه فی کافّة شؤون حیاته،فإن حصل لدیه جزمٌ وقطعٌ بمورد التکلیف،من خلال دلیل لفظی،فستکون حُجّیته قطعیة،و إن لم یحرز ذلک الدلیل یلزم علیه الاحتیاط فی موارد الظنّ والاحتمال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فخضوعه وارتباطه وتوقّفه وجوداً وتکویناً علی وجود الله وإرادته،ابتداءً وبقاءً،وعدم إمکانه الانفصال والاستقلال عنها،یستلزم ارتباطه به وخضوعه له أمریاً وتشریعیاً،حیث إنّ لله 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 الکون تکویناً،ولا یمکن أن نتصوّر انقطاع هذه الإرادة و الإدارة فی أی لحظة من اللحظات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تشریعیةً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تنظّمه وتدبّره باتّجاه الغایة التی أرادها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یمکن الفصل بینهما،فیکون خاضعاً له فی الأولی ابتداءً واستمراراً،وطلیقاً ومتنفّذاً فی الثانیة،فهو ملزمٌ ابتداءً تّجاه تلک الإرادة التشریعیة،فلا یستطیع ممارسة أی فعل مشکوک فیه إلّا بالرجوع إلیه،فإن علم وقطع بجواز الإتیان به فهو حِلٌّ من تلک الإرادة،و إن لم یعلم،وعدم العلم هذا،إمّا أن یکون ظنّاً أو شکّاً أو احتمالاً فی وجود تکلیف معین،فیکون ملزماً بالتزام جانبه الإلزامی،ولا یقدِم علی الطرف الإباحی لذلک الظّن و الشک،لوجوب تنفیذه الإرادة التشریعیة التی قوی لدیه طرفها الأوّل علی الثانی،لارتباط مولویة المولی التشریعیة بمولویته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إرادته التکوینیة نافذة فی الکون کذلک إرادته التشریعیة نافذة عقلاً علی المخلوقین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ولأجل الاطّلاع علی أدلّة کلّ من التیارین فیما ذهبا إلیه و النقوض الواردة علیها نحاول عرضهما بشیء من التفصیل المقتضب،ولکن قبل الخوض فی ذلک یجدر إلفات النظر إلی بعض الأمور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الأصل الأوّلی یرتبط بتحدید الوظیفة و الموقف العملی عند الشکّ وفقد الدلیل الشرعی لفظیاً کان أو غیر لفظی،فهو أصلٌ عملی،ولکنّه عقلی یأتی فی مرحلة متأخّرة عن الدلیل الشرعی،فلا یتمّ الانتقال إلیه إلّا بعد العجز عن الدلیل،هذا من جهة،ومن جهة أخری،فإنّ تحدید الوظیفة العملیة یتمّ أیضاً من خلال ما یطلق علیه فی علم الأصول بالأصول العملیة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فالأصول العملیة تعبّر عن لسان شرعی ولا ترتبط بتحدید حکم شرعی فی موضوع محدّد،و إنّما تقوم بتعیین الموقف العملی تّجاه الوقائع التی لم یرد فیها دلیلٌ شرعی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فهی عملاً تُقدّم علی الأصل العقلی؛لأنّها تعبّر عن إمضاءات الشارع إلّا فی المجالات التی لا تشملها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مقدّمٌ علیها بحثاً،علی افتراض عدم وجود دلیل شرعی،وعلی أساس ما له من دور فی تقریر بعض الحالات المختصّة بالأمارات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یکون الأصل الأوّلی العقلی مختصّاً بالموارد التی لا تدخل تحت نطاق الدلیل الشرعی و الأصول العملیة الثانویة،فعند طروء مثل هذا العنوان یأتی دور الأصل الأوّلی لیحدّد لنا وظیفتنا فی هذا النطاق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وسیکون عمدة ما نعتمده فی هذا الباب،هو البحوث الأصولیة التی أنتجتها العقول الأصولیة فی المذهب الإمامی،وما ذلک إلّا لأجل أنّ هذا البحث علی الخصوص لم یکن علی درجة من السعة و الشمول عند أهل السنّة و الجماعة منه عند الإمامیة،ویعدّ هذا نتیجةً طبیعیةً لغلق باب الاجتهاد عند أهل السنّة وفتحه عند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فالاجتهاد الذی یتمثّل بعملیة الاستنباط یقوم علی أساس علوم متعدّدة وبضمنها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وسیکون الاقتضاب وضغط المطالب مع محاولة تبسیطها وعدم الإخلال بمفادها ومضمونها والاقتصار علی لبابها من دون توسّع فی التفاصیل؛دیدننا فی هذا الباب،مع عدم ذکر أسماء أصحاب الآراء إلّا من خلال ذکر المصادر؛إذ إنّ المطلوب هنا هو ذکر لمحة عن الأصل الأوّلی لما له من ارتباط بموضوع البحث،فعدم الالتزام بذلک یتطلّب إفراد کتاب خاصّ بهذا الموضوع،و هو خارجٌ عن عهدة هذا البحث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اللازم توضیح بعض المصطلحات الأساسیة المستعملة هنا،والتی ربما تتضمّن نوعاً من الترادف الموردی لا الحقیقی،کی یتمّ تکوین رؤیة عامّة حولها واستیعاب أفضل لمضمون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الإباحة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مختلفان لُغویاً،ولکنّهما هنا یستعملان بشکل مترادف نوعاً ما،فالإباحة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المکلَّف فی التصرّف فی مورد ما فعلاً أو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فالأصولیون ناظرون باستعمالها إلی ذلک المورد فیعبّرون عنه بالمباح،وسیأتی توضیحٌ أکثر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البراءة،فهی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شیء فی عهدة المکلَّف أو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الخلو و الفراغ من مطلق التکلیف المشکوک فیه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فینظرون باستعمالها إلی مسؤولیة المکلَّف تّجاه الله فهو برئٌ وغیر مؤاخذ بالإقدام علی فعل ثبتت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تراهم یعبّرون مرّةً بأصالة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الأشیاء أنّها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 بأصالة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هو أنّ المکلّف غیر مؤاخذ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یقصدون مفهوماً واحداً؛إذ إنّ أحدهما یستلزم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فالقائلون بأصالة البراءة هم أنفسهم القائلون بأصالة الإباحة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الإباحة أخصّ منه بحسب المورد لجریان أصل البراءة فیما یحتمل الإباحة وفیما لا یحتمله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الاحتیاط والاشتغال و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کما تری تختلف لُغویاً،لکنّ الأصولیین یستعملونها فی مقابل الإباحة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فالاحتیاط ناظرٌ إلی تقیید حرّیة المکلَّف فی التصرّف فی مورد ما فعلاً أو ترکاً،والاشتغال کون ذمّته مشغولةً ومسؤولةً تّجاه الله فی ذلک المورد،فیعبّرون مرّةً بأصالة الاحتیاط ومرّةً بأصالة الاشتغال،وهم یقصدون مفهوماً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الحظر،فهو یصبّ فی ذات الاتّجاه ویقابل الإباحة،ولکنّه یقتصر علی المورد الذی یستدعی الحرمة،ولا یشمل الوجوب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رجّحنا استعمال الإباحة بدل البراءة والاحتیاط بدل الاشتغال و الحظر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 منّا بأنّ عنوان الإباحة أقرب إلی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عادةً ما تکون ناظرةً إلی موضوع التکلیف فی أنّه مباحٌ أو غیر مباح،و هو الأقرب لموضوع رسالتنا،وبالنسبة للاحتیاط فلنفس الجهة ولشموله للشبهات التحریمیة و الوجوبیة خلافاً للحظر الذی یقتصر علی التحریمیة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ویتضمّن البحث کذلک مفاهیم ومصطلحات أخری سنأتی علی بیانها فی محلّها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نحن نشرع فی بحث الأصل،الأوّلی فنتطرّق أوّلاً إلی أدلّة الإباحة ومناقشتها،ومن ثمّ ننتقل إلی البحث فی أدلّة الاحتیاط و الإشکالات التی أوردوها علیه،ثمّ لنختار الأرجح من بین الرأیین،وذلک فی مطلبین</w:t>
      </w:r>
      <w:r>
        <w:rPr>
          <w:rFonts w:eastAsia="IRNazanin" w:cs="IRNazanin"/>
          <w:color w:val="111111"/>
          <w:sz w:val="28"/>
          <w:szCs w:val="28"/>
          <w:rtl w:val="true"/>
          <w:lang w:bidi="fa-IR"/>
        </w:rPr>
        <w:t>:</w:t>
      </w:r>
      <w:bookmarkStart w:id="181" w:name="pg5204_66071"/>
    </w:p>
    <w:p>
      <w:pPr>
        <w:pStyle w:val="Heading4"/>
        <w:numPr>
          <w:ilvl w:val="3"/>
          <w:numId w:val="1"/>
        </w:numPr>
        <w:rPr/>
      </w:pPr>
      <w:bookmarkStart w:id="182" w:name="__RefHeading___Toc97166_581953129"/>
      <w:bookmarkStart w:id="183" w:name="_Toc76"/>
      <w:bookmarkEnd w:id="181"/>
      <w:bookmarkEnd w:id="182"/>
      <w:r>
        <w:rPr>
          <w:rtl w:val="true"/>
        </w:rPr>
        <w:t>المطلب الأوّل</w:t>
      </w:r>
      <w:r>
        <w:rPr>
          <w:rtl w:val="true"/>
        </w:rPr>
        <w:t>:</w:t>
      </w:r>
      <w:r>
        <w:rPr>
          <w:rtl w:val="true"/>
        </w:rPr>
        <w:t>أدلّة الإباحة</w:t>
      </w:r>
      <w:bookmarkEnd w:id="183"/>
    </w:p>
    <w:p>
      <w:pPr>
        <w:pStyle w:val="Heading5"/>
        <w:numPr>
          <w:ilvl w:val="4"/>
          <w:numId w:val="1"/>
        </w:numPr>
        <w:rPr/>
      </w:pPr>
      <w:bookmarkStart w:id="184" w:name="__RefHeading___Toc97168_581953129"/>
      <w:bookmarkStart w:id="185" w:name="_Toc77"/>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استدلّ القائلون بأصالة البراءة العقلیة،بعدّة إدلّة لإثبات مدّعاهم نستعرض أهمّها،وتعود غیرها من الأدلّة بنحو أو آخر إلی هذه الأدلّة،فیمکن معرفة مدی قوّتها وصحّتها من خلال الردود المذکورة هنا</w:t>
      </w:r>
      <w:r>
        <w:rPr>
          <w:rFonts w:eastAsia="IRNazanin" w:cs="IRNazanin"/>
          <w:color w:val="111111"/>
          <w:sz w:val="28"/>
          <w:szCs w:val="28"/>
          <w:rtl w:val="true"/>
          <w:lang w:bidi="fa-IR"/>
        </w:rPr>
        <w:t>:</w:t>
      </w:r>
    </w:p>
    <w:p>
      <w:pPr>
        <w:pStyle w:val="Heading5"/>
        <w:numPr>
          <w:ilvl w:val="4"/>
          <w:numId w:val="1"/>
        </w:numPr>
        <w:rPr/>
      </w:pPr>
      <w:bookmarkStart w:id="186" w:name="__RefHeading___Toc97170_581953129"/>
      <w:bookmarkStart w:id="187" w:name="_Toc78"/>
      <w:bookmarkEnd w:id="186"/>
      <w:r>
        <w:rPr>
          <w:rtl w:val="true"/>
        </w:rPr>
        <w:t>الدلیل الأوّل</w:t>
      </w:r>
      <w:r>
        <w:rPr>
          <w:rtl w:val="true"/>
        </w:rPr>
        <w:t>:</w:t>
      </w:r>
      <w:r>
        <w:rPr>
          <w:rtl w:val="true"/>
        </w:rPr>
        <w:t>الارتکاز العرفی و العقلائی فی باب المولویات</w:t>
      </w:r>
      <w:bookmarkEnd w:id="187"/>
    </w:p>
    <w:p>
      <w:pPr>
        <w:pStyle w:val="Heading6"/>
        <w:numPr>
          <w:ilvl w:val="5"/>
          <w:numId w:val="1"/>
        </w:numPr>
        <w:rPr/>
      </w:pPr>
      <w:bookmarkStart w:id="188" w:name="__RefHeading___Toc97172_581953129"/>
      <w:bookmarkStart w:id="189" w:name="_Toc79"/>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حیث إنّ العرف و العقل لا یؤاخذ علی ارتکاب مخالفة التکلیف الواقعی فی موارد الجهل وعدم العلم بالحکم الواقعی ولا الظاهری الإلزامی،فیکون هذا منبّهاً علی ارتکازیة قاعدة قبح العقاب بلا بیان وعقلیتها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فالأصل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العقل بقبح العقاب علی شیء من دون بیان التکلیف ویشهد له حکم العقلاء کافّة بقبح مؤاخذة المولی عبده علی فعل ما یعترف بعدم إعلامه أصلاً بتحریمه </w:t>
      </w:r>
      <w:r>
        <w:rPr>
          <w:rStyle w:val="FootnoteAnchor"/>
          <w:rtl w:val="true"/>
        </w:rPr>
        <w:footnoteReference w:id="177"/>
      </w:r>
    </w:p>
    <w:p>
      <w:pPr>
        <w:pStyle w:val="Heading6"/>
        <w:numPr>
          <w:ilvl w:val="5"/>
          <w:numId w:val="1"/>
        </w:numPr>
        <w:rPr/>
      </w:pPr>
      <w:bookmarkStart w:id="190" w:name="__RefHeading___Toc97174_581953129"/>
      <w:bookmarkStart w:id="191" w:name="_Toc80"/>
      <w:bookmarkEnd w:id="190"/>
      <w:r>
        <w:rPr>
          <w:rtl w:val="true"/>
        </w:rPr>
        <w:t>مناقشة الدلیل الأوّل</w:t>
      </w:r>
      <w:r>
        <w:rPr>
          <w:rtl w:val="true"/>
        </w:rPr>
        <w:t>:</w:t>
      </w:r>
      <w:bookmarkEnd w:id="191"/>
    </w:p>
    <w:p>
      <w:pPr>
        <w:pStyle w:val="BookText"/>
        <w:rPr/>
      </w:pPr>
      <w:r>
        <w:rPr>
          <w:rFonts w:ascii="IRNazanin" w:hAnsi="IRNazanin" w:eastAsia="IRNazanin"/>
          <w:color w:val="111111"/>
          <w:sz w:val="28"/>
          <w:sz w:val="28"/>
          <w:szCs w:val="28"/>
          <w:rtl w:val="true"/>
          <w:lang w:bidi="fa-IR"/>
        </w:rPr>
        <w:t>إنّ ذلک مختصّ بالمولویات العرفیة و العقلائیة باعتبارها مجعولة ولیست ذاتیة،فالمقدار المجعول من المولویة عقلائیاً لیس بأکثر من موارد العلم بالتکلیف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المولی الحقیقی الذی تکون مولویته ذاتیة بملاک بالغ کامل مطلق و هو المنعمیة،بل و المالکیة و الخالقیة للإنسان،فالعقل لا یری أی قصور فی مولویته وحقّ طاعته،بل یری عمومهما لتمام موارد التکلیف حتّی موارد عدم العلم به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فهذا قیاس لمولویة المولی الحقیقی علی المولی العرفی المجعول و هو بحاجة إلی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لا یکفی لإثبات اختصاص حقّ طاعة الله تبارک وتعالی عقلاً بالتکالیف القطعیة ما لم یظهر وجه التعدّی من المولویات العرفیة العقلائیة إلی مولویة الله تبارک وتعالی،فلا بدّ من إضافة شیء إلی البیان المذکور لتوجیه هذا التعدّی من قبیل التمسّک بأنّ الله تبارک وتعالی سید العقلاء وطلیعتهم فما یصدُق علیهم یصدُق علیه کما ذکره بعضهم </w:t>
      </w:r>
      <w:r>
        <w:rPr>
          <w:rStyle w:val="FootnoteAnchor"/>
          <w:rtl w:val="true"/>
        </w:rPr>
        <w:footnoteReference w:id="1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بطبیعة الحال لیس إدراکاً عقلیاً و إنّما جعلاً عقلائیاً،فأقصی ما یترتّب علیه ثبوت البراءة الشرعیة،لا العقلیة التی نحن بصددها</w:t>
      </w:r>
      <w:r>
        <w:rPr>
          <w:rFonts w:eastAsia="IRNazanin" w:cs="IRNazanin"/>
          <w:color w:val="111111"/>
          <w:sz w:val="28"/>
          <w:szCs w:val="28"/>
          <w:rtl w:val="true"/>
          <w:lang w:bidi="fa-IR"/>
        </w:rPr>
        <w:t>.</w:t>
      </w:r>
      <w:bookmarkStart w:id="192" w:name="pg5204_66072"/>
    </w:p>
    <w:p>
      <w:pPr>
        <w:pStyle w:val="Heading5"/>
        <w:numPr>
          <w:ilvl w:val="4"/>
          <w:numId w:val="1"/>
        </w:numPr>
        <w:rPr/>
      </w:pPr>
      <w:bookmarkStart w:id="193" w:name="__RefHeading___Toc97176_581953129"/>
      <w:bookmarkStart w:id="194" w:name="_Toc81"/>
      <w:bookmarkEnd w:id="192"/>
      <w:bookmarkEnd w:id="193"/>
      <w:r>
        <w:rPr>
          <w:rtl w:val="true"/>
        </w:rPr>
        <w:t>الدلیل الثانی</w:t>
      </w:r>
      <w:r>
        <w:rPr>
          <w:rtl w:val="true"/>
        </w:rPr>
        <w:t>:</w:t>
      </w:r>
      <w:r>
        <w:rPr>
          <w:rtl w:val="true"/>
        </w:rPr>
        <w:t>کون العقاب من دون حُجّة ظلماً</w:t>
      </w:r>
      <w:bookmarkEnd w:id="194"/>
    </w:p>
    <w:p>
      <w:pPr>
        <w:pStyle w:val="Heading6"/>
        <w:numPr>
          <w:ilvl w:val="5"/>
          <w:numId w:val="1"/>
        </w:numPr>
        <w:rPr/>
      </w:pPr>
      <w:bookmarkStart w:id="195" w:name="__RefHeading___Toc97178_581953129"/>
      <w:bookmarkStart w:id="196" w:name="_Toc8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فإنّ مخالفة ما قامت علیه الحجّة خروج عن زی الرقّیة ورسم العبودیة،و هو ظلمٌ من العبد علی مولاه فیستحقّ منه الذمّ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مخالفة ما لم تقم علیه الحُجّة،لیست من أفراد الظلم إذ لیس من زی الرقّیة أن لا یخالف العبد مولاه فی الواقع وفی نفس الأمر فلیس مخالفة ما لم تقم علیه الحُجّة خروجاً عن زی الرقّیة حتّی یکون ظلما </w:t>
      </w:r>
      <w:r>
        <w:rPr>
          <w:rStyle w:val="FootnoteAnchor"/>
          <w:rtl w:val="true"/>
        </w:rPr>
        <w:footnoteReference w:id="180"/>
      </w:r>
    </w:p>
    <w:p>
      <w:pPr>
        <w:pStyle w:val="Heading6"/>
        <w:numPr>
          <w:ilvl w:val="5"/>
          <w:numId w:val="1"/>
        </w:numPr>
        <w:rPr/>
      </w:pPr>
      <w:bookmarkStart w:id="197" w:name="__RefHeading___Toc97180_581953129"/>
      <w:bookmarkStart w:id="198" w:name="_Toc83"/>
      <w:bookmarkEnd w:id="197"/>
      <w:r>
        <w:rPr>
          <w:rtl w:val="true"/>
        </w:rPr>
        <w:t>مناقشة الدلیل الثانی</w:t>
      </w:r>
      <w:r>
        <w:rPr>
          <w:rtl w:val="true"/>
        </w:rPr>
        <w:t>:</w:t>
      </w:r>
      <w:bookmarkEnd w:id="198"/>
    </w:p>
    <w:p>
      <w:pPr>
        <w:pStyle w:val="BookText"/>
        <w:rPr/>
      </w:pPr>
      <w:r>
        <w:rPr>
          <w:rFonts w:ascii="IRNazanin" w:hAnsi="IRNazanin" w:eastAsia="IRNazanin"/>
          <w:color w:val="111111"/>
          <w:sz w:val="28"/>
          <w:sz w:val="28"/>
          <w:szCs w:val="28"/>
          <w:rtl w:val="true"/>
          <w:lang w:bidi="fa-IR"/>
        </w:rPr>
        <w:t>إنّ هذا الاستدلال مبنی علی التزام القائل به،برجوع قضایا الحسن و القبح إلی قاعدة أوّلیة بدیهیة،هی حسن العدل وقبح الظلم،مع أنّ قاعدة قبح الظلم قد أُخذ فی موضوعها عنوان الظلم و هو عبارة عن؛سلب ذی الحقّ حقّه،فهی لیست أوّلیةً،فلا بدّ من افتراض وجود حقّ للآمر علی المأمور فی مرتبة سابقة لکی یحکم علی کون مخالفته سلباً لحقّه،وإلّا لم یکن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تشخیص هذا الحقّ وتحدید دائرته،فی مرتبة سابقة،کی نحدّد المجال الذی لا یتحقّق فیه الظلم بالمخالفة</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فإنّ تعلیل نفی الظلم عن مخالفة التکلیف الاحتمالی معناه عدم حُجّیة الاحتمال،و هو ما أراد هذا الدّلیل إثباته،فیکون الدلیل متوقّفاً علی المدّعی،و هو مصادرة</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199" w:name="__RefHeading___Toc97182_581953129"/>
      <w:bookmarkStart w:id="200" w:name="_Toc84"/>
      <w:bookmarkEnd w:id="199"/>
      <w:r>
        <w:rPr>
          <w:rtl w:val="true"/>
        </w:rPr>
        <w:t>الدلیل الثالث</w:t>
      </w:r>
      <w:r>
        <w:rPr>
          <w:rtl w:val="true"/>
        </w:rPr>
        <w:t>:</w:t>
      </w:r>
      <w:r>
        <w:rPr>
          <w:rtl w:val="true"/>
        </w:rPr>
        <w:t>توقّف المحرّکیة علی وصول التکلیف</w:t>
      </w:r>
      <w:bookmarkEnd w:id="200"/>
    </w:p>
    <w:p>
      <w:pPr>
        <w:pStyle w:val="Heading6"/>
        <w:numPr>
          <w:ilvl w:val="5"/>
          <w:numId w:val="1"/>
        </w:numPr>
        <w:rPr/>
      </w:pPr>
      <w:bookmarkStart w:id="201" w:name="__RefHeading___Toc97184_581953129"/>
      <w:bookmarkStart w:id="202" w:name="_Toc85"/>
      <w:bookmarkEnd w:id="201"/>
      <w:r>
        <w:rPr>
          <w:rtl w:val="true"/>
        </w:rPr>
        <w:t>اشارة</w:t>
      </w:r>
      <w:bookmarkEnd w:id="2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حکم العقل بقبح العقاب من دون بیان إنّما هو لأجل أنّ الأحکام الواقعیة بعد وضوح أنّها لا تکون محرّکةً للعبد إلّا بالإرادة لا یعقل محرّکیتها إلّا بعد الوصول ضرورة عدم إمکان الانبعاث إلّا عن البعث بوجوده العلمی دون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المحتمل،فهو بنفسه غیر قابل للمحرّکیة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فالعقاب علی مخالفته عند عدم وصوله عقاب علی مخالفة حکم لا اقتضاء له للمحرّکیة ولا ریب فی قبح ذلک، </w:t>
      </w:r>
      <w:r>
        <w:rPr>
          <w:rStyle w:val="FootnoteAnchor"/>
          <w:rtl w:val="true"/>
        </w:rPr>
        <w:footnoteReference w:id="183"/>
      </w:r>
      <w:r>
        <w:rPr>
          <w:rFonts w:ascii="IRNazanin" w:hAnsi="IRNazanin" w:eastAsia="IRNazanin"/>
          <w:color w:val="111111"/>
          <w:sz w:val="28"/>
          <w:sz w:val="28"/>
          <w:szCs w:val="28"/>
          <w:rtl w:val="true"/>
          <w:lang w:bidi="fa-IR"/>
        </w:rPr>
        <w:t>فلا معنی لتسجیل العقاب علی ترک التحرّک،فی مورد لم یکن فیه موجب للتحرّک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الأمور الواقعیة ومنها التکالیف إنّما تکون محرّکةً بوجوداتها الواصلة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الواقعیة</w:t>
      </w:r>
      <w:r>
        <w:rPr>
          <w:rFonts w:eastAsia="IRNazanin" w:cs="IRNazanin"/>
          <w:color w:val="111111"/>
          <w:sz w:val="28"/>
          <w:szCs w:val="28"/>
          <w:rtl w:val="true"/>
          <w:lang w:bidi="fa-IR"/>
        </w:rPr>
        <w:t xml:space="preserve">. </w:t>
      </w:r>
      <w:r>
        <w:rPr>
          <w:rStyle w:val="FootnoteAnchor"/>
          <w:rtl w:val="true"/>
        </w:rPr>
        <w:footnoteReference w:id="184"/>
      </w:r>
      <w:bookmarkStart w:id="203" w:name="pg5204_66073"/>
    </w:p>
    <w:p>
      <w:pPr>
        <w:pStyle w:val="BookText"/>
        <w:rPr/>
      </w:pPr>
      <w:bookmarkEnd w:id="203"/>
      <w:r>
        <w:rPr>
          <w:rFonts w:ascii="IRNazanin" w:hAnsi="IRNazanin" w:eastAsia="IRNazanin"/>
          <w:color w:val="111111"/>
          <w:sz w:val="28"/>
          <w:sz w:val="28"/>
          <w:szCs w:val="28"/>
          <w:rtl w:val="true"/>
          <w:lang w:bidi="fa-IR"/>
        </w:rPr>
        <w:t>غیر المعلومة،فإنّه لا یجوز تکلیف الغافل لأنّ قصد الامتثال من دون علم غیر ممکن</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204" w:name="__RefHeading___Toc97186_581953129"/>
      <w:bookmarkStart w:id="205" w:name="_Toc86"/>
      <w:bookmarkEnd w:id="204"/>
      <w:r>
        <w:rPr>
          <w:rtl w:val="true"/>
        </w:rPr>
        <w:t>مناقشة الدلیل الثالث</w:t>
      </w:r>
      <w:r>
        <w:rPr>
          <w:rtl w:val="true"/>
        </w:rPr>
        <w:t>:</w:t>
      </w:r>
      <w:bookmarkEnd w:id="205"/>
    </w:p>
    <w:p>
      <w:pPr>
        <w:pStyle w:val="BookText"/>
        <w:rPr/>
      </w:pPr>
      <w:r>
        <w:rPr>
          <w:rFonts w:ascii="IRNazanin" w:hAnsi="IRNazanin" w:eastAsia="IRNazanin"/>
          <w:color w:val="111111"/>
          <w:sz w:val="28"/>
          <w:sz w:val="28"/>
          <w:szCs w:val="28"/>
          <w:rtl w:val="true"/>
          <w:lang w:bidi="fa-IR"/>
        </w:rPr>
        <w:t>وأُشکل علی هذا،بأنّ المحرّک علی قسمین،فهناک محرّکٌ تکوینی ناشئٌ من وجود غرض تکوینی لدی الإنسان ینسجم مع نزعاته أو رغباته،ومحرّکٌ تشریعی،و هو حکم العقل بلزوم التحرّک بغضّ النظر عن وجود غرض لدی الإنسان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المحرّک التشریعی هذا إلی حقّ الطاعة،فیکون هذا الحقّ ثابتاً حتّی مع مجرّد احتمال الوصول لمن یقول بشمول هذا الحقّ لحالات الشکّ وعدم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مجال المحرّک الأوّل،فإنّ المحرّکیة التکوینیة نحو الغرض النفسانی تتوقّف علی وصول التکلیف لا علی مجرّد الوجود الواقعی للتکلیف بقطع النظر عن وصوله؛لأنّ المحرّکیة عملیةٌ شعوریةٌ ونفسیةٌ،فهی بحاجة إلی الوصول،ولکنّ الوصول لا یقتصر علی الوصول الحقیقی فهو له مراتب أخری،فهناک مرتبة الوصول الاحتمالی التی قد تتحقّق فیها المحرّکیة نحو الشیء المحتمل إن کان له أهمّیةٌ معتدٌّ بها</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مع أنّ هذا الکلام یعدّ مصادرةً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عدم المقتضی فرع ضیق دائرة حقّ الطاعة وعدم شمولها عقلاً للتکالیف المشکوکة،لوضوح أنّه مع الشمول یکون المقتضی للتحرّک موجوداً،فینتهی البحث إلی تحدید دائرة حقّ الطاعة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فالتحرّک هنا لا ینطلق من غرض شخصی کی یتوقّف علی الوصول،و إنّما من إبراء الذمّة تّجاه المولی الذی ثبت له أصل حقّ الطاعة،فلا بدّ من البحث فی المحتمل أوّلاً لمعرفة مدی شمول حقّ الطاعة له</w:t>
      </w:r>
      <w:r>
        <w:rPr>
          <w:rFonts w:eastAsia="IRNazanin" w:cs="IRNazanin"/>
          <w:color w:val="111111"/>
          <w:sz w:val="28"/>
          <w:szCs w:val="28"/>
          <w:rtl w:val="true"/>
          <w:lang w:bidi="fa-IR"/>
        </w:rPr>
        <w:t>.</w:t>
      </w:r>
    </w:p>
    <w:p>
      <w:pPr>
        <w:pStyle w:val="Heading5"/>
        <w:numPr>
          <w:ilvl w:val="4"/>
          <w:numId w:val="1"/>
        </w:numPr>
        <w:rPr/>
      </w:pPr>
      <w:bookmarkStart w:id="206" w:name="__RefHeading___Toc97188_581953129"/>
      <w:bookmarkStart w:id="207" w:name="_Toc87"/>
      <w:bookmarkEnd w:id="206"/>
      <w:r>
        <w:rPr>
          <w:rtl w:val="true"/>
        </w:rPr>
        <w:t>الدلیل الرابع</w:t>
      </w:r>
      <w:r>
        <w:rPr>
          <w:rtl w:val="true"/>
        </w:rPr>
        <w:t>:</w:t>
      </w:r>
      <w:r>
        <w:rPr>
          <w:rtl w:val="true"/>
        </w:rPr>
        <w:t>اختصاص المحرّکیة بالحکم الحقیقی</w:t>
      </w:r>
      <w:bookmarkEnd w:id="207"/>
    </w:p>
    <w:p>
      <w:pPr>
        <w:pStyle w:val="Heading6"/>
        <w:numPr>
          <w:ilvl w:val="5"/>
          <w:numId w:val="1"/>
        </w:numPr>
        <w:rPr/>
      </w:pPr>
      <w:bookmarkStart w:id="208" w:name="__RefHeading___Toc97190_581953129"/>
      <w:bookmarkStart w:id="209" w:name="_Toc88"/>
      <w:bookmarkEnd w:id="208"/>
      <w:r>
        <w:rPr>
          <w:rtl w:val="true"/>
        </w:rPr>
        <w:t>اشارة</w:t>
      </w:r>
      <w:bookmarkEnd w:id="2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مدار الإطاعة و العصیان علی الحکم الحقیقی و إنّ الحکم الحقیقی متقوّم بنحو من أنحاء الوصول لعدم معقولیة تأثیر الإنشاء الواقعی فی انقداح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فلا تکلیف حقیقی مع عدم الوصول،فلا مخالفة للتکلیف الحقیقی،فلا عقاب،فإنّه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مخالفة التکلیف الحقیقی </w:t>
      </w:r>
      <w:r>
        <w:rPr>
          <w:rStyle w:val="FootnoteAnchor"/>
          <w:rtl w:val="true"/>
        </w:rPr>
        <w:footnoteReference w:id="188"/>
      </w:r>
      <w:bookmarkStart w:id="210" w:name="pg5204_66074"/>
    </w:p>
    <w:p>
      <w:pPr>
        <w:pStyle w:val="BookText"/>
        <w:rPr/>
      </w:pPr>
      <w:bookmarkEnd w:id="210"/>
      <w:r>
        <w:rPr>
          <w:rFonts w:ascii="IRNazanin" w:hAnsi="IRNazanin" w:eastAsia="IRNazanin"/>
          <w:color w:val="111111"/>
          <w:sz w:val="28"/>
          <w:sz w:val="28"/>
          <w:szCs w:val="28"/>
          <w:rtl w:val="true"/>
          <w:lang w:bidi="fa-IR"/>
        </w:rPr>
        <w:t>فالحکم الحقیقی هو ما یجعل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بداعی البعث و التحریک الحقیقی،ومن الواضح أنّ کلّ خطاب لا یعقل أن یکون باعثاً إلّا أن یصل إلی المکلّف؛إذ لا یمکن أن یکون الحکم مجعولاً بداعی البعث و التحریک إلّا إذا کان واصلاً لعدم الباعثیة فی غیر صورة الوصول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فهو یقتصر علی مرحلة الإنشاء و الجعل،ولم یصل مرحلته الفعلیة،فهذه المرحلة تستلزم وصوله لیکون هذا الوصول باعثاً ومحرّکاً علی الإتیان به</w:t>
      </w:r>
      <w:r>
        <w:rPr>
          <w:rFonts w:eastAsia="IRNazanin" w:cs="IRNazanin"/>
          <w:color w:val="111111"/>
          <w:sz w:val="28"/>
          <w:szCs w:val="28"/>
          <w:rtl w:val="true"/>
          <w:lang w:bidi="fa-IR"/>
        </w:rPr>
        <w:t>.</w:t>
      </w:r>
    </w:p>
    <w:p>
      <w:pPr>
        <w:pStyle w:val="Heading6"/>
        <w:numPr>
          <w:ilvl w:val="5"/>
          <w:numId w:val="1"/>
        </w:numPr>
        <w:rPr/>
      </w:pPr>
      <w:bookmarkStart w:id="211" w:name="__RefHeading___Toc97192_581953129"/>
      <w:bookmarkStart w:id="212" w:name="_Toc89"/>
      <w:bookmarkEnd w:id="211"/>
      <w:r>
        <w:rPr>
          <w:rtl w:val="true"/>
        </w:rPr>
        <w:t>مناقشة الدلیل الرابع</w:t>
      </w:r>
      <w:r>
        <w:rPr>
          <w:rtl w:val="true"/>
        </w:rPr>
        <w:t>:</w:t>
      </w:r>
      <w:bookmarkEnd w:id="212"/>
    </w:p>
    <w:p>
      <w:pPr>
        <w:pStyle w:val="BookText"/>
        <w:rPr/>
      </w:pPr>
      <w:r>
        <w:rPr>
          <w:rFonts w:ascii="IRNazanin" w:hAnsi="IRNazanin" w:eastAsia="IRNazanin"/>
          <w:color w:val="111111"/>
          <w:sz w:val="28"/>
          <w:sz w:val="28"/>
          <w:szCs w:val="28"/>
          <w:rtl w:val="true"/>
          <w:lang w:bidi="fa-IR"/>
        </w:rPr>
        <w:t>و قد أُشکل عن هذا الدلیل بإشکالین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الوجه یتوقّف علی دعوی ضیق حقّ الطاعة فی المرتبة السابقة،أمّا بناءً علی سعة دائرة حقّ الطاعة،فإنّ بإمکان الإنشاء أن یکون محرّکاً فی حالة الوصول الاحتمالی،فهذا الوجه لیس سوی مصادرة؛إذ إنّ البحث هو هل أنّ دائرة حقّ الطاعة ضیقةٌ أم واسعة،فلا بدّ من تحدید ذلک أوّلاً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أقصی ما یقتضیه هذا الدلیل،هو عدم وجود الحکم 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حکم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یتجاوز مرحلة الإنشاء ویصل إلی المکلَّف،ولکن من جهة أخری،فإنّ ملاکات الأحکام ومبادئها المتمثّلة بالمصلحة و المفسدة و الإرادة أو الکراهة،هی أمورٌ تکوینیةٌ موجودةٌ ومحفوظةٌ فی حالات العلم و الجهل علی السواء،وهی تمثّل روح الحکم وحقیقته،فهی تکفی للحکم بالمنجّزیة وحقّ الطاعة للمولی فی موارد احتمالها سواء سمّینا ذلک حکماً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الشکّ فی وجود جعل بمبادئه من الإرادة و المصلحة الملزمتین موجود علی أی حال،حتّی ولو لم یکن مقروناً بداعی البعث و التحریک،ولابدّ أن یلاحظ أنّه هل یکفی احتمال ذلک فی التنجیز أو لا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فالذی یهمّنا و الذی یترتّب علیه الأثر؛هو مضمونه وروحه وحقیقته التی یقوم علیها،ومن خلالها یتجسّد فی مرحلة الجعل و الإنشاء</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استدلّ به مسلک قبح العقاب بلا بیان لإثبات البراءة العقلیة،وستأتی بعضها أیضاً مع إجاباتها ضمن الإشکالات التی أُشکلت علی مسلک حقّ الطاعة القائل بأصالة الاحتیاط</w:t>
      </w:r>
      <w:r>
        <w:rPr>
          <w:rFonts w:eastAsia="IRNazanin" w:cs="IRNazanin"/>
          <w:color w:val="111111"/>
          <w:sz w:val="28"/>
          <w:szCs w:val="28"/>
          <w:rtl w:val="true"/>
          <w:lang w:bidi="fa-IR"/>
        </w:rPr>
        <w:t>.</w:t>
      </w:r>
      <w:bookmarkStart w:id="213" w:name="pg5204_66075"/>
    </w:p>
    <w:p>
      <w:pPr>
        <w:pStyle w:val="Heading4"/>
        <w:numPr>
          <w:ilvl w:val="3"/>
          <w:numId w:val="1"/>
        </w:numPr>
        <w:rPr/>
      </w:pPr>
      <w:bookmarkStart w:id="214" w:name="__RefHeading___Toc97194_581953129"/>
      <w:bookmarkStart w:id="215" w:name="_Toc90"/>
      <w:bookmarkEnd w:id="213"/>
      <w:bookmarkEnd w:id="214"/>
      <w:r>
        <w:rPr>
          <w:rtl w:val="true"/>
        </w:rPr>
        <w:t>المطلب الثانی</w:t>
      </w:r>
      <w:r>
        <w:rPr>
          <w:rtl w:val="true"/>
        </w:rPr>
        <w:t>:</w:t>
      </w:r>
      <w:r>
        <w:rPr>
          <w:rtl w:val="true"/>
        </w:rPr>
        <w:t>أدلّة الاحتیاط</w:t>
      </w:r>
      <w:bookmarkEnd w:id="215"/>
    </w:p>
    <w:p>
      <w:pPr>
        <w:pStyle w:val="Heading5"/>
        <w:numPr>
          <w:ilvl w:val="4"/>
          <w:numId w:val="1"/>
        </w:numPr>
        <w:rPr/>
      </w:pPr>
      <w:bookmarkStart w:id="216" w:name="__RefHeading___Toc97196_581953129"/>
      <w:bookmarkStart w:id="217" w:name="_Toc91"/>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أمّا بالنسبة إلی أصالة الاحتیاط،فسنعرض أدلّتها أوّلاً،ثمّ الإشکالات التی أُشکلت علیها مع أجوبتها،وذلک فی عنوانین</w:t>
      </w:r>
      <w:r>
        <w:rPr>
          <w:rFonts w:eastAsia="IRNazanin" w:cs="IRNazanin"/>
          <w:color w:val="111111"/>
          <w:sz w:val="28"/>
          <w:szCs w:val="28"/>
          <w:rtl w:val="true"/>
          <w:lang w:bidi="fa-IR"/>
        </w:rPr>
        <w:t>:</w:t>
      </w:r>
    </w:p>
    <w:p>
      <w:pPr>
        <w:pStyle w:val="Heading5"/>
        <w:numPr>
          <w:ilvl w:val="4"/>
          <w:numId w:val="1"/>
        </w:numPr>
        <w:rPr/>
      </w:pPr>
      <w:bookmarkStart w:id="218" w:name="__RefHeading___Toc97198_581953129"/>
      <w:bookmarkStart w:id="219" w:name="_Toc92"/>
      <w:bookmarkEnd w:id="218"/>
      <w:r>
        <w:rPr>
          <w:rtl w:val="true"/>
        </w:rPr>
        <w:t>أوّلاً</w:t>
      </w:r>
      <w:r>
        <w:rPr>
          <w:rtl w:val="true"/>
        </w:rPr>
        <w:t>:</w:t>
      </w:r>
      <w:r>
        <w:rPr>
          <w:rtl w:val="true"/>
        </w:rPr>
        <w:t>الأدلّة</w:t>
      </w:r>
      <w:bookmarkEnd w:id="219"/>
    </w:p>
    <w:p>
      <w:pPr>
        <w:pStyle w:val="Heading6"/>
        <w:numPr>
          <w:ilvl w:val="5"/>
          <w:numId w:val="1"/>
        </w:numPr>
        <w:rPr/>
      </w:pPr>
      <w:bookmarkStart w:id="220" w:name="__RefHeading___Toc97200_581953129"/>
      <w:bookmarkStart w:id="221" w:name="_Toc9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لقد استدلّ أصحاب أصالة الاحتیاط بأدلّة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الذهنیة الأصولیة التی عاشوها</w:t>
      </w:r>
      <w:r>
        <w:rPr>
          <w:rFonts w:eastAsia="IRNazanin" w:cs="IRNazanin"/>
          <w:color w:val="111111"/>
          <w:sz w:val="28"/>
          <w:szCs w:val="28"/>
          <w:rtl w:val="true"/>
          <w:lang w:bidi="fa-IR"/>
        </w:rPr>
        <w:t>:</w:t>
      </w:r>
    </w:p>
    <w:p>
      <w:pPr>
        <w:pStyle w:val="Heading6"/>
        <w:numPr>
          <w:ilvl w:val="5"/>
          <w:numId w:val="1"/>
        </w:numPr>
        <w:rPr/>
      </w:pPr>
      <w:bookmarkStart w:id="222" w:name="__RefHeading___Toc97202_581953129"/>
      <w:bookmarkStart w:id="223" w:name="_Toc94"/>
      <w:bookmarkEnd w:id="222"/>
      <w:r>
        <w:rPr>
          <w:rtl w:val="true"/>
        </w:rPr>
        <w:t>الدلیل الأوّل</w:t>
      </w:r>
      <w:r>
        <w:rPr>
          <w:rtl w:val="true"/>
        </w:rPr>
        <w:t>:</w:t>
      </w:r>
      <w:r>
        <w:rPr>
          <w:rtl w:val="true"/>
        </w:rPr>
        <w:t>استلزام العلم الإجمالی فی الشبهات لحکم العقل بلزوم الاحتیاط فی أطرافها</w:t>
      </w:r>
      <w:bookmarkEnd w:id="223"/>
    </w:p>
    <w:p>
      <w:pPr>
        <w:pStyle w:val="BookText"/>
        <w:rPr/>
      </w:pPr>
      <w:r>
        <w:rPr>
          <w:rFonts w:ascii="IRNazanin" w:hAnsi="IRNazanin" w:eastAsia="IRNazanin"/>
          <w:color w:val="111111"/>
          <w:sz w:val="28"/>
          <w:sz w:val="28"/>
          <w:szCs w:val="28"/>
          <w:rtl w:val="true"/>
          <w:lang w:bidi="fa-IR"/>
        </w:rPr>
        <w:t>و هو کما تری مسألةٌ جزئیة،حتّی و إن تمّ تعدیتها إلی المسألة الکلّیة التی نحن بصددها،فهی بالنتیجة ترتکز علی حکم العقل،والذی سنتطرّق إلیه من خلال الدلیل الوارد بهذا الشأن</w:t>
      </w:r>
      <w:r>
        <w:rPr>
          <w:rFonts w:eastAsia="IRNazanin" w:cs="IRNazanin"/>
          <w:color w:val="111111"/>
          <w:sz w:val="28"/>
          <w:szCs w:val="28"/>
          <w:rtl w:val="true"/>
          <w:lang w:bidi="fa-IR"/>
        </w:rPr>
        <w:t>.</w:t>
      </w:r>
    </w:p>
    <w:p>
      <w:pPr>
        <w:pStyle w:val="Heading6"/>
        <w:numPr>
          <w:ilvl w:val="5"/>
          <w:numId w:val="1"/>
        </w:numPr>
        <w:rPr/>
      </w:pPr>
      <w:bookmarkStart w:id="224" w:name="__RefHeading___Toc97204_581953129"/>
      <w:bookmarkStart w:id="225" w:name="_Toc95"/>
      <w:bookmarkEnd w:id="224"/>
      <w:r>
        <w:rPr>
          <w:rtl w:val="true"/>
        </w:rPr>
        <w:t>الدلیل الثانی</w:t>
      </w:r>
      <w:r>
        <w:rPr>
          <w:rtl w:val="true"/>
        </w:rPr>
        <w:t>:</w:t>
      </w:r>
      <w:r>
        <w:rPr>
          <w:rtl w:val="true"/>
        </w:rPr>
        <w:t>دلالة لزوم دفع الضرر المحتمل علی لزوم الاحتیاط‌</w:t>
      </w:r>
      <w:bookmarkEnd w:id="225"/>
    </w:p>
    <w:p>
      <w:pPr>
        <w:pStyle w:val="BookText"/>
        <w:rPr/>
      </w:pPr>
      <w:r>
        <w:rPr>
          <w:rFonts w:ascii="IRNazanin" w:hAnsi="IRNazanin" w:eastAsia="IRNazanin"/>
          <w:color w:val="111111"/>
          <w:sz w:val="28"/>
          <w:sz w:val="28"/>
          <w:szCs w:val="28"/>
          <w:rtl w:val="true"/>
          <w:lang w:bidi="fa-IR"/>
        </w:rPr>
        <w:t>فهی منتفیةٌ علی القول بأنّ احتمال التکلیف هو بمثابة کونه واصلاً ومنجّزاً،فیکون الشکّ حینها شکّاً فی الفراغ،والسقوط فیبقی علی الثبوت،فلا شکّ فی صحّة العقوبة سواء وجِدت مثل هذه القاعدة أم لا</w:t>
      </w:r>
      <w:r>
        <w:rPr>
          <w:rFonts w:eastAsia="IRNazanin" w:cs="IRNazanin"/>
          <w:color w:val="111111"/>
          <w:sz w:val="28"/>
          <w:szCs w:val="28"/>
          <w:rtl w:val="true"/>
          <w:lang w:bidi="fa-IR"/>
        </w:rPr>
        <w:t xml:space="preserve">. </w:t>
      </w:r>
      <w:r>
        <w:rPr>
          <w:rStyle w:val="FootnoteAnchor"/>
          <w:rtl w:val="true"/>
        </w:rPr>
        <w:footnoteReference w:id="193"/>
      </w:r>
    </w:p>
    <w:p>
      <w:pPr>
        <w:pStyle w:val="Heading6"/>
        <w:numPr>
          <w:ilvl w:val="5"/>
          <w:numId w:val="1"/>
        </w:numPr>
        <w:rPr/>
      </w:pPr>
      <w:bookmarkStart w:id="226" w:name="__RefHeading___Toc97206_581953129"/>
      <w:bookmarkStart w:id="227" w:name="_Toc96"/>
      <w:bookmarkEnd w:id="226"/>
      <w:r>
        <w:rPr>
          <w:rtl w:val="true"/>
        </w:rPr>
        <w:t>الدلیل الثالث</w:t>
      </w:r>
      <w:r>
        <w:rPr>
          <w:rtl w:val="true"/>
        </w:rPr>
        <w:t>:</w:t>
      </w:r>
      <w:r>
        <w:rPr>
          <w:rtl w:val="true"/>
        </w:rPr>
        <w:t>التمسّک بأصالة الحظر</w:t>
      </w:r>
      <w:bookmarkEnd w:id="227"/>
    </w:p>
    <w:p>
      <w:pPr>
        <w:pStyle w:val="BookText"/>
        <w:rPr/>
      </w:pPr>
      <w:r>
        <w:rPr>
          <w:rFonts w:ascii="IRNazanin" w:hAnsi="IRNazanin" w:eastAsia="IRNazanin"/>
          <w:color w:val="111111"/>
          <w:sz w:val="28"/>
          <w:sz w:val="28"/>
          <w:szCs w:val="28"/>
          <w:rtl w:val="true"/>
          <w:lang w:bidi="fa-IR"/>
        </w:rPr>
        <w:t>فحسب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فی الأفعال الغیر الضروریة الحظر کما نُسب إلی طائفة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 به حتّی یثبت من الشرع الإباحة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وربّما استُدلّ بما قیل من استقلال العقل بالحظر فی الأفعال الغیر الضروریة قبل الشّرع،ولا أقلّ من الوقف وعدم استقلاله،لا به ولا بالإباحة،ولم یثبت شرعاً إباحة ما اشتبه حرمته</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یقصرون أصالة الحظر علی الشبهات التحریمیة فقط،و هذا واضحٌ من استعمالهم للفظة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استطعنا إثبات أصالة الاحتیاط علی مسلک حقّ الطاعة،لا داعی حینئذ للتعرّض إلی الاستدلال بأصالة الحظر؛لأنّه یقول بثبوت الاحتیاط فی جمیع الشبهات،تحریمیةً کانت</w:t>
      </w:r>
      <w:bookmarkStart w:id="228" w:name="pg5204_66076"/>
    </w:p>
    <w:p>
      <w:pPr>
        <w:pStyle w:val="BookText"/>
        <w:rPr/>
      </w:pPr>
      <w:bookmarkEnd w:id="228"/>
      <w:r>
        <w:rPr>
          <w:rFonts w:ascii="IRNazanin" w:hAnsi="IRNazanin" w:eastAsia="IRNazanin"/>
          <w:color w:val="111111"/>
          <w:sz w:val="28"/>
          <w:sz w:val="28"/>
          <w:szCs w:val="28"/>
          <w:rtl w:val="true"/>
          <w:lang w:bidi="fa-IR"/>
        </w:rPr>
        <w:t>أو غیرها،فإذا ثبت الکلّ و هو الاحتیاط فی جمیع الشبهات یکون الجزء ثابتاً،مع أنّ نزاع القائلین بأصالة الحظر یرتبط بحالة عدم صدور الدلیل،ونزاع القائلین بأصالة الاحتیاط یرتبط بحالة عدم وصول الدلیل</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وبهذا یبقی لدینا الدلیل العمدة الذی استُدلّ به علی مسلک حقّ الطاعة،والذی یقول بأصالة الاحتیاط فی جمیع التکالیف المحتملة</w:t>
      </w:r>
      <w:r>
        <w:rPr>
          <w:rFonts w:eastAsia="IRNazanin" w:cs="IRNazanin"/>
          <w:color w:val="111111"/>
          <w:sz w:val="28"/>
          <w:szCs w:val="28"/>
          <w:rtl w:val="true"/>
          <w:lang w:bidi="fa-IR"/>
        </w:rPr>
        <w:t>:</w:t>
      </w:r>
    </w:p>
    <w:p>
      <w:pPr>
        <w:pStyle w:val="Heading6"/>
        <w:numPr>
          <w:ilvl w:val="5"/>
          <w:numId w:val="1"/>
        </w:numPr>
        <w:rPr/>
      </w:pPr>
      <w:bookmarkStart w:id="229" w:name="__RefHeading___Toc97208_581953129"/>
      <w:bookmarkStart w:id="230" w:name="_Toc97"/>
      <w:bookmarkEnd w:id="229"/>
      <w:r>
        <w:rPr>
          <w:rtl w:val="true"/>
        </w:rPr>
        <w:t>الدلیل الرابع</w:t>
      </w:r>
      <w:r>
        <w:rPr>
          <w:rtl w:val="true"/>
        </w:rPr>
        <w:t>:</w:t>
      </w:r>
      <w:r>
        <w:rPr>
          <w:rtl w:val="true"/>
        </w:rPr>
        <w:t>حکم العقل بحقّ الطاعة</w:t>
      </w:r>
      <w:bookmarkEnd w:id="230"/>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المولویة الذاتیة الثابتة لله لا تختصّ بالتکالیف المقطوعة بل تشمل مطلق التکالیف الواصلة ولو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مُدرکات العقل العملی وهی غیر مبرهنة،فکما أنّ أصل حقّ الطاعة للمنعم و الخالق مُدرَک أوّلی للعقل العملی غیر مبرهن،کذلک حدوده سعةً وضیقاً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فالقاعدة العملیة الأوّلیة هی أصالة الاشتغال بحکم العقل ما لم یثبت الترخیص الجادّ فی ترک التحفّظ</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فلا تبعیض بالطاعة ابتداءً،فکما أنّ العقل العملی یحکم بثبوت أصل حقّ الطاعة بملاک المولویة،فهو یحکم بثبوتها بجمیع حدودها ولا یفرّق ولا یفصل بین مراتبها،ولا یجزّؤها إلّا بإذن من قِبل المولی نفسه،فللمولی حقٌّ فی ذمّة الإنسان بالطاعة بتلک المولویة الذاتیة غیر المجعولة،وعلی الإنسان أن یبرئ ذمّته فی ذلک،ولا یمکن أن‌یکون بریء الذمّة مع عدم احتیاطه فیما یحتمله من تکلیف سواء کان وجوبیاً أوتحریمیاً</w:t>
      </w:r>
      <w:r>
        <w:rPr>
          <w:rFonts w:eastAsia="IRNazanin" w:cs="IRNazanin"/>
          <w:color w:val="111111"/>
          <w:sz w:val="28"/>
          <w:szCs w:val="28"/>
          <w:rtl w:val="true"/>
          <w:lang w:bidi="fa-IR"/>
        </w:rPr>
        <w:t>.</w:t>
      </w:r>
    </w:p>
    <w:p>
      <w:pPr>
        <w:pStyle w:val="Heading5"/>
        <w:numPr>
          <w:ilvl w:val="4"/>
          <w:numId w:val="1"/>
        </w:numPr>
        <w:rPr/>
      </w:pPr>
      <w:bookmarkStart w:id="231" w:name="__RefHeading___Toc97210_581953129"/>
      <w:bookmarkStart w:id="232" w:name="_Toc98"/>
      <w:bookmarkEnd w:id="231"/>
      <w:r>
        <w:rPr>
          <w:rtl w:val="true"/>
        </w:rPr>
        <w:t>ثانیاً</w:t>
      </w:r>
      <w:r>
        <w:rPr>
          <w:rtl w:val="true"/>
        </w:rPr>
        <w:t>:</w:t>
      </w:r>
      <w:r>
        <w:rPr>
          <w:rtl w:val="true"/>
        </w:rPr>
        <w:t>الإشکالات</w:t>
      </w:r>
      <w:bookmarkEnd w:id="232"/>
    </w:p>
    <w:p>
      <w:pPr>
        <w:pStyle w:val="Heading6"/>
        <w:numPr>
          <w:ilvl w:val="5"/>
          <w:numId w:val="1"/>
        </w:numPr>
        <w:rPr/>
      </w:pPr>
      <w:bookmarkStart w:id="233" w:name="__RefHeading___Toc97212_581953129"/>
      <w:bookmarkStart w:id="234" w:name="_Toc99"/>
      <w:bookmarkEnd w:id="233"/>
      <w:r>
        <w:rPr>
          <w:rtl w:val="true"/>
        </w:rPr>
        <w:t>اشارة</w:t>
      </w:r>
      <w:bookmarkEnd w:id="2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 هذا الدّلیل بإشکالات متعدّدة،سنتطرّق إلی أهمّها؛وذلک بإیرادها ضمن جهتین،حیث ترکّزت محاولات نقضه علی جانبین،جانبه المبنائی و هو حکم العقل العملی،وجانبه البنائی،و هو ما بُنی علی حکم العقل ذاک ألَا و هو حقّ الطاعة،وسیعلم من خلال الإجابة علیها کیفیة الإجابة علی بقیة الإشکالات</w:t>
      </w:r>
      <w:r>
        <w:rPr>
          <w:rFonts w:eastAsia="IRNazanin" w:cs="IRNazanin"/>
          <w:color w:val="111111"/>
          <w:sz w:val="28"/>
          <w:szCs w:val="28"/>
          <w:rtl w:val="true"/>
          <w:lang w:bidi="fa-IR"/>
        </w:rPr>
        <w:t>:</w:t>
      </w:r>
      <w:bookmarkStart w:id="235" w:name="pg5204_66077"/>
    </w:p>
    <w:p>
      <w:pPr>
        <w:pStyle w:val="Heading6"/>
        <w:numPr>
          <w:ilvl w:val="5"/>
          <w:numId w:val="1"/>
        </w:numPr>
        <w:rPr/>
      </w:pPr>
      <w:bookmarkStart w:id="236" w:name="__RefHeading___Toc97214_581953129"/>
      <w:bookmarkStart w:id="237" w:name="_Toc100"/>
      <w:bookmarkEnd w:id="235"/>
      <w:bookmarkEnd w:id="236"/>
      <w:r>
        <w:rPr>
          <w:rtl w:val="true"/>
        </w:rPr>
        <w:t>الجهة الأولی</w:t>
      </w:r>
      <w:r>
        <w:rPr>
          <w:rtl w:val="true"/>
        </w:rPr>
        <w:t>:</w:t>
      </w:r>
      <w:r>
        <w:rPr>
          <w:rtl w:val="true"/>
        </w:rPr>
        <w:t>الإشکالات المبنائیة</w:t>
      </w:r>
      <w:bookmarkEnd w:id="237"/>
    </w:p>
    <w:p>
      <w:pPr>
        <w:pStyle w:val="Heading6"/>
        <w:numPr>
          <w:ilvl w:val="5"/>
          <w:numId w:val="1"/>
        </w:numPr>
        <w:rPr/>
      </w:pPr>
      <w:bookmarkStart w:id="238" w:name="__RefHeading___Toc97216_581953129"/>
      <w:bookmarkStart w:id="239" w:name="_Toc101"/>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وترتبط إشکالات هذا الوجه بالجانب المبنائی،وذلک بخصوص ابتناء حقّ الطاعة علی حکم العقل العملی غیر المبرهن،ویقوم بعضها علی ما استُدلّ به علی حقّ الطاعة من خلال ملاک شکر المنعم،مع أنّ القائلین بحقّ الطاعة یتجاوزونه إلی الاستدلال بملاک المالکیة و الخالقیة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مطلب نُدرکه بقطع النظر عن شکر المنعم الذی حاول الحکماء أن یخرّجوا بها مولولیة الله سبحانه ولزوم طاعته،فإنّ ثبوت الحقّ بملاک المالکیة و الخالقیة شیء وثبوته بملاک شکر المنعم شیء آخر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فعلی هذا یبقی ما أُشکل علیه بملاک المالکیة و الخالقیة</w:t>
      </w:r>
      <w:r>
        <w:rPr>
          <w:rFonts w:eastAsia="IRNazanin" w:cs="IRNazanin"/>
          <w:color w:val="111111"/>
          <w:sz w:val="28"/>
          <w:szCs w:val="28"/>
          <w:rtl w:val="true"/>
          <w:lang w:bidi="fa-IR"/>
        </w:rPr>
        <w:t>:</w:t>
      </w:r>
    </w:p>
    <w:p>
      <w:pPr>
        <w:pStyle w:val="Heading6"/>
        <w:numPr>
          <w:ilvl w:val="5"/>
          <w:numId w:val="1"/>
        </w:numPr>
        <w:rPr/>
      </w:pPr>
      <w:bookmarkStart w:id="240" w:name="__RefHeading___Toc97218_581953129"/>
      <w:bookmarkStart w:id="241" w:name="_Toc102"/>
      <w:bookmarkEnd w:id="240"/>
      <w:r>
        <w:rPr>
          <w:rtl w:val="true"/>
        </w:rPr>
        <w:t>الإشکال الأوّل</w:t>
      </w:r>
      <w:r>
        <w:rPr>
          <w:rtl w:val="true"/>
        </w:rPr>
        <w:t>:</w:t>
      </w:r>
      <w:r>
        <w:rPr>
          <w:rtl w:val="true"/>
        </w:rPr>
        <w:t>عدم بداهة حکم العقل بحقّ الطاعة</w:t>
      </w:r>
      <w:r>
        <w:rPr>
          <w:rtl w:val="true"/>
        </w:rPr>
        <w:t>:</w:t>
      </w:r>
      <w:bookmarkEnd w:id="241"/>
    </w:p>
    <w:p>
      <w:pPr>
        <w:pStyle w:val="BookText"/>
        <w:rPr/>
      </w:pPr>
      <w:r>
        <w:rPr>
          <w:rFonts w:ascii="IRNazanin" w:hAnsi="IRNazanin" w:eastAsia="IRNazanin"/>
          <w:color w:val="111111"/>
          <w:sz w:val="28"/>
          <w:sz w:val="28"/>
          <w:szCs w:val="28"/>
          <w:rtl w:val="true"/>
          <w:lang w:bidi="fa-IR"/>
        </w:rPr>
        <w:t>ویتمثّل مضمون إشکالهم،بأنّه لا یمکن عدّ حقّ الطاعة حکماً عقلیاً أوّلیاً إذا ما أخذنا الخالقیة و المالکیة ملاکاً له؛لأنّ مجرّد خالقیة ومالکیة الله لا تقتضی إطاعة تکالیفه،إلّا إذا تنزّلنا أکثر فعرفنا أنّه غیر عابث أو ظالم فی خلقه،فإدراک لزوم الطاعة لا یتمّ بصورة مباشرة و إنّما بتوسّط معرفة کونه غیر عابث أو ظالم،فهو لیس حکماً أوّلیاً،و إنّما مستنتجٌ من قضیة نظریة سابقة علیه</w:t>
      </w:r>
      <w:r>
        <w:rPr>
          <w:rFonts w:eastAsia="IRNazanin" w:cs="IRNazanin"/>
          <w:color w:val="111111"/>
          <w:sz w:val="28"/>
          <w:szCs w:val="28"/>
          <w:rtl w:val="true"/>
          <w:lang w:bidi="fa-IR"/>
        </w:rPr>
        <w:t xml:space="preserve">. </w:t>
      </w:r>
      <w:r>
        <w:rPr>
          <w:rStyle w:val="FootnoteAnchor"/>
          <w:rtl w:val="true"/>
        </w:rPr>
        <w:footnoteReference w:id="199"/>
      </w:r>
    </w:p>
    <w:p>
      <w:pPr>
        <w:pStyle w:val="Heading6"/>
        <w:numPr>
          <w:ilvl w:val="5"/>
          <w:numId w:val="1"/>
        </w:numPr>
        <w:rPr/>
      </w:pPr>
      <w:bookmarkStart w:id="242" w:name="__RefHeading___Toc97220_581953129"/>
      <w:bookmarkStart w:id="243" w:name="_Toc103"/>
      <w:bookmarkEnd w:id="242"/>
      <w:r>
        <w:rPr>
          <w:rtl w:val="true"/>
        </w:rPr>
        <w:t>الجواب</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من هذا الإشکال،أنّه لم یتوجّه إلی حقیقة القول بالمولویة،فإنّ المولویة تتقوّم بجهتین،وجود مولیً من جهة ومولّی علیه من جهة أخری،فهی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المولی علی المولّی علیه بالطاعة إذا نظرنا إلیها من جهة المولی،ووجوب طاعة المولّی علیه للمولی إذا نظرنا إلیها من جهة المولّی علیه،فحقّ الطاعة مأخوذٌ فیها ذاتیاً،ولا یمکن حتّی التعبیر عنه؛بأنّه لا ینفکّ ولا ینفصل ولا یزول عنها؛لأنّه لیس شیئاً إضافیاً وزائداً کی یمکن التحدّث عنه بهذه الطریقة،فالمولویة متقوّمة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قالوا بأنّها ذاتیة،فلا یتوسّط ذلک أی شیء آخر،فالمولویة بحدّ ذاتها،تعنی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یتطلّب أن یتصوّر العقل وجود تکلیف بالفعل کی یتوقّف علی التصدیق بوجود مکلَّف فی مرحلة سابقة کما أشکلوا، </w:t>
      </w:r>
      <w:r>
        <w:rPr>
          <w:rStyle w:val="FootnoteAnchor"/>
          <w:rtl w:val="true"/>
        </w:rPr>
        <w:footnoteReference w:id="200"/>
      </w:r>
      <w:r>
        <w:rPr>
          <w:rFonts w:ascii="IRNazanin" w:hAnsi="IRNazanin" w:eastAsia="IRNazanin"/>
          <w:color w:val="111111"/>
          <w:sz w:val="28"/>
          <w:sz w:val="28"/>
          <w:szCs w:val="28"/>
          <w:rtl w:val="true"/>
          <w:lang w:bidi="fa-IR"/>
        </w:rPr>
        <w:t>فکلامنا لیس فی ثبوت التکالیف؛لأنّ العقل العملی وحده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یکفی لإثبات الحکم الشرعی ما لم نظمّ إلیه حکماً عقلیاً نظریا </w:t>
      </w:r>
      <w:r>
        <w:rPr>
          <w:rStyle w:val="FootnoteAnchor"/>
          <w:rtl w:val="true"/>
        </w:rPr>
        <w:footnoteReference w:id="201"/>
      </w:r>
      <w:bookmarkStart w:id="244" w:name="pg5204_66078"/>
    </w:p>
    <w:p>
      <w:pPr>
        <w:pStyle w:val="BookText"/>
        <w:rPr/>
      </w:pPr>
      <w:bookmarkEnd w:id="244"/>
      <w:r>
        <w:rPr>
          <w:rFonts w:ascii="IRNazanin" w:hAnsi="IRNazanin" w:eastAsia="IRNazanin"/>
          <w:color w:val="111111"/>
          <w:sz w:val="28"/>
          <w:sz w:val="28"/>
          <w:szCs w:val="28"/>
          <w:rtl w:val="true"/>
          <w:lang w:bidi="fa-IR"/>
        </w:rPr>
        <w:t>فالعقل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شأن إلّا الإدراک لما هو واقع وثابت فی لوح الواقع الأوسع من لوح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الفرق أنّ الأمر الواقعی المُدرَک للعقل إن کان لا یستدعی بذاته موقفاً عملیاً وسلوکیاً معیناً علی طبقه فهو مُدرَک نظری و إن استدعی ذلک فهو مُدرَک عملی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فتصوّر المولویة هو فی حقیقته تصوّرٌ لانشغال الذمّة بالطاعة الکلّیة،و هذا هو المطلوب؛أمّا مفرداتها وتفاصیلها،فهی التی تحتاج إلی إثبات وتعیین لحدودها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هو کالقول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التصدیق بوجود خالق کی نصدّق بأنّنا مخلوقین،و هو باطلٌ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هذا الإشکال ناشئٌ من عدم التمییز بین ثبوت أصل حقّ الطاعة وثبوت التکلیف الفعلی،فإنّ ثبوت التکلیف هو الذی یحتاج إلی العقل النظری للقیام بدور الإثبات وتعیین الحدود</w:t>
      </w:r>
      <w:r>
        <w:rPr>
          <w:rFonts w:eastAsia="IRNazanin" w:cs="IRNazanin"/>
          <w:color w:val="111111"/>
          <w:sz w:val="28"/>
          <w:szCs w:val="28"/>
          <w:rtl w:val="true"/>
          <w:lang w:bidi="fa-IR"/>
        </w:rPr>
        <w:t>.</w:t>
      </w:r>
    </w:p>
    <w:p>
      <w:pPr>
        <w:pStyle w:val="Heading6"/>
        <w:numPr>
          <w:ilvl w:val="5"/>
          <w:numId w:val="1"/>
        </w:numPr>
        <w:rPr/>
      </w:pPr>
      <w:bookmarkStart w:id="245" w:name="__RefHeading___Toc97222_581953129"/>
      <w:bookmarkStart w:id="246" w:name="_Toc104"/>
      <w:bookmarkEnd w:id="245"/>
      <w:r>
        <w:rPr>
          <w:rtl w:val="true"/>
        </w:rPr>
        <w:t>الإشکال الثانی</w:t>
      </w:r>
      <w:r>
        <w:rPr>
          <w:rtl w:val="true"/>
        </w:rPr>
        <w:t>:</w:t>
      </w:r>
      <w:r>
        <w:rPr>
          <w:rtl w:val="true"/>
        </w:rPr>
        <w:t>التشکیک فی إلزامیة حکم العقل برعایة حقّ طاعة المولی</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تصویر هذا الإشکال بقیاس حکم العقل علی حکم الشرع،فکما أنّ لحکم الشرع مراتب من الوجوب وغیر الوجوب،فکذا حکم العقل،فیمکن القول بأنّ العقل یحکم بحسن الاحتیاط ولیس الوجوب و الإلزام فی رعایة حقّ المولویة فی جمیع الشبهات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ویقتصر حکمه بالوجوب علی خصوص التکالیف الواصلة المبینة؛أمّا التکالیف المظنونة و المحتملة،فالعقل لا یحکم سوی بحسن الاحتیاط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فالوجوب یختصّ بالتکالیف الواصلة،وحسن الاحتیاط بالتکالیف المشکوکة</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مأخوذٌ فیه القول بحقّ الطاعة،إلّا أنّه لم یدرِک حقیقة الحقّ،فهل یا تری یمکن التفصّی من الحقّ و التخلّی عنه،إلّا بواسطة تخییر وترخیص من صاحب الحقّ،فکیف یمکن لنا أن ندّعی أنّه غیر مُلزِم،فلا دلیل علی عدم الإلزام إلّا من خلال البلاغ الواصل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کما فی کثیر من الإشکالات ناشئٌ من عدم التمییز بین المولویة الحقیقیة و المولویة العقلائیة المجعولة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أنّه فی التکالیف العقلائیة عادة تکون المولویة ضیقة ومحدودة بموارد</w:t>
      </w:r>
      <w:bookmarkStart w:id="247" w:name="pg5204_66079"/>
    </w:p>
    <w:p>
      <w:pPr>
        <w:pStyle w:val="BookText"/>
        <w:rPr/>
      </w:pPr>
      <w:bookmarkEnd w:id="247"/>
      <w:r>
        <w:rPr>
          <w:rFonts w:ascii="IRNazanin" w:hAnsi="IRNazanin" w:eastAsia="IRNazanin"/>
          <w:color w:val="111111"/>
          <w:sz w:val="28"/>
          <w:sz w:val="28"/>
          <w:szCs w:val="28"/>
          <w:rtl w:val="true"/>
          <w:lang w:bidi="fa-IR"/>
        </w:rPr>
        <w:t>العلم بالتکلیف،و أمّا فی المولی الحقیقی فسعة المولویة وضیقها یرجع فیها إلی حکم العقل العملی تّجاه الخالق سبحانه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والحال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أحکام العقل غیر قابلة للتخصیص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ولذلک نری أنّهم مع اعتبارهم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المولویة وحقّ طاعته کلّیاً ومتواطئاً لا تقبل الزیادة و النقصان ولیست ذات مراتب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إلّا أنّهم احتاروا فی کیفیة تخریج جعل الحُجّیة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وجود جعل من جاعل کی یکون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برزت اتّجاهات جعل الطریقیة و العلمیة للحکومة علی حکم العقل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وما ذلک إلّا لأنّ حکم العقل غیر قابل للتفکیک و الفصل؛لأنّه أمرٌ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الطاعة ثابت فی جمیع موارد انکشاف التکلیف،أعمّ من الانکشاف القطعی و الظّنی أو الاحتمالی،سوی أنّها تتمّ فی المورد الأوّل من خلال الإتیان بالتکلیف المقطوع،وفی المورد الثانی برعایة الاحتیاط و الإتیان بالتکلیف المظنون أو المحتمل،فالاحتیاط شکل من أشکال الطاعة</w:t>
      </w:r>
      <w:r>
        <w:rPr>
          <w:rFonts w:eastAsia="IRNazanin" w:cs="IRNazanin"/>
          <w:color w:val="111111"/>
          <w:sz w:val="28"/>
          <w:szCs w:val="28"/>
          <w:rtl w:val="true"/>
          <w:lang w:bidi="fa-IR"/>
        </w:rPr>
        <w:t xml:space="preserve">. </w:t>
      </w:r>
      <w:r>
        <w:rPr>
          <w:rStyle w:val="FootnoteAnchor"/>
          <w:rtl w:val="true"/>
        </w:rPr>
        <w:footnoteReference w:id="209"/>
      </w:r>
    </w:p>
    <w:p>
      <w:pPr>
        <w:pStyle w:val="Heading6"/>
        <w:numPr>
          <w:ilvl w:val="5"/>
          <w:numId w:val="1"/>
        </w:numPr>
        <w:rPr/>
      </w:pPr>
      <w:bookmarkStart w:id="248" w:name="__RefHeading___Toc97224_581953129"/>
      <w:bookmarkStart w:id="249" w:name="_Toc105"/>
      <w:bookmarkEnd w:id="248"/>
      <w:r>
        <w:rPr>
          <w:rtl w:val="true"/>
        </w:rPr>
        <w:t>الإشکال الثالث</w:t>
      </w:r>
      <w:r>
        <w:rPr>
          <w:rtl w:val="true"/>
        </w:rPr>
        <w:t>:</w:t>
      </w:r>
      <w:r>
        <w:rPr>
          <w:rtl w:val="true"/>
        </w:rPr>
        <w:t>عدم إمکان اعتماد الشارع علی حکم العقل الخفی</w:t>
      </w:r>
      <w:r>
        <w:rPr>
          <w:rtl w:val="true"/>
        </w:rPr>
        <w:t>:</w:t>
      </w:r>
      <w:bookmarkEnd w:id="249"/>
    </w:p>
    <w:p>
      <w:pPr>
        <w:pStyle w:val="BookText"/>
        <w:rPr/>
      </w:pPr>
      <w:r>
        <w:rPr>
          <w:rFonts w:ascii="IRNazanin" w:hAnsi="IRNazanin" w:eastAsia="IRNazanin"/>
          <w:color w:val="111111"/>
          <w:sz w:val="28"/>
          <w:sz w:val="28"/>
          <w:szCs w:val="28"/>
          <w:rtl w:val="true"/>
          <w:lang w:bidi="fa-IR"/>
        </w:rPr>
        <w:t>وصورة هذا الأشکال،هی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افترضنا أنّ کشف حکم العقل بالاحتیاط،یتطلّب دقّةً دقیقةً،فإنّه حینئذ یبقی خفیاً علی أغلب الناس،فیکونون غافلین عن حکم العقل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اللائق للشارع أن یعتمد علی هذا الحکم الخفی،وبالتالی سیبنی الناس حیاتهم علی أساس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وبما أنّه لم یصل ردعٌ عن الطریق الذی سلکه الناس فی الاعتماد علی المولویة العرفیة المختصّة بالتکالیف المقطوعة،فهذا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تخطئة الشارع قیام سلوک الناس علی أساس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Style w:val="FootnoteAnchor"/>
          <w:rtl w:val="true"/>
        </w:rPr>
        <w:footnoteReference w:id="211"/>
      </w:r>
    </w:p>
    <w:p>
      <w:pPr>
        <w:pStyle w:val="Heading6"/>
        <w:numPr>
          <w:ilvl w:val="5"/>
          <w:numId w:val="1"/>
        </w:numPr>
        <w:rPr/>
      </w:pPr>
      <w:bookmarkStart w:id="250" w:name="__RefHeading___Toc97226_581953129"/>
      <w:bookmarkStart w:id="251" w:name="_Toc106"/>
      <w:bookmarkEnd w:id="250"/>
      <w:r>
        <w:rPr>
          <w:rtl w:val="true"/>
        </w:rPr>
        <w:t>الجواب</w:t>
      </w:r>
      <w:r>
        <w:rPr>
          <w:rtl w:val="true"/>
        </w:rPr>
        <w:t>:</w:t>
      </w:r>
      <w:bookmarkEnd w:id="2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عن هذا الإشکال،بما مضمونه،أنّ عدم مناسبة الاعتماد علی مثل هذا</w:t>
      </w:r>
      <w:bookmarkStart w:id="252" w:name="pg5204_66080"/>
    </w:p>
    <w:p>
      <w:pPr>
        <w:pStyle w:val="BookText"/>
        <w:rPr/>
      </w:pPr>
      <w:bookmarkEnd w:id="252"/>
      <w:r>
        <w:rPr>
          <w:rFonts w:ascii="IRNazanin" w:hAnsi="IRNazanin" w:eastAsia="IRNazanin"/>
          <w:color w:val="111111"/>
          <w:sz w:val="28"/>
          <w:sz w:val="28"/>
          <w:szCs w:val="28"/>
          <w:rtl w:val="true"/>
          <w:lang w:bidi="fa-IR"/>
        </w:rPr>
        <w:t>الحکم فیما لو کان فی مجال الإثابة،فالإشکال یعود إلی وجود قصور عند أغلب الناس فی فهم أصل الاحتیاط العقلی و الإقرار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الأمر کذلک فإنّ قصور المکلَّف وعدم صحّة مؤاخذة القاصر،لیس له علاقةٌ بأصل ثبوت حکم العقل بحقّ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أقصی ما یعنیه الإشکال إن صحّ،هو ثبوت البراءة الشرعیة لا العقلیة؛لأنّه تمّ عن طریق إمضاء الشارع</w:t>
      </w:r>
      <w:r>
        <w:rPr>
          <w:rFonts w:eastAsia="IRNazanin" w:cs="IRNazanin"/>
          <w:color w:val="111111"/>
          <w:sz w:val="28"/>
          <w:szCs w:val="28"/>
          <w:rtl w:val="true"/>
          <w:lang w:bidi="fa-IR"/>
        </w:rPr>
        <w:t xml:space="preserve">. </w:t>
      </w:r>
      <w:r>
        <w:rPr>
          <w:rStyle w:val="FootnoteAnchor"/>
          <w:rtl w:val="true"/>
        </w:rPr>
        <w:footnoteReference w:id="212"/>
      </w:r>
    </w:p>
    <w:p>
      <w:pPr>
        <w:pStyle w:val="Heading6"/>
        <w:numPr>
          <w:ilvl w:val="5"/>
          <w:numId w:val="1"/>
        </w:numPr>
        <w:rPr/>
      </w:pPr>
      <w:bookmarkStart w:id="253" w:name="__RefHeading___Toc97228_581953129"/>
      <w:bookmarkStart w:id="254" w:name="_Toc107"/>
      <w:bookmarkEnd w:id="253"/>
      <w:r>
        <w:rPr>
          <w:rtl w:val="true"/>
        </w:rPr>
        <w:t>الجهة الثانیة</w:t>
      </w:r>
      <w:r>
        <w:rPr>
          <w:rtl w:val="true"/>
        </w:rPr>
        <w:t>:</w:t>
      </w:r>
      <w:r>
        <w:rPr>
          <w:rtl w:val="true"/>
        </w:rPr>
        <w:t>الإشکالات البنائیة</w:t>
      </w:r>
      <w:bookmarkEnd w:id="254"/>
    </w:p>
    <w:p>
      <w:pPr>
        <w:pStyle w:val="Heading6"/>
        <w:numPr>
          <w:ilvl w:val="5"/>
          <w:numId w:val="1"/>
        </w:numPr>
        <w:rPr/>
      </w:pPr>
      <w:bookmarkStart w:id="255" w:name="__RefHeading___Toc97230_581953129"/>
      <w:bookmarkStart w:id="256" w:name="_Toc108"/>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وترتبط بقضیة حقّ الطاعة ذاتها،فجاءت فیها عدّة إشکالات</w:t>
      </w:r>
      <w:r>
        <w:rPr>
          <w:rFonts w:eastAsia="IRNazanin" w:cs="IRNazanin"/>
          <w:color w:val="111111"/>
          <w:sz w:val="28"/>
          <w:szCs w:val="28"/>
          <w:rtl w:val="true"/>
          <w:lang w:bidi="fa-IR"/>
        </w:rPr>
        <w:t>:</w:t>
      </w:r>
    </w:p>
    <w:p>
      <w:pPr>
        <w:pStyle w:val="Heading6"/>
        <w:numPr>
          <w:ilvl w:val="5"/>
          <w:numId w:val="1"/>
        </w:numPr>
        <w:rPr/>
      </w:pPr>
      <w:bookmarkStart w:id="257" w:name="__RefHeading___Toc97232_581953129"/>
      <w:bookmarkStart w:id="258" w:name="_Toc109"/>
      <w:bookmarkEnd w:id="257"/>
      <w:r>
        <w:rPr>
          <w:rtl w:val="true"/>
        </w:rPr>
        <w:t>الإشکال الأوّل</w:t>
      </w:r>
      <w:r>
        <w:rPr>
          <w:rtl w:val="true"/>
        </w:rPr>
        <w:t>:</w:t>
      </w:r>
      <w:r>
        <w:rPr>
          <w:rtl w:val="true"/>
        </w:rPr>
        <w:t>وحدة مصدر الطاعة الشرعیة</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تقریب الاستدلال به بالقول؛بإنّ الحکم بعدم ثبوت التکلیف فی حالة عدم وصوله بصورة قطعیة من قِبل المولی العرفی هو کالحکم القطعی للعقل بحسن العدل وقبح الظلم،و هو حکمٌ للعقل العملی،ویتّفق فی ذلک جمیع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 العملی یحکم بشرطیة وصول التکلیف،وعلی هذا فإنّ حکم العقل العملی بحقّ الطاعة مقیدٌ بحکمه بشرطیة وصول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وجود للاستدلال بالسیرة العقلائیة،کی نقول؛إنّ البراءة الثابتة بها براءةٌ شرعیةٌ؛لأنّها بحاجة إلی إمضاء الشارع،فهی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عقلیةٌ؛لأنّها ترتکز علی العقل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العقل یقطع أیضاً بقبح العقاب علی مخالفة کلّ ما لا یتضمّن حقّ الطاعة،وبهذا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وجود حقّ الطاعة فی مرحلة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أثبتنا فیها عدم وجود تکلیف فی موارد الانکشاف الاحتمالی،یتمّ بذلک إثبات قبح العقاب فی موارد الانکشاف الاحتمالی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مصدر حقّ الطاعة واحدٌ لا اختلاف فیه فیما بین الله المولی الحقیقی و المولی العرفی کما ذهب إلیه المشهور،وذلک لأنّ الطاعة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شرعیةٌ وغیر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والشرعیة تشمل طاعة الله ومن أمر الله بطاعته،و هذه الأخیرة ترجع إلی طاعة الله،وتکون فی امتدادها غایة ما هنالک أنّها مقیدةٌ ومحدودةٌ بخلاف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یمکن قیاس حقّ الطاعة للمولی العرفی علی حقّ الطاعة لله،فیثبت بذلک اشتراط الوصول القطعی للتکلیف فی مورد المولی الحقیقی لثبوته فی المولی العرفی</w:t>
      </w:r>
      <w:r>
        <w:rPr>
          <w:rFonts w:eastAsia="IRNazanin" w:cs="IRNazanin"/>
          <w:color w:val="111111"/>
          <w:sz w:val="28"/>
          <w:szCs w:val="28"/>
          <w:rtl w:val="true"/>
          <w:lang w:bidi="fa-IR"/>
        </w:rPr>
        <w:t xml:space="preserve">. </w:t>
      </w:r>
      <w:r>
        <w:rPr>
          <w:rStyle w:val="FootnoteAnchor"/>
          <w:rtl w:val="true"/>
        </w:rPr>
        <w:footnoteReference w:id="213"/>
      </w:r>
      <w:bookmarkStart w:id="259" w:name="pg5204_66081"/>
    </w:p>
    <w:p>
      <w:pPr>
        <w:pStyle w:val="Heading6"/>
        <w:numPr>
          <w:ilvl w:val="5"/>
          <w:numId w:val="1"/>
        </w:numPr>
        <w:rPr/>
      </w:pPr>
      <w:bookmarkStart w:id="260" w:name="__RefHeading___Toc97234_581953129"/>
      <w:bookmarkStart w:id="261" w:name="_Toc110"/>
      <w:bookmarkEnd w:id="259"/>
      <w:bookmarkEnd w:id="260"/>
      <w:r>
        <w:rPr>
          <w:rtl w:val="true"/>
        </w:rPr>
        <w:t>خلاصة الإشکال</w:t>
      </w:r>
      <w:r>
        <w:rPr>
          <w:rtl w:val="true"/>
        </w:rPr>
        <w:t>:</w:t>
      </w:r>
      <w:bookmarkEnd w:id="261"/>
    </w:p>
    <w:p>
      <w:pPr>
        <w:pStyle w:val="BookText"/>
        <w:rPr/>
      </w:pPr>
      <w:r>
        <w:rPr>
          <w:rFonts w:ascii="IRNazanin" w:hAnsi="IRNazanin" w:eastAsia="IRNazanin"/>
          <w:color w:val="111111"/>
          <w:sz w:val="28"/>
          <w:sz w:val="28"/>
          <w:szCs w:val="28"/>
          <w:rtl w:val="true"/>
          <w:lang w:bidi="fa-IR"/>
        </w:rPr>
        <w:t>بما أنّ وجوب طاعة المولی المجعول تختصّ بالتکالیف قطعیة الوصول فحسب وذلک بحکم العقل،وبما أنّ هذه الطّاعة ترجع إلی طاعة الله؛لأنّها مجعولة من قِبله،فهما سیان،فوجوب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تقتصر علی التکالیف القطعیة،ولا تتعدّی إلی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یرتکز علی ثلاثة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ثبوت التکلیف بالوصول القطعی هو من مُدرَکات العقل العملی؛قطع العقل بتوقّف قبح العقاب علی عدم وجود حقّ الطاعة فی موارد الاحتمال؛حقّ طاعة الله کحقّ طاعة المولی العرفی لا تشمل إلّا موارد الوصول القطعی الذی ثبت بالعقل العملی</w:t>
      </w:r>
      <w:r>
        <w:rPr>
          <w:rFonts w:eastAsia="IRNazanin" w:cs="IRNazanin"/>
          <w:color w:val="111111"/>
          <w:sz w:val="28"/>
          <w:szCs w:val="28"/>
          <w:rtl w:val="true"/>
          <w:lang w:bidi="fa-IR"/>
        </w:rPr>
        <w:t>.</w:t>
      </w:r>
    </w:p>
    <w:p>
      <w:pPr>
        <w:pStyle w:val="Heading6"/>
        <w:numPr>
          <w:ilvl w:val="5"/>
          <w:numId w:val="1"/>
        </w:numPr>
        <w:rPr/>
      </w:pPr>
      <w:bookmarkStart w:id="262" w:name="__RefHeading___Toc97236_581953129"/>
      <w:bookmarkStart w:id="263" w:name="_Toc111"/>
      <w:bookmarkEnd w:id="262"/>
      <w:r>
        <w:rPr>
          <w:rtl w:val="true"/>
        </w:rPr>
        <w:t>الجواب</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الرکن الثانی،فهو متفرّعٌ عن وجود أو عدم وجود 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النزاع الذی هو مسلّمٌ لدی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البحث؛أمّا الرکن الأوّل،فهو یتوقّف علی صحّة دعوی الرکن الثالث،فهل هو کما ذکر من أنّ مصدر حقّ طاعة الله و المولی العرفی هو واحدٌ،ومن سنخ واحد؟</w:t>
      </w:r>
    </w:p>
    <w:p>
      <w:pPr>
        <w:pStyle w:val="BookText"/>
        <w:rPr/>
      </w:pPr>
      <w:r>
        <w:rPr>
          <w:rFonts w:ascii="IRNazanin" w:hAnsi="IRNazanin" w:eastAsia="IRNazanin"/>
          <w:color w:val="111111"/>
          <w:sz w:val="28"/>
          <w:sz w:val="28"/>
          <w:szCs w:val="28"/>
          <w:rtl w:val="true"/>
          <w:lang w:bidi="fa-IR"/>
        </w:rPr>
        <w:t>فإنّ طاعة من أمر الله بطاعته لیست من مُدرَکات العقل العملی،و إنّما هی متعلّق الوجوب الشرعی کوجوب الصلاة مثلاً التی تتطلّب الامتثال،وهی لیست مصداقاً لحقّ الطاعة کما ذکر المستشکل،و إنّما هی موضوعٌ لها،بدلیل أنّ التزاحم بین طاعة الله وطاعة الأب مثلاً لا یرتبط بأمر الله وأمر الأب،بل بمتعلّق أمر الله بإطاعة الأب وأمر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فیوجد هنا وجوبین للطاعة ونوعین للمولویة فی امتداد أحدهما الآخر،ومجرّد اتّحاد الفعل المُطاع به لیس بمعنی اتّحاد الطاعتین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هنا،فلا إشکال فی أن یکون الوجوب الشرعی المجعول لطاعة الأب مثلاً،مقیداً ومحدوداً بحدود التکالیف القطعیة للأب،وأن لا یکون الوجوب العقلی للطاعة الثابتة لله مقیداً ومحدوداً بحدود التکالیف القطعیة لله</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یکون هذا الإشکال من أدهی ما جادت به قرائح الأصولیین هنا،فقد استطاع الذهن الوقّاد لصاحب الإشکال و التلمیذ المحنّک لصاحب النظریة،من فبرکة إشکاله بأسلوب فنّی،لیتسلّق سور قاعدة حقّ الطاعة ویطلق سهامه الثلاثة صوب جوهرها ومحرّکها،إلّا أنّها بدل أن تصیبه سقطت فی حجرة وقوده لتزیده دینامیةً واضطراماً واضطراداً</w:t>
      </w:r>
      <w:r>
        <w:rPr>
          <w:rFonts w:eastAsia="IRNazanin" w:cs="IRNazanin"/>
          <w:color w:val="111111"/>
          <w:sz w:val="28"/>
          <w:szCs w:val="28"/>
          <w:rtl w:val="true"/>
          <w:lang w:bidi="fa-IR"/>
        </w:rPr>
        <w:t>.</w:t>
      </w:r>
      <w:bookmarkStart w:id="264" w:name="pg5204_66082"/>
    </w:p>
    <w:p>
      <w:pPr>
        <w:pStyle w:val="BookText"/>
        <w:rPr/>
      </w:pPr>
      <w:bookmarkEnd w:id="264"/>
      <w:r>
        <w:rPr>
          <w:rFonts w:ascii="IRNazanin" w:hAnsi="IRNazanin" w:eastAsia="IRNazanin"/>
          <w:color w:val="111111"/>
          <w:sz w:val="28"/>
          <w:sz w:val="28"/>
          <w:szCs w:val="28"/>
          <w:rtl w:val="true"/>
          <w:lang w:bidi="fa-IR"/>
        </w:rPr>
        <w:t>فهو ومن أجل تحطیم هذا العملاق الظریف،الذی أخذ یتوغّل ویستولی شیئاً فشیئاً علی الساحة الأصولیة،قام بتجزئته إلی أجزاء ثلاثة،لیسهل علیه قنصه و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المشکلة التی تواجهه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یؤمن بثبوت أصل حقّ الطاعة للمولی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الانقلاب علی موارد الاحتمال،ومن ثمّ إسقاطها من شمولها بحقّ الطاعة،فقال بعدم ثبوت العقاب علی ارتکاب ما لیس فیه حقّ الطاعة،و هذا أمرٌ مسلّمٌ بکلّیته،کما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حدود حقّ الطاعة مبهمةً ومردّدةً،وبذلک هیأ الأرضیة للانفراد بالمحتمل وإلقائه أرضاً،ثمّ جاء إلی المولویة العصیة علی الانحناء من أطرافها،لیجرّدها من ثیابها ویترک لها ورقة التوت لا غیر،فقال بعودة طاعة المولی المجعول من قِبل الله إلی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کان قد شخّص الخلل الذی سقط فی فخّه الجمیع فی قیاس طاعة المولی الحقیقی علی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طاعةٌ شرعیةٌ کطاعة الله،وبما أنّ العقل العملی یقول باختصاصها بالتکالیف القطعیة وعدم شمولها للاحتمالیة،فها هی الثّمرة التی أکبّ علی سقیها ورعایتها قد نضجت وحان قطافها،فلا نتیجة لذلک سوی وحدة تلک الطاعة،فطاعة الله لا تشمل المحتمل بحکم العقل العملی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أن یغدق علی المجعول ویلبسه ثوب الجاعل شحّ علی الجاعل فألبسه ثوب المجعول،فجعل حکم الجاعل تابعاً لحکم المجعول فحکم علیه بأحکامه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الاختصاص بحاجة إلی دلیل أوّلاً لوجود جعل هنا بحسب الفرض،والأصل عدم القیاس ثانیاً،فکلّ وشأنه</w:t>
      </w:r>
      <w:r>
        <w:rPr>
          <w:rFonts w:eastAsia="IRNazanin" w:cs="IRNazanin"/>
          <w:color w:val="111111"/>
          <w:sz w:val="28"/>
          <w:szCs w:val="28"/>
          <w:rtl w:val="true"/>
          <w:lang w:bidi="fa-IR"/>
        </w:rPr>
        <w:t>.</w:t>
      </w:r>
    </w:p>
    <w:p>
      <w:pPr>
        <w:pStyle w:val="Heading6"/>
        <w:numPr>
          <w:ilvl w:val="5"/>
          <w:numId w:val="1"/>
        </w:numPr>
        <w:rPr/>
      </w:pPr>
      <w:bookmarkStart w:id="265" w:name="__RefHeading___Toc97238_581953129"/>
      <w:bookmarkStart w:id="266" w:name="_Toc112"/>
      <w:bookmarkEnd w:id="265"/>
      <w:r>
        <w:rPr>
          <w:rtl w:val="true"/>
        </w:rPr>
        <w:t>الإشکال الثّانی</w:t>
      </w:r>
      <w:r>
        <w:rPr>
          <w:rtl w:val="true"/>
        </w:rPr>
        <w:t>:</w:t>
      </w:r>
      <w:r>
        <w:rPr>
          <w:rtl w:val="true"/>
        </w:rPr>
        <w:t>التفکیک فی ما بین المولویة وحقّ الطاعة</w:t>
      </w:r>
      <w:r>
        <w:rPr>
          <w:rtl w:val="true"/>
        </w:rPr>
        <w:t>:</w:t>
      </w:r>
      <w:bookmarkEnd w:id="266"/>
    </w:p>
    <w:p>
      <w:pPr>
        <w:pStyle w:val="BookText"/>
        <w:rPr/>
      </w:pPr>
      <w:r>
        <w:rPr>
          <w:rFonts w:ascii="IRNazanin" w:hAnsi="IRNazanin" w:eastAsia="IRNazanin"/>
          <w:color w:val="111111"/>
          <w:sz w:val="28"/>
          <w:sz w:val="28"/>
          <w:szCs w:val="28"/>
          <w:rtl w:val="true"/>
          <w:lang w:bidi="fa-IR"/>
        </w:rPr>
        <w:t>یقول هذا الإشکال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علاقة للمولویة الذاتیة وغیر المجعولة لله بمسألة تنجّز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أن تکون مولویة الله واسعة،ولکنّ حقّ الطاعة لا یتّسع بتلک الدرجة؛لأنّ سعة مولویة الله بسعة ملاک المولویة الذی یتمثّل بخالقیته،والذی یصدُق علی عباده فی أی حال کانوا علیها باعتبارهم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فالمولویة صادقة أیضاً فی کلّ حال،حتّی فی حالة الشکّ بالتکلیف،ولکنّ حقّ الطاعة لا یصدُق فی حالة الشکّ بالطبع</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 و الواضح أنّ دائرة التشریع أضیق نطاقاً من دائرة التکوین،ولکنّ السبب فی اقتضاء المولویة التشریعیة الذاتیة سعة حقّ الطاعة،هو الرّجوع إلی العقل العملی الذی</w:t>
      </w:r>
      <w:bookmarkStart w:id="267" w:name="pg5204_66083"/>
    </w:p>
    <w:p>
      <w:pPr>
        <w:pStyle w:val="BookText"/>
        <w:rPr/>
      </w:pPr>
      <w:bookmarkEnd w:id="267"/>
      <w:r>
        <w:rPr>
          <w:rFonts w:ascii="IRNazanin" w:hAnsi="IRNazanin" w:eastAsia="IRNazanin"/>
          <w:color w:val="111111"/>
          <w:sz w:val="28"/>
          <w:sz w:val="28"/>
          <w:szCs w:val="28"/>
          <w:rtl w:val="true"/>
          <w:lang w:bidi="fa-IR"/>
        </w:rPr>
        <w:t>أدرک أصل المولویة الذاتیة،وأدرک حدودها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غیر قائم علی أساس المولویة التکوینیة،بل علی أنّ العقل العملی،وکما یدرِک أصل المولویة التشریعیة الذاتیة الثابتة لله،فهو یدرِک کذلک سعتها المتمثّلة بتنجّز التکلیف المشکوک،فتکون سعة المولویة التشریعیة وتبعاً لأصلها من مُدرَکات العقل العملی</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268" w:name="__RefHeading___Toc97240_581953129"/>
      <w:bookmarkStart w:id="269" w:name="_Toc113"/>
      <w:bookmarkEnd w:id="268"/>
      <w:r>
        <w:rPr>
          <w:rtl w:val="true"/>
        </w:rPr>
        <w:t>الإشکال الثالث</w:t>
      </w:r>
      <w:r>
        <w:rPr>
          <w:rtl w:val="true"/>
        </w:rPr>
        <w:t>:</w:t>
      </w:r>
      <w:r>
        <w:rPr>
          <w:rtl w:val="true"/>
        </w:rPr>
        <w:t>تزاحم مِلاک الترخیص مع مِلاک التکلیف</w:t>
      </w:r>
      <w:r>
        <w:rPr>
          <w:rtl w:val="true"/>
        </w:rPr>
        <w:t>:</w:t>
      </w:r>
      <w:bookmarkEnd w:id="269"/>
    </w:p>
    <w:p>
      <w:pPr>
        <w:pStyle w:val="BookText"/>
        <w:rPr/>
      </w:pPr>
      <w:r>
        <w:rPr>
          <w:rFonts w:ascii="IRNazanin" w:hAnsi="IRNazanin" w:eastAsia="IRNazanin"/>
          <w:color w:val="111111"/>
          <w:sz w:val="28"/>
          <w:sz w:val="28"/>
          <w:szCs w:val="28"/>
          <w:rtl w:val="true"/>
          <w:lang w:bidi="fa-IR"/>
        </w:rPr>
        <w:t>إنّ الاحتمال له طرفان،طرف التکلیف وطرف الترخیص،فکما أنّه یستلزم الاحتیاط لئلّا یفوت مِلاک الوجوب أو التحریم فی طرف التکلیف،فکذلک یستدعی الاحتیاط لحفظ ملاک الإباحة فی طرف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یقتصر الإلزام فی حقّ الطاعة علی جانبه التکلیفی،ویترک فی جانبه الترخیصی مع أنّه یتطلّب طاعةً تتناسب معه وتتمثّل بالالتزام بالبراءة،والمقصود منها رعایة الغرض فی جعل الإباحة</w:t>
      </w:r>
      <w:r>
        <w:rPr>
          <w:rFonts w:eastAsia="IRNazanin" w:cs="IRNazanin"/>
          <w:color w:val="111111"/>
          <w:sz w:val="28"/>
          <w:szCs w:val="28"/>
          <w:rtl w:val="true"/>
          <w:lang w:bidi="fa-IR"/>
        </w:rPr>
        <w:t xml:space="preserve">. </w:t>
      </w:r>
      <w:r>
        <w:rPr>
          <w:rStyle w:val="FootnoteAnchor"/>
          <w:rtl w:val="true"/>
        </w:rPr>
        <w:footnoteReference w:id="217"/>
      </w:r>
    </w:p>
    <w:p>
      <w:pPr>
        <w:pStyle w:val="Heading6"/>
        <w:numPr>
          <w:ilvl w:val="5"/>
          <w:numId w:val="1"/>
        </w:numPr>
        <w:rPr/>
      </w:pPr>
      <w:bookmarkStart w:id="270" w:name="__RefHeading___Toc97242_581953129"/>
      <w:bookmarkStart w:id="271" w:name="_Toc114"/>
      <w:bookmarkEnd w:id="270"/>
      <w:r>
        <w:rPr>
          <w:rtl w:val="true"/>
        </w:rPr>
        <w:t>الجواب</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الإباحة التی هی قسیم الأحکام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الوجوب،الحرمة،الاستحباب،الکراهة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نحوین من جهة المِلاک؛إباحةٌ اقتضائیة،وهی التی تقتضی وجود مصلحة وتتمثّل هذه المصلحة بنفس إطلاق العنان و الحرّیة؛وإباحةٌ لااقتضائیة،وهی التی لا تقتضی وجود أی مصلحة فی الفعل أو الترک،أو هما متساویان فی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فالمِلاک فی الإباحة اللااقتضائیة هو نفس الخلو من المِلاک الاقتضائی فی جانبی الفعل و الترک،فإذا روعی جانب مِلاک التکلیف المحتمل علی حساب الإباحة المحتملة،فإنّ هذا سوف لا یفوّت مطلقاً مِلاک الإباحة اللااقتضائی لأنّه بحسب الفرض لااقتضائی،فینتفی وجود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الإباحة الاقتضائیة،فهی إمّا أن یکون مِلاکها کمِلاک التکلیف،أی یکون منجّزاً،بمعنی امتثال جانب الإباحة أی لزوم جعل المکلَّف نفسه حرّاً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یمکن القبول به؛لأنّ الإباحة هی بمعنی نفی المسؤولیة،فلا یلزم علیه القیام بأی عمل لأجل أن لا یکون مُلزَماً،وعلی هذا فلا یتطلّب مِلاک الترخیص امتثالاً،ولا یکون المکلَّف مُلزَماً بشیء لمراعاة مِلاک الإباحة المحتمل فی الشبهات،فلا تزاحم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یقتضی مِلاک الإباحة؛المعذّریة،ومِلاک التکلیف المنجّزیة،فیتصوّر التزاحم فیما بین المِلاکین بلحاظ حکم العقل،لأنّ الأوّل یقتضی التعذیر من خلال عدم المسؤولیة وعدم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التنجیز بلحاظ الالتزام بإطلاق العنان کما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التنجیز من خلال الإلزام وثبوت المسؤولیة مقابل الفعل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وهنا،إمّا أن یتمثّل المِلاک و المصلحة بعدم وجود إلزام مولوی للمکلّف بالفعل أو الترک فی خصوص الفعل المباح من جهة نفس الفعل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امتثال التکلیف المحتمل یستلزم التفریط بحرّیة المکلَّف فی خصوص بعض المباحات،فإنّ ذلک لا یوجب تزاحماً فیما بین مِلاک الإباحة وملاک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المِلاک و المصلحة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أی إلزام بالفعل أو الترک فی متعلّق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الفعل المباح ولا من أی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مسلک حقّ الطاعة سیکون هناک تنافیاً بین وجوب الاحتیاط وبین لزوم رعایة مِلاک الإباحة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عدم إمکان طروء تنجیز وتعذیر فی عرض أحدهما الآخر؛علی شیء واحد بحکم العقل؛لأنّ التعذیر لیس سوی عدم التنجیز،ففی حالة تنجیز التکلیف المحتمل لا یبقی مکانٌ للتمسّک باقتضاء مِلاک المباح الاحتمالی للمعذّریة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أنّ الموضوع مرتبطٌ بحکم العقل قبل جعل الحکم الظاهری لا بجعل الحکم الظاهری کما خُیل للمستشکل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فالعقل،بغضّ النظر عن جعل الحکم الظاهری،لا یستطیع أن یقول بأنّ مِلاک الإباحة یقتضی المعذّریة ومِلاک التکلیف یقتضی المنجّزیة؛فیکونان متزاحمان فی مقام حفظ المِلاکات،بل إنّ العقل یری تقدّم رعایة مِلاک التکلیف المحتمل علی رعایة مِلاک الإباحة المحتملة؛لأنّه إذا کان هناک حقٌّ للمولی علی العبد بسبب التکلیف المحتمل،لا یمکن للعبد أن یری نفسه معذوراً بخصوص رعایة مِلاک الإباحة الاقتضائی المحتمل</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ففی الحقیقة لیس لدینا حکمان کی یتزاحم جانباهما التنجیزی و التعذیری،و إنّما هناک واقعةٌ واحدةٌ فیها طرفی احتمال،وبما أنّ عدم الإتیان بالطرف الإلزامی یؤدّی إلی احتمال تفویت الغرض الذی یستوجب العقاب،یقدَّم علی الطرف الترخیصی الذی لا یستوجب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یتمّ کلامنا فی أصالة الاحتیاط التی مثّلها مسلک حقّ الطاعة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یتمّ الکلام الذی تطرّقنا فیه إلی أدلّة الطرفین و الإشکالات التی أُوردت علیهما ومناقشاتها وأجوبتها</w:t>
      </w:r>
      <w:r>
        <w:rPr>
          <w:rFonts w:eastAsia="IRNazanin" w:cs="IRNazanin"/>
          <w:color w:val="111111"/>
          <w:sz w:val="28"/>
          <w:szCs w:val="28"/>
          <w:rtl w:val="true"/>
          <w:lang w:bidi="fa-IR"/>
        </w:rPr>
        <w:t>.</w:t>
      </w:r>
      <w:bookmarkStart w:id="272" w:name="pg5204_66085"/>
    </w:p>
    <w:p>
      <w:pPr>
        <w:pStyle w:val="BookText"/>
        <w:rPr/>
      </w:pPr>
      <w:bookmarkEnd w:id="272"/>
      <w:r>
        <w:rPr>
          <w:rFonts w:ascii="IRNazanin" w:hAnsi="IRNazanin" w:eastAsia="IRNazanin"/>
          <w:color w:val="111111"/>
          <w:sz w:val="28"/>
          <w:sz w:val="28"/>
          <w:szCs w:val="28"/>
          <w:rtl w:val="true"/>
          <w:lang w:bidi="fa-IR"/>
        </w:rPr>
        <w:t>ولقد اتّضح ممّا سبق أنّ الخلاف و النزاع فیما بین المسلکین یدور حول التکالیف المحتملة،فلا بحث فی التکالیف الواصلة،فهل من اللازم مراعاة الاحتیاط فیها أم أنّها خارجةٌ عن عهدة المکلَّف فهو غیر مسؤول عنها؟</w:t>
      </w:r>
    </w:p>
    <w:p>
      <w:pPr>
        <w:pStyle w:val="BookText"/>
        <w:rPr/>
      </w:pPr>
      <w:r>
        <w:rPr>
          <w:rFonts w:ascii="IRNazanin" w:hAnsi="IRNazanin" w:eastAsia="IRNazanin"/>
          <w:color w:val="111111"/>
          <w:sz w:val="28"/>
          <w:sz w:val="28"/>
          <w:szCs w:val="28"/>
          <w:rtl w:val="true"/>
          <w:lang w:bidi="fa-IR"/>
        </w:rPr>
        <w:t>فاستدلّ أصحاب البراءة بقبح العقاب لإسقاط التکلیف المحتمل،فقیل لهم ما هو الدلیل علی أنّ العقاب علی ترک العمل بالمحتمل قبیح؟قالوا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العرف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بالعرف و السیرة العقلائیة لتحدید مولویة المولی الحقیقی قیاسٌ بلا دلیل،ویعدّ دلیلاً إمضائیاً،ولیس دلیلاً عقلیاً،ممّا یجعل براءتکم شرعیةً،ولیست عقلیة؟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مخالفة الواصل ظلمٌ للمولی فمخالفة غیر الواصل لیس من الظلم،فقیل لهم کلامنا فی العقل الأوّلی؛و هذا غیر أوّلی؛و إنّما یرتکز علی قاعدة حسن العدل وقبح الظلم الأوّلیة،وینبغی تشخیص الحقّ ابتداءً کی نعرف أنّه ظلمٌ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محرّک؟فقیل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مسألةً شخصیةً کی لا یکون محرّکاً،و إنّما یرتبط بمسؤولیتنا تّجاه المولی فعدم المحرّکیة فرع عدم ثبوت المحاسبة علیه و المسؤولیة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لحکم حقیقی،فلا مسؤولیة ولا محرّکیة؟فقیل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ذلک وجود حکم غیر حقیقی و هو ما یدور حوله الکلام لتحدید دائرة المسؤولیة تّجاهه مع أنّ أقلّ ما یستلزم القول بعدم وجود حکم حقیقی،وجود حکم إنشائی،و هذا أقوی من مجرّد الاحتمال،فنکون عدنا من حیث بدأنا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أنّکم تقولون بأنّ التکلیف بلا بیان غیر ثابت لعدم وجود بیان،و هذا هو الدّور ذاته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الکلام الذی کرّستم جهودکم لإثباته</w:t>
      </w:r>
      <w:r>
        <w:rPr>
          <w:rFonts w:eastAsia="IRNazanin" w:cs="IRNazanin"/>
          <w:color w:val="111111"/>
          <w:sz w:val="28"/>
          <w:szCs w:val="28"/>
          <w:rtl w:val="true"/>
          <w:lang w:bidi="fa-IR"/>
        </w:rPr>
        <w:t>.</w:t>
      </w:r>
    </w:p>
    <w:p>
      <w:pPr>
        <w:pStyle w:val="Heading6"/>
        <w:numPr>
          <w:ilvl w:val="5"/>
          <w:numId w:val="1"/>
        </w:numPr>
        <w:rPr/>
      </w:pPr>
      <w:bookmarkStart w:id="273" w:name="__RefHeading___Toc97244_581953129"/>
      <w:bookmarkStart w:id="274" w:name="_Toc115"/>
      <w:bookmarkEnd w:id="273"/>
      <w:r>
        <w:rPr>
          <w:rtl w:val="true"/>
        </w:rPr>
        <w:t>ونستنتج من ذلک</w:t>
      </w:r>
      <w:r>
        <w:rPr>
          <w:rtl w:val="true"/>
        </w:rPr>
        <w:t>:</w:t>
      </w:r>
      <w:bookmarkEnd w:id="274"/>
    </w:p>
    <w:p>
      <w:pPr>
        <w:pStyle w:val="BookText"/>
        <w:rPr/>
      </w:pPr>
      <w:r>
        <w:rPr>
          <w:rFonts w:ascii="IRNazanin" w:hAnsi="IRNazanin" w:eastAsia="IRNazanin"/>
          <w:color w:val="111111"/>
          <w:sz w:val="28"/>
          <w:sz w:val="28"/>
          <w:szCs w:val="28"/>
          <w:rtl w:val="true"/>
          <w:lang w:bidi="fa-IR"/>
        </w:rPr>
        <w:t>أنّ القائلین بالبراءة یدورون فی حلقة مفرغة،فلم یستطیعوا أن یثبتوا قاعدتهم إثباتاً عقلیاً أوّلیاً،ویفرض ذلک ما یدعو إلیه القائلون بالاحتیاط من لزوم الابتداء بتحدید دائرة حقّ الطاعة؛إذ إنّ أصحاب البراءة یقرّون بأصل وجود حقّ الطاعة،و هذا ما تؤکّده کلماتهم إضافةً إلی فحوی قاعدتهم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القائلون بشمول حقّ الطاعة لموارد الاحتمال لیستدلّوا علی الشمول؛بالمولویة التی یتّفق بشأن ثبوتها الطرفان،فقالوا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من له 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یحکم العقل بلزوم امتثاله واستحقاق العقاب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متّفق علیه،و هذا هو بالذات محصّل الحُجّیة،</w:t>
      </w:r>
    </w:p>
    <w:p>
      <w:pPr>
        <w:pStyle w:val="BookText"/>
        <w:rPr/>
      </w:pPr>
      <w:r>
        <w:rPr>
          <w:rFonts w:ascii="IRNazanin" w:hAnsi="IRNazanin" w:eastAsia="IRNazanin"/>
          <w:color w:val="111111"/>
          <w:sz w:val="28"/>
          <w:sz w:val="28"/>
          <w:szCs w:val="28"/>
          <w:rtl w:val="true"/>
          <w:lang w:bidi="fa-IR"/>
        </w:rPr>
        <w:t>فالحُجّیة تستلزم الامتثال واستحقاق العقاب علی المخالفة 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مفروضةٌ بنفس افتراض المولویة،و هذا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وصلنا إلی نتیجة 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نأتی 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الحُجّیة هی لازمٌ ذاتی للقطع لا یمکن أن تنفکّ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بذاته یستلزم الحُجّیة و المنجّزیة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انفکاکها عنه،والقطع فی الحقیقة هو عین الانکشاف،فالحُجّیة لازمٌ ذاتی للانکشاف،و هذا ما لا خلاف فیه فالجمیع متّفقون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فنأتی الآن إلی الخلاف الموجود فیما بین الطرفین و المتعلّق بشمول حقّ الطاعة لموارد الاحتمال،فیقول أصحاب الاحتیاط؛بأنّ کلّ انکشاف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درجة من الحُجّیة إلّا أنّ القطع یعبِّر عن الدرجة القصوی من الحُجّیة و المنجّزیة،فهذه الحُجّیة الثابتة بالانکشاف لا یمکننا ترک العمل وفقها إلّا بترخیص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تعبِّر عن حقّ الطاعة الثابت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هذا کلامٌ معقولٌ جدّاً؛لأنّه لا یمکن الخروج عن الأصل إلّا بدلیل،فالأصل هو 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قول أصحاب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القطع کی لا یمکن التّعدی عنه إلی الاحتمال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لهم من الإتیان بدلیل عقلی للخروج عن حقّ الطاعة الشامل لموارد الاحتمال،وإلّا فالثابت فعلاً هو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فالرأی الراجح فی الأصل الأوّلی العقلی عند الشکّ فی التکلیف هو القول بثبوت حقّ الطاعة الشامل لموارد الاحتمال إلّا ما رخّص المولی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الأصل العملی العقلی،ولکنّ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عقلاً بعدم وصول أصل عملی شرعی مخالف له،فإذا وصلنا أصل عملی شرعی یتضمّن لزوم الاحتیاط تّجاه الحکم الواقعی المشکوک ارتفع بذلک موضوع البراءة العقلیة عند القائلین بها،کما أنّه لو وصلنا أصل عملی شرعی یتضمّن البراءة تّجاه الحکم الواقعی المشکوک ارتفع بذلک موضوع الاحتیاط العقلی عند القائلین به</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فالمسلکان یلتقیان فی الأصل العملی الثانوی أو الشرعی،وذلک لوصول أصلَی البراءة الشرعیة والاحتیاط الشرعی کلٌّ فی موارده،فلا یبقی اختلافٌ فیما بینهما إلّا فیما لو کان هناک موردٌ لا یمکن أن یخضع لکلّ من أصلَی البراءة والاحتیاط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ما یرتبط ببحثنا من هذا الموضوع،فبناءً علی مسلک أصالة البراءة،فإنّ عنوان موضوعنا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الاقتصادیة ضوابطها حدودها یکون واضحاً؛لکون الأصل هو الإباحة التی تعنی حرّیة التصرّف،فتأتی الضوابط و الحدود لتضبط،وتحدّ من هذه الحرّیة بالمقدار الذی یثبت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أساس مسلک أصالة الاحتیاط،فربما یظنّ البعض بأنّه بحدّ ذاته لا یعترف بحرّیة الإنسان فی التصرّف إلّا فی الموارد التی یقطع بورود ترخیص فیها من قِبل الشارع،فکیف نضبط،ونحدّ من شیء غیر معترَف به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صحیح؛لأنّ المراد من الاحتیاط هنا الاحتیاط عند الشکّ فی وصول البیان لا فی أصل صدوره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 هذا الخلاف عبارة عن حالة عدم الوصول القطعی للتکلیف مع احتمال صدوره فی الواقع،ولیس عبارة عن حالة عدم صدور البیان علیه من الأساس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وبهذا یکون الاحتیاط مرتبطاً بحالة عدم الوصول القطعی للتکلیف مع احتمال صدوره فی الواقع،أمّا فی غیر هذه الحالة فالأمر لیس کذلک،هذا من جهة،ومن جهة أخری،فإنّ أصالة الاحتیاط محکومةٌ بالأصل العملی الثانوی،فالمولی رخّص فی حقّه هذا،وأحلّ البراءة الشرعیة محلّها من خلال بعض النصوص الواردة،والتی ارتضاها الفریقان مع ما جری من بحث کثیر فی مدی دلالتها علی المطلوب،کالآیة الکریمة لا یُکَلِّفُ اللّهُ نَفْساً إِلاّ ما آتاها ، </w:t>
      </w:r>
      <w:r>
        <w:rPr>
          <w:rStyle w:val="FootnoteAnchor"/>
          <w:rtl w:val="true"/>
        </w:rPr>
        <w:footnoteReference w:id="222"/>
      </w:r>
      <w:r>
        <w:rPr>
          <w:rFonts w:ascii="IRNazanin" w:hAnsi="IRNazanin" w:eastAsia="IRNazanin"/>
          <w:color w:val="111111"/>
          <w:sz w:val="28"/>
          <w:sz w:val="28"/>
          <w:szCs w:val="28"/>
          <w:rtl w:val="true"/>
          <w:lang w:bidi="fa-IR"/>
        </w:rPr>
        <w:t>وکحدیث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وبذلک لا یرد علی العنوان إشکالٌ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التنویه علی أنّ الفریقین قد اتّفقا علی أنّ البراءة الشرعیة تجری عند الشکّ فی التکلیف أی فی ثبوت التکلیف ابتداءً،ولا تجری عند الشکّ فی المکلَّف به،فإنّه یجری فیه الاحتیاط الشرعی باتّفاق الفریقین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تکون القاعدة الشرعیة التی ارتضاها الإسلام فی مجال ممارسة الإنسان لمختلف الأنشطة،هی إباحة الفعل و البراءة من انشغال ذمّته بشیء 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مطلق الحرّیة فی التصرّف من حیث المبدأ،إلّا أنّه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نظاماً شاملاً وکاملاً للحیاة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أسساً وضوابط وقوانین وأحکاماً لتنظیم حرّیته هذه فی کافّة المجالات،تنظیماً یضمن له قطف</w:t>
      </w:r>
    </w:p>
    <w:p>
      <w:pPr>
        <w:pStyle w:val="BookText"/>
        <w:rPr/>
      </w:pPr>
      <w:r>
        <w:rPr>
          <w:rFonts w:ascii="IRNazanin" w:hAnsi="IRNazanin" w:eastAsia="IRNazanin"/>
          <w:color w:val="111111"/>
          <w:sz w:val="28"/>
          <w:sz w:val="28"/>
          <w:szCs w:val="28"/>
          <w:rtl w:val="true"/>
          <w:lang w:bidi="fa-IR"/>
        </w:rPr>
        <w:t>ثمرات جوانبها الإیجابیة واجتناب مآسی جوانبها السلبیة،ممّا یعود بالفائدة علی حیاتیه الدنیویة و الأُخرویة،وعلی باقی أعضاء المجتمع الذی یعیش فی إطاره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تأسیسٌ لحرّیة مسؤولة تنسجم وطبیعة الحیاة الاجتماعیة و الصالح العام،فالإسلام لم یکتفِ بالحدّ من آثار الحرّیة ومعالجتها إذا ما انفلتت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بوضع عقوبات علی التجاوزات مهما کانت طفیفةً حتّی إرش الخدش،بل إنّه عمل علی إیصاد کلّ المنافذ التی ربّما تؤدّی إلی الانفلات و التجاوز علی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فنهی عن سوء الظنّ مثلاً الذی یعدّ منشأً لکثیر من التجاوزات،حیث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224"/>
      </w:r>
      <w:r>
        <w:rPr>
          <w:rFonts w:ascii="Amiri" w:hAnsi="Amiri" w:eastAsia="Amiri" w:cs="Amiri"/>
          <w:color w:val="111111"/>
          <w:sz w:val="28"/>
          <w:sz w:val="28"/>
          <w:szCs w:val="28"/>
          <w:rtl w:val="true"/>
          <w:lang w:bidi="ar-SA"/>
        </w:rPr>
        <w:t xml:space="preserve">فاعتبر مجرّد الظنّ الذی لم ینعکس بعدُ علی شکل فعل،اعتبره إثماً فی بعض الحالات لما له من آثار خطیرة،وما ذلک إلّا لأنّه لا یتعامل مع الأمور إلّا من خلال واقعها الحقیقی و الموضوعی علی اعتبار وَ إِنَّ الظَّنَّ لا یُغْنِی مِنَ الْحَقِّ شَیْئاً </w:t>
      </w:r>
      <w:r>
        <w:rPr>
          <w:rStyle w:val="FootnoteAnchor"/>
          <w:rtl w:val="true"/>
        </w:rPr>
        <w:footnoteReference w:id="225"/>
      </w:r>
      <w:r>
        <w:rPr>
          <w:rFonts w:ascii="IRNazanin" w:hAnsi="IRNazanin" w:eastAsia="IRNazanin"/>
          <w:color w:val="111111"/>
          <w:sz w:val="28"/>
          <w:sz w:val="28"/>
          <w:szCs w:val="28"/>
          <w:rtl w:val="true"/>
          <w:lang w:bidi="fa-IR"/>
        </w:rPr>
        <w:t>لیجعل من نفسیة المؤمن تربةً صالحةً لهذه الحرّیة المسؤولة التی تنعکس علی کافّة مجالات الحیاة لتکون عاملاً مساعداً مهمّاً فی إرساء الحرّیة الحقیقیة و العدالة و الأمن و السلام</w:t>
      </w:r>
      <w:r>
        <w:rPr>
          <w:rFonts w:eastAsia="IRNazanin" w:cs="IRNazanin"/>
          <w:color w:val="111111"/>
          <w:sz w:val="28"/>
          <w:szCs w:val="28"/>
          <w:rtl w:val="true"/>
          <w:lang w:bidi="fa-IR"/>
        </w:rPr>
        <w:t>.</w:t>
      </w:r>
      <w:bookmarkStart w:id="275" w:name="pg5204_66090"/>
    </w:p>
    <w:p>
      <w:pPr>
        <w:pStyle w:val="Heading3"/>
        <w:numPr>
          <w:ilvl w:val="2"/>
          <w:numId w:val="1"/>
        </w:numPr>
        <w:rPr/>
      </w:pPr>
      <w:bookmarkStart w:id="276" w:name="__RefHeading___Toc97246_581953129"/>
      <w:bookmarkStart w:id="277" w:name="_Toc116"/>
      <w:bookmarkEnd w:id="275"/>
      <w:bookmarkEnd w:id="276"/>
      <w:r>
        <w:rPr>
          <w:rtl w:val="true"/>
        </w:rPr>
        <w:t>المبحث الرابع</w:t>
      </w:r>
      <w:r>
        <w:rPr>
          <w:rtl w:val="true"/>
        </w:rPr>
        <w:t>:</w:t>
      </w:r>
      <w:r>
        <w:rPr>
          <w:rtl w:val="true"/>
        </w:rPr>
        <w:t>أسس عامّة</w:t>
      </w:r>
      <w:bookmarkEnd w:id="277"/>
    </w:p>
    <w:p>
      <w:pPr>
        <w:pStyle w:val="Heading4"/>
        <w:numPr>
          <w:ilvl w:val="3"/>
          <w:numId w:val="1"/>
        </w:numPr>
        <w:rPr/>
      </w:pPr>
      <w:bookmarkStart w:id="278" w:name="__RefHeading___Toc97248_581953129"/>
      <w:bookmarkStart w:id="279" w:name="_Toc117"/>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وقبل الخوض فی صلب بحثنا،أری من اللازم التطرّق إلی بعض الأسس العامّة التی یمکن من خلالها فهم الفلسفة التی تقوم علیها تعالیم الإسلام فی المجال الاقتصادی،والتی لا تقتصر علیه فحسب،بل تتعدّاه إلی المجالات الأخری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إدراک الترابط والانسجام و الفاعلیة و الدینامیة التی تتمیز به من خلال ذلک،ولِما لها من تأثیر کبیر علی کثیر من تلک التعالیم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الأسس تمثّل القاعدة المتینة التی تحول دون أن یتزعزع ویتهاوی،کما تزعزعت وتهاوت الکثیر من الأنظمة و النظریات التی لمّحنا إلیها فی سیرنا التاریخی حول حدود الحرّیة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یعدّ إقصاء الإسلام بتعالیمه ونُظمه عن واقع الحیاة دلیلاً علی فشلها العملی،بل علی العکس من ذلک؛فإنّ الفشل الذی لاقاه المسلمون فی العصور التی أعقبت انتشار الإسلام لم یکن لولا إقصائهم هذه التعالیم وإدارة ظهورهم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قیام الحضارة الإسلامیة وتطوّرها وازدهارها فی العصور الأولی من حکم الإسلام خیر دلیل علی ما نقول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الضروری أن نشیر إلی هذه الأسس لتکون منطلقاً لنا فی تحدید المفاهیم و الضوابط التی تقوم علیها البحوث الآتیة،والتی سنقوم بعنونتها علی شکل قضایا لزیادة التأکید من خلال نسبة المحمول إلی الموضوع،وهی کالتالی</w:t>
      </w:r>
      <w:r>
        <w:rPr>
          <w:rFonts w:eastAsia="IRNazanin" w:cs="IRNazanin"/>
          <w:color w:val="111111"/>
          <w:sz w:val="28"/>
          <w:szCs w:val="28"/>
          <w:rtl w:val="true"/>
          <w:lang w:bidi="fa-IR"/>
        </w:rPr>
        <w:t>:</w:t>
      </w:r>
      <w:bookmarkStart w:id="280" w:name="pg5204_66091"/>
    </w:p>
    <w:p>
      <w:pPr>
        <w:pStyle w:val="Heading4"/>
        <w:numPr>
          <w:ilvl w:val="3"/>
          <w:numId w:val="1"/>
        </w:numPr>
        <w:rPr/>
      </w:pPr>
      <w:bookmarkStart w:id="281" w:name="__RefHeading___Toc97250_581953129"/>
      <w:bookmarkStart w:id="282" w:name="_Toc118"/>
      <w:bookmarkEnd w:id="280"/>
      <w:bookmarkEnd w:id="281"/>
      <w:r>
        <w:rPr>
          <w:rtl w:val="true"/>
        </w:rPr>
        <w:t>أوّلاً</w:t>
      </w:r>
      <w:r>
        <w:rPr>
          <w:rtl w:val="true"/>
        </w:rPr>
        <w:t>:</w:t>
      </w:r>
      <w:r>
        <w:rPr>
          <w:rtl w:val="true"/>
        </w:rPr>
        <w:t>الله هو المالک الحقیقی</w:t>
      </w:r>
      <w:bookmarkEnd w:id="282"/>
    </w:p>
    <w:p>
      <w:pPr>
        <w:pStyle w:val="BookText"/>
        <w:rPr/>
      </w:pPr>
      <w:r>
        <w:rPr>
          <w:rFonts w:ascii="Amiri" w:hAnsi="Amiri" w:eastAsia="Amiri" w:cs="Amiri"/>
          <w:color w:val="111111"/>
          <w:sz w:val="28"/>
          <w:sz w:val="28"/>
          <w:szCs w:val="28"/>
          <w:rtl w:val="true"/>
          <w:lang w:bidi="ar-SA"/>
        </w:rPr>
        <w:t>إنّ ملکیة الله تعالی لکلّ ما فی الوجود و الأرض وما علیها وما فیها،هو ممّا أشارت إلیه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 </w:t>
      </w:r>
      <w:r>
        <w:rPr>
          <w:rStyle w:val="FootnoteAnchor"/>
          <w:rtl w:val="true"/>
        </w:rPr>
        <w:footnoteReference w:id="226"/>
      </w:r>
      <w:r>
        <w:rPr>
          <w:rFonts w:ascii="IRNazanin" w:hAnsi="IRNazanin" w:eastAsia="IRNazanin"/>
          <w:color w:val="111111"/>
          <w:sz w:val="28"/>
          <w:sz w:val="28"/>
          <w:szCs w:val="28"/>
          <w:rtl w:val="true"/>
          <w:lang w:bidi="fa-IR"/>
        </w:rPr>
        <w:t>فقد جاء فی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الْمُلْکُ فاعلم أنّ هذه اللفظة إنّما تُستعمل لتأکید کونه تعالی ملکاً ومالکا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مالکاً ومتصرّفاً فیما یملکه،و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یشمل بإطلاقه کلّ مُلک،وجعل المُلک فی یده استعارة بالکنایة عن کمال تسلّطه علیه وکونه متصرّفاً فیه کیف یشاء کما یتصرّف ذو الید فیما بیده ویقلّبه کیف یشاء،فهو تعالی یملک بنفسه کلّ شیء من جمیع جهاته ویملک ما یمکله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فتوصیفه تعالی بالذی بیده الملک أوسع من توصیفه بالملیک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مَلِیکٍ مُقْتَدِرٍ ، </w:t>
      </w:r>
      <w:r>
        <w:rPr>
          <w:rStyle w:val="FootnoteAnchor"/>
          <w:rtl w:val="true"/>
        </w:rPr>
        <w:footnoteReference w:id="228"/>
      </w:r>
      <w:r>
        <w:rPr>
          <w:rFonts w:ascii="Amiri" w:hAnsi="Amiri" w:eastAsia="Amiri" w:cs="Amiri"/>
          <w:color w:val="111111"/>
          <w:sz w:val="28"/>
          <w:sz w:val="28"/>
          <w:szCs w:val="28"/>
          <w:rtl w:val="true"/>
          <w:lang w:bidi="ar-SA"/>
        </w:rPr>
        <w:t>وأصرح وآکد من توصیفه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فهذه الملکیة ملکیةٌ حقیقیةٌ غیر اعتباریة،دائمةٌ غیر منقطعة فهو ینسبها إلی نفسه فی کلّ الأحوال و إن جعلها لغیره،کما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مِنْ مالِ اللّهِ الَّذِی آتاکُمْ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فالله هو المالک الحقیقی لجمیع الثروات بصورة فعلیة کما تنبّه إلیه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،لذا فباستطاعته استردادها وانتزاعها تکویناً کما تشیر إلیه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یَسْتَخْلِفْ مِنْ بَعْدِکُمْ ما یَشاءُ </w:t>
      </w:r>
      <w:r>
        <w:rPr>
          <w:rStyle w:val="FootnoteAnchor"/>
          <w:rtl w:val="true"/>
        </w:rPr>
        <w:footnoteReference w:id="232"/>
      </w:r>
      <w:r>
        <w:rPr>
          <w:rFonts w:ascii="IRNazanin" w:hAnsi="IRNazanin" w:eastAsia="IRNazanin"/>
          <w:color w:val="111111"/>
          <w:sz w:val="28"/>
          <w:sz w:val="28"/>
          <w:szCs w:val="28"/>
          <w:rtl w:val="true"/>
          <w:lang w:bidi="fa-IR"/>
        </w:rPr>
        <w:t>أو تشریعاً؛وذلک من خلال بعض الأحکام التی سترِد علینا فی طیات موضوعنا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وتترتّب علی الإیمان بهذه الحقیقة،آثارٌ مهمّةٌ علی مستوی علاقة الإنسان بالمال وکیفیة تصرّفه فیه،ویتجسّد ذلک من خلال الآلیة التی وضعها الله تعالی،لمراعاة حدود وضوابط هذه العلاقة،و هذا التصرّف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فالتوحید یعنی اجتماعیاً أنّ المالک هو الله دون غیره من الآلهة المزیفة</w:t>
      </w:r>
      <w:r>
        <w:rPr>
          <w:rFonts w:eastAsia="IRNazanin" w:cs="IRNazanin"/>
          <w:color w:val="111111"/>
          <w:sz w:val="28"/>
          <w:szCs w:val="28"/>
          <w:rtl w:val="true"/>
          <w:lang w:bidi="fa-IR"/>
        </w:rPr>
        <w:t xml:space="preserve">. </w:t>
      </w:r>
      <w:r>
        <w:rPr>
          <w:rStyle w:val="FootnoteAnchor"/>
          <w:rtl w:val="true"/>
        </w:rPr>
        <w:footnoteReference w:id="233"/>
      </w:r>
      <w:bookmarkStart w:id="283" w:name="pg5204_66092"/>
    </w:p>
    <w:p>
      <w:pPr>
        <w:pStyle w:val="Heading4"/>
        <w:numPr>
          <w:ilvl w:val="3"/>
          <w:numId w:val="1"/>
        </w:numPr>
        <w:rPr/>
      </w:pPr>
      <w:bookmarkStart w:id="284" w:name="__RefHeading___Toc97252_581953129"/>
      <w:bookmarkStart w:id="285" w:name="_Toc119"/>
      <w:bookmarkEnd w:id="283"/>
      <w:bookmarkEnd w:id="284"/>
      <w:r>
        <w:rPr>
          <w:rtl w:val="true"/>
        </w:rPr>
        <w:t>ثانیاً</w:t>
      </w:r>
      <w:r>
        <w:rPr>
          <w:rtl w:val="true"/>
        </w:rPr>
        <w:t>:</w:t>
      </w:r>
      <w:r>
        <w:rPr>
          <w:rtl w:val="true"/>
        </w:rPr>
        <w:t>الإنسان خلیفة الله فی الأرض</w:t>
      </w:r>
      <w:bookmarkEnd w:id="285"/>
    </w:p>
    <w:p>
      <w:pPr>
        <w:pStyle w:val="Heading5"/>
        <w:numPr>
          <w:ilvl w:val="4"/>
          <w:numId w:val="1"/>
        </w:numPr>
        <w:rPr/>
      </w:pPr>
      <w:bookmarkStart w:id="286" w:name="__RefHeading___Toc97254_581953129"/>
      <w:bookmarkStart w:id="287" w:name="_Toc120"/>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وتمثّل هذه الخلافة المسؤولیة و الأمانة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 </w:t>
      </w:r>
      <w:r>
        <w:rPr>
          <w:rStyle w:val="FootnoteAnchor"/>
          <w:rtl w:val="true"/>
        </w:rPr>
        <w:footnoteReference w:id="234"/>
      </w:r>
      <w:r>
        <w:rPr>
          <w:rFonts w:ascii="Amiri" w:hAnsi="Amiri" w:eastAsia="Amiri" w:cs="Amiri"/>
          <w:color w:val="111111"/>
          <w:sz w:val="28"/>
          <w:sz w:val="28"/>
          <w:szCs w:val="28"/>
          <w:rtl w:val="true"/>
          <w:lang w:bidi="ar-SA"/>
        </w:rPr>
        <w:t>فألقاها الله علی عاتقه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 </w:t>
      </w:r>
      <w:r>
        <w:rPr>
          <w:rStyle w:val="FootnoteAnchor"/>
          <w:rtl w:val="true"/>
        </w:rPr>
        <w:footnoteReference w:id="235"/>
      </w:r>
      <w:r>
        <w:rPr>
          <w:rFonts w:ascii="IRNazanin" w:hAnsi="IRNazanin" w:eastAsia="IRNazanin"/>
          <w:color w:val="111111"/>
          <w:sz w:val="28"/>
          <w:sz w:val="28"/>
          <w:szCs w:val="28"/>
          <w:rtl w:val="true"/>
          <w:lang w:bidi="fa-IR"/>
        </w:rPr>
        <w:t>وهی علی نوعین</w:t>
      </w:r>
      <w:r>
        <w:rPr>
          <w:rFonts w:eastAsia="IRNazanin" w:cs="IRNazanin"/>
          <w:color w:val="111111"/>
          <w:sz w:val="28"/>
          <w:szCs w:val="28"/>
          <w:rtl w:val="true"/>
          <w:lang w:bidi="fa-IR"/>
        </w:rPr>
        <w:t>:</w:t>
      </w:r>
    </w:p>
    <w:p>
      <w:pPr>
        <w:pStyle w:val="Heading5"/>
        <w:numPr>
          <w:ilvl w:val="4"/>
          <w:numId w:val="1"/>
        </w:numPr>
        <w:rPr/>
      </w:pPr>
      <w:bookmarkStart w:id="288" w:name="__RefHeading___Toc97256_581953129"/>
      <w:bookmarkStart w:id="289" w:name="_Toc121"/>
      <w:bookmarkEnd w:id="288"/>
      <w:r>
        <w:rPr>
          <w:rtl w:val="true"/>
        </w:rPr>
        <w:t>أ</w:t>
      </w:r>
      <w:r>
        <w:rPr>
          <w:rtl w:val="true"/>
        </w:rPr>
        <w:t>)</w:t>
      </w:r>
      <w:r>
        <w:rPr>
          <w:rtl w:val="true"/>
        </w:rPr>
        <w:t>الخلافة العامّة</w:t>
      </w:r>
      <w:bookmarkEnd w:id="289"/>
    </w:p>
    <w:p>
      <w:pPr>
        <w:pStyle w:val="BookText"/>
        <w:rPr/>
      </w:pPr>
      <w:r>
        <w:rPr>
          <w:rFonts w:ascii="Amiri" w:hAnsi="Amiri" w:eastAsia="Amiri" w:cs="Amiri"/>
          <w:color w:val="111111"/>
          <w:sz w:val="28"/>
          <w:sz w:val="28"/>
          <w:szCs w:val="28"/>
          <w:rtl w:val="true"/>
          <w:lang w:bidi="ar-SA"/>
        </w:rPr>
        <w:t>وهی خلافة النوع الإنسانی،الذی یستوعب کافّة أفراده،کما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 </w:t>
      </w:r>
      <w:r>
        <w:rPr>
          <w:rStyle w:val="FootnoteAnchor"/>
          <w:rtl w:val="true"/>
        </w:rPr>
        <w:footnoteReference w:id="236"/>
      </w:r>
      <w:r>
        <w:rPr>
          <w:rFonts w:ascii="IRNazanin" w:hAnsi="IRNazanin" w:eastAsia="IRNazanin"/>
          <w:color w:val="111111"/>
          <w:sz w:val="28"/>
          <w:sz w:val="28"/>
          <w:szCs w:val="28"/>
          <w:rtl w:val="true"/>
          <w:lang w:bidi="fa-IR"/>
        </w:rPr>
        <w:t>ولهذه الخلافة وجهان وجهٌ اجتماعی ووجهٌ طبیعی؛فالوجه الاجتماعی یتمثّل فی کون هذه الخلافة تشمل کافّة أفراد البشریة ولا تختصّ بشخص دون شخص کما تشیر إلیه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جَعَلَکُمْ خَلائِفَ ،والوجه الطبیعی منها یرتبط بالأرض التی تمثّل الطبیعة وما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فهناک مستخلِفٌ الذی هو الله،ومستخلَفٌ الذی هو الناس جمیعاً ومستخلَفٌ فیه الذی هو الطبیعة،و هو ما یحدّده بوضوح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جَعَلَکُمْ مُسْتَخْلَفِینَ فِیهِ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والخلافة بطبیعة الحال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النیابة عن المستخلِف فی القیام علی المستخلَف فیه وإدارة شؤونه حسب مراد المستخلِف؛لأنّ هذا المستخلِف لیس کغیره من المستخلِفین أو المخلَفین بعبارة أدقّ الذین یرحلون ویخلّفون غیرهم فی الحقیقاً،ولا یستخلفونهم،فهو حی باق مسیطرٌ ومراقبٌ لما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لِنَنْظُرَ کَیْفَ تَعْمَلُونَ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فهی إذن تتطلّب مراعاة وجهها الاجتماعی من خلال اشتراک البشریة فیها جمعاء وحقّهم جمیعاً فی المستخلَف فیه،ورعایتهم للمستخلَف فیه من حیث یرید المستخلِف لا من حیث یریدون هم باعتباره المالک الحقیقی،وإلّا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یَسْتَخْلِفْ مِنْ بَعْدِکُمْ ما یَشاءُ ،کما تقدّم فی الأساس الأوّل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الخلیفة الذی جعل له الحقّ فی تملّک ثروات الطبیعة ووظّفه باستثمارها،فرض</w:t>
      </w:r>
      <w:bookmarkStart w:id="290" w:name="pg5204_66093"/>
    </w:p>
    <w:p>
      <w:pPr>
        <w:pStyle w:val="BookText"/>
        <w:rPr/>
      </w:pPr>
      <w:bookmarkEnd w:id="290"/>
      <w:r>
        <w:rPr>
          <w:rFonts w:ascii="IRNazanin" w:hAnsi="IRNazanin" w:eastAsia="IRNazanin"/>
          <w:color w:val="111111"/>
          <w:sz w:val="28"/>
          <w:sz w:val="28"/>
          <w:szCs w:val="28"/>
          <w:rtl w:val="true"/>
          <w:lang w:bidi="fa-IR"/>
        </w:rPr>
        <w:t>علیه مراعاة حقوق الآخرین علی اعتبار أنّها لیست حکراً علیه،و إنّما هناک من یشارکه فی خلافة هذه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یستشعر الفرد المسؤولیة فی تصرّفاته المالیة أمام الله تعالی؛لأنّه هو المالک الحقیقی لجمیع الأموال،کما یحسّ بالمسؤولیة أمام الجماعة أیضاً؛لأنّ الخلافة لها بالأصل،والملکیة للمال إنّما هی مظهر من مظاهر تلک الخلافة وأسالیبها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ویتمّ ذلک فی عملیة منسجمة یتداخل فیها الإنسان مع الطبیعة لیکون قادراً علی تطویعها والارتقاء بها نحو الغایة التی خُلق وخُلقت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وَ اسْتَعْمَرَکُمْ فِیها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اختلفت قابلیاتهم ومواهبهم وإمکاناتهم،فإنّه ممّا یساهم فی إنجاز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فالملکیة و الحقوق الخاصّة التی مُنحت لبعض دون بعض فاختلفت بذلک درجاتهم فی الخلافة،هی ضرب من الامتحان لمواهب الجماعة ومدی قدرتها علی حمل الأعباء،وقوّة دافعة لها علی إنجاز مهام الخلافة،والسباق فی هذا المضمار</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291" w:name="__RefHeading___Toc97258_581953129"/>
      <w:bookmarkStart w:id="292" w:name="_Toc122"/>
      <w:bookmarkEnd w:id="291"/>
      <w:r>
        <w:rPr>
          <w:rtl w:val="true"/>
        </w:rPr>
        <w:t>ب</w:t>
      </w:r>
      <w:r>
        <w:rPr>
          <w:rtl w:val="true"/>
        </w:rPr>
        <w:t>)</w:t>
      </w:r>
      <w:r>
        <w:rPr>
          <w:rtl w:val="true"/>
        </w:rPr>
        <w:t>الخلافة الخاصّة</w:t>
      </w:r>
      <w:bookmarkEnd w:id="2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خلافةٌ خاصّةٌ یستخلف فیها الله تعالی خلیفةً خاصّاً یکون ممثّله الشرعی فی الإشراف علی المجتمع الإنسانی فی عملیة إدارتهم لشؤون الحیاة و الطبیعة،کما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Style w:val="FootnoteAnchor"/>
          <w:rtl w:val="true"/>
        </w:rPr>
        <w:footnoteReference w:id="242"/>
      </w:r>
      <w:r>
        <w:rPr>
          <w:rFonts w:ascii="Amiri" w:hAnsi="Amiri" w:eastAsia="Amiri" w:cs="Amiri"/>
          <w:color w:val="111111"/>
          <w:sz w:val="28"/>
          <w:sz w:val="28"/>
          <w:szCs w:val="28"/>
          <w:rtl w:val="true"/>
          <w:lang w:bidi="ar-SA"/>
        </w:rPr>
        <w:t>ویقوم بأعباء تلک المسؤولیة حسب الصیغة وعلی ضوء الأهداف التی قرّرها المستخلِف،فإنّ هذا الإمام الذی نصبه الله تعالی؛یعدّ العنصر المتحرّک لتنفیذ إرادته تعالی المتمثّلة بالعنصر الثابت،والتی بینها فی کتابه الکریم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 </w:t>
      </w:r>
      <w:r>
        <w:rPr>
          <w:rStyle w:val="FootnoteAnchor"/>
          <w:rtl w:val="true"/>
        </w:rPr>
        <w:footnoteReference w:id="243"/>
      </w:r>
      <w:r>
        <w:rPr>
          <w:rFonts w:ascii="Amiri" w:hAnsi="Amiri" w:eastAsia="Amiri" w:cs="Amiri"/>
          <w:color w:val="111111"/>
          <w:sz w:val="28"/>
          <w:sz w:val="28"/>
          <w:szCs w:val="28"/>
          <w:rtl w:val="true"/>
          <w:lang w:bidi="ar-SA"/>
        </w:rPr>
        <w:t>لتمتزج عملیة الإمامة بعنصر متحرّک متمثّل بشخص الإمام وعنصر ثابت یتبلور فی مقرّرات الله؛لإنجاز مهمّة إدارة شؤون الحیاة علی أفضل وجه،و هذا ما تعبِّر عنه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ولا یمکن لهذه العملیة أن تتمّ من دون فرض إطاعة هذا العنصر المتحرّک علی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245"/>
      </w:r>
      <w:r>
        <w:rPr>
          <w:rFonts w:ascii="IRNazanin" w:hAnsi="IRNazanin" w:eastAsia="IRNazanin"/>
          <w:color w:val="111111"/>
          <w:sz w:val="28"/>
          <w:sz w:val="28"/>
          <w:szCs w:val="28"/>
          <w:rtl w:val="true"/>
          <w:lang w:bidi="fa-IR"/>
        </w:rPr>
        <w:t>فإنّ هذا النصّ دلّ بوضوح علی وجوب إطاعة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بین المسلمین،فی أنّ أولی الأمر هم أصحاب السلطة الشرعیة فی المجتمع الإسلامی،و إن اختلفوا فی تعیینهم وتحدید شروطهم وصفاتهم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فجعل المستخلِف خلیفته الخاصّ قیماً علی خلیفته العامّ للإشراف علی طبیعة تصرّفاته فی الثّروات الطبیعیة من خلال إعمال إرادة المستخلِف فیها و المتمثّلة بتعالیمه،هذا من جانب؛وخصّه بجزء من ثروات الطبیعة من جانب آخر،لیتدخّل عند الضرورة فی إعادة التوازن فیما بین الجماعة إن تعرّض للخلل وذلک من خلال إعمال قیمومته من جهة،وتوظیف تلک الثروة المجعولة له فی هذا المجال من جهة أخری،أی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المستخلِف أمدّ خلیفته الخاصّ بالقدرة القانونیة و المادّیة لإعمال نفوذه فی إقرار وإعادة التوازن الاقتصادی بین أفراد خلفائه فیما لو أخلّوا بشروط الشراکة الاستخلافیة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وضعت الشریعة مبدأ إشراف ولی الأمر علی النشاط العام،وتدخّل الدولة لحمایة المصالح العامّة وحراستها،بالتحدید من حرّیات الأفراد فیما یمارسون من أعمال</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ویعدّ هذا التدخّل من الأرکان الرئیسة فی الاقتصاد الإسلامی،فهو یسری فی جمیع مجالات الاقتصاد إنتاجاً وتوزیعاً واستهلاکاً،ولا یختصّ بجانب منه دون آخر،فهو یمثّل عملیة الإشراف التی تأخذ فی الحسبان کلّ العوامل و الظروف التی تؤثّر فی إقرار النظام الاقتصادی المستتبع لإقرار النظام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وضع الإسلام لهذا المبدأ ضروریاً لکی یضمن تحقیق مُثله ومفاهیمه فی العدالة الاجتماعیة علی مرّ الزمن</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اعتبار أنّ الإسلام نظامٌ صالحٌ لجمیع العصور،ومن هنا کان له جانبان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ثابتٌ ویتمثّل بالأحکام المرتبطة بعلاقات الإنسان بالله وبأخیه الإنسان،فهذه العلاقات تکون ثابتةً فی جوهرها و إن تغیرت عناوینها ومظاهرها،وجانبٌ متغیرٌ متطوّرٌ،و هو یمثّل علاقات الإنسان بالطبیعة فهذه العلاقات فی تجدّد وتغیر تبعاً للمعالجات المتغیرة التی یمارسها مع الطبیعة من</w:t>
      </w:r>
      <w:bookmarkStart w:id="293" w:name="pg5204_66095"/>
    </w:p>
    <w:p>
      <w:pPr>
        <w:pStyle w:val="BookText"/>
        <w:rPr/>
      </w:pPr>
      <w:bookmarkEnd w:id="293"/>
      <w:r>
        <w:rPr>
          <w:rFonts w:ascii="IRNazanin" w:hAnsi="IRNazanin" w:eastAsia="IRNazanin"/>
          <w:color w:val="111111"/>
          <w:sz w:val="28"/>
          <w:sz w:val="28"/>
          <w:szCs w:val="28"/>
          <w:rtl w:val="true"/>
          <w:lang w:bidi="fa-IR"/>
        </w:rPr>
        <w:t>أجل السیطرة علیها والاستفادة الأمثل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یأتی دور تدخّل وإشراف ولاة الأمر،فهم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یضعون العناصر المتحرّکة التی یستوحونها من المؤشّرات العامّة للإسلام و الروح الاجتماعیة و الإنسانیة للشریعة المقدّسة فی مختلف شؤون الحیاة الاقتصادیة وغیرها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فتکون وظیفة ولی الأمر ملء هذه العناصر المتحرّکة و هو ما یسمّی بمنطقة الفراغ کی یکون الإسلام قادراً علی مواکبة الحیاة وتطوّرها،ولا یعدّ وجود منطقة الفراغ هذه نقصاً فی الإسلام،بل هی کمالٌ له علی اعتبار أنّه دینٌ واقعی وموضوعی یتلائم مع الفطرة الإنسانیة من جهة و التی تمثّل جانب الثبات،ومع واقع الحیاة المتجدّد و المتطوّر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نجح فی أن یبقی دیناً حیاً یجذب الکثیر من الأنصار و الأتباع علی مدی أربعة عشر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یکون تدخّل ولی الأمر فی النشاط الاقتصادی من الأسس المهمّة لتوجیهه فی الاتّجاه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رأَینا التأسیس له هنا،لنأتی علی ذکر تطبیقاته الخاصّة فی ثنایا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یکتمل المربّع الخلافتی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الخلافة،المشرف علی الخلافة،الخلفاء و المستخلَف فیه،لیقوم کلٌّ بدوره فی إنجاز المهامّ المنوطة به للسیر نحو المستخلِف،والذی لا مناص للإنسان منه إذا ما أراد أن یعیش حیاةً وادعةً آمنةً مطمئنّةً فی حیاته الدنیا،ویصل فی نهایة المطاف إلی قربه ونیل الزلفی لدیه فی حیاته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ذلک الأساس المهمّ الذی یرتکز علیه الاقتصاد الإسلامی فهماً واستیعاباً وتطبیقاً،ولا یمکن لأی اقتصاد أن یستغنی عنه إذا ما أراد السیر فی الطریق الصحیحة،ویصل إلی المحطّة التی تجعل من المجتمع کلّ المجتمع یعیش فی أمن وسلام وخیر</w:t>
      </w:r>
      <w:r>
        <w:rPr>
          <w:rFonts w:eastAsia="IRNazanin" w:cs="IRNazanin"/>
          <w:color w:val="111111"/>
          <w:sz w:val="28"/>
          <w:szCs w:val="28"/>
          <w:rtl w:val="true"/>
          <w:lang w:bidi="fa-IR"/>
        </w:rPr>
        <w:t>.</w:t>
      </w:r>
    </w:p>
    <w:p>
      <w:pPr>
        <w:pStyle w:val="Heading4"/>
        <w:numPr>
          <w:ilvl w:val="3"/>
          <w:numId w:val="1"/>
        </w:numPr>
        <w:rPr/>
      </w:pPr>
      <w:bookmarkStart w:id="294" w:name="__RefHeading___Toc97260_581953129"/>
      <w:bookmarkStart w:id="295" w:name="_Toc123"/>
      <w:bookmarkEnd w:id="294"/>
      <w:r>
        <w:rPr>
          <w:rtl w:val="true"/>
        </w:rPr>
        <w:t>ثالثاً</w:t>
      </w:r>
      <w:r>
        <w:rPr>
          <w:rtl w:val="true"/>
        </w:rPr>
        <w:t>:</w:t>
      </w:r>
      <w:r>
        <w:rPr>
          <w:rtl w:val="true"/>
        </w:rPr>
        <w:t>القیام بالقسط،وسیلةٌ وغایة</w:t>
      </w:r>
      <w:bookmarkEnd w:id="295"/>
    </w:p>
    <w:p>
      <w:pPr>
        <w:pStyle w:val="BookText"/>
        <w:rPr/>
      </w:pPr>
      <w:r>
        <w:rPr>
          <w:rFonts w:ascii="IRNazanin" w:hAnsi="IRNazanin" w:eastAsia="IRNazanin"/>
          <w:color w:val="111111"/>
          <w:sz w:val="28"/>
          <w:sz w:val="28"/>
          <w:szCs w:val="28"/>
          <w:rtl w:val="true"/>
          <w:lang w:bidi="fa-IR"/>
        </w:rPr>
        <w:t>جاء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القسط،بالکسر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العدل،والقسط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و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وفاه قسطه،أی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وحصّته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فی القسمة فقط،أقسطت بینهم،وأقسطت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حکموا عدلوا،و إذا قسموا أقسطوا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عدلوا </w:t>
      </w:r>
      <w:r>
        <w:rPr>
          <w:rStyle w:val="FootnoteAnchor"/>
          <w:rtl w:val="true"/>
        </w:rPr>
        <w:footnoteReference w:id="2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فیستشفّ من ذلک أنّ القسط هو العدل بالمعنی الأعم،والعدل فی القسمة و النصیب بالمعنی الأخص،حتّی أنّه جاء بمعنی الحصّة و النصیب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دعانا إلی ترجیحه علی لفظة العدل فی اختیار العنوان،مع ما له من معنیً أدائی وتنفیذی من خلال عبارة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عملیةٌ إجرائیةٌ تشمل کافّة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جاءت الآیة الّتی ترتبط بموضوعنا الاقتصادی لتؤکّده،وهی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فقد جاء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لِیَقُومَ النّاسُ بِالْقِسْطِ فسّروا المیزان بذی الکفّتین الذی یوزن به الأثقال،وأخذوا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 غایة متعلّقة بإنزال المیزان،والمعنی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المیزان لیقوم الناس بالعدل فی معاملاتهم فلا یخسروا باختلال الأوزان و النسب بین الأشیاء فقوام حیاة الإنسان بالاجتماع،وقوام الاجتماع بالمعاملات الدائرة بینهم و المبادلات فی الأمتعة و السلع،وقوام المعاملات فی ذوات الأوزان بحفظ النسب بینها و هو شأن المیزان</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فهو یرتبط بالاقتصاد من حیث الآلیة المتّبعة فی إعطاء کلّ ذی حقّ حقّه،فالعدل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الأخصّ هو الذی یوصل إلی العدل بالمعنی الأعم،فالعدل یعدّ وسیلةً وغایةً فی ذات الوقت،فلا یطلب العدل بالجور،ولهذا لا یمکن إقرار العدل العامّ إلّا من خلال العدل الخاصّ،ولهذا کان القیام بالقسط من الأسس المتینة التی یعتمدها الاقتصاد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واعتمدناه أساساً عامّاً علی اعتبار دخوله فی جمیع فروع الاقتصاد،وتُستقی من خلاله الکثیر من التشریعات فهو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أساساً لاستیحاء صیغ تشریعیة متطوّرة ومتحرّکة وفقاً للمستجدّات و المتغیرات تکفل تحقیق تلک القیم وفقاً لصلاحیات الحاکم الشرعی فی ملء منطقة الفراغ</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ویتمثّل فی الإنتاج؛من خلال حسن استثمار الطبیعة للقیام بإعمار الأرض وعدم ظلم النفس بالتفریط و التقصیر فی هذه الوظیفة التی أُلقیت علی کاهل الإنسان ممّا یؤدّی إلی الفقر و الفاقة لیس علی المستوی الذاتی فحسب،بل تعدّیه إلی عامّة المجتمع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التوزیع الحیلولة دون إساءة قسمة الثروة علی الجماعة ککلّ،فإنّ سوء التوزیع یعدّ ظلماً للمجتمع،و هذا ما یشیر إلیه النصّ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w:t>
      </w:r>
    </w:p>
    <w:p>
      <w:pPr>
        <w:pStyle w:val="BookText"/>
        <w:rPr/>
      </w:pPr>
      <w:r>
        <w:rPr>
          <w:rFonts w:ascii="Amiri" w:hAnsi="Amiri" w:eastAsia="Amiri" w:cs="Amiri"/>
          <w:color w:val="111111"/>
          <w:sz w:val="28"/>
          <w:sz w:val="28"/>
          <w:szCs w:val="28"/>
          <w:rtl w:val="true"/>
          <w:lang w:bidi="ar-SA"/>
        </w:rPr>
        <w:t xml:space="preserve">نِعْمَتَ اللّهِ لا تُحْصُوها إِنَّ الْإِنْسانَ لَظَلُومٌ کَفّارٌ ، </w:t>
      </w:r>
      <w:r>
        <w:rPr>
          <w:rStyle w:val="FootnoteAnchor"/>
          <w:rtl w:val="true"/>
        </w:rPr>
        <w:footnoteReference w:id="254"/>
      </w:r>
      <w:r>
        <w:rPr>
          <w:rFonts w:ascii="IRNazanin" w:hAnsi="IRNazanin" w:eastAsia="IRNazanin"/>
          <w:color w:val="111111"/>
          <w:sz w:val="28"/>
          <w:sz w:val="28"/>
          <w:szCs w:val="28"/>
          <w:rtl w:val="true"/>
          <w:lang w:bidi="fa-IR"/>
        </w:rPr>
        <w:t>فقد أشار هذا النصّ القرآنی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لونین من الانحراف أحدهما الظلم و الآخر کفران النعمة،والظلم یعنی سوء التوزیع وعدم توفیر هذه النعم لأفراد الجماعة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ظلم بعض أفراد الجماعة للبعض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وکفران النعمة یعنی تقصیر الجماعة فی استثمار ما حباها الله به من طاقات الکون وخیراته المتنوّعة أی التوقّف عن الإبداع الذی هو فی نفس الوقت توقّف عن السیر نحو المطلق نحو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ظلم الجماعة نفسها</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وفی الاستهلاک؛بالاعتدال الذی هو افتعالٌ للعدل،والذی یؤدّی بدوره إلی توفیر الکثیر ممّا یسدّ حاجات المجتمع ممّا یساهم فی إقرار العدل وإیجاد التوازن المعاشی بین کافّة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یجدر ذکره هنا،هو العلاقة الموجودة بین الرسل من جانب،والکتاب و المیزان من جانب آخر،وبین القیام بالقسط،و قد تحدّثنا عن الجانب الأوّل فی الأساس الثانی؛أمّا الجانب الآخر،فیتمّ الکلام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الکریمة ربطت القیام بالقسط بشیئین بشکل یوحی بعدم إمکان الفصل بینهما أو الاستغناء عن أحدهما،وهما الکتاب و المیزان،فالکتاب یمثّل المنهاج و النظام الذی تقوم علی أساسه عملیة القیام بالقسط و هو عبارة عن التشریعات التی جاء بها،والمیزان یمثّل الوسیلة المادّیة الحیادیة التی یتمّ من خلالها تحدید الحقوق،فهی بحدّ ذاتها تُعطی کلّ ذی حقّ حقّه،ولا تتلاعب بحقّ أی کان،و إذا ما حدث ذلک فإنّما یحدث من خلال القائم علیها عن طریق الغشّ و الخداع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جاء الکتاب لیبینه ویأمر بحفظ القسط وینهی عن الجور فیه بإنقاصه،فیقول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 </w:t>
      </w:r>
      <w:r>
        <w:rPr>
          <w:rStyle w:val="FootnoteAnchor"/>
          <w:rtl w:val="true"/>
        </w:rPr>
        <w:footnoteReference w:id="256"/>
      </w:r>
      <w:r>
        <w:rPr>
          <w:rFonts w:ascii="IRNazanin" w:hAnsi="IRNazanin" w:eastAsia="IRNazanin"/>
          <w:color w:val="111111"/>
          <w:sz w:val="28"/>
          <w:sz w:val="28"/>
          <w:szCs w:val="28"/>
          <w:rtl w:val="true"/>
          <w:lang w:bidi="fa-IR"/>
        </w:rPr>
        <w:t>فهی الوسیلة التی تعتمدها البشریة جمعاء للقبول بحکمها القیاسی،وهی تمثّل الوجه البارز للاقتصاد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فأعطت للاقتصاد الذی یمثّله المیزان أهمّیةً بارزةً،حیث وضعته جنباً إلی جنب مع الکتاب،إذاً فلا بدّ من وجود موازین تشریعیة وموازین مادّیة حیادیة و التی تعبِّر عن الاقتصاد المتوازن؛لتتمّ عملیة القیام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المناسب أن نتحدّث عنه ضمن الأساس الرابع</w:t>
      </w:r>
      <w:r>
        <w:rPr>
          <w:rFonts w:eastAsia="IRNazanin" w:cs="IRNazanin"/>
          <w:color w:val="111111"/>
          <w:sz w:val="28"/>
          <w:szCs w:val="28"/>
          <w:rtl w:val="true"/>
          <w:lang w:bidi="fa-IR"/>
        </w:rPr>
        <w:t>:</w:t>
      </w:r>
      <w:bookmarkStart w:id="296" w:name="pg5204_66098"/>
    </w:p>
    <w:p>
      <w:pPr>
        <w:pStyle w:val="Heading4"/>
        <w:numPr>
          <w:ilvl w:val="3"/>
          <w:numId w:val="1"/>
        </w:numPr>
        <w:rPr/>
      </w:pPr>
      <w:bookmarkStart w:id="297" w:name="__RefHeading___Toc97262_581953129"/>
      <w:bookmarkStart w:id="298" w:name="_Toc124"/>
      <w:bookmarkEnd w:id="296"/>
      <w:bookmarkEnd w:id="297"/>
      <w:r>
        <w:rPr>
          <w:rtl w:val="true"/>
        </w:rPr>
        <w:t>رابعاً</w:t>
      </w:r>
      <w:r>
        <w:rPr>
          <w:rtl w:val="true"/>
        </w:rPr>
        <w:t>:</w:t>
      </w:r>
      <w:r>
        <w:rPr>
          <w:rtl w:val="true"/>
        </w:rPr>
        <w:t>الإسلام کلٌّ واحد</w:t>
      </w:r>
      <w:r>
        <w:rPr>
          <w:rtl w:val="true"/>
        </w:rPr>
        <w:t>(</w:t>
      </w:r>
      <w:r>
        <w:rPr>
          <w:rtl w:val="true"/>
        </w:rPr>
        <w:t>نظامٌ مترابط</w:t>
      </w:r>
      <w:r>
        <w:rPr>
          <w:rtl w:val="true"/>
        </w:rPr>
        <w:t>)</w:t>
      </w:r>
      <w:bookmarkEnd w:id="298"/>
    </w:p>
    <w:p>
      <w:pPr>
        <w:pStyle w:val="BookText"/>
        <w:rPr/>
      </w:pPr>
      <w:r>
        <w:rPr>
          <w:rFonts w:ascii="IRNazanin" w:hAnsi="IRNazanin" w:eastAsia="IRNazanin"/>
          <w:color w:val="111111"/>
          <w:sz w:val="28"/>
          <w:sz w:val="28"/>
          <w:szCs w:val="28"/>
          <w:rtl w:val="true"/>
          <w:lang w:bidi="fa-IR"/>
        </w:rPr>
        <w:t>فالاقتصاد الذی نتحدّث عنه؛هو جزءٌ من کلّ فی عملیة القیام بالقسط،فالتشریعات الموجودة فی الکتاب لا تقتصر علی ما یرتبط بالاقتصاد فقط،و إنّما هی تشریعاتٌ تحوی أجزاء متعدّدةً تشمل کافّة مناحی ومرافق الحیاة،و هذا الکلّ متداخلٌ ومتمازجٌ بعضه مع البعض،فلا یمکن إجراء أی جزء منه بمعزل عن إجراء أجزائه الأخری،فهو کتابٌ ذو وحدة واحدة،ولیس صحفاً متفرّقةً لا یوجد تداخل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هنا،فإذا ما أُرید تطبیق هذا الاقتصاد المتوازن بشکل مثمر؛لا بدّ من العمل علی تطبیق کافّة تشریعاته فی مجالاتها المختلفة،فعلینا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نعی الاقتصاد الإسلامی ضمن الصیغة الإسلامیة العامّة،التی تنظّم شتّی نواحی الحیاة فی المجتمع فمن الخطأ أن لا نُعیر الصیغة الإسلامیة العامّة أهمّیتها،وأن لا نُدخل فی الحساب طبیعة العلاقة بین الاقتصاد وسائر أجزاء المذهب،والتأثیر المتبادل بینها فی کیانه العضوی العام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ومن هنا أیضاً أُخذت هذه التشریعات کأساس آخر من الأسس التی ینبغی مراعاتها فی الاقتصاد الإسلامی؛ولذلک جاء فی صحّة الشروط التی یتّفق حولها فی المعاملات علی سبیل المثال؛أن لا تکون مخالفةً للکتاب،و هذا لا ینحصر فی الاقتصاد فحسب،بل إنّه یتعدّی إلی مجالات الحیاة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 أُرید للحرّیة الاقتصادیة أن تلعب دورها البنّاء فی التطویر و التنمیة فلا بدّ من مراعاة حدودها وضوابطها التی وضعها الإسلام،وإلّا فستکون منافیةً للغایة التی أُقرّت من أجلها،وستنعکس سلباً علی عامّة النشاط الاقتصادی،بل إنّها ستنقلب علی نفسها،وتکبّل أصحابها بألوان من الأزمات العصیة علی الحلول و المعالجات</w:t>
      </w:r>
      <w:r>
        <w:rPr>
          <w:rFonts w:eastAsia="IRNazanin" w:cs="IRNazanin"/>
          <w:color w:val="111111"/>
          <w:sz w:val="28"/>
          <w:szCs w:val="28"/>
          <w:rtl w:val="true"/>
          <w:lang w:bidi="fa-IR"/>
        </w:rPr>
        <w:t>.</w:t>
      </w:r>
    </w:p>
    <w:p>
      <w:pPr>
        <w:pStyle w:val="Heading4"/>
        <w:numPr>
          <w:ilvl w:val="3"/>
          <w:numId w:val="1"/>
        </w:numPr>
        <w:rPr/>
      </w:pPr>
      <w:bookmarkStart w:id="299" w:name="__RefHeading___Toc97264_581953129"/>
      <w:bookmarkStart w:id="300" w:name="_Toc125"/>
      <w:bookmarkEnd w:id="299"/>
      <w:r>
        <w:rPr>
          <w:rtl w:val="true"/>
        </w:rPr>
        <w:t>خامساً</w:t>
      </w:r>
      <w:r>
        <w:rPr>
          <w:rtl w:val="true"/>
        </w:rPr>
        <w:t>:</w:t>
      </w:r>
      <w:r>
        <w:rPr>
          <w:rtl w:val="true"/>
        </w:rPr>
        <w:t>الإنسان ذو کرامة ذاتیة</w:t>
      </w:r>
      <w:bookmarkEnd w:id="3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کرامة الإنسان من الأسس المهمّة التی نادی بها الإسلام،لیس علی مستوی الدعوة إلیها فحسب،و إنّما جعلها أساساً للکثیر من التشریعات العملیة سواء من ناحیة صیانتها وحفظها من الانتهاک،أو من ناحیة تجذیرها والارتقاء بها،انسجاماً مع متبنّیات الإسلام التی تستهدف الوصول بالإنسان إلی الکمال اللائق به باعتباره خلیفة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یعتبرها الإسلام شیئاً ممنوحاً من قِبل الآخرین کی یمکن التلاعب بها وسلبها وانتزاعها منه متی شاؤوا،و إنّما هی من الممیزات الذاتیة للإنسان بما هو إنسانٌ تمیزه عن باقی المخلوقات فی کلّ أحواله وأطواره،والتی منحها الله له نظراً للوظیفة التی أنشأه من أجل القیام بها؛لذا فالإسلام یؤمن بها ویؤکّد علیها بغضّ النظر عن الدین و المذهب والاتّجاه و العنصر و القابلیة التی یتمایز بها الأفراد؛فیقول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فهی کما تلاحِظ کرامةٌ متحقّقةٌ من خلال استخدام حرف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ودخول لام التوکید الذی یزیدها تحقیقاً،وإیقاعها علی النوع الإنسانی من خلال التعبیر ببنی آدم الذی یختصّ بالطبیعة الإنسانیة،و قد جاء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مسوقة للامتنان مشوباً بالعتاب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یظهر أنّ المراد بالآیة بیان حال لعامّة البشر مع الغضّ عمّا یختصّ به بعضهم من الکرامة الخاصّة الإلهیة و القرب و الفضیلة الروحیة المحضة،فالکلام یعمّ المشرکین و الکفّار و الفسّاق،وإلّا لم یتمّ معنی الامتنان و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وَ لَقَدْ کَرَّمْنا بَنِی آدَمَ المراد بالتکریم تخصیص الشیء بالعنایة وتشریفه بما یختصّ به ولا یوجد فی غیره،وبذلک یفترق عن التفضیل،فإنّ التکریم معنیً نفسی،و هو جعله شریفاً ذا کرامة فی نفسه،والتفضیل معنیً إضافی و هو تخصیصه بزیادة العطاء بالنسبة إلی غیره مع اشتراکهما فی أصل العطیة و الإنسان یختصّ من بین الموجودات الکونیة بالعقل ویزید علی غیره فی جمیع الصفات و الأحوال التی توجد بینها و الأعمال التی یأتی بها</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فجعلها بذلک میزةً أوجب مراعاتها فی جمیع جوانب الحیاة،ومع کلّ الناس،حیث وضع شروطاً قاسیةً لإثبات الجنایة فی حقّ المتّهم بها،ولم یسمح بانتهاک حرمته حتّی مع ثبوتها علیه إلّا بمقدار العقوبة المستحقّة علیه،والتی تُعدّ بحدّ ذاتها وسیلةً وقائیةً لاستعادة کرامته بعد أنّ فرّط هو بها،وصیانةً لکرامة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ووبّخ عباده علی عدم مراعاتها مع أشدّ الناس ضعفاً،بقوله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لا تُکْرِمُونَ الْیَتِیمَ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ودعا الإنسان لاتّخاذ نهج یرتقی بها لترتقی 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 </w:t>
      </w:r>
      <w:r>
        <w:rPr>
          <w:rStyle w:val="FootnoteAnchor"/>
          <w:rtl w:val="true"/>
        </w:rPr>
        <w:footnoteReference w:id="261"/>
      </w:r>
      <w:r>
        <w:rPr>
          <w:rFonts w:ascii="IRNazanin" w:hAnsi="IRNazanin" w:eastAsia="IRNazanin"/>
          <w:color w:val="111111"/>
          <w:sz w:val="28"/>
          <w:sz w:val="28"/>
          <w:szCs w:val="28"/>
          <w:rtl w:val="true"/>
          <w:lang w:bidi="fa-IR"/>
        </w:rPr>
        <w:t>حیث إنّ استعمال صیغة التفضیل هنا یؤکّد علی</w:t>
      </w:r>
    </w:p>
    <w:p>
      <w:pPr>
        <w:pStyle w:val="BookText"/>
        <w:rPr/>
      </w:pPr>
      <w:r>
        <w:rPr>
          <w:rFonts w:ascii="IRNazanin" w:hAnsi="IRNazanin" w:eastAsia="IRNazanin"/>
          <w:color w:val="111111"/>
          <w:sz w:val="28"/>
          <w:sz w:val="28"/>
          <w:szCs w:val="28"/>
          <w:rtl w:val="true"/>
          <w:lang w:bidi="fa-IR"/>
        </w:rPr>
        <w:t>أهمّیتها من جهة،وعلی ذاتیتها الممازجة للطبیعة الإنسانیة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فالکرامة ثابتةٌ من حیث الأصل فجاء الحضّ المفهومی علی تنمیتها وتطویرها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الکرامة محفوظةٌ للجمیع من حیث الأساس،فأصبحت من المبادئ الرئیسة فی أغلب التشریعات الشاملة لجمیع مجالات الحیاة،ومنها المجال الاقتصادی إنتاجاً وتوزیعاً واستهلاکاً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یتمّ الحدیث فی مبحث الأسس العامّة،وبه ینتهی الکلام فی المدخل الذی اشتمل علی أربعة مباحث،حیث عقدنا الأوّل منها لبیان مفاهیم عنوان الرسالة،والتی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جاءت فی الاصطلاح وأُرید بها القدرة علی التصرّف والاختیار من حیث الأساس،وهی ما یعبَّر عنها بالحرّیة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وتأتی هذه لتحدّدها الضوابط المقرّرة اجتماعیاً مرّةً،ومن ثمّ القوانین المذهبیة لتنظّمها مذهبیاً ثانیةً،وهی التی یختصّ بها موضوع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الاقتصاد،فإنّ ما یهمّنا منه معناه الاصطلاحی الذی أُرید منه المذهب الاقتصادی؛لأنّ بحثنا یرتبط بما أقرّه الإسلام من ضوابط وقیود وأحکام،و هو ما یمیز المذهب عن العلم الذی یختصّ بمجال التفسیر و التعلیل والاقتراح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الاقتصادی عبارة عن نهج خاصّ للحیاة،یطالب أنصاره بتطبیقه لتنظیم الوجود الاجتماعی علی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العلوم الاقتصادیة،فهی دراسات منظّمة للقوانین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فالمذهب تصمیم عمل ودعوة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أو محاولة کشف عن حقیقة وقانون</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وقلنا إنّ المقصود منه هنا؛هو مجموعة الأسس و الضوابط و القیود و الشروط التی تنظّم کافّة الممارسات التی تتّصل بتولید الثروة وتوزیعها واستهلاکها فی مجتمع ما بشکل یکفل تحقیق المُثل و القیم التی یقوم علیها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الضابط،فقد وضّحنا بأنّ ما نقصده منه هنا هو المعیار التی تتقید جزئیات وفرعیات موضوع کالإنتاج أو التوزیع أو الاستهلاک به ولا تزیغ عنه،فهی تُخضع نفسها له وتتّخذ مساراً واتّجاهاً موافقاً 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وبالنسبة لمفهوم الحدّ،فقلنا إنّ ما نقصده من الحدود فی موضوع بحثنا هو الأحکام و القیود و الشروط التی أقرّها الإسلام،والتی تخضع لضوابطه الاقتصادیة،فلا تتعدّاها أو تتجاوزها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المبحث الثانی،فقد اختصّ بمحاولة إلقاء نظرة سریعة علی ما مرّت به الحرّیة الاقتصادیة من تذبذب فیما بین السعة و الضیق حسب الأدوار التی مرّت بها البشریة،وذلک من خلال خضوعها لإرادة الحکّام مرّةً و العلماء أخری،الذین أطلقوا لها العنان تارةً وألجموها تارةً أخری وفقاّ للأهداف التی یبغونها والاتّجاهات التی یمثّلونها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الثالث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المناط فی تحدید الوظیفة العملیة عند الشکّ فی التکلیف بناءً علی الأصل الأوّلی الذی یمثّل الأصل العملی العقلی،فأتینا علی الأدلّة التی تمسّک بها کلّ من المسلکین الذَین یتربّعان عرش الساحة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ما استُدلّ به لمسلک البراءة العقلیة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بیان؛بارتکازیة قبح العقاب بلا بیان من خلال الوجدان العرفی و العقلائی الذی لا یؤاخذ علی المخالفة عند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علیه بأنّه مختصٌّ بالمولویة العرفیة؛أمّا مولویة الخالق،فغیر قاصرة عن موارد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لها بکون العقاب من دون حُجّة ظلماً،وأشکل علیه بأنّ ذلک یرتکز علی قاعدة أوّلیة بدیهیة،وهی قبح الظلم مع أنّ الظلم یعنی سلب ذی الحقّ حقّه،فلا بدّ من تحدید الحقّ فی مرتبة سابقة،فهی لیست 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لها کذلک بتوقّف المحرّکیة علی وصول التکلیف،وأُشکل علیه بأنّ ذلک مختصٌّ بالمحرّک التکوینی الذی ینسجم مع الرغبات؛لأنّه عملیةٌ شعوریةٌ أمّا المحرّک التشریعی،فهو حکم العقل بلزوم التحرّک بغضّ النظر عن وجود غرض شخصی ویعود ذلک إلی حقّ الطّاعة فیکون ثابتاً حتّی عند الاحتمال لمن یقول بشمول حقّ الطّاعة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لها باختصاص المحرّکیة بالحکم الحقیقی دون الإنشائی،وأُشکل علیه بأنّ ذلک یتوقّف علی ضیق حقّ الطاعة فی مرتبة سابقة؛مع أنّ المِلاکات یکفی احتمالها فی ثبوت المنجّزیة وحقّ الطاعة؛لأنّها تکوینیةٌ تعبِّر عن حقیقة وروح الحکم حتّی عند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الدلیل العمدة لمسلک حقّ الطاعة القائل بأصالة الاحتیاط،هو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العملی بثبوت حقّ الطاعة للمولی المرتکز علی المولویة الذاتیة الثابتة لله،فکما أنّ العقل العملی یحکم بثبوت أصل حقّ الطاعة بملاک المولویة،فهو یحکم بثبوتها بجمیع حدودها ولا یفرّق ولا یفصل بین مراتبها ولا یجزّؤها إلّا بإذن من قِبل المولی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فللمولی حقٌّ فی ذمّة الإنسان بالطاعة بتلک المولویة الذاتیة غیر المجعولة،وعلی الإنسان أن یبرّئ ذمّته فی ذلک،ولا یمکن أن یکون بریء الذمّة مع عدم احتیاطه فیما یحتمله من تکلیف سواء کان وجوبیاً أو تحریمیاً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وأُشکل علی هذا المسلک من جهتین؛جهة حکم العقل،حیث شکّکوا فی بداهته تارةً و</w:t>
      </w:r>
    </w:p>
    <w:p>
      <w:pPr>
        <w:pStyle w:val="BookText"/>
        <w:rPr/>
      </w:pPr>
      <w:r>
        <w:rPr>
          <w:rFonts w:ascii="IRNazanin" w:hAnsi="IRNazanin" w:eastAsia="IRNazanin"/>
          <w:color w:val="111111"/>
          <w:sz w:val="28"/>
          <w:sz w:val="28"/>
          <w:szCs w:val="28"/>
          <w:rtl w:val="true"/>
          <w:lang w:bidi="fa-IR"/>
        </w:rPr>
        <w:t>إلزامیته لمراتب الاحتمال أخری وخفائه علی العامّة ثالثةً،وکلّها ناشئةٌ عن التغاضی عن الالتزام بتبعات إدراک العقل للمولویة المتقوّمة بحقّ الطاعة المعترف به وبها فی جمیع تلک الإشکالات وجهة حقّ الطاعة،حیث أقحموا المولی المجعول ضمن دائرة الشرع لیختصّ التنجیز بالتکلیف المقطوع به قیاساً علیه،مع أنّ أمره هنا یعدّ أمراً لله فالاختصاص ناشئٌ من تحدید الله له بهذا المقدار؛وفکّکوا بین المولویة وحقّ الطاعة،فقالوا إنّ المولویة ثابتةٌ حتّی فی حالة الشکّ،فلا داعی لتنجیزه لعدم زوال المولویة بالقول بعدم التنجیز،إغفالاً منهم لقیام التنجیز علی حکم العقل،ولیس علی کون المولویة ذاتیة،واعترضوا علی سبب ترجیح الجانب الإلزامی علی التعذیری للمحتمَل المؤدّی لتفویت ملاک التعذیر،مع أنّ التعذیر علی فرض وجود ملاک له لا یعنی سوی عدم التنجیز،فلا تفویت لما لا یقتضی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المسلکین اختلفا فی القاعدة العقلیة،إلّا أنّهما اتّفقا فی النتیجة من أنّ الشارع وضع أصلاً شرعیاً عملیاً،و هو البراءة الشرعیة التی تبیح للمکلَّف ترک العمل فی حالات الشکّ بوجود تکلیف محدّد بخصوصه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المبحث الرابع،فقد خصّصناه للأسس العامّة التی یرتکز علیها الاقتصاد الإسلامی،وذلک لما لها من أثر بلیغ فی تحدید الضوابط و القیود التی تخضع لها الحرّیة الاقتصادیة؛وذلک علی النطاقین التعبّدی الذی یتجسّد فی القضایا التی تنظّم علاقة الإنسان بالله،والحقوقی الذی یتمثّل فی القضایا التی تنظّم علاقات الإنسان بأخیه الإنسان و الطبیعة</w:t>
      </w:r>
      <w:r>
        <w:rPr>
          <w:rFonts w:eastAsia="IRNazanin" w:cs="IRNazanin"/>
          <w:color w:val="111111"/>
          <w:sz w:val="28"/>
          <w:szCs w:val="28"/>
          <w:rtl w:val="true"/>
          <w:lang w:bidi="fa-IR"/>
        </w:rPr>
        <w:t>.</w:t>
      </w:r>
      <w:bookmarkStart w:id="301" w:name="pg5204_66104"/>
    </w:p>
    <w:p>
      <w:pPr>
        <w:pStyle w:val="Heading2"/>
        <w:numPr>
          <w:ilvl w:val="1"/>
          <w:numId w:val="1"/>
        </w:numPr>
        <w:rPr/>
      </w:pPr>
      <w:bookmarkStart w:id="302" w:name="__RefHeading___Toc97266_581953129"/>
      <w:bookmarkStart w:id="303" w:name="_Toc126"/>
      <w:bookmarkEnd w:id="301"/>
      <w:bookmarkEnd w:id="302"/>
      <w:r>
        <w:rPr>
          <w:rtl w:val="true"/>
        </w:rPr>
        <w:t>الفصل الأوّل</w:t>
      </w:r>
      <w:r>
        <w:rPr>
          <w:rtl w:val="true"/>
        </w:rPr>
        <w:t xml:space="preserve">: </w:t>
      </w:r>
      <w:r>
        <w:rPr>
          <w:rtl w:val="true"/>
        </w:rPr>
        <w:t>ضوابط وحدود حرّیة الإنتاج</w:t>
      </w:r>
      <w:bookmarkEnd w:id="303"/>
    </w:p>
    <w:p>
      <w:pPr>
        <w:pStyle w:val="Heading3"/>
        <w:numPr>
          <w:ilvl w:val="2"/>
          <w:numId w:val="1"/>
        </w:numPr>
        <w:rPr/>
      </w:pPr>
      <w:bookmarkStart w:id="304" w:name="__RefHeading___Toc97268_581953129"/>
      <w:bookmarkStart w:id="305" w:name="_Toc127"/>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تُعدّ ممارسة عملیة الإنتاج فی الإسلام رکیزةً أساسیةً لتنفیذ الدور الخلافتی للإنسان،ویتبلور ذلک فی إعمار الأرض واستثمار خیراتها بالشکل الذی یتماشی وتسهیل تنفیذ تلک المهمّة الملقاة علی عاتقه،فإنّ الإنسان بطبیعته البدنیة و النفسیة لابدّ له ممّا یقیم أوده المتمثّل بالطعام و الشراب و الهواء النقی،وما یسدّ حاجاته من المسکن و اللباس ومختلف الأدوات التی یحتاجها فی مختلف شؤونه الحیاتیة،وما یلبّی رغاباته المشروعة فی الترفیه عن نفسه وتحقیق طموحاته وآماله ویدفع عنه الأخطار و الآفات التی تحدق به،ممّا یعزّز إنسانیته ویفتح له آفاق الحیاة الآمنة المطمئنة،و هو ما یعبِّر عن کثیر منه،قوله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أَلاّ تَجُوعَ فِیها وَ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 لا تَظْمَؤُا فِیها وَ لا تَضْحی </w:t>
      </w:r>
      <w:r>
        <w:rPr>
          <w:rStyle w:val="FootnoteAnchor"/>
          <w:rtl w:val="true"/>
        </w:rPr>
        <w:footnoteReference w:id="263"/>
      </w:r>
      <w:r>
        <w:rPr>
          <w:rFonts w:ascii="IRNazanin" w:hAnsi="IRNazanin" w:eastAsia="IRNazanin"/>
          <w:color w:val="111111"/>
          <w:sz w:val="28"/>
          <w:sz w:val="28"/>
          <w:szCs w:val="28"/>
          <w:rtl w:val="true"/>
          <w:lang w:bidi="fa-IR"/>
        </w:rPr>
        <w:t>فاعتبر الإسلام ذلک من الأمور الأساسیة التی ینبغی أن یحصل علیها الإنسان،والتی تتطلّب بذل الجهد لتوفیرها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أعطی الإسلام العمل أهمّیةً استثنائیةً،لکونه العنصر الوحید الذی یمکّن الإنسان من توفیر حاجاته تلک،فالله جلّ وعلا قد مهّد الأرضیة الملائمة لتلک الحیاة من خلال الطبیعة التی أودع فیها کلّ ما یحتاج إلیه،وتسخیر الکثیر من ظواهرها لتکون طوع بنانه؛من أجل أن یستطیع استثمار خیراتها بالشکل الذی یناسب ما أودعه فیه من قویً ومواهب تمکّنه من نیل کلّ ذلک،فلم یبقَ علی الإنسان إلّا التشمیر عن ساعدیه وإطلاق فکره من أجل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قام الإسلام بالحضّ و الحثّ علی العمل و التفکّر،وشجْب واستنکار التقاعس و التکاسل البدنی،والاسترخاء و البطر الذهنی فی کثیر من الآیات و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وسنری مدی الارتباط الوثیق فیما بین أحکام الإسلام الاقتصادیة وأحکامه فی القضایا العقائدیة و العبادیة والاجتماعیة،فتدخل هذه الأخیرة فی صلب العملیة الإنتاجیة،فتوجّهها الوجهة التی تتلاءم وتنسجم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هذا الأمر انعکاساً حقیقیاً لمسألة أنّ الإسلام کلٌّ واحدٌ لا یمکن التفکیک فیما بین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الإلفات إلی نقطة جدیرة بالملاحظة؛وهی أنّ أحکام الإسلام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فی مجال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تستبطن فی ذاتها عملیة التنمیة الاقتصادیة،والتی ترتکز فی أساسها الأوّل علی العمل؛فجعل الإسلام العمل من الواجبات الکفائیة التی لا بدّ وأن ینخرط فیه من یکفون الناس حاجاتهم المعاشیة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وتمادی فی الحثّ علیه حتّی أوجب أن یسعی المسلم إلی کسب القوّة بکلّ أبعادها،وبأقصی ما یستطیع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ورکّز هذا الأساس من خلال سدّه جمیع المنافذ التی تؤدّی إلی تمییعه وتهمیشه؛فحظر الکسب بلا عمل،ومنه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الربا،وحظر المجون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یقوم بدور معطّل للعمل،وحرَم القادر علیه و الذی لا یعیقه عنه شیءٌ من الضمان الاجتماعی،هذا من جانب،ومن جانب آخر منع من تعطیل استغلال ثروات الطبیعة،فحکم بانتزاع الأرض المعطّلة من صاحبها،وحظر تجمید الأموال و المعبَّر عنه بالاکتناز،وحظر تمرکز الثروة بید طبقة علی حساب الطبقات الأخری،فمنع الحمی و الإقطاع إلّا ما یصبّ منه فی الصالح العامّ،وأخیراً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 هدر الثروات من خلال الإسراف و التبذیر و اللهو</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قد وضع له إضافةً إلی ذلک الأسس و الضوابط و الأحکام التی تنیر له الطریق من أجل أن تکون حرکته تلک؛حرکةً منظّمةً منتجةً ونافعة،لتساعده علی القیام بدوره الخلافتی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لنا،وأن أشرنا إلی الأسس العامّة المعتمدة فی شتّی مجالات الاقتصاد،وبقی علینا تحدید الضوابط التی یقوم علیها کلّ قطاع منه و الأحکام التی یعتمدها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نحن نتطرّق إلی حدود الحرّیة فی مجال الإنتاج من خلال الابتداء ببحث ضوابط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التمهید له ببحث مفهوم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تقوم علیها قبل الدخول فی الحدود</w:t>
      </w:r>
    </w:p>
    <w:p>
      <w:pPr>
        <w:pStyle w:val="BookText"/>
        <w:rPr/>
      </w:pPr>
      <w:r>
        <w:rPr>
          <w:rFonts w:ascii="IRNazanin" w:hAnsi="IRNazanin" w:eastAsia="IRNazanin"/>
          <w:color w:val="111111"/>
          <w:sz w:val="28"/>
          <w:sz w:val="28"/>
          <w:szCs w:val="28"/>
          <w:rtl w:val="true"/>
          <w:lang w:bidi="fa-IR"/>
        </w:rPr>
        <w:t>التی یرتکز علیها الإنتاج الصناعی و الزراعی وقطاع الخدمات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التذکیر أنّ إیراد بحث مفهوم الانتاج هنا،وعدم إیراده ضمن المفاهیم العامّة فی المدخل؛إنّما هو لأجل أنّ التوصّل إلی مفهوم الإنتاج إسلامیاً یعتمد فی بعض ما یعتمد علیه،علی الأسس التی تقدّم بحثها فی 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بدّ من مجیئه متأخّراً عنها،والأمر ذاته ینطبق علی مفهومَی التوزیع والاستهلاک،کما سیأتی فی فصلیهما القادمین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فسیتضمّن هذا الفصل أربعة مباحث،تأتی حسب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الإنتاج،المفهوم و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الحرّیة فی الإنتاج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الحرّیة فی الإنتاج الزراعی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الحرّیة فی قطاع الخدمات</w:t>
      </w:r>
      <w:r>
        <w:rPr>
          <w:rFonts w:eastAsia="IRNazanin" w:cs="IRNazanin"/>
          <w:color w:val="111111"/>
          <w:sz w:val="28"/>
          <w:szCs w:val="28"/>
          <w:rtl w:val="true"/>
          <w:lang w:bidi="fa-IR"/>
        </w:rPr>
        <w:t>.</w:t>
      </w:r>
      <w:bookmarkStart w:id="306" w:name="pg5204_66108"/>
    </w:p>
    <w:p>
      <w:pPr>
        <w:pStyle w:val="Heading3"/>
        <w:numPr>
          <w:ilvl w:val="2"/>
          <w:numId w:val="1"/>
        </w:numPr>
        <w:rPr/>
      </w:pPr>
      <w:bookmarkStart w:id="307" w:name="__RefHeading___Toc97270_581953129"/>
      <w:bookmarkStart w:id="308" w:name="_Toc128"/>
      <w:bookmarkEnd w:id="306"/>
      <w:bookmarkEnd w:id="307"/>
      <w:r>
        <w:rPr>
          <w:rtl w:val="true"/>
        </w:rPr>
        <w:t>المبحث الأوّل</w:t>
      </w:r>
      <w:r>
        <w:rPr>
          <w:rtl w:val="true"/>
        </w:rPr>
        <w:t>:</w:t>
      </w:r>
      <w:r>
        <w:rPr>
          <w:rtl w:val="true"/>
        </w:rPr>
        <w:t>الإنتاج؛المفهوم و الضوابط</w:t>
      </w:r>
      <w:bookmarkEnd w:id="308"/>
    </w:p>
    <w:p>
      <w:pPr>
        <w:pStyle w:val="Heading4"/>
        <w:numPr>
          <w:ilvl w:val="3"/>
          <w:numId w:val="1"/>
        </w:numPr>
        <w:rPr/>
      </w:pPr>
      <w:bookmarkStart w:id="309" w:name="__RefHeading___Toc97272_581953129"/>
      <w:bookmarkStart w:id="310" w:name="_Toc129"/>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وسیترکّز البحث فیه حول مفهوم الإنتاج الذی ستتدخّل الأسس العامّة التی تطرّقنا إلیها فی المبحث الرابع فی تحدیده من جهة،وسنعتمد علی المفهوم الذی سنتوصّل إلیه لتحدید الضوابط التی یقوم علیه الإنتاج من جهة أخری،والتی ستلیه مباشرةً،وذلک فی مطلبین</w:t>
      </w:r>
      <w:r>
        <w:rPr>
          <w:rFonts w:eastAsia="IRNazanin" w:cs="IRNazanin"/>
          <w:color w:val="111111"/>
          <w:sz w:val="28"/>
          <w:szCs w:val="28"/>
          <w:rtl w:val="true"/>
          <w:lang w:bidi="fa-IR"/>
        </w:rPr>
        <w:t>:</w:t>
      </w:r>
    </w:p>
    <w:p>
      <w:pPr>
        <w:pStyle w:val="Heading4"/>
        <w:numPr>
          <w:ilvl w:val="3"/>
          <w:numId w:val="1"/>
        </w:numPr>
        <w:rPr/>
      </w:pPr>
      <w:bookmarkStart w:id="311" w:name="__RefHeading___Toc97274_581953129"/>
      <w:bookmarkStart w:id="312" w:name="_Toc130"/>
      <w:bookmarkEnd w:id="311"/>
      <w:r>
        <w:rPr>
          <w:rtl w:val="true"/>
        </w:rPr>
        <w:t>المطلب الأوّل</w:t>
      </w:r>
      <w:r>
        <w:rPr>
          <w:rtl w:val="true"/>
        </w:rPr>
        <w:t>:</w:t>
      </w:r>
      <w:r>
        <w:rPr>
          <w:rtl w:val="true"/>
        </w:rPr>
        <w:t>مفهوم الإنتاج</w:t>
      </w:r>
      <w:bookmarkEnd w:id="312"/>
    </w:p>
    <w:p>
      <w:pPr>
        <w:pStyle w:val="Heading5"/>
        <w:numPr>
          <w:ilvl w:val="4"/>
          <w:numId w:val="1"/>
        </w:numPr>
        <w:rPr/>
      </w:pPr>
      <w:bookmarkStart w:id="313" w:name="__RefHeading___Toc97276_581953129"/>
      <w:bookmarkStart w:id="314" w:name="_Toc131"/>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وسنتطرّق إلیه لُغویاً واصطلاحیاً،ثمّ نحاول التوصّل إلی تعریف جامع مانع له علی ضوء الفقه الإسلامی واعتماداً علی تعریفیه اللُّغوی والاصطلاحی</w:t>
      </w:r>
      <w:r>
        <w:rPr>
          <w:rFonts w:eastAsia="IRNazanin" w:cs="IRNazanin"/>
          <w:color w:val="111111"/>
          <w:sz w:val="28"/>
          <w:szCs w:val="28"/>
          <w:rtl w:val="true"/>
          <w:lang w:bidi="fa-IR"/>
        </w:rPr>
        <w:t>:</w:t>
      </w:r>
    </w:p>
    <w:p>
      <w:pPr>
        <w:pStyle w:val="Heading5"/>
        <w:numPr>
          <w:ilvl w:val="4"/>
          <w:numId w:val="1"/>
        </w:numPr>
        <w:rPr/>
      </w:pPr>
      <w:bookmarkStart w:id="315" w:name="__RefHeading___Toc97278_581953129"/>
      <w:bookmarkStart w:id="316" w:name="_Toc132"/>
      <w:bookmarkEnd w:id="315"/>
      <w:r>
        <w:rPr>
          <w:rtl w:val="true"/>
        </w:rPr>
        <w:t>أوّلاً</w:t>
      </w:r>
      <w:r>
        <w:rPr>
          <w:rtl w:val="true"/>
        </w:rPr>
        <w:t>:</w:t>
      </w:r>
      <w:r>
        <w:rPr>
          <w:rtl w:val="true"/>
        </w:rPr>
        <w:t>الإنتاج فی اللغة</w:t>
      </w:r>
      <w:bookmarkEnd w:id="316"/>
    </w:p>
    <w:p>
      <w:pPr>
        <w:pStyle w:val="Heading6"/>
        <w:numPr>
          <w:ilvl w:val="5"/>
          <w:numId w:val="1"/>
        </w:numPr>
        <w:rPr/>
      </w:pPr>
      <w:bookmarkStart w:id="317" w:name="__RefHeading___Toc97280_581953129"/>
      <w:bookmarkStart w:id="318" w:name="_Toc133"/>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اختُلف فی مفهوم الإنتاج لُغویاً بین معنیین</w:t>
      </w:r>
      <w:r>
        <w:rPr>
          <w:rFonts w:eastAsia="IRNazanin" w:cs="IRNazanin"/>
          <w:color w:val="111111"/>
          <w:sz w:val="28"/>
          <w:szCs w:val="28"/>
          <w:rtl w:val="true"/>
          <w:lang w:bidi="fa-IR"/>
        </w:rPr>
        <w:t>:</w:t>
      </w:r>
    </w:p>
    <w:p>
      <w:pPr>
        <w:pStyle w:val="Heading6"/>
        <w:numPr>
          <w:ilvl w:val="5"/>
          <w:numId w:val="1"/>
        </w:numPr>
        <w:rPr/>
      </w:pPr>
      <w:bookmarkStart w:id="319" w:name="__RefHeading___Toc97282_581953129"/>
      <w:bookmarkStart w:id="320" w:name="_Toc134"/>
      <w:bookmarkEnd w:id="319"/>
      <w:r>
        <w:rPr>
          <w:rtl w:val="true"/>
        </w:rPr>
        <w:t>أ</w:t>
      </w:r>
      <w:r>
        <w:rPr>
          <w:rtl w:val="true"/>
        </w:rPr>
        <w:t>)</w:t>
      </w:r>
      <w:r>
        <w:rPr>
          <w:rtl w:val="true"/>
        </w:rPr>
        <w:t>الحَمْل،</w:t>
      </w:r>
      <w:bookmarkEnd w:id="320"/>
    </w:p>
    <w:p>
      <w:pPr>
        <w:pStyle w:val="BookText"/>
        <w:rPr/>
      </w:pPr>
      <w:r>
        <w:rPr>
          <w:rFonts w:ascii="IRNazanin" w:hAnsi="IRNazanin" w:eastAsia="IRNazanin"/>
          <w:color w:val="111111"/>
          <w:sz w:val="28"/>
          <w:sz w:val="28"/>
          <w:szCs w:val="28"/>
          <w:rtl w:val="true"/>
          <w:lang w:bidi="fa-IR"/>
        </w:rPr>
        <w:t>فقد ذهب البعض إلی أنّ الإنتاج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الحمل،فیقال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وأنتجت الفرس،إذا 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وحان 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نتوج ومنتج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دنا ولادها وعظُم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أنتجت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أنتجت،بمعنی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نتجت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ولدت،فهی منتوجة؛وأنتجت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نتجت الفرس و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ولدت،وأنتجت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 ولادها </w:t>
      </w:r>
      <w:r>
        <w:rPr>
          <w:rStyle w:val="FootnoteAnchor"/>
          <w:rtl w:val="true"/>
        </w:rPr>
        <w:footnoteReference w:id="265"/>
      </w:r>
      <w:bookmarkStart w:id="321" w:name="pg5204_66109"/>
    </w:p>
    <w:p>
      <w:pPr>
        <w:pStyle w:val="Heading6"/>
        <w:numPr>
          <w:ilvl w:val="5"/>
          <w:numId w:val="1"/>
        </w:numPr>
        <w:rPr/>
      </w:pPr>
      <w:bookmarkStart w:id="322" w:name="__RefHeading___Toc97284_581953129"/>
      <w:bookmarkStart w:id="323" w:name="_Toc135"/>
      <w:bookmarkEnd w:id="321"/>
      <w:bookmarkEnd w:id="322"/>
      <w:r>
        <w:rPr>
          <w:rtl w:val="true"/>
        </w:rPr>
        <w:t>ب</w:t>
      </w:r>
      <w:r>
        <w:rPr>
          <w:rtl w:val="true"/>
        </w:rPr>
        <w:t>)</w:t>
      </w:r>
      <w:r>
        <w:rPr>
          <w:rtl w:val="true"/>
        </w:rPr>
        <w:t>الولادة،</w:t>
      </w:r>
      <w:bookmarkEnd w:id="323"/>
    </w:p>
    <w:p>
      <w:pPr>
        <w:pStyle w:val="BookText"/>
        <w:rPr/>
      </w:pPr>
      <w:r>
        <w:rPr>
          <w:rFonts w:ascii="IRNazanin" w:hAnsi="IRNazanin" w:eastAsia="IRNazanin"/>
          <w:color w:val="111111"/>
          <w:sz w:val="28"/>
          <w:sz w:val="28"/>
          <w:szCs w:val="28"/>
          <w:rtl w:val="true"/>
          <w:lang w:bidi="fa-IR"/>
        </w:rPr>
        <w:t>وذهب البعض الآخر إلی أنّ الإنتاج هو بمعنی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وأنتجت،بالضم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نتجت،و هو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أنتجت الناقة،فهی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نتوج،إذا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الکلام أفعل و هو فعول إلّا هذا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ویمکن إرجاع هذا الاختلاف إلی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هناک لغتان فی الإنتاج إحداهما،تعنی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و الأخری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الاثنین یعودان إلی معنیً واحد و هو نشوء وبروز الجنین سواء کان علی مستوی ظهوره وعظمه فی بطن أمّه،کما صرّحت به بعض النصوص،أم علی مستوی بروزه خارجاً،فیقال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الحَمْل،وللثانی،الولادة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بمعنی الحمَْل أساساً،ثمّ استُعمل فی الولادة من خلال بنائه للمجهول،کما أشارت إلیه بعض النصوص المتقدّمة،فیکون هنالک من یلی نتاجه،ویمکن الاستشهاد للأخیر بما ورد فی بعض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أنتج الشیء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وأخرجه منه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وعلی أی حال،فهو یعنی نشوء شیء من شیء آخر سواء اختزنه داخله علی المعنی الأوّل أو لفظه خارجاً علی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یهمّنا من تعریفه اللُّغوی،والذی سنستفید منه للوصول إلی تعریفه الاصطلاحی الجامع</w:t>
      </w:r>
      <w:r>
        <w:rPr>
          <w:rFonts w:eastAsia="IRNazanin" w:cs="IRNazanin"/>
          <w:color w:val="111111"/>
          <w:sz w:val="28"/>
          <w:szCs w:val="28"/>
          <w:rtl w:val="true"/>
          <w:lang w:bidi="fa-IR"/>
        </w:rPr>
        <w:t>.</w:t>
      </w:r>
    </w:p>
    <w:p>
      <w:pPr>
        <w:pStyle w:val="Heading5"/>
        <w:numPr>
          <w:ilvl w:val="4"/>
          <w:numId w:val="1"/>
        </w:numPr>
        <w:rPr/>
      </w:pPr>
      <w:bookmarkStart w:id="324" w:name="__RefHeading___Toc97286_581953129"/>
      <w:bookmarkStart w:id="325" w:name="_Toc136"/>
      <w:bookmarkEnd w:id="324"/>
      <w:r>
        <w:rPr>
          <w:rtl w:val="true"/>
        </w:rPr>
        <w:t>ثانیاً</w:t>
      </w:r>
      <w:r>
        <w:rPr>
          <w:rtl w:val="true"/>
        </w:rPr>
        <w:t>:</w:t>
      </w:r>
      <w:r>
        <w:rPr>
          <w:rtl w:val="true"/>
        </w:rPr>
        <w:t>الإنتاج فی الاصطلاح</w:t>
      </w:r>
      <w:bookmarkEnd w:id="325"/>
    </w:p>
    <w:p>
      <w:pPr>
        <w:pStyle w:val="Heading6"/>
        <w:numPr>
          <w:ilvl w:val="5"/>
          <w:numId w:val="1"/>
        </w:numPr>
        <w:rPr/>
      </w:pPr>
      <w:bookmarkStart w:id="326" w:name="__RefHeading___Toc97288_581953129"/>
      <w:bookmarkStart w:id="327" w:name="_Toc137"/>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جاء تعریف الإنتاج اقتصادیاً علی نحوین</w:t>
      </w:r>
      <w:r>
        <w:rPr>
          <w:rFonts w:eastAsia="IRNazanin" w:cs="IRNazanin"/>
          <w:color w:val="111111"/>
          <w:sz w:val="28"/>
          <w:szCs w:val="28"/>
          <w:rtl w:val="true"/>
          <w:lang w:bidi="fa-IR"/>
        </w:rPr>
        <w:t>:</w:t>
      </w:r>
    </w:p>
    <w:p>
      <w:pPr>
        <w:pStyle w:val="Heading6"/>
        <w:numPr>
          <w:ilvl w:val="5"/>
          <w:numId w:val="1"/>
        </w:numPr>
        <w:rPr/>
      </w:pPr>
      <w:bookmarkStart w:id="328" w:name="__RefHeading___Toc97290_581953129"/>
      <w:bookmarkStart w:id="329" w:name="_Toc138"/>
      <w:bookmarkEnd w:id="328"/>
      <w:r>
        <w:rPr>
          <w:rtl w:val="true"/>
        </w:rPr>
        <w:t>أ</w:t>
      </w:r>
      <w:r>
        <w:rPr>
          <w:rtl w:val="true"/>
        </w:rPr>
        <w:t>)</w:t>
      </w:r>
      <w:r>
        <w:rPr>
          <w:rtl w:val="true"/>
        </w:rPr>
        <w:t>الاصطلاح العامّ</w:t>
      </w:r>
      <w:r>
        <w:rPr>
          <w:rtl w:val="true"/>
        </w:rPr>
        <w:t>:</w:t>
      </w:r>
      <w:bookmarkEnd w:id="329"/>
    </w:p>
    <w:p>
      <w:pPr>
        <w:pStyle w:val="BookText"/>
        <w:rPr/>
      </w:pPr>
      <w:r>
        <w:rPr>
          <w:rFonts w:ascii="IRNazanin" w:hAnsi="IRNazanin" w:eastAsia="IRNazanin"/>
          <w:color w:val="111111"/>
          <w:sz w:val="28"/>
          <w:sz w:val="28"/>
          <w:szCs w:val="28"/>
          <w:rtl w:val="true"/>
          <w:lang w:bidi="fa-IR"/>
        </w:rPr>
        <w:t>ونقصد به التعریف الطبیعی الذی لا ینظر إلیه من ناحیة مذهبیة،ویمکن إیراد بعض تعاریفه فی هذا المجال کالآتی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منفعة جدیدة</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الثروة عن طریق استغلال الإنسان لموارد البیئة</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عمل اقتصادی یصبّ فی الوصول إلی تحقّق الاستفادة من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من الانتاج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انتاج السلع أو الخدمات،و إن کان المقصود منه عرفاً إنتاج السلع</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سلعة أو خدمة معینة باستخدام مزیج من عناصر الإنتاج ضمن إطار زمنی محدّد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العملیات التی تغیر من شکل المادّة،وتجعلها صالحةً لإشباع حاجة،أی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 لها منفعة،أو تزید من درجة نفعها،کما کانت علیه فیما مضی</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تطویر الطبیعة إلی شکل أفضل بالنسبة إلی سدّ حاجات الإنسان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قد أُشکل علی التعریف الأوّل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کلّ ما یخلق منفعة،و إن لم یکن عملاً إنتاجیاً،فتکون عملیة الإقناع بوجود فائدة فی شیء ما مثلاً،والتی لا یمکن أن یقال عنها إنّها تولید شیء من شیء؛فیکون الإقناع إنتاجاً حسب التعریف الآنف،وذلک لتعریف القائلین به،المنفعة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صفةٌ فی الشیء تتولّد من مجرّد الرغبة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إقناع الجمهور بهذه الصفة فقد تحقّقت المنفعة من دون القیام بتولید شیء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یتمّ خلق شیء حقیقی،و إنّما هی مجرّد عملیة اختلاق لیس إلّا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أمّا التعریف الثانی،فعلی الرغم من أنّه یربط خلق الثروة باستغلال موارد الطبیعة،إلّا أنّه تبقی شبهة الإشکال الأوّل تحیط به؛لأنّه لم یحدّد کیفیة الاستغلال،فلربّما لم یکن تولیداً لشیء من شیء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التعریف الثالث یعدّ تعریفاً کاملاً نوعاً ما؛لأنّه یحدّد کیفیة الاستغلال بالقیام بعمل اقتصادی،لکنّ العمل الاقتصادی هذا یبقی غائماً بالرغم من استدراکه توضیحاً بإدخال الخدمات فیه،والذی یفهم منه عدم إدراک العرف له،کما یشیر هو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التعریف الرابع لیسدّ الخلل المتقدّم علی أحسن وجه،إلّا أنّه لم یحدّد ویذکر الغایة التی یتمّ من أجلها الإنتاج،و إن کان یتضمّنها علی اعتبار أنّ إیجاد سلعة وخدمة،إنّما یصبّ فی إشباع وسدّ حاجة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 التعریفان الخامس و السادس مضموناً،و إن اختلفا 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إضفاء طابع الإنتاج علی العمل إلّا من خلال خلقه المنفعة وممارسته للطبیعة بلون من الألوان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إن ورد علی السادس منهما صیاغته الفنیة،حیث إنّ التطویر بذاته غالباً ما یعنی تغییر الشیء إلی شکل أفضل،فیکون الأفضل المستعمل فی التعریف تکراراً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الاقتصار علی عملیة التطویر یکفی لنسبة سدّ حاجات الإنسان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الاثنین معاً أنّه لا یمکن القول بأنّ جمیع عملیات الإنتاج هی عملیاتٌ تطویریةٌ أو تغییرٌ لشکل المادّة،و إنّما یتمثّل بعضها بکونها عملیات إعداد وتهیئة لمادّة ما کإخراج السمک من الماء علی سبیل المثال،إی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فرصة الاستفادة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وصف ذلک بأنّه عملیة تطویر إلّا تجوّزاً،فمن الأفضل التعبیر بإنجاز عمل علی المادّة،فإذا کان ذلک العمل تطویراً لم نکن فرّطنا بشیء،ونتخلّص کذلک من الإشکال الوارد علی تعریف الإنتاج بأنّه خلق منفعة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ولکنّهما لم یشیرا إلی عملیات التبادل التی عُبِّر عنها فی التعریفین الثالث و الرابع بالخدمة؛إذ إنّ عملیة التداول تُصنّف ضمن عملیات الإنتاج،ویطلق علیها الإنتاج الثانوی مع أنّها لیست عملیة تطویر حقیقی،و إنّما هی عملیةٌ خدماتیةٌ صرفة فالذی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من دراسة نصوص المفاهیم و الأحکام،واتّجاهها التشریعی العام،أنّ التداول فی نظر الإسلام من حیث المبدأ شعبة من الإنتاج ولا ینبغی أن ینفصل عن مجاله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فالتاجر یخلق منفعةً کما یخلق الصانع</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منفعة حقیقیة هو المعیار الذی یمکن من خلاله اصطفاف التداول فی صفّ الإنتاج،ویمکن أن تکون نسبته إلی الإنتاج آتیةً من خلال إنتاجه للثروة وتنمیته لها نظراً للربح المترتّب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سلّمنا بأنّ التداول یعتبر تطویراً للمادّة إلی شکل أفضل بالنسبة إلی</w:t>
      </w:r>
      <w:bookmarkStart w:id="330" w:name="pg5204_66112"/>
    </w:p>
    <w:p>
      <w:pPr>
        <w:pStyle w:val="BookText"/>
        <w:rPr/>
      </w:pPr>
      <w:bookmarkEnd w:id="330"/>
      <w:r>
        <w:rPr>
          <w:rFonts w:ascii="IRNazanin" w:hAnsi="IRNazanin" w:eastAsia="IRNazanin"/>
          <w:color w:val="111111"/>
          <w:sz w:val="28"/>
          <w:sz w:val="28"/>
          <w:szCs w:val="28"/>
          <w:rtl w:val="true"/>
          <w:lang w:bidi="fa-IR"/>
        </w:rPr>
        <w:t>حاجات الإنسان،لکن لا یمکن استشفاف ذلک من لفظة التطویر إلّا بعنایة إضافیة،فمن الأفضل التصریح به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تحدید الأرکان الرئیسة للإنتاج بمفهومه الاصطلاحی الطبیعی المادّی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الأوّلیة التی تجری علیها عملیة الإنتاج أوّلاً و المعبَّر عنها بالبیئة أو النعم الإلهیة أو الطبیعة أو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للإنتاج من مادّة أوّلیة لکی یقوم علیها الإنتاج؛إذ إنّه تولید شیء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إنتاج شیء من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الذی یبذله الإنسان للقیام بعملیة التغییر و التطویر للمادّة الأوّلیة،وربّما تطلّب الأمر استخدام أداة یتمّ من خلالها تطویع وتغییر المادّة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وتطویر تلک المادّة باستحداث صفة جدیدة فیها أو توفیر فرصة الانتفاع بها بإنتاجها الابتدائی أو من خلال عملیة التداول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ویرتبط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الحقل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بالغایة التی یتمّ الإنتاج لأجلها،فلا بدّ من وجود بغیة وحاجة یراد سدّها وإشباعها من خلال عملیة الإنتاج</w:t>
      </w:r>
      <w:r>
        <w:rPr>
          <w:rFonts w:eastAsia="IRNazanin" w:cs="IRNazanin"/>
          <w:color w:val="111111"/>
          <w:sz w:val="28"/>
          <w:szCs w:val="28"/>
          <w:rtl w:val="true"/>
          <w:lang w:bidi="fa-IR"/>
        </w:rPr>
        <w:t>.</w:t>
      </w:r>
    </w:p>
    <w:p>
      <w:pPr>
        <w:pStyle w:val="Heading6"/>
        <w:numPr>
          <w:ilvl w:val="5"/>
          <w:numId w:val="1"/>
        </w:numPr>
        <w:rPr/>
      </w:pPr>
      <w:bookmarkStart w:id="331" w:name="__RefHeading___Toc97292_581953129"/>
      <w:bookmarkStart w:id="332" w:name="_Toc139"/>
      <w:bookmarkEnd w:id="331"/>
      <w:r>
        <w:rPr>
          <w:rtl w:val="true"/>
        </w:rPr>
        <w:t>ب</w:t>
      </w:r>
      <w:r>
        <w:rPr>
          <w:rtl w:val="true"/>
        </w:rPr>
        <w:t>)</w:t>
      </w:r>
      <w:r>
        <w:rPr>
          <w:rtl w:val="true"/>
        </w:rPr>
        <w:t>الاصطلاح الخاصّ</w:t>
      </w:r>
      <w:r>
        <w:rPr>
          <w:rtl w:val="true"/>
        </w:rPr>
        <w:t>:</w:t>
      </w:r>
      <w:bookmarkEnd w:id="332"/>
    </w:p>
    <w:p>
      <w:pPr>
        <w:pStyle w:val="BookText"/>
        <w:rPr/>
      </w:pPr>
      <w:r>
        <w:rPr>
          <w:rFonts w:ascii="Amiri" w:hAnsi="Amiri" w:eastAsia="Amiri" w:cs="Amiri"/>
          <w:color w:val="111111"/>
          <w:sz w:val="28"/>
          <w:sz w:val="28"/>
          <w:szCs w:val="28"/>
          <w:rtl w:val="true"/>
          <w:lang w:bidi="ar-SA"/>
        </w:rPr>
        <w:t>ونقصد به تعریفه مذهبیاً،و قد عُرِّف فی هذا النطاق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الجهد الدائب فی تثمیر موارد الثروة،ومضاعفة الغلّة من أجل رخاء المجتمع،ودعم وجوده وقیمه العلیا</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ویعدّ هذا التعریف عامّاً شاملاً لجمیع المذاهب علی اختلاف اتّجاهاتها ومشاربها،فلکلّ منها قیمٌ تحاول تحقیقها وکلّها تدّعی السعی للوصول إلی رخاء المجتمع من خلال بذل الجهد وزیادة الإنتاج،لکنّه لم یحدّد الأسالیب و الآلیات التی یتمّ من خلالها الوصول إلی کلّ ذلک،والتی تختلف باختلاف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أن نحدّد تعریفاً اصطلاحیاً صحیحاً وتامّاً للإنتاج أو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مانعاً،وفقاً للمذهب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للغایة المرادة منه إسلامیاً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نأخذ فیه ما ذُکر فی تعریفه الاصطلاحی الطبیعی،وکذا الأمور التی تُضفی علیه إطاراً إسلامیاً،فنقول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بالجهد فی التعریف هو العمل الذی تترتّب علیه آثاره من الملکیة وغیرها،</w:t>
      </w:r>
    </w:p>
    <w:p>
      <w:pPr>
        <w:pStyle w:val="BookText"/>
        <w:rPr/>
      </w:pPr>
      <w:r>
        <w:rPr>
          <w:rFonts w:ascii="IRNazanin" w:hAnsi="IRNazanin" w:eastAsia="IRNazanin"/>
          <w:color w:val="111111"/>
          <w:sz w:val="28"/>
          <w:sz w:val="28"/>
          <w:szCs w:val="28"/>
          <w:rtl w:val="true"/>
          <w:lang w:bidi="fa-IR"/>
        </w:rPr>
        <w:t>و هذا یختصّ بالعمل المباشر فی الإسلام،فقد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دفع إلی رجل شبکةً لیصید بها السمک علی أنّ ما صادتها من شیء فهو بینهما فصاد سمکا کثیراً فجمیع ذلک للذی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الآخذ هو المکتسب دون الآلة،فیکون الکسب له و قد استعمل فیه آلة الغیر بشرط العوض لصاحب الآلة،و هو مجهول،فیکون له أجرة مثله علی الصیاد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فیدلّ هذا النصّ بوضوح علی أنّ الملکیة تترتّب علی العمل المباشر،فمع أنّ الشبکة لم تکن للصیاد،وأنّه جری اتّفاقٌ مسبقٌ علی اقتسام ما تصیده،فقد حکم فیه علی أنّه للصائد خاصّةً،ولیس لصاحب الشبکة إلّا أجرتها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ولهذا،فإنّ المراد بالعمل هو العمل المباشر،و هذا ینطبق علی عملیة التبادل أیضاً،فعن الإمام موسی بن جعفر علیه السلام أنّه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یشتری الطعام،أیصلح 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ربح لم یصلح حتّی یقبض،و إن کان یولّیه فلا بأس</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فالقبض یقوم مقام العمل الذی یجوز من خلاله الربح،ویسری الأمر ذاته فی الإجارة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یصحّ للمستأجر أن یؤجّر بأجرة زائدة علی ما استأجر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فی العین المستأجرة إصلاحا</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فعدم الصحّة مرتبطةٌ بعدم ممارسته عملاً و الصحّة علی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عملیة التبادل التی دخلت فی نطاق الإنتاج تتقوّم بطرفین،فلأجل أن یتحقّق التبادل بشکل صحیح لا بدّ من حدوث توافق فیما بینهما،کما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Style w:val="FootnoteAnchor"/>
          <w:rtl w:val="true"/>
        </w:rPr>
        <w:footnoteReference w:id="281"/>
      </w:r>
      <w:r>
        <w:rPr>
          <w:rFonts w:ascii="IRNazanin" w:hAnsi="IRNazanin" w:eastAsia="IRNazanin"/>
          <w:color w:val="111111"/>
          <w:sz w:val="28"/>
          <w:sz w:val="28"/>
          <w:szCs w:val="28"/>
          <w:rtl w:val="true"/>
          <w:lang w:bidi="fa-IR"/>
        </w:rPr>
        <w:t>وعملیة التوافق هذه لا تأتی من خلال کونها تشریعاً إسلامیاً فحسب،بل إنّها تُعدّ من القضایا العرفیة البدیهیة التی تجری علی أساسها جمیع المعاملات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الأخری التی من الضروری عکسها فی التعریف،والتی ترتبط بالحاجة،هی ما أشرنا إلیه فی الأساس الثالث من الأسس العامّة،من کون الإسلام کلٌّ واحدٌ لا یتجزّء،فلابدّ أن تکون الحاجة التی یحاول الإنتاج سدّها متّسقةً و الأحکام الثابتة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فالحاجة إلی</w:t>
      </w:r>
      <w:bookmarkStart w:id="333" w:name="pg5204_66114"/>
    </w:p>
    <w:p>
      <w:pPr>
        <w:pStyle w:val="BookText"/>
        <w:rPr/>
      </w:pPr>
      <w:bookmarkEnd w:id="333"/>
      <w:r>
        <w:rPr>
          <w:rFonts w:ascii="Amiri" w:hAnsi="Amiri" w:eastAsia="Amiri" w:cs="Amiri"/>
          <w:color w:val="111111"/>
          <w:sz w:val="28"/>
          <w:sz w:val="28"/>
          <w:szCs w:val="28"/>
          <w:rtl w:val="true"/>
          <w:lang w:bidi="ar-SA"/>
        </w:rPr>
        <w:t>الجنس مثلاً،لا تبرّر الزنی أو احترافه،لأنّه ما ثبتت حرمته فی صریح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ما تقدّم،یمکننا تعریف الإنتاج فی ضوء الفقه الإسلامی،بأنّه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إنجاز عمل أو خدمة توافقیة مباشرین علی مادّة لغرض سدّ حاجة مشروعة إسلامیاً ومطلوبة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فنکون بذلک قد أدخلنا جمیع الأبعاد المطلوبة إسلامیاً فی الإنتاج،فی تعریفه،فقد عکس هذا التعریف جمیع أشکال التداول المعبَّر عنه بالخدماتیة،والتوافق المشروط فیها،وکذا شرطیة المباشرة فی العمل،والانسجام مع القیود المأخوذة فی الإسلام علی الحاجة بإدخال عبارة مشروعة إسلامیاً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نقصد بمطلوبیته عند العرف بطلب أغلب الناس له،بل یکفی أن یکون الشیء مطلوباً لعدّة منهم مهما کانوا قلیلین فی صدق حکم العرف بمطلوبیته،و هذه المطلوبیة العرفیة لا تختصّ بأن یکون الشیء من حاجات الإنسان الخاصّة،بل تشمل کلّ ما یساهم فی کمال الحیاة أو عدم اختلال نظامها،ومن هنا حذفنا ذکر الإنسان الذی جاء فی بعض التعاریف وأبدلناه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قید العمل تخرج من التعریف عملیات کالربا،ومن خلال قید التوافق یخرج کلّ ما لم یؤخذ فیه من الخدمات،ومن خلال قید المباشرة تخرج أدوات الإنتاج التی تقوم بعمل غیر مباشر فی عملیة الإنتاج،ومن خلال قید المشروعة تخرج ممارسات ونتاجات أخری کالزنی وأسلحة الدمار الشامل علی افتراض انحصار الأخیرة بالتدمیر الشامل للبشر</w:t>
      </w:r>
      <w:r>
        <w:rPr>
          <w:rFonts w:eastAsia="IRNazanin" w:cs="IRNazanin"/>
          <w:color w:val="111111"/>
          <w:sz w:val="28"/>
          <w:szCs w:val="28"/>
          <w:rtl w:val="true"/>
          <w:lang w:bidi="fa-IR"/>
        </w:rPr>
        <w:t>.</w:t>
      </w:r>
    </w:p>
    <w:p>
      <w:pPr>
        <w:pStyle w:val="Heading4"/>
        <w:numPr>
          <w:ilvl w:val="3"/>
          <w:numId w:val="1"/>
        </w:numPr>
        <w:rPr/>
      </w:pPr>
      <w:bookmarkStart w:id="334" w:name="__RefHeading___Toc97294_581953129"/>
      <w:bookmarkStart w:id="335" w:name="_Toc140"/>
      <w:bookmarkEnd w:id="334"/>
      <w:r>
        <w:rPr>
          <w:rtl w:val="true"/>
        </w:rPr>
        <w:t>المطلب الثانی</w:t>
      </w:r>
      <w:r>
        <w:rPr>
          <w:rtl w:val="true"/>
        </w:rPr>
        <w:t>:</w:t>
      </w:r>
      <w:r>
        <w:rPr>
          <w:rtl w:val="true"/>
        </w:rPr>
        <w:t>ضوابط حرّیة الإنتاج</w:t>
      </w:r>
      <w:bookmarkEnd w:id="335"/>
    </w:p>
    <w:p>
      <w:pPr>
        <w:pStyle w:val="Heading5"/>
        <w:numPr>
          <w:ilvl w:val="4"/>
          <w:numId w:val="1"/>
        </w:numPr>
        <w:rPr/>
      </w:pPr>
      <w:bookmarkStart w:id="336" w:name="__RefHeading___Toc97296_581953129"/>
      <w:bookmarkStart w:id="337" w:name="_Toc141"/>
      <w:bookmarkEnd w:id="336"/>
      <w:r>
        <w:rPr>
          <w:rtl w:val="true"/>
        </w:rPr>
        <w:t>اشارة</w:t>
      </w:r>
      <w:bookmarkEnd w:id="3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عدنا إلی التعریف الذی توصّلنا إلیه للإنتاج وفقاً لمذهب الإسلام،لأمکننا استخلاص الضوابط التی تقوم علیها حرّیة الإنتاج إسلامیاً،فلا خیار للإنسان فی أن یضفی طابعاً إنتاجیاً علی أی ممارسة یحبّذها،لیرتّب علیها آثاره،إلّا إذا تطابقت مع الضوابط التی تضمّنها التعریف المتقدّم،فقد جاء فیه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إنجاز عمل أو خدمة توافقیة مباشرین علی مادّة لغرض سدّ حاجة مشروعة إسلامیاً ومطلوبة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التعریف یتضمّن الضوابط التالیة</w:t>
      </w:r>
      <w:r>
        <w:rPr>
          <w:rFonts w:eastAsia="IRNazanin" w:cs="IRNazanin"/>
          <w:color w:val="111111"/>
          <w:sz w:val="28"/>
          <w:szCs w:val="28"/>
          <w:rtl w:val="true"/>
          <w:lang w:bidi="fa-IR"/>
        </w:rPr>
        <w:t>:</w:t>
      </w:r>
      <w:bookmarkStart w:id="338" w:name="pg5204_66115"/>
    </w:p>
    <w:p>
      <w:pPr>
        <w:pStyle w:val="Heading5"/>
        <w:numPr>
          <w:ilvl w:val="4"/>
          <w:numId w:val="1"/>
        </w:numPr>
        <w:rPr/>
      </w:pPr>
      <w:bookmarkStart w:id="339" w:name="__RefHeading___Toc97298_581953129"/>
      <w:bookmarkStart w:id="340" w:name="_Toc142"/>
      <w:bookmarkEnd w:id="338"/>
      <w:bookmarkEnd w:id="339"/>
      <w:r>
        <w:rPr>
          <w:rtl w:val="true"/>
        </w:rPr>
        <w:t>الضابط الأوّل</w:t>
      </w:r>
      <w:r>
        <w:rPr>
          <w:rtl w:val="true"/>
        </w:rPr>
        <w:t>:</w:t>
      </w:r>
      <w:r>
        <w:rPr>
          <w:rtl w:val="true"/>
        </w:rPr>
        <w:t>تقوّم الإنتاج بالعمل المباشر</w:t>
      </w:r>
      <w:bookmarkEnd w:id="340"/>
    </w:p>
    <w:p>
      <w:pPr>
        <w:pStyle w:val="Heading6"/>
        <w:numPr>
          <w:ilvl w:val="5"/>
          <w:numId w:val="1"/>
        </w:numPr>
        <w:rPr/>
      </w:pPr>
      <w:bookmarkStart w:id="341" w:name="__RefHeading___Toc97300_581953129"/>
      <w:bookmarkStart w:id="342" w:name="_Toc143"/>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فلا یمکن ترتیب أی أثر إنتاجی علی ما لم یتمّ من خلال عمل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یقتصر هذا الأمر علی الإنتاج الأوّلی،بل یعمّ الإنتاج الثانوی أو التداول،ویمکن إیراد بعض النصوص التی تؤید ذلک</w:t>
      </w:r>
      <w:r>
        <w:rPr>
          <w:rFonts w:eastAsia="IRNazanin" w:cs="IRNazanin"/>
          <w:color w:val="111111"/>
          <w:sz w:val="28"/>
          <w:szCs w:val="28"/>
          <w:rtl w:val="true"/>
          <w:lang w:bidi="fa-IR"/>
        </w:rPr>
        <w:t>:</w:t>
      </w:r>
    </w:p>
    <w:p>
      <w:pPr>
        <w:pStyle w:val="Heading6"/>
        <w:numPr>
          <w:ilvl w:val="5"/>
          <w:numId w:val="1"/>
        </w:numPr>
        <w:rPr/>
      </w:pPr>
      <w:bookmarkStart w:id="343" w:name="__RefHeading___Toc97302_581953129"/>
      <w:bookmarkStart w:id="344" w:name="_Toc144"/>
      <w:bookmarkEnd w:id="343"/>
      <w:r>
        <w:rPr>
          <w:rtl w:val="true"/>
        </w:rPr>
        <w:t>أ</w:t>
      </w:r>
      <w:r>
        <w:rPr>
          <w:rtl w:val="true"/>
        </w:rPr>
        <w:t>)</w:t>
      </w:r>
      <w:r>
        <w:rPr>
          <w:rtl w:val="true"/>
        </w:rPr>
        <w:t>الإنتاج الأوّلی</w:t>
      </w:r>
      <w:bookmarkEnd w:id="344"/>
    </w:p>
    <w:p>
      <w:pPr>
        <w:pStyle w:val="BookText"/>
        <w:rPr/>
      </w:pPr>
      <w:r>
        <w:rPr>
          <w:rFonts w:ascii="Amiri" w:hAnsi="Amiri" w:eastAsia="Amiri" w:cs="Amiri"/>
          <w:color w:val="111111"/>
          <w:sz w:val="28"/>
          <w:sz w:val="28"/>
          <w:szCs w:val="28"/>
          <w:rtl w:val="true"/>
          <w:lang w:bidi="ar-SA"/>
        </w:rPr>
        <w:t>لقد ورد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أذن رجل لرجل أن یصطاد له صیداً فاصطاد الصید بنیة أن یکون للآمر دونه،فلمن یکون هذا الصید؟قیل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بمنزلة الماء المباح إذا استقاه السقاء بنیة أن یکون بینهم و إنّ الثمن یکون له دون شریکه فها هنا یکون الصید للصیاد دون الآمر؛لأنّه انفرد بالحیازة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للآمر؛لأنّه اصطاده بنیته فاعتبرت النیة،والأوّل أصحّ</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فیتوقّف حدوث الحقّ فی المادّة المنتجَة علی ممارسة العمل علیها بصورة مباشرة حسب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أبی حنیفة من أنّ الشرکة فی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فی الصناعة،ولا یصحّ فی اکتساب المباح کالاحتشاش والاغتنام؛لأنّ الشرکة مقتضاها الوکالة ولا تصحّ الوکالة فی هذه الأشیاء؛لأنّ من أخذها ملکها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فإنّ تصحیحه إیاها فی الصناعة لا یعنی أنّ اکتساب الحقّ فی منتوجها لا یتوقّف علی إنجاز أی عمل کما فی الاحتشاش،بل هو ناظرٌ إلی أنّ العمل فی الاحتشاش یتمثّل بعملیة الحیازة نفسها،بینما تنتفی عملیة الحیازة فی الصناعة؛لأنّها تتقوّم بالعمل الفنّی المباشر،فصحّحها بذلک مع احتمال عروض التفاوت فی مقدار عمل کلّ من الشریکین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حدا بإفتاء کثیر من الفقهاء علی بطلانها کالمحقّق الحلّی،حیث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الشرکة بالأعمال کالخیاطة و النساجة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ولم یکن ذلک لأجل عدم ممارسة أحدهما لعمل و 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الکسب فیها یقوم علی أساس المخاطرة،لا العمل؛ونتیجةً لذلک یکون من حقّ الطبیب الأقلّ دخلاً أن یحصل علی جزء من کسب الطبیب الآخر وثمار عمله </w:t>
      </w:r>
      <w:r>
        <w:rPr>
          <w:rStyle w:val="FootnoteAnchor"/>
          <w:rtl w:val="true"/>
        </w:rPr>
        <w:footnoteReference w:id="28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قد اکتسب حقّاً فی المقدار الزائد علی عمله من دون أن یمارس عملاً فیه</w:t>
      </w:r>
      <w:r>
        <w:rPr>
          <w:rFonts w:eastAsia="IRNazanin" w:cs="IRNazanin"/>
          <w:color w:val="111111"/>
          <w:sz w:val="28"/>
          <w:szCs w:val="28"/>
          <w:rtl w:val="true"/>
          <w:lang w:bidi="fa-IR"/>
        </w:rPr>
        <w:t>.</w:t>
      </w:r>
      <w:bookmarkStart w:id="345" w:name="pg5204_66116"/>
    </w:p>
    <w:p>
      <w:pPr>
        <w:pStyle w:val="BookText"/>
        <w:rPr/>
      </w:pPr>
      <w:bookmarkEnd w:id="345"/>
      <w:r>
        <w:rPr>
          <w:rFonts w:ascii="IRNazanin" w:hAnsi="IRNazanin" w:eastAsia="IRNazanin"/>
          <w:color w:val="111111"/>
          <w:sz w:val="28"/>
          <w:sz w:val="28"/>
          <w:szCs w:val="28"/>
          <w:rtl w:val="true"/>
          <w:lang w:bidi="fa-IR"/>
        </w:rPr>
        <w:t>ولا یقتصر الأمر علی الوکالة و الشرکة،بل یتعدّی جمیع ألوان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استأجر لیحتطب أو یستقی الماء أو یحیی الأرض،جاز وکان ذلک للمستأجر،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خالصاً له،ولا یستحقّ المؤجّر منه شیئاً؛لأنّه لم یباشر عملاً فیه</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7304_581953129"/>
      <w:bookmarkStart w:id="347" w:name="_Toc145"/>
      <w:bookmarkEnd w:id="346"/>
      <w:r>
        <w:rPr>
          <w:rtl w:val="true"/>
        </w:rPr>
        <w:t>ب</w:t>
      </w:r>
      <w:r>
        <w:rPr>
          <w:rtl w:val="true"/>
        </w:rPr>
        <w:t>)</w:t>
      </w:r>
      <w:r>
        <w:rPr>
          <w:rtl w:val="true"/>
        </w:rPr>
        <w:t>الإنتاج الثانوی أو التداول</w:t>
      </w:r>
      <w:bookmarkEnd w:id="347"/>
    </w:p>
    <w:p>
      <w:pPr>
        <w:pStyle w:val="BookText"/>
        <w:rPr/>
      </w:pPr>
      <w:r>
        <w:rPr>
          <w:rFonts w:ascii="IRNazanin" w:hAnsi="IRNazanin" w:eastAsia="IRNazanin"/>
          <w:color w:val="111111"/>
          <w:sz w:val="28"/>
          <w:sz w:val="28"/>
          <w:szCs w:val="28"/>
          <w:rtl w:val="true"/>
          <w:lang w:bidi="fa-IR"/>
        </w:rPr>
        <w:t>لقد تقدّم قبل قلیل ما جاء عن موسی بن جعفر علیه السلام،من أنّه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یشتری الطعام،أیصلح 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ربح لم یصلح حتّی یقبض،و إن کان تولیةً فلا بأس</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فأوقف جواز الربح علی عملیة القبض الحقیقی التی تقوم بدور العمل،ومن هنا جوّز بیعه مع عدم الربح لئلّا یقع الربح من دون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الأحناف کذلک إلی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البیع الفاسد بیع الأعیان المنقولة قبل قبضها سواء باعها لمن اشتراها منه أو لغیره،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هو کسابقه فی توقّف الربح التجاری علی إنجاز عمل علی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عملیة النقل القانونیة تتمّ فی الفقه الإسلامی بنفس العقد،ولا تتوقّف علی أی عمل إیجابی بعده</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ویعدّ هذا الضابط انعکاساً حقیقیاً للأسس المتقدّمة،حیث إنّ الخلافة العامّة ذات الجنبة الإعماریة،والتی تشمل جمیع الناس علی السواء والاستواء،وکذا القیام بالقسط الذی یعنی مراعاة موازین عادلةً تتعامل مع الجمیع علی قدم المساواة،ومثله کرامة الإنسان التی تستدعی أن یستوفی جهوده کاملةً،وأن یتمتّع بثمراتها،تأبی إلّا أن یکون هناک میزانٌ عادلٌ للحقوق و الواجبات،ولا یوجد میزانٌ أفضل من العمل لیقوم الإنسان من خلاله،بأداء وظائفه الموکلة به من جهة،واستیفاء حقوقه علی أساسه من جهة أخری</w:t>
      </w:r>
      <w:r>
        <w:rPr>
          <w:rFonts w:eastAsia="IRNazanin" w:cs="IRNazanin"/>
          <w:color w:val="111111"/>
          <w:sz w:val="28"/>
          <w:szCs w:val="28"/>
          <w:rtl w:val="true"/>
          <w:lang w:bidi="fa-IR"/>
        </w:rPr>
        <w:t>.</w:t>
      </w:r>
    </w:p>
    <w:p>
      <w:pPr>
        <w:pStyle w:val="Heading5"/>
        <w:numPr>
          <w:ilvl w:val="4"/>
          <w:numId w:val="1"/>
        </w:numPr>
        <w:rPr/>
      </w:pPr>
      <w:bookmarkStart w:id="348" w:name="__RefHeading___Toc97306_581953129"/>
      <w:bookmarkStart w:id="349" w:name="_Toc146"/>
      <w:bookmarkEnd w:id="348"/>
      <w:r>
        <w:rPr>
          <w:rtl w:val="true"/>
        </w:rPr>
        <w:t>الضابط الثانی</w:t>
      </w:r>
      <w:r>
        <w:rPr>
          <w:rtl w:val="true"/>
        </w:rPr>
        <w:t>:</w:t>
      </w:r>
      <w:r>
        <w:rPr>
          <w:rtl w:val="true"/>
        </w:rPr>
        <w:t>وقوع الإنتاج علی مادّة</w:t>
      </w:r>
      <w:bookmarkEnd w:id="3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الإنتاج لا یصدُق علیه إنتاجٌ إلّا بوقوعه علی مادّة خارجیة أو ما یعبَّر عنه فقهیاً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فی الإنتاج الأوّلی؛أمّا فی الإنتاج الثانوی الذی یتمثّل بعملیات التداول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التجارة،والإجارة،والجُعالة،ونحوها علی القول بأنّها لیست من التجارة،فهو یقع علی المادّة أیضاً؛فالإجارة تقع إمّا علی عین للانتفاع بها مقابل عوض،أو جعل النفس فی معرض الاستخدام مقابل عوض؛والجعالة هی التزام الجاعل بإعطاء شیء أو القیام بعمل لمن ینجز له عملاً؛أمّا المضاربة و الشفعة،فهی تدخل فی نطاق 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یمکن عدّ ما لم یقع علی مادّة،إنتاجاً،کعملیات الربا و القمار،و هذا ممّا أشارت إلیه الآیة الکریمة 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Style w:val="FootnoteAnchor"/>
          <w:rtl w:val="true"/>
        </w:rPr>
        <w:footnoteReference w:id="291"/>
      </w:r>
      <w:r>
        <w:rPr>
          <w:rFonts w:ascii="IRNazanin" w:hAnsi="IRNazanin" w:eastAsia="IRNazanin"/>
          <w:color w:val="111111"/>
          <w:sz w:val="28"/>
          <w:sz w:val="28"/>
          <w:szCs w:val="28"/>
          <w:rtl w:val="true"/>
          <w:lang w:bidi="fa-IR"/>
        </w:rPr>
        <w:t>فهی تحصر التداول الصحیح بالتجارة،وهی کما هو واضحٌ تقع علی مادّة ملموسة،وهی السلعة أو البضاعة أو ما یعبَّر عنه فقهیاً بالمبیع أو المثمن الذی یستبطن وجود ثمن بإزائه،فإذا لم یکن هناک ثمنٌ ومثمنٌ لا یصدُق إطلاق التجارة علیه،ویکون باطلاً،والباطل 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لا یکون مشروعاً بأصله ولا بوصفه،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یترتّب علیه أثره المطلوب</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النقل والانتقال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التنبیه إلیه هنا،أنّ الآیة غیر ناظرة إلی الأسباب الأخری للتداول الصحیح،کی یقال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التداول الصحیح،وتُعدّ أکلاً بالباطل،لوضوح أنّ الآیة ناظرةٌ إلی عملیات المبادلة،و أنّ مشروعیة تلک الأسباب کالأجارة و الجعالة ثابتةٌ من خلال أدلّتها الخاصّة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بَیْنَکُمْ ،هنا تفید التداول؛إذ جاء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تقیید قوله لا تأکلوا أموالکم بقوله بینکم الدالّ علی نوع تجمّع منهم علی المال ووقوعه فی وسطهم إشعاراً أو دلالةً بکون الأکل المنهی عنه بنحو إدارته فیما بینهم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هذا فیما لو لم تکن التجارة شاملةً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اسم التجارة أعمّ من اسم البیع،لأنّ اسم التجارة ینتظم عقود الإجارات و الهبات الواقعة علی الأعواض و البیاعات </w:t>
      </w:r>
      <w:r>
        <w:rPr>
          <w:rStyle w:val="FootnoteAnchor"/>
          <w:rtl w:val="true"/>
        </w:rPr>
        <w:footnoteReference w:id="2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إضافة المستثنی،و هو التجارة المتقوّمة بالثمن و المثمن،یتّضح جلیاً؛أنّ المراد من التداول هنا هو ما یقع کعملیة معاوضة علی عین خارجیة،فجاءت الآیة لتنفی کون الربا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ربّما هناک من یعتقد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 معاوضةً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وَ حَرَّمَ الرِّبا ، </w:t>
      </w:r>
      <w:r>
        <w:rPr>
          <w:rStyle w:val="FootnoteAnchor"/>
          <w:rtl w:val="true"/>
        </w:rPr>
        <w:footnoteReference w:id="296"/>
      </w:r>
      <w:bookmarkStart w:id="350" w:name="pg5204_66118"/>
    </w:p>
    <w:p>
      <w:pPr>
        <w:pStyle w:val="BookText"/>
        <w:rPr/>
      </w:pPr>
      <w:bookmarkEnd w:id="350"/>
      <w:r>
        <w:rPr>
          <w:rFonts w:ascii="Amiri" w:hAnsi="Amiri" w:eastAsia="Amiri" w:cs="Amiri"/>
          <w:color w:val="111111"/>
          <w:sz w:val="28"/>
          <w:sz w:val="28"/>
          <w:szCs w:val="28"/>
          <w:rtl w:val="true"/>
          <w:lang w:bidi="ar-SA"/>
        </w:rPr>
        <w:t>تعقیباً علی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الْبَیْعُ مِثْلُ الرِّبا وذلک للتمییز بینهما،فألغی الشارع صفة المعاوضة عنه،فلو کان کالبیع لَما صار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یعلم بأنّ المراد من تعریف التجارة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التصرّف برأس المال طلباً للربح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هو التصرّف به فی التداولات الصحیحة،لا مطلق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 فی هذا المحلّ،ولا یهمّنا النقاش الدائر حول الاستثناء الموجود فی الآیة،أنّه متّصلٌ أو منقطع،لتکون الطرق الأخری للتداول الصحیح مخصِّصةً للآیة أو غیر مخصِّصة</w:t>
      </w:r>
      <w:r>
        <w:rPr>
          <w:rFonts w:eastAsia="IRNazanin" w:cs="IRNazanin"/>
          <w:color w:val="111111"/>
          <w:sz w:val="28"/>
          <w:szCs w:val="28"/>
          <w:rtl w:val="true"/>
          <w:lang w:bidi="fa-IR"/>
        </w:rPr>
        <w:t>.</w:t>
      </w:r>
    </w:p>
    <w:p>
      <w:pPr>
        <w:pStyle w:val="Heading5"/>
        <w:numPr>
          <w:ilvl w:val="4"/>
          <w:numId w:val="1"/>
        </w:numPr>
        <w:rPr/>
      </w:pPr>
      <w:bookmarkStart w:id="351" w:name="__RefHeading___Toc97308_581953129"/>
      <w:bookmarkStart w:id="352" w:name="_Toc147"/>
      <w:bookmarkEnd w:id="351"/>
      <w:r>
        <w:rPr>
          <w:rtl w:val="true"/>
        </w:rPr>
        <w:t>الضابط الثالث</w:t>
      </w:r>
      <w:r>
        <w:rPr>
          <w:rtl w:val="true"/>
        </w:rPr>
        <w:t>:</w:t>
      </w:r>
      <w:r>
        <w:rPr>
          <w:rtl w:val="true"/>
        </w:rPr>
        <w:t>قیام الإنتاج الثانوی علی التوافق</w:t>
      </w:r>
      <w:bookmarkEnd w:id="352"/>
    </w:p>
    <w:p>
      <w:pPr>
        <w:pStyle w:val="BookText"/>
        <w:rPr/>
      </w:pPr>
      <w:r>
        <w:rPr>
          <w:rFonts w:ascii="IRNazanin" w:hAnsi="IRNazanin" w:eastAsia="IRNazanin"/>
          <w:color w:val="111111"/>
          <w:sz w:val="28"/>
          <w:sz w:val="28"/>
          <w:szCs w:val="28"/>
          <w:rtl w:val="true"/>
          <w:lang w:bidi="fa-IR"/>
        </w:rPr>
        <w:t>إنّ الإنتاج الثانوی أو التداول لابدّ وأن یقوم علی أساس التوافق فیما بین طرفَی العملیة التبادلیة،والمعبَّر عنه بالتراضی فی النصوص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من خلال النصّ القرآنی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عَنْ تَراضٍ مِنْکُمْ فهو یقید التجارة بأن تقع عن تراض،والتراضی صیغة تفاعل من الرضی،فهو یتقوّم بطرفین کما المعاملة،فلا بدّ أن یقوم الأخذ و العطاء علی أساس رضی کلّ من الآخذ و المعطی،ممّا یقمع أسباب الاختلاف و النزاع الذی یجرّ إلی التخریب،لا الإعمار فی مهدها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المال سبباً لإقامة مصالح العباد فی الدنیا،وشرع طریق التجارة لإکسابها؛لأنّ ما یحتاج إلیه کلّ أحد لا یوجد مباحاً فی کلّ موضع،وفی الأخذ علی سبیل التغالب فساد،والله لا یحبّ الفساد،وإلی ذلک أشار الله سبحانه وتعالی فی قوله 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هذا الرضی،مأخوذٌ کشرط أساسی فی نفوذ جمیع المعاملات،اقتصادیةً أو غیر اقتصادیة؛لأنّه تعبیرٌ أصیلٌ عن اختیار وحرّیة تصرّف الشخص فی متعلّقاته الخاصّة،ویعدّ رکناً أساسیاً من أرکان القیام بالقسط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التصرّف فی مال المرء بغیر رضاه هو بمثابة اعتداء وانتهاک لحقوق الآخرین،التی أراد الشارع صیانتها من خلال إعداده الأرضیة القانونیة و المادّیة و النفسیة للقیام بالقسط؛ولذا جاء التحریم صریحاً فی هذا المجال،کما فی النبوی</w:t>
      </w:r>
      <w:r>
        <w:rPr>
          <w:rFonts w:eastAsia="IRNazanin" w:cs="IRNazanin"/>
          <w:color w:val="111111"/>
          <w:sz w:val="28"/>
          <w:szCs w:val="28"/>
          <w:rtl w:val="true"/>
          <w:lang w:bidi="fa-IR"/>
        </w:rPr>
        <w:t>:</w:t>
      </w:r>
      <w:bookmarkStart w:id="353" w:name="pg5204_66119"/>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رجل مسلم لأخیه إلّا ما أعطاه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حدیث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الرقاشی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بطیب من نفسه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فحرّم الشارع التصرّف بالمال إلّا برضی صاحبه،کما جاء ذلک فی قاعدة السلطنة المتقدّمة</w:t>
      </w:r>
      <w:r>
        <w:rPr>
          <w:rFonts w:eastAsia="IRNazanin" w:cs="IRNazanin"/>
          <w:color w:val="111111"/>
          <w:sz w:val="28"/>
          <w:szCs w:val="28"/>
          <w:rtl w:val="true"/>
          <w:lang w:bidi="fa-IR"/>
        </w:rPr>
        <w:t>.</w:t>
      </w:r>
    </w:p>
    <w:p>
      <w:pPr>
        <w:pStyle w:val="Heading5"/>
        <w:numPr>
          <w:ilvl w:val="4"/>
          <w:numId w:val="1"/>
        </w:numPr>
        <w:rPr/>
      </w:pPr>
      <w:bookmarkStart w:id="354" w:name="__RefHeading___Toc97310_581953129"/>
      <w:bookmarkStart w:id="355" w:name="_Toc148"/>
      <w:bookmarkEnd w:id="354"/>
      <w:r>
        <w:rPr>
          <w:rtl w:val="true"/>
        </w:rPr>
        <w:t>الضابط الرابع</w:t>
      </w:r>
      <w:r>
        <w:rPr>
          <w:rtl w:val="true"/>
        </w:rPr>
        <w:t>:</w:t>
      </w:r>
      <w:r>
        <w:rPr>
          <w:rtl w:val="true"/>
        </w:rPr>
        <w:t>وقوع الإنتاج علی ما یسدّ حاجةً مشروعة</w:t>
      </w:r>
      <w:bookmarkEnd w:id="355"/>
    </w:p>
    <w:p>
      <w:pPr>
        <w:pStyle w:val="BookText"/>
        <w:rPr/>
      </w:pPr>
      <w:r>
        <w:rPr>
          <w:rFonts w:ascii="Amiri" w:hAnsi="Amiri" w:eastAsia="Amiri" w:cs="Amiri"/>
          <w:color w:val="111111"/>
          <w:sz w:val="28"/>
          <w:sz w:val="28"/>
          <w:szCs w:val="28"/>
          <w:rtl w:val="true"/>
          <w:lang w:bidi="ar-SA"/>
        </w:rPr>
        <w:t>إنّ لهذا الضابط جانبان بالنسبة للحاجة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یرتبط بعدم حرّیة الشخص فی استثمار موارد الطبیعة بما یزید عن حاجته،و هذا یمسّ أساس کون استثمار الطبیعة حقّاً للجمیع لا یمکن منع وإعدام حقّ الغیر فی جزء من أجزائها؛لأنّ الإنتاج یرتبط ارتباطاً جوهریاً بالتوزیع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فإحیاء الأرض المیتة،واستنباط عین الماء،واقتطاع الخشب،واستخراج المعادن،کلّها عملیات 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نفس الوقت تؤدّی إلی تطبیق القواعد العامّة للتوزیع علی الثروات المنتجة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ومن هنا جاء تحدید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تحدیداً یضمن عدالة التوزیع واتّساقه مع الإسلام وأهدافه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ففی مجال المصادر الطبیعیة للإنتاج لا یحقّ للفرد أن یستحوذ علی الأرض إلّا بالمقدار الذی یستطیع إحیاءه بشکل مباشر دون تسخیر الآخرین فیه،ولم یقتصر علی ذلک،بل اشتُرط أن یکون الإحیاء مستمرّاً،فإنّ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ترکها أو أخربها،فأخذها رجل من المسلمین من بعده فعمرها وأحیاها،فهو أحقّ بها من الذی ترکها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وذهب بعض فقهاء الأحناف إلی ذلک وعلّلوه؛بأنّ الأوّل ملک استغلال الأرض،لا رقبتها،فإذا ترکها کان الثانی أحقّ بها</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منع الإسلام الحمی،و هو احتکار الأرض الموات من خلال السیطرة علیها بالقوّة،ولم یسمح بتملّک الرقبة فی إقطاع الإمام أرضاً أو معدناً،والذی یتمّ حسب مصالح یراها مهمّةً ممّا ستأتی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 المواد الأوّلیة لم یسمح له باستثمار ما یزید عن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یسمح للأفراد بالحصول علی قدر حاجتهم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لأنّها من المشترکات العامّة التی لا یجوز الاستئثار بها حتّی لو أقطعها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أقطع هذه الظاهرة لم یکن لإقطاعها حکم،بل المُقطَع وغیره سواء،فلو منعهم المُقطَع کان بمنعه متعدّیاً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لما أخذه مالکاً؛لأنّه متعدّ بالمنع،لا بالأخذ وکُفّ عن المنع وصُرِف عن مداومة العمل لئلّا یشتبه إقطاعه بالصحّة أو یصیر معه فی حکم الأملاک المستقرّة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وینطبق الأمر کذلک علی المیاه الطبیعیة وما تحویه و الثروات الطبیعیة الأخری وقوی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مجال تنمیة الإنتاج،فمع أنّ تحدید کمیته ومقداره یعدّ من الأمور السوقیة التی تخضع للعرض و الطلب،فتکون متعادلةً بطبیعتها،إلّا أنّه من الممکن أن یتعرّض لجانبَی الإفراط و التفریط لأسباب وغایات متعدّدة،ومن هنا سمح الإسلام بتدخّل الحاکم لتوجیه تلک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تضمن الدولة الحدّ الأدنی من إنتاج السلع الضروریة،والحدّ الأعلی الذی لا یجوز التجاوز عنه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ویرتبط بالثروة المنتجة،فلم یسمح بتجمیدها أو تمرکزها وتنامیها إلی الحدّ الذی یؤدّی إلی الإخلال بالوضع الاقتصادی وعدم إمکان تأمین الناس لاحتیاجاتهم،وعلی هذا الأساس،قام بتحریم الاکتناز والاحتکار فی مجال التجمید،ووضع آلیات محدّدةً کالضرائب لمنع تنامیها،وأعطی صلاحیات للحاکم الشرعی للتدخّل عند الضرورة لإعادة الأمور إلی نصابها فی المجالین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التجمید و التمرکز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علی أن تکون هذه الحاجة مشروعةً إسلامیاً بما یسدّ الحاجة الحقیقیة للإنسان التی تؤمّن مصالحه الواقعیة وتضمن کرامته التی تمیزه عن غیره من المخلوقات وتسیر به فی الاتّجاه الذی یؤدّی دوره الخلافتی علی أتمّ وجه،فلم یسمح له بإنتاج ما یؤدّی دوراً معاکساً کما سیأتی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الضوابط التی یخضع لها الإنتاج عموماً فی المذهب الاقتصادی فی الإسلام،الذی قید حرّیة الفرد فی ممارسته لعملیة الإنتاج بها،ولم یسمح له بتجاوزها بطریقین،وهما الطریق الذاتی،حیث إنّ الإسلام ألقی تطبیق أحکامه فی عهدة الإنسان،واعتبره مکلَّفاً تکلیفاً ذاتیاً</w:t>
      </w:r>
    </w:p>
    <w:p>
      <w:pPr>
        <w:pStyle w:val="BookText"/>
        <w:rPr/>
      </w:pPr>
      <w:r>
        <w:rPr>
          <w:rFonts w:ascii="IRNazanin" w:hAnsi="IRNazanin" w:eastAsia="IRNazanin"/>
          <w:color w:val="111111"/>
          <w:sz w:val="28"/>
          <w:sz w:val="28"/>
          <w:szCs w:val="28"/>
          <w:rtl w:val="true"/>
          <w:lang w:bidi="fa-IR"/>
        </w:rPr>
        <w:t>لإعمالها من دون رقیب علیه سوی نفسه التی تستشعر تلک المسؤولیة من خلال الإیمان بالجزاء ثواباً وعقاباً،و هذا یعدّ میزةً أساسیةً للمذهب الإسلامی توفّر لتعالیمه فرصةً تطبیقیةً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القانونی،الذی یقوم ولی الأمر بإعماله علی المکلَّفین ضمن حدود الصلاحیات و الضوابط المحدّدة له باعتباره الخلیفة الخاصّ،الذی أُنیطت به مهمّة هدایة البشریة نحو الأهداف و الغایات التی استُخلفت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ویتجلّی هذا الأمر بأوضح صوره فی المجال الاقتصادی،حیث تتقاسم الدولة مع الفرد ملکیة الطبیعة بنحو من التداخل و التکامل المنسجمین، </w:t>
      </w:r>
      <w:r>
        <w:rPr>
          <w:rStyle w:val="FootnoteAnchor"/>
          <w:rtl w:val="true"/>
        </w:rPr>
        <w:footnoteReference w:id="307"/>
      </w:r>
      <w:r>
        <w:rPr>
          <w:rFonts w:ascii="IRNazanin" w:hAnsi="IRNazanin" w:eastAsia="IRNazanin"/>
          <w:color w:val="111111"/>
          <w:sz w:val="28"/>
          <w:sz w:val="28"/>
          <w:szCs w:val="28"/>
          <w:rtl w:val="true"/>
          <w:lang w:bidi="fa-IR"/>
        </w:rPr>
        <w:t>ومن هنا،فسنحرص علی أن تکون صیاغتنا للعناوین التی تعکس الحدود التی تخضع لها الحرّیة الاقتصادیة؛ناظرةً إلی هذین البعدین الذاتی و القانونی معاً،فسنُرجّح علی سبیل المثال التعبیر بعدم السماح لإیحائه بهذین الطریقین علی السواء،فی مقابل عدم الجواز الذی تعارف استعماله فی الطریق الذاتی نوعاً 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أنّنا کنّا قد توصّلنا إلی أنّ الأصل الساری هو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حاکمیة الأصل الشرعی القائل بها علی الأصل العقلی القائل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فسنعتمد هذا الأساس فی عنونتنا للعناوین،فنتعامل مع الأمور علی أنّ الأصل هو الحرّیة،وبالتالی ستعکس العناوین ما یقیدها علی اعتبار أنّنا نبحث فی الحدود التی تخضع لها</w:t>
      </w:r>
      <w:r>
        <w:rPr>
          <w:rFonts w:eastAsia="IRNazanin" w:cs="IRNazanin"/>
          <w:color w:val="111111"/>
          <w:sz w:val="28"/>
          <w:szCs w:val="28"/>
          <w:rtl w:val="true"/>
          <w:lang w:bidi="fa-IR"/>
        </w:rPr>
        <w:t>.</w:t>
      </w:r>
      <w:bookmarkStart w:id="356" w:name="pg5204_66122"/>
    </w:p>
    <w:p>
      <w:pPr>
        <w:pStyle w:val="Heading3"/>
        <w:numPr>
          <w:ilvl w:val="2"/>
          <w:numId w:val="1"/>
        </w:numPr>
        <w:rPr/>
      </w:pPr>
      <w:bookmarkStart w:id="357" w:name="__RefHeading___Toc97312_581953129"/>
      <w:bookmarkStart w:id="358" w:name="_Toc149"/>
      <w:bookmarkEnd w:id="356"/>
      <w:bookmarkEnd w:id="357"/>
      <w:r>
        <w:rPr>
          <w:rtl w:val="true"/>
        </w:rPr>
        <w:t>المبحث الثانی</w:t>
      </w:r>
      <w:r>
        <w:rPr>
          <w:rtl w:val="true"/>
        </w:rPr>
        <w:t>:</w:t>
      </w:r>
      <w:r>
        <w:rPr>
          <w:rtl w:val="true"/>
        </w:rPr>
        <w:t>حدود الحرّیة فی الإنتاج الصناعی</w:t>
      </w:r>
      <w:bookmarkEnd w:id="358"/>
    </w:p>
    <w:p>
      <w:pPr>
        <w:pStyle w:val="Heading4"/>
        <w:numPr>
          <w:ilvl w:val="3"/>
          <w:numId w:val="1"/>
        </w:numPr>
        <w:rPr/>
      </w:pPr>
      <w:bookmarkStart w:id="359" w:name="__RefHeading___Toc97314_581953129"/>
      <w:bookmarkStart w:id="360" w:name="_Toc150"/>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یعدّ الإنتاج الصناعی من الوسائل المهمّة و الفعّالة فی توفیر مختلف الحاجات الإنسانیة و التی تشمل مختلف مجالات الحیاة،فمنه ما یوفّر الأجهزة و الآلات و الأدوات اللازمة لإنتاج سلع استهلاکیة صناعیة أخری،أو ما یساهم فی تنمیة الإنتاج الزراعی،أو ما یؤدّی دوراً مهمّاً فی السلامة الصحّیة دوائیاً وجراحیاً ووقائیاً،أو ما یستعمل فی المجالات الترفیهیة و الخدمیة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کلّ هذا الدور الإیجابی المهمّ الذی یلعبه الإنتاج الصناعی فی الحیاة،والذی لا یمکن الاستغناء عنه،ومع کلّ ما جاء به الإسلام من تعالیم تدعو إلی استثمار موارد الطبیعة لتأمین حاجات الحیاة البشریة المختلفة،وتطویرها بالشکل الذی یساهم فی إغناء الحیاة مادّیاً،إلّا أنّه لم یسمح به بصورة مطلقة،بل وضع حدوداً تنطلق من الأسس و القواعد و الضوابط التی سبق ذکرها،لیکون منسجماً معها ممّا یحول دون حدوث بعض السلبیات التی تجرّها بعض الممارسات،والتی تؤدّی إلی تعکیر صفو حیاة الإنسان،وتجرّه إلی کثیر من المشاکل المادّیة و المعنویة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قام بحظر مجموعة من النشاطات الإنتاجیة التی تقوم بدور معاکس للدور الخلافتی للإنسان باعتباره مستخلَفاً لإعمار الأرض وتطویرها بما یساهم فی وصوله إلی الکمال اللائق به فی کونه أکرم المخلوقات،حیث تتسبّب مثل هذه النشاطات فی تقویض العملیة الإنتاجیة وانکفائها علی نفسها من جهة،وامتهان کرامة الإنسان التی حباه الله بها خُلقیاً</w:t>
      </w:r>
    </w:p>
    <w:p>
      <w:pPr>
        <w:pStyle w:val="BookText"/>
        <w:rPr/>
      </w:pPr>
      <w:r>
        <w:rPr>
          <w:rFonts w:ascii="Amiri" w:hAnsi="Amiri" w:eastAsia="Amiri" w:cs="Amiri"/>
          <w:color w:val="111111"/>
          <w:sz w:val="28"/>
          <w:sz w:val="28"/>
          <w:szCs w:val="28"/>
          <w:rtl w:val="true"/>
          <w:lang w:bidi="ar-SA"/>
        </w:rPr>
        <w:t>وفکریاً من جهة أخری،و هو ما یشیر إلیه إجمالاً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فتُعدّ مثل هذه الأمور المذکورة فی الآیة الکریمة بمثابة مؤشّر عامّ علی مدی سلامة العملیات الإنتاجیة عمّا یحرفها عن وجهتها التی عینها لها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یهمّنا فی هذا البحث هو الإتیان علی ذکر تلک الموارد التی تمثّل حدوداً لم یسمح الإسلام بممارسة الأفراد حرّیتهم بخصوصها،وذلک لما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إحدی فقرات تعریف الإنتاج؛بأنّه إنجاز عمل علی مادّة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هذا العمل المنجَز یتمثّل تارةً بتهیئة فرصة الانتفاع بها،وتارةً بإیجاد صفة جدیدة فیها،فیعدّ هذان النحوان من العمل إنتاجاً،ویشمل الإنتاج الأوّلی،و هو تهیئة فرصة الانتفاع بالثروات الطبیعیة قطبی الإنتاج أعنی الصناعی و الزراعی،فإنّ هناک موادّ تدخل فی نطاق المجال الصناعی کالمعادن،وبعضها تنضوی فی نطاق المجال الزراعی کالأشجار و الأعشاب ونحوها،هذا من حیث المبدأ،أعنی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 الابتدائی البسیط و الذی قلنا إنّه تهیئة فرصة الانتفاع بتلک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الانتاج المتمثّل بإیجاد صفة جدیدة فی المادّة الطبیعیة،والذی یمکن أن نطلق علیه الانتاج الترکیبی،حیث إنّه یتطلّب جهداً تحویریاً لتلک المادّة الخام،فقد تداخل المجالان الصناعی و الزراعی إلی حدّ ما،حیث أخذت تُستخدم بعض الموادّ التی یغلب علیها الاستخدام الصناعی فی الانتاج الزراعی،والعکس صحیح،مع کون مسألة التداخل هذا تُعدّ أمراً ثانویاً؛إذ إنّ الأصل هو انفصال الموادّ الأوّلیة لکلّ من المجالین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فسیقتصر بحثنا فی مجال الإنتاج الصناعی البسیط علی المعادن؛أمّا الثروات الزراعیة الطبیعیة فسنُرجئ البحث حولها إلی مبحث حدود الحرّیة فی الإنتاج الزراعی علی أن تشمل الثروات الحیوانیة کما هو المتعارف،هذا مع ما تشترک فیه کلّ تلک الموادّ من الأحکام إلّا فی النَزَر الیسیر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الماء،فإنّه یعدّ شریان الحیاة فی کافّة مجالاتها،فلا یمکن إدراجه ضمن بحث خاصّ</w:t>
      </w:r>
      <w:bookmarkStart w:id="361" w:name="pg5204_66124"/>
    </w:p>
    <w:p>
      <w:pPr>
        <w:pStyle w:val="BookText"/>
        <w:rPr/>
      </w:pPr>
      <w:bookmarkEnd w:id="361"/>
      <w:r>
        <w:rPr>
          <w:rFonts w:ascii="IRNazanin" w:hAnsi="IRNazanin" w:eastAsia="IRNazanin"/>
          <w:color w:val="111111"/>
          <w:sz w:val="28"/>
          <w:sz w:val="28"/>
          <w:szCs w:val="28"/>
          <w:rtl w:val="true"/>
          <w:lang w:bidi="fa-IR"/>
        </w:rPr>
        <w:t>إلّا من باب المسامحة،ومماشاةً للتقسیمات التی قسّمنا إلیها بحثنا،و من هنا فسنورده ضمن بحث الإنتاج الزراعی البسیط لاستعماله الغالب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نأتی إلی الأرض التی تعتبر حضن الطبیعة بکلّ ما تحویه من موجودات،وهی الأساس الذی یتحرّک علیه الإنسان فی ممارسة کافّة نشاطاته،فلا یمکن تصوّر تعلّق عملیة الإنتاج بها إلّا من خلال وقوعها علیها فسیأتی البحث حولها لاحقاً ضمن نطاق عملیة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ما تقدّم فسنرکّز بحثنا حول حدود الحرّیة فی الإنتاج الصناعی ضمن مطلبین،یرتبط المطلب الأوّل بالإنتاج الصناعی البسیط،والذی یتمحور حول الحدود الواجب مراعاتها فی تهیئة فرصة الانتفاع بالمواد المعدنیة من خلال استخراجها وجمعها من الطبیعة،وسنبحثه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الاستخراج،تماشیاً مع کون الغالب فیها هو استخراجها من باطن الأرض،ویرتبط المطلب الثانی بحدود الحرّیة فی عملیة التصنیع ذاتها،والتی سنوردها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هنا من التنبیه علی نقطة،وهی أنّ الإنتاج الصناعی لا یقتصر علی ما ینتَج آلیاً،فهو یشمل الإنتاج الیدوی من کلّ ما یهیء فرصة الانتفاع به أو إیجاد صفة جدیدة فیه،وسنُدخل ضمنه الإنتاج الفنّی و العلمی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یکن زراعیاً أو تداولیاً</w:t>
      </w:r>
      <w:r>
        <w:rPr>
          <w:rFonts w:eastAsia="IRNazanin" w:cs="IRNazanin"/>
          <w:color w:val="111111"/>
          <w:sz w:val="28"/>
          <w:szCs w:val="28"/>
          <w:rtl w:val="true"/>
          <w:lang w:bidi="fa-IR"/>
        </w:rPr>
        <w:t>.</w:t>
      </w:r>
    </w:p>
    <w:p>
      <w:pPr>
        <w:pStyle w:val="Heading4"/>
        <w:numPr>
          <w:ilvl w:val="3"/>
          <w:numId w:val="1"/>
        </w:numPr>
        <w:rPr/>
      </w:pPr>
      <w:bookmarkStart w:id="362" w:name="__RefHeading___Toc97316_581953129"/>
      <w:bookmarkStart w:id="363" w:name="_Toc151"/>
      <w:bookmarkEnd w:id="362"/>
      <w:r>
        <w:rPr>
          <w:rtl w:val="true"/>
        </w:rPr>
        <w:t>المطلب الأوّل</w:t>
      </w:r>
      <w:r>
        <w:rPr>
          <w:rtl w:val="true"/>
        </w:rPr>
        <w:t>:</w:t>
      </w:r>
      <w:r>
        <w:rPr>
          <w:rtl w:val="true"/>
        </w:rPr>
        <w:t>حدود الحرّیة فی استخراج المعادن</w:t>
      </w:r>
      <w:bookmarkEnd w:id="363"/>
    </w:p>
    <w:p>
      <w:pPr>
        <w:pStyle w:val="Heading5"/>
        <w:numPr>
          <w:ilvl w:val="4"/>
          <w:numId w:val="1"/>
        </w:numPr>
        <w:rPr/>
      </w:pPr>
      <w:bookmarkStart w:id="364" w:name="__RefHeading___Toc97318_581953129"/>
      <w:bookmarkStart w:id="365" w:name="_Toc152"/>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لقد تبین لنا من خلال تنقیح الأصل الأوّلی،أنّ الأصل المعتمد فی ما یتعلّق بتصرّفات الإنسان هو الإباحة،إلّا ما ثبت الحظر فیه،ولا یشذّ الأمر فی تصرّفه بالطبیعة،حیث إنّها باعتبارها المنبع الزاخر بما یحتاج إلیه،یکون علی تماس مباشر ودائم معها،وعلی اعتبار أنّ الاستفادة من الطبیعة لا یقتصر علی إنسان دون آخر وفقاً لما تطرّقنا إلیه فی الأساس الثانی من الأسس العامّة؛حیث إنّ النوع الإنسانی علی نحو الشمول یقوم بدور الخلافة العامّة؛لذا فقد وضع الإسلام قیوداً علی استثماره لها بما ینسجم و الأسس و القواعد التی أقرّها اقتصادیاً،إضافةً إلی الضوابط التی اعتمدها فی مجال الإنتاج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قد ذکرنا من أنّ بحثنا هنا سیقتصر علی الحدود الواجب مراعاتها فی تهیئة فرصة الانتفاع بالمعادن المبثوثة فی الطبیعة،والذی عبرّنا عنه بالإنتاج الابتدائی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عرّفوا المعدن فقهیاً بأنّه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أُخرج من الأرض ممّا خُلق فیها،ولم یکن جزءً من حقیقتها وکان له قیمة</w:t>
      </w:r>
      <w:bookmarkStart w:id="366" w:name="pg5204_66125"/>
    </w:p>
    <w:p>
      <w:pPr>
        <w:pStyle w:val="BookText"/>
        <w:rPr/>
      </w:pPr>
      <w:bookmarkEnd w:id="366"/>
      <w:r>
        <w:rPr>
          <w:rFonts w:ascii="IRNazanin" w:hAnsi="IRNazanin" w:eastAsia="IRNazanin"/>
          <w:color w:val="111111"/>
          <w:sz w:val="28"/>
          <w:sz w:val="28"/>
          <w:szCs w:val="28"/>
          <w:rtl w:val="true"/>
          <w:lang w:bidi="fa-IR"/>
        </w:rPr>
        <w:t xml:space="preserve">وثمن، </w:t>
      </w:r>
      <w:r>
        <w:rPr>
          <w:rStyle w:val="FootnoteAnchor"/>
          <w:rtl w:val="true"/>
        </w:rPr>
        <w:footnoteReference w:id="309"/>
      </w:r>
      <w:r>
        <w:rPr>
          <w:rFonts w:ascii="IRNazanin" w:hAnsi="IRNazanin" w:eastAsia="IRNazanin"/>
          <w:color w:val="111111"/>
          <w:sz w:val="28"/>
          <w:sz w:val="28"/>
          <w:szCs w:val="28"/>
          <w:rtl w:val="true"/>
          <w:lang w:bidi="fa-IR"/>
        </w:rPr>
        <w:t>وهی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ظاهرة وهی المعادن الموجودة علی سطح الأرض أو قریب منه،ولکنّها لا تحتاج إلی جهد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ومعادن باطنة،وهی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التی توجد علی مستویً عمیق تحت سطح الأرض أو قریب،ولکنّها تحتاج إلی جهد فی تحصیلها،وهما معاً؛إمّا أن یکونا فی أرض مملوکة</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أو غیر مملوکة، </w:t>
      </w:r>
      <w:r>
        <w:rPr>
          <w:rStyle w:val="FootnoteAnchor"/>
          <w:rtl w:val="true"/>
        </w:rPr>
        <w:footnoteReference w:id="311"/>
      </w:r>
      <w:r>
        <w:rPr>
          <w:rFonts w:ascii="IRNazanin" w:hAnsi="IRNazanin" w:eastAsia="IRNazanin"/>
          <w:color w:val="111111"/>
          <w:sz w:val="28"/>
          <w:sz w:val="28"/>
          <w:szCs w:val="28"/>
          <w:rtl w:val="true"/>
          <w:lang w:bidi="fa-IR"/>
        </w:rPr>
        <w:t>فتکون 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الظاهرة فی الأرض غیر المملوکة،وفی حکمها الموجود علی سطح الماء أو فی باطنه،و هو ما یطلق علیه فقهیاً بالغوص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الظاهرة فی الأرض المملوکة،وفی حکمها الموجود علی سطح الماء المملوک و المقدار الذی یحتاجه المالک من العمق فی غرضه من الانتفاع بالسطح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الباطنة فی الأرض غیر المملوکة،وفی حکمها الموجود منها فی باطن القاع کالنفط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الباطنة فی الأرض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الشارع الإسلامی حدوداً أوجب مراعاتها لممارسة عملیة الإنتاج لهذه المعادن،ویمکن إیرادها علی النحو التالی</w:t>
      </w:r>
      <w:r>
        <w:rPr>
          <w:rFonts w:eastAsia="IRNazanin" w:cs="IRNazanin"/>
          <w:color w:val="111111"/>
          <w:sz w:val="28"/>
          <w:szCs w:val="28"/>
          <w:rtl w:val="true"/>
          <w:lang w:bidi="fa-IR"/>
        </w:rPr>
        <w:t>:</w:t>
      </w:r>
    </w:p>
    <w:p>
      <w:pPr>
        <w:pStyle w:val="Heading5"/>
        <w:numPr>
          <w:ilvl w:val="4"/>
          <w:numId w:val="1"/>
        </w:numPr>
        <w:rPr/>
      </w:pPr>
      <w:bookmarkStart w:id="367" w:name="__RefHeading___Toc97320_581953129"/>
      <w:bookmarkStart w:id="368" w:name="_Toc153"/>
      <w:bookmarkEnd w:id="367"/>
      <w:r>
        <w:rPr>
          <w:rtl w:val="true"/>
        </w:rPr>
        <w:t>أوّلاً</w:t>
      </w:r>
      <w:r>
        <w:rPr>
          <w:rtl w:val="true"/>
        </w:rPr>
        <w:t>:</w:t>
      </w:r>
      <w:r>
        <w:rPr>
          <w:rtl w:val="true"/>
        </w:rPr>
        <w:t>عدم السماح باستخراج المعادن،إلّا باستئذان الحاکم الشرعی</w:t>
      </w:r>
      <w:bookmarkEnd w:id="368"/>
    </w:p>
    <w:p>
      <w:pPr>
        <w:pStyle w:val="BookText"/>
        <w:rPr/>
      </w:pPr>
      <w:r>
        <w:rPr>
          <w:rFonts w:ascii="IRNazanin" w:hAnsi="IRNazanin" w:eastAsia="IRNazanin"/>
          <w:color w:val="111111"/>
          <w:sz w:val="28"/>
          <w:sz w:val="28"/>
          <w:szCs w:val="28"/>
          <w:rtl w:val="true"/>
          <w:lang w:bidi="fa-IR"/>
        </w:rPr>
        <w:t>إنّ هذا الحدّ یمثّل الجانب التطبیقی للأساس الثانی من الأسس العامّة،والذی یرتبط بالخلافة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أنّ هناک خلافةً خاصّةً إلی جانب الخلافة العامّة،والتی تقوم بدور الإشراف علی العملیة الخلافتیة العامّة وهدایتها وفقاً للأسس و الأهداف العامّة المنظورة لتلک الخلافة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نُظّمت کیفیة الاستفادة من الطبیعة بشکل یضمن استواء الناس جمیعاً فیها بما هم أفرادٌ لهم حاجاتهم الخاصّة من جهة،وأُعطیت للحاکم الشرعی صلاحیةٌ فی اتّخاذ هذا التنظیم أسلوباً یضمن صالح المجتمع عامّةً لیحقّق عملیة القیام بالقسط المتجسّدة بالعدالة الاجتماعیة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 المعادن الباطنة،فالأظهر لزوم الاستئذان من ولی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فی الأراضی المفتوحة عنوة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لکونها ملکاً للمسلمین،وکذا فیما کان موجوداً منها فی الموات،فیلزم استئذان الحاکم الشرعی لاستخراجها؛ </w:t>
      </w:r>
      <w:r>
        <w:rPr>
          <w:rStyle w:val="FootnoteAnchor"/>
          <w:rtl w:val="true"/>
        </w:rPr>
        <w:footnoteReference w:id="313"/>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مَلک الأرض مطلقاً،بجمیع أجزائها،و هذا من أجزائها</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أمّا ما کان منها فی الأرض المملوکة،فلا بدّ للمنتج من استئذان الحاکم الشرعی فی ممارسته لعملیة الاستخراج،سواء کان المستخرج هو المالک أم غیره علاوةً علی لزوم استئذان صاحب المُلک إن کان المنتِج غیره،لممارسته عملیة الدخول إلیها و الحفر فیها،ولتترتّب آثار الإنتاج بالنسبة إلی المنتِج،ولو أنتج بلا إذن یکون الأمر معلّقاً علی ما یحکم به الحاکم الشرعی؛لأنّه ولی المعدن،إن لم یتصالح المنتِج مع مالک الأرض؛ </w:t>
      </w:r>
      <w:r>
        <w:rPr>
          <w:rStyle w:val="FootnoteAnchor"/>
          <w:rtl w:val="true"/>
        </w:rPr>
        <w:footnoteReference w:id="315"/>
      </w:r>
      <w:r>
        <w:rPr>
          <w:rFonts w:ascii="IRNazanin" w:hAnsi="IRNazanin" w:eastAsia="IRNazanin"/>
          <w:color w:val="111111"/>
          <w:sz w:val="28"/>
          <w:sz w:val="28"/>
          <w:szCs w:val="28"/>
          <w:rtl w:val="true"/>
          <w:lang w:bidi="fa-IR"/>
        </w:rPr>
        <w:t>لأنّه تجاوزٌ علی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حقّ الإنتاج للأفراد فی المعادن التی تُعدّ عرفاً من توابع الأرض؛أمّا ما یحتاج إلی حفر زائد کالنفط،فلا یسمح بممارسة عملیة إنتاجه من قِبل الأفراد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أمّا المعادن الظاهرة،فإن کانت فی الأرض الموات،فلا حاجةٌ لاستئذان الحاکم الشرعی لممارسة عملیة إنتاجها،فهی تُعدّ من المباحات العامّة لجمیع الناس کافرهم ومسلمهم؛ </w:t>
      </w:r>
      <w:r>
        <w:rPr>
          <w:rStyle w:val="FootnoteAnchor"/>
          <w:rtl w:val="true"/>
        </w:rPr>
        <w:footnoteReference w:id="317"/>
      </w:r>
      <w:r>
        <w:rPr>
          <w:rFonts w:ascii="IRNazanin" w:hAnsi="IRNazanin" w:eastAsia="IRNazanin"/>
          <w:color w:val="111111"/>
          <w:sz w:val="28"/>
          <w:sz w:val="28"/>
          <w:szCs w:val="28"/>
          <w:rtl w:val="true"/>
          <w:lang w:bidi="fa-IR"/>
        </w:rPr>
        <w:t>وذلک بناءً علی الخلافة العامّة التی تساوی بین الناس جمیعاً فی ممارسة عملیة إنتاجها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منها فی الأرض المملوکة،فهی تکون مملوکةً لصاحب الأرض تبعاً لملکیته للأرض،فلا یجوز لغیره استخراجه منها من دون إذنه،ولا یترتّب علی عملیة الاستخراج تلک أی أثر إنتاجی للمنتِج؛إذ تبقی ملکاً لمالک الأرض</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وللحاکم الشرعی المنع من إنتاجها استثناءً بشکل فردی،مع کونها من المباحات العامّة؛</w:t>
      </w:r>
      <w:bookmarkStart w:id="369" w:name="pg5204_66127"/>
    </w:p>
    <w:p>
      <w:pPr>
        <w:pStyle w:val="BookText"/>
        <w:rPr/>
      </w:pPr>
      <w:bookmarkEnd w:id="369"/>
      <w:r>
        <w:rPr>
          <w:rFonts w:ascii="Amiri" w:hAnsi="Amiri" w:eastAsia="Amiri" w:cs="Amiri"/>
          <w:color w:val="111111"/>
          <w:sz w:val="28"/>
          <w:sz w:val="28"/>
          <w:szCs w:val="28"/>
          <w:rtl w:val="true"/>
          <w:lang w:bidi="ar-SA"/>
        </w:rPr>
        <w:t xml:space="preserve">وذلک لأنّ المعادن ظاهرةً وباطنةً تُعدّ من الأنفال أی مملوکةً للدولة، </w:t>
      </w:r>
      <w:r>
        <w:rPr>
          <w:rStyle w:val="FootnoteAnchor"/>
          <w:rtl w:val="true"/>
        </w:rPr>
        <w:footnoteReference w:id="319"/>
      </w:r>
      <w:r>
        <w:rPr>
          <w:rFonts w:ascii="IRNazanin" w:hAnsi="IRNazanin" w:eastAsia="IRNazanin"/>
          <w:color w:val="111111"/>
          <w:sz w:val="28"/>
          <w:sz w:val="28"/>
          <w:szCs w:val="28"/>
          <w:rtl w:val="true"/>
          <w:lang w:bidi="fa-IR"/>
        </w:rPr>
        <w:t>فأبو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للمرء إلّا ما طابت به نفس إمامه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فهی فی الأصل ملکٌ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 هذه المسألة إعمالاً حقیقیاً للخلافة الخاصّة التی تقدّم الحدیث عنها فی الأسس العامّة؛إذ إنّ الإشراف علی شؤون الحیاة،ومنها الطبیعة تُعدّ من وظائف الحاکم الشرعی التی لا خیار للإنسان فی تجاوزها،کما یعبِّر عنه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5"/>
        <w:numPr>
          <w:ilvl w:val="4"/>
          <w:numId w:val="1"/>
        </w:numPr>
        <w:rPr/>
      </w:pPr>
      <w:bookmarkStart w:id="370" w:name="__RefHeading___Toc97322_581953129"/>
      <w:bookmarkStart w:id="371" w:name="_Toc154"/>
      <w:bookmarkEnd w:id="370"/>
      <w:r>
        <w:rPr>
          <w:rtl w:val="true"/>
        </w:rPr>
        <w:t>ثانیاً</w:t>
      </w:r>
      <w:r>
        <w:rPr>
          <w:rtl w:val="true"/>
        </w:rPr>
        <w:t>:</w:t>
      </w:r>
      <w:r>
        <w:rPr>
          <w:rtl w:val="true"/>
        </w:rPr>
        <w:t>عدم السماح بالتصرّف فیما لم یستخرج فعلیاً</w:t>
      </w:r>
      <w:bookmarkEnd w:id="371"/>
    </w:p>
    <w:p>
      <w:pPr>
        <w:pStyle w:val="BookText"/>
        <w:rPr/>
      </w:pPr>
      <w:r>
        <w:rPr>
          <w:rFonts w:ascii="IRNazanin" w:hAnsi="IRNazanin" w:eastAsia="IRNazanin"/>
          <w:color w:val="111111"/>
          <w:sz w:val="28"/>
          <w:sz w:val="28"/>
          <w:szCs w:val="28"/>
          <w:rtl w:val="true"/>
          <w:lang w:bidi="fa-IR"/>
        </w:rPr>
        <w:t>فإذا حفر وأهمل زال حقّه فی الإنتاج إلّا إذا کان له عذرٌ فیمهَل إلی زواله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فلا یحقّ له التصرّف بما لم ینتجه منه فلو</w:t>
      </w:r>
    </w:p>
    <w:p>
      <w:pPr>
        <w:pStyle w:val="BookText"/>
        <w:rPr/>
      </w:pPr>
      <w:r>
        <w:rPr>
          <w:rFonts w:ascii="IRNazanin" w:hAnsi="IRNazanin" w:eastAsia="IRNazanin"/>
          <w:color w:val="111111"/>
          <w:sz w:val="28"/>
          <w:sz w:val="28"/>
          <w:szCs w:val="28"/>
          <w:rtl w:val="true"/>
          <w:lang w:bidi="fa-IR"/>
        </w:rPr>
        <w:t>حفر موضعاً من المعدن،ثمّ باع تلک الحفیرة أو أجّرها،لا یصحّ؛لأنّه إنّما ملک من المعدن ما یخرج ویؤخذ،وما بقی فیه بقی علی الإباحة</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ویعدّ هذا الأمر تطبیقاً واقعیاً لضابط العمل المباشر المأخوذ فی صحّة ترتّب آثار الإنتاج علیه</w:t>
      </w:r>
      <w:r>
        <w:rPr>
          <w:rFonts w:eastAsia="IRNazanin" w:cs="IRNazanin"/>
          <w:color w:val="111111"/>
          <w:sz w:val="28"/>
          <w:szCs w:val="28"/>
          <w:rtl w:val="true"/>
          <w:lang w:bidi="fa-IR"/>
        </w:rPr>
        <w:t>.</w:t>
      </w:r>
    </w:p>
    <w:p>
      <w:pPr>
        <w:pStyle w:val="Heading5"/>
        <w:numPr>
          <w:ilvl w:val="4"/>
          <w:numId w:val="1"/>
        </w:numPr>
        <w:rPr/>
      </w:pPr>
      <w:bookmarkStart w:id="372" w:name="__RefHeading___Toc97324_581953129"/>
      <w:bookmarkStart w:id="373" w:name="_Toc155"/>
      <w:bookmarkEnd w:id="372"/>
      <w:r>
        <w:rPr>
          <w:rtl w:val="true"/>
        </w:rPr>
        <w:t>ثالثاً</w:t>
      </w:r>
      <w:r>
        <w:rPr>
          <w:rtl w:val="true"/>
        </w:rPr>
        <w:t>:</w:t>
      </w:r>
      <w:r>
        <w:rPr>
          <w:rtl w:val="true"/>
        </w:rPr>
        <w:t>عدم السماح بتعدّی استخراج القدر المسموح به من قِبل الحاکم الشرعی</w:t>
      </w:r>
      <w:bookmarkEnd w:id="373"/>
    </w:p>
    <w:p>
      <w:pPr>
        <w:pStyle w:val="BookText"/>
        <w:rPr/>
      </w:pPr>
      <w:r>
        <w:rPr>
          <w:rFonts w:ascii="IRNazanin" w:hAnsi="IRNazanin" w:eastAsia="IRNazanin"/>
          <w:color w:val="111111"/>
          <w:sz w:val="28"/>
          <w:sz w:val="28"/>
          <w:szCs w:val="28"/>
          <w:rtl w:val="true"/>
          <w:lang w:bidi="fa-IR"/>
        </w:rPr>
        <w:t>فلا یسمح للمستخرج باستخراج أی مقدار شاء؛إذ إنّ الأصل هو أنّ الاستخراج مترتّبٌ علی الإذن المعطی له من قِبل الحاکم الشرعی فیدور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یخرج منها یکون لمخرجه مستمرّاً فی أخذ ما یشاء منه بمقدار الإذن </w:t>
      </w:r>
      <w:r>
        <w:rPr>
          <w:rStyle w:val="FootnoteAnchor"/>
          <w:rtl w:val="true"/>
        </w:rPr>
        <w:footnoteReference w:id="3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وترتبط هذه المسألة بضابط الحاجة،حیث إنّ المسموح به هو مقدار ما یؤمّن حاجته،کما تقدّم فی الضوابط</w:t>
      </w:r>
      <w:r>
        <w:rPr>
          <w:rFonts w:eastAsia="IRNazanin" w:cs="IRNazanin"/>
          <w:color w:val="111111"/>
          <w:sz w:val="28"/>
          <w:szCs w:val="28"/>
          <w:rtl w:val="true"/>
          <w:lang w:bidi="fa-IR"/>
        </w:rPr>
        <w:t>.</w:t>
      </w:r>
      <w:bookmarkStart w:id="374" w:name="pg5204_66128"/>
    </w:p>
    <w:p>
      <w:pPr>
        <w:pStyle w:val="Heading5"/>
        <w:numPr>
          <w:ilvl w:val="4"/>
          <w:numId w:val="1"/>
        </w:numPr>
        <w:rPr/>
      </w:pPr>
      <w:bookmarkStart w:id="375" w:name="__RefHeading___Toc97326_581953129"/>
      <w:bookmarkStart w:id="376" w:name="_Toc156"/>
      <w:bookmarkEnd w:id="374"/>
      <w:bookmarkEnd w:id="375"/>
      <w:r>
        <w:rPr>
          <w:rtl w:val="true"/>
        </w:rPr>
        <w:t>رابعاً</w:t>
      </w:r>
      <w:r>
        <w:rPr>
          <w:rtl w:val="true"/>
        </w:rPr>
        <w:t>:</w:t>
      </w:r>
      <w:r>
        <w:rPr>
          <w:rtl w:val="true"/>
        </w:rPr>
        <w:t>عدم السماح بمزاحمة السابق بما یمنع ممارسته الاستخراج</w:t>
      </w:r>
      <w:bookmarkEnd w:id="376"/>
    </w:p>
    <w:p>
      <w:pPr>
        <w:pStyle w:val="BookText"/>
        <w:rPr/>
      </w:pPr>
      <w:r>
        <w:rPr>
          <w:rFonts w:ascii="IRNazanin" w:hAnsi="IRNazanin" w:eastAsia="IRNazanin"/>
          <w:color w:val="111111"/>
          <w:sz w:val="28"/>
          <w:sz w:val="28"/>
          <w:szCs w:val="28"/>
          <w:rtl w:val="true"/>
          <w:lang w:bidi="fa-IR"/>
        </w:rPr>
        <w:t>فإنّ المنتج السابق یکون أحقّ بالإنتاج من الموضع الذی احتفره،فلیس للغیر الاستفادة بممارسة الإنتاج من نفس تلک الحفرة</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هذا قائم بطبیعة الحال علی أساس کون الحقّ لمن سبق فی المباحات العامّة،فالسابق له الأوّلویة فیما سبق إلیه من الثروات المشترکة،فلا یسمح بمزاحمته بشکل یؤدّی إلی حرمانه من الاستخراج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ذلک إعمالاً لحقّ الفرد أی کان فی ممارسة حقّه الأساسی فی استثمار موارد الطبیعة،وفسح المجال له فی القیام بعملیة الإعمار،علی ضوء کونه الخلیفة العامّ فی ذلک</w:t>
      </w:r>
      <w:r>
        <w:rPr>
          <w:rFonts w:eastAsia="IRNazanin" w:cs="IRNazanin"/>
          <w:color w:val="111111"/>
          <w:sz w:val="28"/>
          <w:szCs w:val="28"/>
          <w:rtl w:val="true"/>
          <w:lang w:bidi="fa-IR"/>
        </w:rPr>
        <w:t>.</w:t>
      </w:r>
    </w:p>
    <w:p>
      <w:pPr>
        <w:pStyle w:val="Heading5"/>
        <w:numPr>
          <w:ilvl w:val="4"/>
          <w:numId w:val="1"/>
        </w:numPr>
        <w:rPr/>
      </w:pPr>
      <w:bookmarkStart w:id="377" w:name="__RefHeading___Toc97328_581953129"/>
      <w:bookmarkStart w:id="378" w:name="_Toc157"/>
      <w:bookmarkEnd w:id="377"/>
      <w:r>
        <w:rPr>
          <w:rtl w:val="true"/>
        </w:rPr>
        <w:t>خامساً</w:t>
      </w:r>
      <w:r>
        <w:rPr>
          <w:rtl w:val="true"/>
        </w:rPr>
        <w:t>:</w:t>
      </w:r>
      <w:r>
        <w:rPr>
          <w:rtl w:val="true"/>
        </w:rPr>
        <w:t>عدم السماح بمنع اللّاحق من القیام بالاستخراج</w:t>
      </w:r>
      <w:bookmarkEnd w:id="378"/>
    </w:p>
    <w:p>
      <w:pPr>
        <w:pStyle w:val="BookText"/>
        <w:rPr/>
      </w:pPr>
      <w:r>
        <w:rPr>
          <w:rFonts w:ascii="IRNazanin" w:hAnsi="IRNazanin" w:eastAsia="IRNazanin"/>
          <w:color w:val="111111"/>
          <w:sz w:val="28"/>
          <w:sz w:val="28"/>
          <w:szCs w:val="28"/>
          <w:rtl w:val="true"/>
          <w:lang w:bidi="fa-IR"/>
        </w:rPr>
        <w:t xml:space="preserve">فلیس للسابق أن یستبدّ بعروق المعدن ویمنع غیره منه،فللّاحق القیام بالإنتاج من نفس ذلک المعدن،وذلک بالوصول إلیه بالحفر من جهة أخری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روایة فی واقعة بلغتنی عن بعض المفتین المجازفین أنّه أفتی فیمن حفر فی جبل حجراً یتّخذ منه القدور،ثمّ مات ونحت غیره منه قدوراً بأنّ لورثة الحافر المنع تاب الله علیه وعلینا وهداه وإیانا،والصواب لیس لهم المنع؛لأنّ الحجر الباقی،و إن ظهر بحفره بقی علی أصل الإباحة</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لعدم استحقاق المستخرِج إلّا ما استخرجه فعلاً،فهو من المباحات العامّة التی لا یجوز المنع منها،فیکون العمل هو المِلاک الوحید لحیازتها،کما تقدّم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ویقوم ذلک علی أساس استواء الجمیع فی ممارسة الحقّ فی استثمار الطبیعة للقیام بالدور الخلافتی الموکول إلیهم</w:t>
      </w:r>
      <w:r>
        <w:rPr>
          <w:rFonts w:eastAsia="IRNazanin" w:cs="IRNazanin"/>
          <w:color w:val="111111"/>
          <w:sz w:val="28"/>
          <w:szCs w:val="28"/>
          <w:rtl w:val="true"/>
          <w:lang w:bidi="fa-IR"/>
        </w:rPr>
        <w:t>.</w:t>
      </w:r>
    </w:p>
    <w:p>
      <w:pPr>
        <w:pStyle w:val="Heading5"/>
        <w:numPr>
          <w:ilvl w:val="4"/>
          <w:numId w:val="1"/>
        </w:numPr>
        <w:rPr/>
      </w:pPr>
      <w:bookmarkStart w:id="379" w:name="__RefHeading___Toc97330_581953129"/>
      <w:bookmarkStart w:id="380" w:name="_Toc158"/>
      <w:bookmarkEnd w:id="379"/>
      <w:r>
        <w:rPr>
          <w:rtl w:val="true"/>
        </w:rPr>
        <w:t>سادساً</w:t>
      </w:r>
      <w:r>
        <w:rPr>
          <w:rtl w:val="true"/>
        </w:rPr>
        <w:t>:</w:t>
      </w:r>
      <w:r>
        <w:rPr>
          <w:rtl w:val="true"/>
        </w:rPr>
        <w:t>عدم السماح بالتجاوز علی الحریم الخاصّ و العامّ‌</w:t>
      </w:r>
      <w:bookmarkEnd w:id="3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هناک حریماً محدّداً لکلّ من الأمکنة الخاصّة و المشترکات العامّة،وهی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و الطرق،والعیون و القنوات،والآبار و الأنهار،والبساتین و المزارع،والقری و المدن ونحوها،ممّا ستأتی تفاصیلها فی مواردها الخاصّة بها</w:t>
      </w:r>
      <w:r>
        <w:rPr>
          <w:rFonts w:eastAsia="IRNazanin" w:cs="IRNazanin"/>
          <w:color w:val="111111"/>
          <w:sz w:val="28"/>
          <w:szCs w:val="28"/>
          <w:rtl w:val="true"/>
          <w:lang w:bidi="fa-IR"/>
        </w:rPr>
        <w:t>.</w:t>
      </w:r>
      <w:bookmarkStart w:id="381" w:name="pg5204_66129"/>
    </w:p>
    <w:p>
      <w:pPr>
        <w:pStyle w:val="BookText"/>
        <w:rPr/>
      </w:pPr>
      <w:bookmarkEnd w:id="381"/>
      <w:r>
        <w:rPr>
          <w:rFonts w:ascii="IRNazanin" w:hAnsi="IRNazanin" w:eastAsia="IRNazanin"/>
          <w:color w:val="111111"/>
          <w:sz w:val="28"/>
          <w:sz w:val="28"/>
          <w:szCs w:val="28"/>
          <w:rtl w:val="true"/>
          <w:lang w:bidi="fa-IR"/>
        </w:rPr>
        <w:t>وتُعدّ هذه مسألةً تنظیمیةً لممارسة الحقوق وإبقاء المجال مفتوحاً للاستفادة من مصادر الطبیعة دون عوائق تقف بوجه عملیة الاستفادة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ینتهی الکلام فی مطلب الاستخراج من مبحث حدود الحرّیة فی الإنتاج الصناعی</w:t>
      </w:r>
      <w:r>
        <w:rPr>
          <w:rFonts w:eastAsia="IRNazanin" w:cs="IRNazanin"/>
          <w:color w:val="111111"/>
          <w:sz w:val="28"/>
          <w:szCs w:val="28"/>
          <w:rtl w:val="true"/>
          <w:lang w:bidi="fa-IR"/>
        </w:rPr>
        <w:t>.</w:t>
      </w:r>
    </w:p>
    <w:p>
      <w:pPr>
        <w:pStyle w:val="Heading4"/>
        <w:numPr>
          <w:ilvl w:val="3"/>
          <w:numId w:val="1"/>
        </w:numPr>
        <w:rPr/>
      </w:pPr>
      <w:bookmarkStart w:id="382" w:name="__RefHeading___Toc97332_581953129"/>
      <w:bookmarkStart w:id="383" w:name="_Toc159"/>
      <w:bookmarkEnd w:id="382"/>
      <w:r>
        <w:rPr>
          <w:rtl w:val="true"/>
        </w:rPr>
        <w:t>المطلب الثانی</w:t>
      </w:r>
      <w:r>
        <w:rPr>
          <w:rtl w:val="true"/>
        </w:rPr>
        <w:t>:</w:t>
      </w:r>
      <w:r>
        <w:rPr>
          <w:rtl w:val="true"/>
        </w:rPr>
        <w:t>حدود الحرّیة فی التصنیع</w:t>
      </w:r>
      <w:bookmarkEnd w:id="383"/>
    </w:p>
    <w:p>
      <w:pPr>
        <w:pStyle w:val="Heading5"/>
        <w:numPr>
          <w:ilvl w:val="4"/>
          <w:numId w:val="1"/>
        </w:numPr>
        <w:rPr/>
      </w:pPr>
      <w:bookmarkStart w:id="384" w:name="__RefHeading___Toc97334_581953129"/>
      <w:bookmarkStart w:id="385" w:name="_Toc160"/>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تتضافر عوامل متعدّدةٌ فی عملیة التصنیع لإنجاحها وإیصالها مرحلة إنتاج الموادّ المطلوبة،فمنها ما یرتبط بالموادّ الأوّلیة،ومنها ما یتعلّق بالأدوات المستعملة فی عملیة التصنیع،ومنها العامل الذی یباشر عملیة التصنیع،وأخری برأس المال الذی یساهم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من هذه العوامل أحکامٌ خاصّةٌ بها،إلّا أنّ ما یهمّنا هنا هو عملیة التصنیع ذاتها،حیث إنّ هناک أموراً لم یسمح الشارع الإسلامی بتصنیعها بناءً علی بعض الحدود التی تندرج تحتها،والتی أقرّها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العوامل الأخری،فإنّ دورها یتمثّل بعملیة التوزیع،و هو ما سنأتی علی تفصیله فی الفصل الثانی الموسوم بحدود حرّیة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الدلیل العمدة فی الاستدلال علی حظر بعض النشاطات الإنتاجیة الصناعیة هو تحریمها بالعنوان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حرمتها ذاتیة وقع علیها التحریم ابتداءً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النشاطات المحظورة الأخری،فقد تمّ حظرها بعنوان ثانوی کأن تکون مقدّمةً للحرام،أو أنّ منفعتها منحصرةٌ فی الحرام،فلا منفعة محلّلة فیها،أو أنّ غایتها محرّمة،فتُدرج جمیعها ضمن ضابط کون الحاجة مشروعةً إسلامیاً؛لذا فمن المناسب إدراج کلّ من العنوانین الأوّلی و الثانوی ضمن عناوین تعود إلی الأسباب و العلل القریبة لتحریمها،و إن حدث بعض التداخل فیما بینها،وذلک وفقاً للمفاسد التی یقوم الحظر علی أساسها،والتی تمّ التصریح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فسیکون کلامنا فی الحدود اللازم مراعاتها فی التصنیع ضمن عدّة أمور،وهی کما یأتی</w:t>
      </w:r>
      <w:r>
        <w:rPr>
          <w:rFonts w:eastAsia="IRNazanin" w:cs="IRNazanin"/>
          <w:color w:val="111111"/>
          <w:sz w:val="28"/>
          <w:szCs w:val="28"/>
          <w:rtl w:val="true"/>
          <w:lang w:bidi="fa-IR"/>
        </w:rPr>
        <w:t>:</w:t>
      </w:r>
    </w:p>
    <w:p>
      <w:pPr>
        <w:pStyle w:val="Heading5"/>
        <w:numPr>
          <w:ilvl w:val="4"/>
          <w:numId w:val="1"/>
        </w:numPr>
        <w:rPr/>
      </w:pPr>
      <w:bookmarkStart w:id="386" w:name="__RefHeading___Toc97336_581953129"/>
      <w:bookmarkStart w:id="387" w:name="_Toc161"/>
      <w:bookmarkEnd w:id="386"/>
      <w:r>
        <w:rPr>
          <w:rtl w:val="true"/>
        </w:rPr>
        <w:t>أوّلاً</w:t>
      </w:r>
      <w:r>
        <w:rPr>
          <w:rtl w:val="true"/>
        </w:rPr>
        <w:t>:</w:t>
      </w:r>
      <w:r>
        <w:rPr>
          <w:rtl w:val="true"/>
        </w:rPr>
        <w:t>عدم السماح بصنع ما ینافی الأسس الاعتقادیة</w:t>
      </w:r>
      <w:bookmarkEnd w:id="387"/>
    </w:p>
    <w:p>
      <w:pPr>
        <w:pStyle w:val="Heading6"/>
        <w:numPr>
          <w:ilvl w:val="5"/>
          <w:numId w:val="1"/>
        </w:numPr>
        <w:rPr/>
      </w:pPr>
      <w:bookmarkStart w:id="388" w:name="__RefHeading___Toc97338_581953129"/>
      <w:bookmarkStart w:id="389" w:name="_Toc162"/>
      <w:bookmarkEnd w:id="388"/>
      <w:r>
        <w:rPr>
          <w:rtl w:val="true"/>
        </w:rPr>
        <w:t>اشارة</w:t>
      </w:r>
      <w:bookmarkEnd w:id="38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والأسس الاعتقادیة فی الإسلام تتمثّل بالأصول الثلاثة،وهی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المعاد،وما یتفرّع عنها ممّا یعدّ من مکمّلاتها،کالعدل بالنسبة إلی التوحید،والإمامة بالنسبة إلی النبوّة علی رأی الإمامیة</w:t>
      </w:r>
      <w:r>
        <w:rPr>
          <w:rFonts w:eastAsia="IRNazanin" w:cs="IRNazanin"/>
          <w:color w:val="111111"/>
          <w:sz w:val="28"/>
          <w:szCs w:val="28"/>
          <w:rtl w:val="true"/>
          <w:lang w:bidi="fa-IR"/>
        </w:rPr>
        <w:t>.</w:t>
      </w:r>
      <w:bookmarkStart w:id="390" w:name="pg5204_66130"/>
    </w:p>
    <w:p>
      <w:pPr>
        <w:pStyle w:val="BookText"/>
        <w:rPr/>
      </w:pPr>
      <w:bookmarkEnd w:id="390"/>
      <w:r>
        <w:rPr>
          <w:rFonts w:ascii="IRNazanin" w:hAnsi="IRNazanin" w:eastAsia="IRNazanin"/>
          <w:color w:val="111111"/>
          <w:sz w:val="28"/>
          <w:sz w:val="28"/>
          <w:szCs w:val="28"/>
          <w:rtl w:val="true"/>
          <w:lang w:bidi="fa-IR"/>
        </w:rPr>
        <w:t>فلم یسمح الإسلام بکلّ ما یؤدّی إلی تقویض هذه الأرکان الثلاثة قولاً وفعلاً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ذلک بشکل مباشر کالکفر بعد الإیمان،أو ممارسة ما من شأنه الترویج للشرک ولو بشکل غیر مباشر عن طریق الاعتیاد علیه بمرور الزمان کصنع 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تشهد به المسیرة التاریخیة للبشریة،حیث برّر عرب الجاهلیة عبادة الأصنام بأنّه تقرّبٌ إلی الله،حسب ما جاء علی 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 </w:t>
      </w:r>
      <w:r>
        <w:rPr>
          <w:rStyle w:val="FootnoteAnchor"/>
          <w:rtl w:val="true"/>
        </w:rPr>
        <w:footnoteReference w:id="328"/>
      </w:r>
      <w:r>
        <w:rPr>
          <w:rFonts w:ascii="Amiri" w:hAnsi="Amiri" w:eastAsia="Amiri" w:cs="Amiri"/>
          <w:color w:val="111111"/>
          <w:sz w:val="28"/>
          <w:sz w:val="28"/>
          <w:szCs w:val="28"/>
          <w:rtl w:val="true"/>
          <w:lang w:bidi="ar-SA"/>
        </w:rPr>
        <w:t>أو ما جاء فی محاولة بنی إسرائیل اتّخاذ إله مجسّم تقلیداً للآخرین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أو حتّی علی مستوی الاستخفاف بتلک المبادئ قولاً کالسبّ،کما یلمّح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 </w:t>
      </w:r>
      <w:r>
        <w:rPr>
          <w:rStyle w:val="FootnoteAnchor"/>
          <w:rtl w:val="true"/>
        </w:rPr>
        <w:footnoteReference w:id="330"/>
      </w:r>
      <w:r>
        <w:rPr>
          <w:rFonts w:ascii="IRNazanin" w:hAnsi="IRNazanin" w:eastAsia="IRNazanin"/>
          <w:color w:val="111111"/>
          <w:sz w:val="28"/>
          <w:sz w:val="28"/>
          <w:szCs w:val="28"/>
          <w:rtl w:val="true"/>
          <w:lang w:bidi="fa-IR"/>
        </w:rPr>
        <w:t>أو فعلاً کالأسالیب الفنیة للاستهزاء و السُّخریة بالرموز الدینیة،فقد أعطی الإسلام مکانةً مرموقةً لشخص کالنبی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ألزم باحترام مکانته،ونهی عن التعامل معه کما یتعامل الناس بعضهم مع البعض الآخر،کما یشیر إلی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أَصْواتَکُمْ فَوْقَ صَوْتِ النَّبِیِّ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ویمکن إیراد بعض مصادیق ذلک علی النحو التالی</w:t>
      </w:r>
      <w:r>
        <w:rPr>
          <w:rFonts w:eastAsia="IRNazanin" w:cs="IRNazanin"/>
          <w:color w:val="111111"/>
          <w:sz w:val="28"/>
          <w:szCs w:val="28"/>
          <w:rtl w:val="true"/>
          <w:lang w:bidi="fa-IR"/>
        </w:rPr>
        <w:t>:</w:t>
      </w:r>
    </w:p>
    <w:p>
      <w:pPr>
        <w:pStyle w:val="Heading6"/>
        <w:numPr>
          <w:ilvl w:val="5"/>
          <w:numId w:val="1"/>
        </w:numPr>
        <w:rPr/>
      </w:pPr>
      <w:bookmarkStart w:id="391" w:name="__RefHeading___Toc97340_581953129"/>
      <w:bookmarkStart w:id="392" w:name="_Toc163"/>
      <w:bookmarkEnd w:id="391"/>
      <w:r>
        <w:rPr>
          <w:rtl w:val="true"/>
        </w:rPr>
        <w:t>أ</w:t>
      </w:r>
      <w:r>
        <w:rPr>
          <w:rtl w:val="true"/>
        </w:rPr>
        <w:t>)</w:t>
      </w:r>
      <w:r>
        <w:rPr>
          <w:rtl w:val="true"/>
        </w:rPr>
        <w:t>نحت الجسم الکامل لذی الروح</w:t>
      </w:r>
      <w:r>
        <w:rPr>
          <w:rtl w:val="true"/>
        </w:rPr>
        <w:t>:</w:t>
      </w:r>
      <w:bookmarkEnd w:id="392"/>
    </w:p>
    <w:p>
      <w:pPr>
        <w:pStyle w:val="BookText"/>
        <w:rPr/>
      </w:pPr>
      <w:r>
        <w:rPr>
          <w:rFonts w:ascii="IRNazanin" w:hAnsi="IRNazanin" w:eastAsia="IRNazanin"/>
          <w:color w:val="111111"/>
          <w:sz w:val="28"/>
          <w:sz w:val="28"/>
          <w:szCs w:val="28"/>
          <w:rtl w:val="true"/>
          <w:lang w:bidi="fa-IR"/>
        </w:rPr>
        <w:t>فلم یسمح الإسلام بصنع صورة مجسّمة ثلاثیة الأبعاد لما کان له روحٌ من المخلوقات؛فعن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معذّبون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صوّر تماثیل یکلَّف أن ینفخ فیها ولیس بنافخ</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فمع أنّ الإسلام أباح التصویر،إلّا إنّه حظر منه ما یتنافی ویتعارض و الغایة التی خُلق لأجلها الإنسان،ألَا وهی توحیده أفعالیاً،و هذا هو فی الحقیقة ما أشار إلیه الحدیث الآنف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فمسألة نحت ذی الروح تتعارض ومبدأ الخالقیة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تقتصر علی الله تعالی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لأحد أن یتشبّه به فیها،فإنّه یجرّ شیئاً فشیئاً إلی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جاء الوعید بتکلیف المثّال بالنفخ فی ما صوّره و هو بثّ الروح فیه لیتبین 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من جهة أخری تمهیداً لترویج الشرک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المسائل التی غلب فیها الإجماع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حرّموا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ذوات الأرواح من الإنسان و الحیوان وغیرهما تصویراً مجسّماً کالتماثیل المعمولة من الخشب و الشمع و الحجر و الفلزات،و هذا محرّمٌ مطلقاً علی الأحوط</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هو من المحظورات الذاتیة التی لا یرتبط حظرها بغایة معینة،فإنَ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صور الحیوان حرام شدید التحریم،و هو من الکبائر؛لأنّه متوعّد علیه بهذا الوعید الشدید المذکور فی الأحادیث یعنی مثل ما فی الصحیحین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 یوم القیامة المصوّرون یقال لهم أحیوا ما خلقتم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وسواء صنعه لما یمتهن أو لغیره،فصنعته حرام علی کلّ حال؛لأنّ فیه مضاهاة لخلق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عامّ فی کلّ ما یصوّر مشبهاً بخلق الله تعالی من ذوات الروح وغیرها،وقولهم ویکره التصاویر المراد بها 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أنّ الصورة عامّ و التماثیل خاصّ،والمراد هنا الخاصّ فإنّ،غیر ذی الروح لا یکره کالشجر</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هو یشمل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تصویراً علی هیئة خاصّة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تصویره جالساً أو واضعاً یدیه خلفه أو نحو ذلک ممّا یعد تصویراً تامّاً،فالظاهر هو الحرمة بل الأمر کذلک فیما إذا کانت الصورة ناقصة،ولکنّ النقص لا یکون دخیلاً فی الحیاة کتصویر إنسان مقطوع الید أو الرجل </w:t>
      </w:r>
      <w:r>
        <w:rPr>
          <w:rStyle w:val="FootnoteAnchor"/>
          <w:rtl w:val="true"/>
        </w:rPr>
        <w:footnoteReference w:id="336"/>
      </w:r>
      <w:r>
        <w:rPr>
          <w:rFonts w:ascii="IRNazanin" w:hAnsi="IRNazanin" w:eastAsia="IRNazanin"/>
          <w:color w:val="111111"/>
          <w:sz w:val="28"/>
          <w:sz w:val="28"/>
          <w:szCs w:val="28"/>
          <w:rtl w:val="true"/>
          <w:lang w:bidi="fa-IR"/>
        </w:rPr>
        <w:t>أمّا إذا لم یکن الجسد کاملاً کالتمثال النصفی الذی یجسّم فیه الرأس وشیء من الصدر أو البطن،فإنّه جائز؛وکذلک یجوز صنع تمثال کلّ ما لیس له روح من عالم الطبیعة</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هذا ولکنّ الحکم فی مسألة اقتناء مثل تلک الثماثیل یختلف عن حکم صنعها،فقد سمح بها البعض علی کراهة،فإنّه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اقتناء الصور وبیعها،و إن کانت مجسّمة وذوات أرواح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إلّا أنّ ذلک لا یرتبط بما ینطبق علیه عنوان اتّخاذه للعبادة،کما 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یکون من شعائر المذاهب الملحدة و الأدیان الباطلة،کالأصنام ونحوها ممّا یختصّ بها ویظهر عقیدة باطلة </w:t>
      </w:r>
      <w:r>
        <w:rPr>
          <w:rStyle w:val="FootnoteAnchor"/>
          <w:rtl w:val="true"/>
        </w:rPr>
        <w:footnoteReference w:id="339"/>
      </w:r>
      <w:bookmarkStart w:id="393" w:name="pg5204_66132"/>
    </w:p>
    <w:p>
      <w:pPr>
        <w:pStyle w:val="BookText"/>
        <w:rPr/>
      </w:pPr>
      <w:bookmarkEnd w:id="393"/>
      <w:r>
        <w:rPr>
          <w:rFonts w:ascii="IRNazanin" w:hAnsi="IRNazanin" w:eastAsia="IRNazanin"/>
          <w:color w:val="111111"/>
          <w:sz w:val="28"/>
          <w:sz w:val="28"/>
          <w:szCs w:val="28"/>
          <w:rtl w:val="true"/>
          <w:lang w:bidi="fa-IR"/>
        </w:rPr>
        <w:t>وقصر البعض حرمتها علی ما إذا استقبل بها المصلّی فیما لو کانت العلّة فیها التشبّه بعبادتها،فإذا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العلّة التشبّه بعبادتها،فلا تُکره إلّا إذا کانت أمامه أو فوق رأسه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أمّا فی أصل حرمة اقتنائها من عدمه،فإنّ هذا البعض لم یقف فیه علی وجه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فالظاهر أنّ حظر اقتناء التماثیل و الصور یختصّ بما ینطبق علیه عنوان العبادة أو أُرید منها ذلک،و إن لم ینطبق علیها ذلک العنوان لملاک العلّة و هو العبادة،أو کان فی حکم التشبّه بعبادتها</w:t>
      </w:r>
      <w:r>
        <w:rPr>
          <w:rFonts w:eastAsia="IRNazanin" w:cs="IRNazanin"/>
          <w:color w:val="111111"/>
          <w:sz w:val="28"/>
          <w:szCs w:val="28"/>
          <w:rtl w:val="true"/>
          <w:lang w:bidi="fa-IR"/>
        </w:rPr>
        <w:t>.</w:t>
      </w:r>
    </w:p>
    <w:p>
      <w:pPr>
        <w:pStyle w:val="Heading6"/>
        <w:numPr>
          <w:ilvl w:val="5"/>
          <w:numId w:val="1"/>
        </w:numPr>
        <w:rPr/>
      </w:pPr>
      <w:bookmarkStart w:id="394" w:name="__RefHeading___Toc97342_581953129"/>
      <w:bookmarkStart w:id="395" w:name="_Toc164"/>
      <w:bookmarkEnd w:id="394"/>
      <w:r>
        <w:rPr>
          <w:rtl w:val="true"/>
        </w:rPr>
        <w:t>ب</w:t>
      </w:r>
      <w:r>
        <w:rPr>
          <w:rtl w:val="true"/>
        </w:rPr>
        <w:t>)</w:t>
      </w:r>
      <w:r>
        <w:rPr>
          <w:rtl w:val="true"/>
        </w:rPr>
        <w:t>صنع لوازم عبادة غیر الله</w:t>
      </w:r>
      <w:r>
        <w:rPr>
          <w:rtl w:val="true"/>
        </w:rPr>
        <w:t>:</w:t>
      </w:r>
      <w:bookmarkEnd w:id="395"/>
    </w:p>
    <w:p>
      <w:pPr>
        <w:pStyle w:val="BookText"/>
        <w:rPr/>
      </w:pPr>
      <w:r>
        <w:rPr>
          <w:rFonts w:ascii="IRNazanin" w:hAnsi="IRNazanin" w:eastAsia="IRNazanin"/>
          <w:color w:val="111111"/>
          <w:sz w:val="28"/>
          <w:sz w:val="28"/>
          <w:szCs w:val="28"/>
          <w:rtl w:val="true"/>
          <w:lang w:bidi="fa-IR"/>
        </w:rPr>
        <w:t>فهو ممّا یکون بحکم الشرک بالله،وترویجاً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یجوز العمل فی صنع لوازم العبادة عندهم ممّا یتنافی مع التوحید لله،کمثل عمل الأصنام و الرسوم و الشعارات ذات المغزی الدینی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فهی تشمل أنواع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شعائر الکفر کالصلبان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بیع الآلات المذکورة یحرُم عملها بل یجب إعدامها علی الأحوط،ولو بتغییر هیئتها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هو ممّا جاءت به السنّة،کما فی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لیوشکنّ أن ینزل فیکم ابن مریم حکماً عدلاً فیکسر الصلیب ویقتل الخنزیر</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فإعدام هیئتها الذی أمر الله تعالی به فی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إِلی إِلهِکَ الَّذِی ظَلْتَ عَلَیْهِ عاکِفاً لَنُحَرِّقَنَّهُ ثُمَّ لَنَنْسِفَنَّهُ فِی الْیَمِّ نَسْفاً </w:t>
      </w:r>
      <w:r>
        <w:rPr>
          <w:rStyle w:val="FootnoteAnchor"/>
          <w:rtl w:val="true"/>
        </w:rPr>
        <w:footnoteReference w:id="346"/>
      </w:r>
      <w:r>
        <w:rPr>
          <w:rFonts w:ascii="IRNazanin" w:hAnsi="IRNazanin" w:eastAsia="IRNazanin"/>
          <w:color w:val="111111"/>
          <w:sz w:val="28"/>
          <w:sz w:val="28"/>
          <w:szCs w:val="28"/>
          <w:rtl w:val="true"/>
          <w:lang w:bidi="fa-IR"/>
        </w:rPr>
        <w:t>دلیلٌ علی حظر صنع مثل هذه الهیئات و الأشکال،و هو ما یشیر إلیه حدیث الصادق علیه السلام حیث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التوت أبیعه یصنع به الصلیب و الصنم؟قال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 علی شدّة حرمته من خلال حرمة مقدّمته</w:t>
      </w:r>
      <w:r>
        <w:rPr>
          <w:rFonts w:eastAsia="IRNazanin" w:cs="IRNazanin"/>
          <w:color w:val="111111"/>
          <w:sz w:val="28"/>
          <w:szCs w:val="28"/>
          <w:rtl w:val="true"/>
          <w:lang w:bidi="fa-IR"/>
        </w:rPr>
        <w:t>.</w:t>
      </w:r>
      <w:bookmarkStart w:id="396" w:name="pg5204_66133"/>
    </w:p>
    <w:p>
      <w:pPr>
        <w:pStyle w:val="BookText"/>
        <w:rPr/>
      </w:pPr>
      <w:bookmarkEnd w:id="396"/>
      <w:r>
        <w:rPr>
          <w:rFonts w:ascii="Amiri" w:hAnsi="Amiri" w:eastAsia="Amiri" w:cs="Amiri"/>
          <w:color w:val="111111"/>
          <w:sz w:val="28"/>
          <w:sz w:val="28"/>
          <w:szCs w:val="28"/>
          <w:rtl w:val="true"/>
          <w:lang w:bidi="ar-SA"/>
        </w:rPr>
        <w:t>و قد جاء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عَلَی النُّصُبِ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مجاهد وقتادة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جریج أنّ النُّصب أحجار منصوبة کانوا یعبدونها ویقرّبون الذبائح لها،فنهی الله عن أکل ما ذُبح علی النُّصب؛لأنّه ممّا أُهلّ به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 بین النُّصب و الصنم أنّ الصنم یصوّر وینقش،ولیس کذلک النٌصب؛لأنّ النُّصب حجارة منصوبة و الوثن کالنُّصب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أنّ الوثن اسم یقع علی ما لیس بمصوّر أنّ النبی صلی الله علیه و آله قال لعدی بن حاتم حین جاءه وفی عنقه 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هذا الوثن من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الصلیب وثناً،فدلّ ذلک علی أنّ النُّصب و الوثن اسم لما نُصب للعبادة،و إن لم یکن مصوّراً ولا منقوشا</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ومنه الإعانة علی الکفر کبناء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معابد البوذیین و الهندوس وغیرهم </w:t>
      </w:r>
      <w:r>
        <w:rPr>
          <w:rStyle w:val="FootnoteAnchor"/>
          <w:rtl w:val="true"/>
        </w:rPr>
        <w:footnoteReference w:id="350"/>
      </w:r>
      <w:r>
        <w:rPr>
          <w:rFonts w:ascii="Amiri" w:hAnsi="Amiri" w:eastAsia="Amiri" w:cs="Amiri"/>
          <w:color w:val="111111"/>
          <w:sz w:val="28"/>
          <w:sz w:val="28"/>
          <w:szCs w:val="28"/>
          <w:rtl w:val="true"/>
          <w:lang w:bidi="ar-SA"/>
        </w:rPr>
        <w:t>ونحوه،و هو 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فمن غیر المسموح به أن یتمّ تصنیع وإنتاج ما من شأنه الإعانة علی الکفر الذی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غیر الله تعالی</w:t>
      </w:r>
      <w:r>
        <w:rPr>
          <w:rFonts w:eastAsia="IRNazanin" w:cs="IRNazanin"/>
          <w:color w:val="111111"/>
          <w:sz w:val="28"/>
          <w:szCs w:val="28"/>
          <w:rtl w:val="true"/>
          <w:lang w:bidi="fa-IR"/>
        </w:rPr>
        <w:t>.</w:t>
      </w:r>
    </w:p>
    <w:p>
      <w:pPr>
        <w:pStyle w:val="Heading6"/>
        <w:numPr>
          <w:ilvl w:val="5"/>
          <w:numId w:val="1"/>
        </w:numPr>
        <w:rPr/>
      </w:pPr>
      <w:bookmarkStart w:id="397" w:name="__RefHeading___Toc97344_581953129"/>
      <w:bookmarkStart w:id="398" w:name="_Toc165"/>
      <w:bookmarkEnd w:id="397"/>
      <w:r>
        <w:rPr>
          <w:rtl w:val="true"/>
        </w:rPr>
        <w:t>ج</w:t>
      </w:r>
      <w:r>
        <w:rPr>
          <w:rtl w:val="true"/>
        </w:rPr>
        <w:t>)</w:t>
      </w:r>
      <w:r>
        <w:rPr>
          <w:rtl w:val="true"/>
        </w:rPr>
        <w:t>صنع ما یعدّ إهانةً للمقدّسات</w:t>
      </w:r>
      <w:r>
        <w:rPr>
          <w:rtl w:val="true"/>
        </w:rPr>
        <w:t>:</w:t>
      </w:r>
      <w:bookmarkEnd w:id="398"/>
    </w:p>
    <w:p>
      <w:pPr>
        <w:pStyle w:val="BookText"/>
        <w:rPr/>
      </w:pPr>
      <w:r>
        <w:rPr>
          <w:rFonts w:ascii="Amiri" w:hAnsi="Amiri" w:eastAsia="Amiri" w:cs="Amiri"/>
          <w:color w:val="111111"/>
          <w:sz w:val="28"/>
          <w:sz w:val="28"/>
          <w:szCs w:val="28"/>
          <w:rtl w:val="true"/>
          <w:lang w:bidi="ar-SA"/>
        </w:rPr>
        <w:t>والمراد بها ما یتعلّق بشؤون الدین ممّا یعدّ استخفافاً به وهتکاً له 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یحرُم تصویر المقدّسات علی نحو یستلزم هتکها وإهانتها،ولعلّ منه تصویر أهل الجاهلیة إبراهیم وإسماعیل وفی أیدیهما 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حرمة ما ذُکر کلّه بین أن تکون الصورة مجسّمةً أو لا،ولا بین کونها تامّة أو ناقصة،ولا بین أن تکون معمولة بالید أو بالمکائن و الآلات الحدیثة،وکما یحرُم عملها لا یصحّ بیعها ویحرُم أخذ الأجرة علیها و التزین بها</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فلا یسمح بإنتاج کلّ ما کان الهدف منه إهانة المقدّسات والاستخفاف بالدین،فقد یحکم بالارتداد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بفعل بعض ما یقتضی الاستخفاف بالدین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ومن هنا علّلوا ما روی من النهی عن إخراج مصحف وامرأة فی سریة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فیه تعریضهنّ علی الضیاع و الفضیحة وتعریض المصاحف علی الاستخفاف </w:t>
      </w:r>
      <w:r>
        <w:rPr>
          <w:rStyle w:val="FootnoteAnchor"/>
          <w:rtl w:val="true"/>
        </w:rPr>
        <w:footnoteReference w:id="354"/>
      </w:r>
      <w:bookmarkStart w:id="399" w:name="pg5204_66134"/>
    </w:p>
    <w:p>
      <w:pPr>
        <w:pStyle w:val="BookText"/>
        <w:rPr/>
      </w:pPr>
      <w:bookmarkEnd w:id="399"/>
      <w:r>
        <w:rPr>
          <w:rFonts w:ascii="IRNazanin" w:hAnsi="IRNazanin" w:eastAsia="IRNazanin"/>
          <w:color w:val="111111"/>
          <w:sz w:val="28"/>
          <w:sz w:val="28"/>
          <w:szCs w:val="28"/>
          <w:rtl w:val="true"/>
          <w:lang w:bidi="fa-IR"/>
        </w:rPr>
        <w:t>وکفّروا من وصف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لا یلیق به أو سخر باسم من أسمائه أو بأمر من أوامره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بل عدَّوْا ذلک إلی الملائکة،وذلک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بعیبه ملکاً من الملائکة أو الاستخفاف به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حتّی إنّ البعض حکم باجتناب التمثیل علی 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شخصیات المعصومین من الأنبیاء و الأئمّة علیهما السلام لما فی ذلک من جرأة قد تکون غیر لائقة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إن لم یکن المقصود منه الإهانة و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فیه کلّ ما یصنع ویعمل فی هذا السبیل،کإنتاج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الأفلام و الرسوم الساخرة المصطلح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الکاریکاتیر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،وصناعات التسالی ونحوها</w:t>
      </w:r>
      <w:r>
        <w:rPr>
          <w:rFonts w:eastAsia="IRNazanin" w:cs="IRNazanin"/>
          <w:color w:val="111111"/>
          <w:sz w:val="28"/>
          <w:szCs w:val="28"/>
          <w:rtl w:val="true"/>
          <w:lang w:bidi="fa-IR"/>
        </w:rPr>
        <w:t>.</w:t>
      </w:r>
    </w:p>
    <w:p>
      <w:pPr>
        <w:pStyle w:val="Heading5"/>
        <w:numPr>
          <w:ilvl w:val="4"/>
          <w:numId w:val="1"/>
        </w:numPr>
        <w:rPr/>
      </w:pPr>
      <w:bookmarkStart w:id="400" w:name="__RefHeading___Toc97346_581953129"/>
      <w:bookmarkStart w:id="401" w:name="_Toc166"/>
      <w:bookmarkEnd w:id="400"/>
      <w:r>
        <w:rPr>
          <w:rtl w:val="true"/>
        </w:rPr>
        <w:t>ثانیاً</w:t>
      </w:r>
      <w:r>
        <w:rPr>
          <w:rtl w:val="true"/>
        </w:rPr>
        <w:t>:</w:t>
      </w:r>
      <w:r>
        <w:rPr>
          <w:rtl w:val="true"/>
        </w:rPr>
        <w:t>عدم السماح بصنع ما یروّج للضلال</w:t>
      </w:r>
      <w:bookmarkEnd w:id="401"/>
    </w:p>
    <w:p>
      <w:pPr>
        <w:pStyle w:val="BookText"/>
        <w:rPr/>
      </w:pPr>
      <w:r>
        <w:rPr>
          <w:rFonts w:ascii="IRNazanin" w:hAnsi="IRNazanin" w:eastAsia="IRNazanin"/>
          <w:color w:val="111111"/>
          <w:sz w:val="28"/>
          <w:sz w:val="28"/>
          <w:szCs w:val="28"/>
          <w:rtl w:val="true"/>
          <w:lang w:bidi="fa-IR"/>
        </w:rPr>
        <w:t xml:space="preserve">ولقد عُدّ الإضلال عن سبیل الله من ضمن الکبائر التی تستوجب دخول جهنّم، </w:t>
      </w:r>
      <w:r>
        <w:rPr>
          <w:rStyle w:val="FootnoteAnchor"/>
          <w:rtl w:val="true"/>
        </w:rPr>
        <w:footnoteReference w:id="358"/>
      </w:r>
      <w:r>
        <w:rPr>
          <w:rFonts w:ascii="Amiri" w:hAnsi="Amiri" w:eastAsia="Amiri" w:cs="Amiri"/>
          <w:color w:val="111111"/>
          <w:sz w:val="28"/>
          <w:sz w:val="28"/>
          <w:szCs w:val="28"/>
          <w:rtl w:val="true"/>
          <w:lang w:bidi="ar-SA"/>
        </w:rPr>
        <w:t>استدلالاً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 </w:t>
      </w:r>
      <w:r>
        <w:rPr>
          <w:rStyle w:val="FootnoteAnchor"/>
          <w:rtl w:val="true"/>
        </w:rPr>
        <w:footnoteReference w:id="359"/>
      </w:r>
      <w:r>
        <w:rPr>
          <w:rFonts w:ascii="Amiri" w:hAnsi="Amiri" w:eastAsia="Amiri" w:cs="Amiri"/>
          <w:color w:val="111111"/>
          <w:sz w:val="28"/>
          <w:sz w:val="28"/>
          <w:szCs w:val="28"/>
          <w:rtl w:val="true"/>
          <w:lang w:bidi="ar-SA"/>
        </w:rPr>
        <w:t>فاعتُبرت حرمته من الضروریات التی لا یشکّ فیها،و هو ما تدلّ علیه فحوی أغلب تعالیم الإسلام،والتی تدعوا إلی اتّباع الحقّ،وأنّه لا شیء بعد الحقّ سوی الضلال،بل إنّها منعت من شوب الحقّ بشیء من الباطل،والذی یعبِّر عن صیرورته مادّةً للضلال،کما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 </w:t>
      </w:r>
      <w:r>
        <w:rPr>
          <w:rStyle w:val="FootnoteAnchor"/>
          <w:rtl w:val="true"/>
        </w:rPr>
        <w:footnoteReference w:id="360"/>
      </w:r>
      <w:r>
        <w:rPr>
          <w:rFonts w:ascii="IRNazanin" w:hAnsi="IRNazanin" w:eastAsia="IRNazanin"/>
          <w:color w:val="111111"/>
          <w:sz w:val="28"/>
          <w:sz w:val="28"/>
          <w:szCs w:val="28"/>
          <w:rtl w:val="true"/>
          <w:lang w:bidi="fa-IR"/>
        </w:rPr>
        <w:t>فجاءت الفتاوی لتحکم بدرجة عالیة من الثقة من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إضلال الناس عن الحقّ من الضروریات بین المسلمین،فلا یحتاج فی إثباتها إلی الإجماع </w:t>
      </w:r>
      <w:r>
        <w:rPr>
          <w:rStyle w:val="FootnoteAnchor"/>
          <w:rtl w:val="true"/>
        </w:rPr>
        <w:footnoteReference w:id="3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والأکثر من هذا أنّهم اعتبروا مجرّد احتمال الضلال کافیاً فی تحریم مادّته،ومن هنا أفتوا بأنّه</w:t>
      </w:r>
      <w:r>
        <w:rPr>
          <w:rFonts w:eastAsia="IRNazanin" w:cs="IRNazanin"/>
          <w:color w:val="111111"/>
          <w:sz w:val="28"/>
          <w:szCs w:val="28"/>
          <w:rtl w:val="true"/>
          <w:lang w:bidi="fa-IR"/>
        </w:rPr>
        <w:t>:</w:t>
      </w:r>
      <w:bookmarkStart w:id="402" w:name="pg5204_66135"/>
    </w:p>
    <w:p>
      <w:pPr>
        <w:pStyle w:val="BookText"/>
        <w:rPr/>
      </w:pPr>
      <w:bookmarkEnd w:id="402"/>
      <w:r>
        <w:rPr>
          <w:rFonts w:ascii="IRNazanin" w:hAnsi="IRNazanin" w:eastAsia="IRNazanin"/>
          <w:color w:val="111111"/>
          <w:sz w:val="28"/>
          <w:sz w:val="28"/>
          <w:szCs w:val="28"/>
          <w:rtl w:val="true"/>
          <w:lang w:bidi="fa-IR"/>
        </w:rPr>
        <w:t xml:space="preserve">یحرُم حفظ کتب الضلال مع احتمال ترتّب الضلال لنفسه أو لغیره،فلو أمِن من ذلک أو کانت هناک مصلحة أهمّ جاز وکذا یحرُم بیعها ونشرها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وجاء عنوان عدم نسخ کتب الضلال کشرط أساسی فی صحّة الوصیة العهدیة وعدم بطلانها،وذلک لمجرّد احتمال تحقّق الإضلال،کما أسلفنا،فاشترطوا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ما أوصی به عملاً سائغاً،فلا تصحّ الوصیة بصرف ماله فی معونة الظالمین وقطاع الطرق،وتعمیر الکنائس ونسخ کتب الضلال ونحوها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والأمر ذاته یجری فی صحّة الوقف، </w:t>
      </w:r>
      <w:r>
        <w:rPr>
          <w:rStyle w:val="FootnoteAnchor"/>
          <w:rtl w:val="true"/>
        </w:rPr>
        <w:footnoteReference w:id="364"/>
      </w:r>
      <w:r>
        <w:rPr>
          <w:rFonts w:ascii="IRNazanin" w:hAnsi="IRNazanin" w:eastAsia="IRNazanin"/>
          <w:color w:val="111111"/>
          <w:sz w:val="28"/>
          <w:sz w:val="28"/>
          <w:szCs w:val="28"/>
          <w:rtl w:val="true"/>
          <w:lang w:bidi="fa-IR"/>
        </w:rPr>
        <w:t>فالإضلال یعدّ من المحرّمات الأساسیة التی تبطل بها المعاملات إذا ما اشتُرط فیها،أو أنّه یعدّ شرطاً باطلاً من الأساس علی أدنی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وفسّروا عملیة الزندقة،والتی أوجبوا من خلالها القتل علی المتزندق إن سبق علی ذلک إسلامه بأنّها فی حقیقتها لیست سوی عملیة إضلال؛إذ إنّها عملیة تمویه للکفر وترویجٌ لعقیدته الفاسدة،و هو ما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ینافی إظهاره الدعوة إلی الضلال وکونه معروفاً بالإضلال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ویتحقّق عنوان الإضلال فی بحثنا هذا بکلّ أسالیب الإنتاج الفنّیة منها و الصناعیة المنطبقة علیه،من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ابتداع الأفکار الباطلة،وتأیید ومناصرة الموجود منها و التشنیع علی دین الحقّ ومذهبه وتحریف حقائقه ومسخها،وإضعاف مقولاته ومبادئه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فقد استُغلت مثل هذه الأمور استغلالاً اقتصادیاً یدرّ أرباحاً طائلةً علی القائمین علیها،وذلک من خلال امتلاکهم الوسائل التی یتمّ بواسطتها تعلیبه صناعیاً حتّی علی مستوی لُعب الأطفال،إضافةً إلی ما تقوم به من دور خطیر فی محاولة مسخ الهویة الدینیة</w:t>
      </w:r>
      <w:r>
        <w:rPr>
          <w:rFonts w:eastAsia="IRNazanin" w:cs="IRNazanin"/>
          <w:color w:val="111111"/>
          <w:sz w:val="28"/>
          <w:szCs w:val="28"/>
          <w:rtl w:val="true"/>
          <w:lang w:bidi="fa-IR"/>
        </w:rPr>
        <w:t>.</w:t>
      </w:r>
    </w:p>
    <w:p>
      <w:pPr>
        <w:pStyle w:val="Heading5"/>
        <w:numPr>
          <w:ilvl w:val="4"/>
          <w:numId w:val="1"/>
        </w:numPr>
        <w:rPr/>
      </w:pPr>
      <w:bookmarkStart w:id="403" w:name="__RefHeading___Toc97348_581953129"/>
      <w:bookmarkStart w:id="404" w:name="_Toc167"/>
      <w:bookmarkEnd w:id="403"/>
      <w:r>
        <w:rPr>
          <w:rtl w:val="true"/>
        </w:rPr>
        <w:t>ثالثاً</w:t>
      </w:r>
      <w:r>
        <w:rPr>
          <w:rtl w:val="true"/>
        </w:rPr>
        <w:t>:</w:t>
      </w:r>
      <w:r>
        <w:rPr>
          <w:rtl w:val="true"/>
        </w:rPr>
        <w:t>عدم السماح بصنع ما یروّج للفساد و الرذیلة</w:t>
      </w:r>
      <w:bookmarkEnd w:id="404"/>
    </w:p>
    <w:p>
      <w:pPr>
        <w:pStyle w:val="Heading6"/>
        <w:numPr>
          <w:ilvl w:val="5"/>
          <w:numId w:val="1"/>
        </w:numPr>
        <w:rPr/>
      </w:pPr>
      <w:bookmarkStart w:id="405" w:name="__RefHeading___Toc97350_581953129"/>
      <w:bookmarkStart w:id="406" w:name="_Toc168"/>
      <w:bookmarkEnd w:id="405"/>
      <w:r>
        <w:rPr>
          <w:rtl w:val="true"/>
        </w:rPr>
        <w:t>اشارة</w:t>
      </w:r>
      <w:bookmarkEnd w:id="4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ممّا جاء تحریمه صریحاً فی القرآن الکریم،وذلک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 </w:t>
      </w:r>
      <w:r>
        <w:rPr>
          <w:rStyle w:val="FootnoteAnchor"/>
          <w:rtl w:val="true"/>
        </w:rPr>
        <w:footnoteReference w:id="367"/>
      </w:r>
      <w:r>
        <w:rPr>
          <w:rFonts w:ascii="IRNazanin" w:hAnsi="IRNazanin" w:eastAsia="IRNazanin"/>
          <w:color w:val="111111"/>
          <w:sz w:val="28"/>
          <w:sz w:val="28"/>
          <w:szCs w:val="28"/>
          <w:rtl w:val="true"/>
          <w:lang w:bidi="fa-IR"/>
        </w:rPr>
        <w:t>فقد جعل الله ذلک من الکبائر التی یستحقّ</w:t>
      </w:r>
      <w:bookmarkStart w:id="407" w:name="pg5204_66136"/>
    </w:p>
    <w:p>
      <w:pPr>
        <w:pStyle w:val="BookText"/>
        <w:rPr/>
      </w:pPr>
      <w:bookmarkEnd w:id="407"/>
      <w:r>
        <w:rPr>
          <w:rFonts w:ascii="IRNazanin" w:hAnsi="IRNazanin" w:eastAsia="IRNazanin"/>
          <w:color w:val="111111"/>
          <w:sz w:val="28"/>
          <w:sz w:val="28"/>
          <w:szCs w:val="28"/>
          <w:rtl w:val="true"/>
          <w:lang w:bidi="fa-IR"/>
        </w:rPr>
        <w:t xml:space="preserve">علیها العقاب، </w:t>
      </w:r>
      <w:r>
        <w:rPr>
          <w:rStyle w:val="FootnoteAnchor"/>
          <w:rtl w:val="true"/>
        </w:rPr>
        <w:footnoteReference w:id="368"/>
      </w:r>
      <w:r>
        <w:rPr>
          <w:rFonts w:ascii="IRNazanin" w:hAnsi="IRNazanin" w:eastAsia="IRNazanin"/>
          <w:color w:val="111111"/>
          <w:sz w:val="28"/>
          <w:sz w:val="28"/>
          <w:szCs w:val="28"/>
          <w:rtl w:val="true"/>
          <w:lang w:bidi="fa-IR"/>
        </w:rPr>
        <w:t>ولا یختصّ إشاعة الفاحشة بالکشف عمّا یفعله المسلمین سرّاً،بل یشمل ما یرغّبهم فی إتیانها فی کلّ ما یرتبط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کالأمر بالمنکر و النهی عن المعروف ونشر الأفکار الهدّامة و الصور الخلاعیة المثیرة للشهوات الشیطانیة وکلّ ما یوجب الانحطاط الفکری و الخُلقی للمسلمین و إذا صار بعض ما ذُکر من الآلات مصداقاّ لآلة الحرام بالمعنی المتقدّم فلا إشکال فی عدم جواز بیعه و المعاوضة علیه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والتی تقدّم أمر تحریم عملها سلخاً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إنتاج کلّ ما یتّصل بذلک کإنتاج الأفلام و التصاویر،والرسوم الجنسیة الإباحیة وغیرها من أسالیب</w:t>
      </w:r>
    </w:p>
    <w:p>
      <w:pPr>
        <w:pStyle w:val="BookText"/>
        <w:rPr/>
      </w:pPr>
      <w:r>
        <w:rPr>
          <w:rFonts w:ascii="IRNazanin" w:hAnsi="IRNazanin" w:eastAsia="IRNazanin"/>
          <w:color w:val="111111"/>
          <w:sz w:val="28"/>
          <w:sz w:val="28"/>
          <w:szCs w:val="28"/>
          <w:rtl w:val="true"/>
          <w:lang w:bidi="fa-IR"/>
        </w:rPr>
        <w:t xml:space="preserve">الحثّ علی الرذیلة و الإباحیة من ألوان الفواحش و الأفعال المنکرة و المعاصی،کالدفاع أو الحثّ علی السفور و الزنی،أو غیرهما من الأمور التی تساعد علی انتشار الفساد، </w:t>
      </w:r>
      <w:r>
        <w:rPr>
          <w:rStyle w:val="FootnoteAnchor"/>
          <w:rtl w:val="true"/>
        </w:rPr>
        <w:footnoteReference w:id="370"/>
      </w:r>
      <w:r>
        <w:rPr>
          <w:rFonts w:ascii="IRNazanin" w:hAnsi="IRNazanin" w:eastAsia="IRNazanin"/>
          <w:color w:val="111111"/>
          <w:sz w:val="28"/>
          <w:sz w:val="28"/>
          <w:szCs w:val="28"/>
          <w:rtl w:val="true"/>
          <w:lang w:bidi="fa-IR"/>
        </w:rPr>
        <w:t xml:space="preserve">ولو کانت من مختصّات غیر المسلم،أو کانت ممّا دون الجماع،فهو حرام فی ذاته، </w:t>
      </w:r>
      <w:r>
        <w:rPr>
          <w:rStyle w:val="FootnoteAnchor"/>
          <w:rtl w:val="true"/>
        </w:rPr>
        <w:footnoteReference w:id="371"/>
      </w:r>
      <w:r>
        <w:rPr>
          <w:rFonts w:ascii="IRNazanin" w:hAnsi="IRNazanin" w:eastAsia="IRNazanin"/>
          <w:color w:val="111111"/>
          <w:sz w:val="28"/>
          <w:sz w:val="28"/>
          <w:szCs w:val="28"/>
          <w:rtl w:val="true"/>
          <w:lang w:bidi="fa-IR"/>
        </w:rPr>
        <w:t xml:space="preserve">وصناعة الأعضاء الجنسیة،فإذا کان الغرض إشاعة الفحشاء و المنکر فیحرُم حینئذ نفس العمل ویحرُم أخذ الأجرة علیه؛ </w:t>
      </w:r>
      <w:r>
        <w:rPr>
          <w:rStyle w:val="FootnoteAnchor"/>
          <w:rtl w:val="true"/>
        </w:rPr>
        <w:footnoteReference w:id="372"/>
      </w:r>
      <w:r>
        <w:rPr>
          <w:rFonts w:ascii="IRNazanin" w:hAnsi="IRNazanin" w:eastAsia="IRNazanin"/>
          <w:color w:val="111111"/>
          <w:sz w:val="28"/>
          <w:sz w:val="28"/>
          <w:szCs w:val="28"/>
          <w:rtl w:val="true"/>
          <w:lang w:bidi="fa-IR"/>
        </w:rPr>
        <w:t>إذ إنّ حرمة إشاعة الفاحشة من حقوق الله تعالی</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ونورد هنا بعض المحظورات التی تؤدّی إلی الفساد و الرذیلة،وتُبعد الإنسان عن ممارسة دوره الإنتاجی</w:t>
      </w:r>
      <w:r>
        <w:rPr>
          <w:rFonts w:eastAsia="IRNazanin" w:cs="IRNazanin"/>
          <w:color w:val="111111"/>
          <w:sz w:val="28"/>
          <w:szCs w:val="28"/>
          <w:rtl w:val="true"/>
          <w:lang w:bidi="fa-IR"/>
        </w:rPr>
        <w:t>:</w:t>
      </w:r>
    </w:p>
    <w:p>
      <w:pPr>
        <w:pStyle w:val="Heading6"/>
        <w:numPr>
          <w:ilvl w:val="5"/>
          <w:numId w:val="1"/>
        </w:numPr>
        <w:rPr/>
      </w:pPr>
      <w:bookmarkStart w:id="408" w:name="__RefHeading___Toc97352_581953129"/>
      <w:bookmarkStart w:id="409" w:name="_Toc169"/>
      <w:bookmarkEnd w:id="408"/>
      <w:r>
        <w:rPr>
          <w:rtl w:val="true"/>
        </w:rPr>
        <w:t>أ</w:t>
      </w:r>
      <w:r>
        <w:rPr>
          <w:rtl w:val="true"/>
        </w:rPr>
        <w:t>)</w:t>
      </w:r>
      <w:r>
        <w:rPr>
          <w:rtl w:val="true"/>
        </w:rPr>
        <w:t>صنع المسکر</w:t>
      </w:r>
      <w:r>
        <w:rPr>
          <w:rtl w:val="true"/>
        </w:rPr>
        <w:t>:</w:t>
      </w:r>
      <w:bookmarkEnd w:id="409"/>
    </w:p>
    <w:p>
      <w:pPr>
        <w:pStyle w:val="BookText"/>
        <w:rPr/>
      </w:pPr>
      <w:r>
        <w:rPr>
          <w:rFonts w:ascii="Amiri" w:hAnsi="Amiri" w:eastAsia="Amiri" w:cs="Amiri"/>
          <w:color w:val="111111"/>
          <w:sz w:val="28"/>
          <w:sz w:val="28"/>
          <w:szCs w:val="28"/>
          <w:rtl w:val="true"/>
          <w:lang w:bidi="ar-SA"/>
        </w:rPr>
        <w:t>عموماً،و هو ممّا صرّحت به السنّة،عطفاً علی أصل تحریم الخمر فی القرآن،حیث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 </w:t>
      </w:r>
      <w:r>
        <w:rPr>
          <w:rStyle w:val="FootnoteAnchor"/>
          <w:rtl w:val="true"/>
        </w:rPr>
        <w:footnoteReference w:id="374"/>
      </w:r>
      <w:r>
        <w:rPr>
          <w:rFonts w:ascii="IRNazanin" w:hAnsi="IRNazanin" w:eastAsia="IRNazanin"/>
          <w:color w:val="111111"/>
          <w:sz w:val="28"/>
          <w:sz w:val="28"/>
          <w:szCs w:val="28"/>
          <w:rtl w:val="true"/>
          <w:lang w:bidi="fa-IR"/>
        </w:rPr>
        <w:t>فقد جاء عن أبی جعفر علیه السلام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فی الخمر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غارسها وحارسها وبایعها ومشتریها،وشاربها و الآکل ثمنها،وعاصرها وحاملها و المحمولة إلیه وساقیها</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لعن الله الخمر وشاربها وساقیها وبائعها ومبتاعها وعاصرها وآکل ثمنها ومعتصرها وحاملها و المحمولة إلیه</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قد جاء التعبیر بالخمر باعتبارها المصداق الأبرز لکلّ مسکر،حیث جاء فی الحدیث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شراب مسکر حرام</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فالحرمة واقعة علی الإسکار الذی یشمل کلّ مسکر مهما اختلفت أسماؤه کالفقاع ونحوه،حسب ما جاء فی الحدیث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إن لم یکن ذلک القلیل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وشمل هذا التحریم کلّ أنواع التعامل بالخمر،وما ذلک إلّا لأجل الغایة التی وقع علیها التحریم،و هو شاملٌ بطبیعة الحال لما هو أکثر انحصاراً بإرادة عنوان الخمر،و هو صناعتها،والذی عُبِّر عنه فی الأحادیث المتقدّمة بالعصر؛ومن هنا،فإنّه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العمل فی جمیع المجالات التی لها علاقة بصناعة الخمور مباشرة،سواء فی ذلک مرحلة تهیئة المادّة للعصر من تنظیف وتقطیع،ومرحلة عصره وتعبئته وتخزینه ونقله للزبائن،بل وکذا یحرُم العمل فی المختبرات التابعة لمصانع الخمر</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بل إنّ بعض الأحادیث ذهبت إلی ما هو أبعد من ذلک،فقد شمل الحظر فیها الغایات التی یتراءی أنّها مفیدةٌ کالمداواة بها،فقد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طارق بن سوید الجُعْفی سأل النبی صلی الله علیه و آله عن الخمر،فنهاه أو کره أن یصنعها،فقال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أصنعها للدواء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داء</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بینا سابقاً،فإنّ الحرمة ترتبط بما وراءها من مفاسد حرص الإسلام علی صیانة المجتمع من آثارها السلبیة،و هذا ما تشیر إلیه الآیة الکریمة فی خصوص المسکر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 </w:t>
      </w:r>
      <w:r>
        <w:rPr>
          <w:rStyle w:val="FootnoteAnchor"/>
          <w:rtl w:val="true"/>
        </w:rPr>
        <w:footnoteReference w:id="38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w:t>
      </w:r>
      <w:r>
        <w:rPr>
          <w:rFonts w:eastAsia="Amiri" w:cs="Amiri" w:ascii="Amiri" w:hAnsi="Amiri"/>
          <w:color w:val="111111"/>
          <w:sz w:val="28"/>
          <w:szCs w:val="28"/>
          <w:rtl w:val="true"/>
          <w:lang w:bidi="ar-SA"/>
        </w:rPr>
        <w:t xml:space="preserve">. </w:t>
      </w:r>
      <w:r>
        <w:rPr>
          <w:rStyle w:val="FootnoteAnchor"/>
          <w:rtl w:val="true"/>
        </w:rPr>
        <w:footnoteReference w:id="382"/>
      </w:r>
      <w:bookmarkStart w:id="410" w:name="pg5204_66138"/>
    </w:p>
    <w:p>
      <w:pPr>
        <w:pStyle w:val="BookText"/>
        <w:rPr/>
      </w:pPr>
      <w:bookmarkEnd w:id="410"/>
      <w:r>
        <w:rPr>
          <w:rFonts w:ascii="IRNazanin" w:hAnsi="IRNazanin" w:eastAsia="IRNazanin"/>
          <w:color w:val="111111"/>
          <w:sz w:val="28"/>
          <w:sz w:val="28"/>
          <w:szCs w:val="28"/>
          <w:rtl w:val="true"/>
          <w:lang w:bidi="fa-IR"/>
        </w:rPr>
        <w:t>ویدخل فی ذلک المخدّرات جامدةً کانت أو سائلة،وذلک علی أساس ما تُحدثه من الإسکار مهما کان مستواه،فیحرُم صناعتها تطبیقاً لعلّة تحریم المسکر،وهی عملیة الإسکار،أو علی أساس ما سیجیء من ضررها الفادح</w:t>
      </w:r>
      <w:r>
        <w:rPr>
          <w:rFonts w:eastAsia="IRNazanin" w:cs="IRNazanin"/>
          <w:color w:val="111111"/>
          <w:sz w:val="28"/>
          <w:szCs w:val="28"/>
          <w:rtl w:val="true"/>
          <w:lang w:bidi="fa-IR"/>
        </w:rPr>
        <w:t>.</w:t>
      </w:r>
    </w:p>
    <w:p>
      <w:pPr>
        <w:pStyle w:val="Heading6"/>
        <w:numPr>
          <w:ilvl w:val="5"/>
          <w:numId w:val="1"/>
        </w:numPr>
        <w:rPr/>
      </w:pPr>
      <w:bookmarkStart w:id="411" w:name="__RefHeading___Toc97354_581953129"/>
      <w:bookmarkStart w:id="412" w:name="_Toc170"/>
      <w:bookmarkEnd w:id="411"/>
      <w:r>
        <w:rPr>
          <w:rtl w:val="true"/>
        </w:rPr>
        <w:t>ب</w:t>
      </w:r>
      <w:r>
        <w:rPr>
          <w:rtl w:val="true"/>
        </w:rPr>
        <w:t>)</w:t>
      </w:r>
      <w:r>
        <w:rPr>
          <w:rtl w:val="true"/>
        </w:rPr>
        <w:t>صنع آلات اللّهو</w:t>
      </w:r>
      <w:r>
        <w:rPr>
          <w:rtl w:val="true"/>
        </w:rPr>
        <w:t>:</w:t>
      </w:r>
      <w:bookmarkEnd w:id="412"/>
    </w:p>
    <w:p>
      <w:pPr>
        <w:pStyle w:val="Heading6"/>
        <w:numPr>
          <w:ilvl w:val="5"/>
          <w:numId w:val="1"/>
        </w:numPr>
        <w:rPr/>
      </w:pPr>
      <w:bookmarkStart w:id="413" w:name="__RefHeading___Toc97356_581953129"/>
      <w:bookmarkStart w:id="414" w:name="_Toc17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فإنّ اللّهو الذی یشغل الإنسان عن القیام بأداء دوره فی العملیة الانتاجیة،ممّا جاء تحریمه فی القرآن الکریم،کما فی 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 </w:t>
      </w:r>
      <w:r>
        <w:rPr>
          <w:rStyle w:val="FootnoteAnchor"/>
          <w:rtl w:val="true"/>
        </w:rPr>
        <w:footnoteReference w:id="383"/>
      </w:r>
      <w:r>
        <w:rPr>
          <w:rFonts w:ascii="IRNazanin" w:hAnsi="IRNazanin" w:eastAsia="IRNazanin"/>
          <w:color w:val="111111"/>
          <w:sz w:val="28"/>
          <w:sz w:val="28"/>
          <w:szCs w:val="28"/>
          <w:rtl w:val="true"/>
          <w:lang w:bidi="fa-IR"/>
        </w:rPr>
        <w:t>وهی علی أنواع</w:t>
      </w:r>
      <w:r>
        <w:rPr>
          <w:rFonts w:eastAsia="IRNazanin" w:cs="IRNazanin"/>
          <w:color w:val="111111"/>
          <w:sz w:val="28"/>
          <w:szCs w:val="28"/>
          <w:rtl w:val="true"/>
          <w:lang w:bidi="fa-IR"/>
        </w:rPr>
        <w:t>:</w:t>
      </w:r>
    </w:p>
    <w:p>
      <w:pPr>
        <w:pStyle w:val="Heading6"/>
        <w:numPr>
          <w:ilvl w:val="5"/>
          <w:numId w:val="1"/>
        </w:numPr>
        <w:rPr/>
      </w:pPr>
      <w:bookmarkStart w:id="415" w:name="__RefHeading___Toc97358_581953129"/>
      <w:bookmarkStart w:id="416" w:name="_Toc172"/>
      <w:bookmarkEnd w:id="415"/>
      <w:r>
        <w:rPr>
          <w:rtl w:val="true"/>
        </w:rPr>
        <w:t>الأوّل</w:t>
      </w:r>
      <w:r>
        <w:rPr>
          <w:rtl w:val="true"/>
        </w:rPr>
        <w:t>:</w:t>
      </w:r>
      <w:r>
        <w:rPr>
          <w:rtl w:val="true"/>
        </w:rPr>
        <w:t>آلات القمار</w:t>
      </w:r>
      <w:r>
        <w:rPr>
          <w:rtl w:val="true"/>
        </w:rPr>
        <w:t>:</w:t>
      </w:r>
      <w:bookmarkEnd w:id="416"/>
    </w:p>
    <w:p>
      <w:pPr>
        <w:pStyle w:val="BookText"/>
        <w:rPr/>
      </w:pPr>
      <w:r>
        <w:rPr>
          <w:rFonts w:ascii="Amiri" w:hAnsi="Amiri" w:eastAsia="Amiri" w:cs="Amiri"/>
          <w:color w:val="111111"/>
          <w:sz w:val="28"/>
          <w:sz w:val="28"/>
          <w:szCs w:val="28"/>
          <w:rtl w:val="true"/>
          <w:lang w:bidi="ar-SA"/>
        </w:rPr>
        <w:t>إذ قُرن تحریم القمار مع تحریم الخمر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 </w:t>
      </w:r>
      <w:r>
        <w:rPr>
          <w:rStyle w:val="FootnoteAnchor"/>
          <w:rtl w:val="true"/>
        </w:rPr>
        <w:footnoteReference w:id="384"/>
      </w:r>
      <w:r>
        <w:rPr>
          <w:rFonts w:ascii="Amiri" w:hAnsi="Amiri" w:eastAsia="Amiri" w:cs="Amiri"/>
          <w:color w:val="111111"/>
          <w:sz w:val="28"/>
          <w:sz w:val="28"/>
          <w:szCs w:val="28"/>
          <w:rtl w:val="true"/>
          <w:lang w:bidi="ar-SA"/>
        </w:rPr>
        <w:t>أمّا آلاته،فإنّه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یحرُم بیع آلة الحرام یحرُم عملها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والضابط فی کون الآلة آلة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تعدّ فعلاً آلةً للقمار،ویکفی کونها آلةً له فی مجتمع خاصّ لیکون حراماً هناک،و إن لم یعدّ فی مجتمع آخر قماراً جاز هناک</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فالحرمة هنا تأتی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الأوّل؛المراهنة المرافقة للعب بآلة القمار،و هذا ما یبدو من التعلیل الآتی لکراهة اللعب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اللعب بالنرد و الشطرنج و الأربعة عشر،وهی لعب تستعمله الیهود؛لأنّه قمار أو لعب وکلّ ذلک حرام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وجواز المراهنة مختصٌّ فیما اختصّت به من إعداد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کان فی موضع یعلم من حیث الغالب أنّه یسبق أحدهما فإنّ ذلک لا یجوز؛لأنّ هذا إیجاب المال للغیر علی نفسه،بشرط لا منفعة له فیه،و إنّما جوّزنا ذلک فی الفصل الأوّل؛لأنّه تحریض علی مباشرة سبب الجهاد فی الجملة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أمّا اللعب،فتقتصر حرمته علی ما لم تتعلّق به فائدةٌ عقلائیة،أمّا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تعلّقت به عاقبة حمیدة لا یکون حراماً </w:t>
      </w:r>
      <w:r>
        <w:rPr>
          <w:rStyle w:val="FootnoteAnchor"/>
          <w:rtl w:val="true"/>
        </w:rPr>
        <w:footnoteReference w:id="389"/>
      </w:r>
      <w:bookmarkStart w:id="417" w:name="pg5204_66139"/>
    </w:p>
    <w:p>
      <w:pPr>
        <w:pStyle w:val="BookText"/>
        <w:rPr/>
      </w:pPr>
      <w:bookmarkEnd w:id="417"/>
      <w:r>
        <w:rPr>
          <w:rFonts w:ascii="Amiri" w:hAnsi="Amiri" w:eastAsia="Amiri" w:cs="Amiri"/>
          <w:color w:val="111111"/>
          <w:sz w:val="28"/>
          <w:sz w:val="28"/>
          <w:szCs w:val="28"/>
          <w:rtl w:val="true"/>
          <w:lang w:bidi="ar-SA"/>
        </w:rPr>
        <w:t>و أمّا إذا تعلّقت به فائدةٌ عقلائیةٌ فإنّه یجوز حینها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اللعب بکلّ آلة بهدف التسلیة و الترفیه عن النفس بغیر مراهنة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ولکن إذا وصل الأمر إلی الاستغراق فیه بحیث یؤدّی إلی ترک الواجب،فإنّه یجب ترکه</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صنعها وتصمیهما هو لأجل المقامرة بها،فالآلات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ابتُکرت وصُمّمت من أجل أن یلعب بها فی القمار،بحیث یغلب علی منفعتها الحرام وتُشتری عادة من أجل ذلک،فإنّ صنعها وبیعها،وشراءها واقتناءها حرام حتّی لو کان هدف العامل فیها أو المشتری لها أن ینتفع بها فی الحلال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فحتّی ما یمکن استعماله فی الحلال إلّا أنّه غلب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بحیث یکون المقصود منه غالباً الحرام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فإنّه غیر مسموح بصنعه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ویرتبط هذا الحظر بجانبین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یقوم بطبیعة الحال بدور معاکس للعملیة الإنتاجیة وتنمیتها،فقد جاء فی الحدیث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ومن المعلوم أنّ ذکر الله فی الإسلام لا یقتصر علی الممارسات العبادیة الصرفة،و إنّما یشمل الأخذ بکلّ ما من شأنه أداء الدور الخلافتی للإنسان و الذی یعدّ الانتاج أبرز مصادیقه باعتباره الأساس الأوّل الذی یرتکز علیه القیام بذلک الدور الخلافتی بکافّة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الأثر المترتّب علی المراهنة،ألَا،و هو الربح و الخسارة؛إذ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لا یخلو اللاعب فیه من غُنم أو غُرم فهو میسر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هذا ینافی الضابط الأوّل من ضوابط الإنتاج المتمثّل بالعمل،حیث لا یتمّ إنجاز أی عمل إنتاجی فی هذه العملیة،فیکون فاقداً لشرط أساسی من شروط ترتیب آثار الملکیة علیه</w:t>
      </w:r>
      <w:r>
        <w:rPr>
          <w:rFonts w:eastAsia="IRNazanin" w:cs="IRNazanin"/>
          <w:color w:val="111111"/>
          <w:sz w:val="28"/>
          <w:szCs w:val="28"/>
          <w:rtl w:val="true"/>
          <w:lang w:bidi="fa-IR"/>
        </w:rPr>
        <w:t>.</w:t>
      </w:r>
    </w:p>
    <w:p>
      <w:pPr>
        <w:pStyle w:val="Heading6"/>
        <w:numPr>
          <w:ilvl w:val="5"/>
          <w:numId w:val="1"/>
        </w:numPr>
        <w:rPr/>
      </w:pPr>
      <w:bookmarkStart w:id="418" w:name="__RefHeading___Toc97360_581953129"/>
      <w:bookmarkStart w:id="419" w:name="_Toc173"/>
      <w:bookmarkEnd w:id="418"/>
      <w:r>
        <w:rPr>
          <w:rtl w:val="true"/>
        </w:rPr>
        <w:t>الثانی</w:t>
      </w:r>
      <w:r>
        <w:rPr>
          <w:rtl w:val="true"/>
        </w:rPr>
        <w:t>:</w:t>
      </w:r>
      <w:r>
        <w:rPr>
          <w:rtl w:val="true"/>
        </w:rPr>
        <w:t>الآلات الموسیقیة الغالب استعمالها فی الألحان المحظورة</w:t>
      </w:r>
      <w:r>
        <w:rPr>
          <w:rtl w:val="true"/>
        </w:rPr>
        <w:t>:</w:t>
      </w:r>
      <w:bookmarkEnd w:id="4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القدر المتیقّن من عدم جواز صنع الآلات الموسیقیة؛هو ما یختصّ استعماله فی اللهو المحرّم منها،الذی</w:t>
      </w:r>
      <w:bookmarkStart w:id="420" w:name="pg5204_66140"/>
    </w:p>
    <w:p>
      <w:pPr>
        <w:pStyle w:val="BookText"/>
        <w:rPr/>
      </w:pPr>
      <w:bookmarkEnd w:id="420"/>
      <w:r>
        <w:rPr>
          <w:rFonts w:ascii="IRNazanin" w:hAnsi="IRNazanin" w:eastAsia="IRNazanin"/>
          <w:color w:val="111111"/>
          <w:sz w:val="28"/>
          <w:sz w:val="28"/>
          <w:szCs w:val="28"/>
          <w:rtl w:val="true"/>
          <w:lang w:bidi="fa-IR"/>
        </w:rPr>
        <w:t xml:space="preserve">فسّروه بالخفّة المثیرة لشهوة الأغلبیة،فهو ممّا یتسبّب فی الوقوع فی الحرام، </w:t>
      </w:r>
      <w:r>
        <w:rPr>
          <w:rStyle w:val="FootnoteAnchor"/>
          <w:rtl w:val="true"/>
        </w:rPr>
        <w:footnoteReference w:id="396"/>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صناعة آلات الموسیقی التی لا یناسب إلّا أن تُستعمل فی اللهو المحرّم،أی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قوام مالیتها؛فی صورتها الصناعیة التی یقتنیها أغلب الناس لأجلها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فلا یکفی مجرّد إمکان استعمالها فی اللحن المحلّل فی تجویز صنعها إذا کان الغالب علیها استعمالها فی اللحن المحرّم،فلو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وجود آلة غلب استعمالها فی الألحان المحرّمة عند الموسیقیین،فإنّه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استعمالها فی اللحن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صنعها</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قد روی عن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أفسده الحرام و الغالب علیه الحلال،فلا بأس ببیعه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الغالب علیه الحرام لم یجز بیعه ولا هبته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إن جاءت هذه الفتوی بلسان البیع و الهبة،فإنّها تشمل بطریق أولی الصنع المفترض فیه ذلک،ولم یکن تجویزه بیع آلات الملاهی من البربط و الطبل و المزمار و الدف ونحو ذلک،إلّا 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یمکن الانتفاع بها شرعاً من جهة أخری بأن تُجعل ظروفاً لأشیاء،ونحو ذلک من المصالح فلا تخرج عن کونها أموالاً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فهو ناظرٌ إلی ما هو موجودٌ منها فعلاً بعد الفراغ من عملیة الصنع،فإنّ منع الصنع هو بمثابة منع مادّة المعصیة،ولذلک لم یفتَ بالقطع فی سرقتها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آخذها یتأوّل أنّه یأخذها منع المالک عن المعصیة ونهیه عن المنکر وذلک مأمور به شرعا</w:t>
      </w:r>
      <w:r>
        <w:rPr>
          <w:rFonts w:eastAsia="IRNazanin" w:cs="IRNazanin"/>
          <w:color w:val="111111"/>
          <w:sz w:val="28"/>
          <w:szCs w:val="28"/>
          <w:rtl w:val="true"/>
          <w:lang w:bidi="fa-IR"/>
        </w:rPr>
        <w:t xml:space="preserve">. </w:t>
      </w:r>
      <w:r>
        <w:rPr>
          <w:rStyle w:val="FootnoteAnchor"/>
          <w:rtl w:val="true"/>
        </w:rPr>
        <w:footnoteReference w:id="401"/>
      </w:r>
    </w:p>
    <w:p>
      <w:pPr>
        <w:pStyle w:val="Heading6"/>
        <w:numPr>
          <w:ilvl w:val="5"/>
          <w:numId w:val="1"/>
        </w:numPr>
        <w:rPr/>
      </w:pPr>
      <w:bookmarkStart w:id="421" w:name="__RefHeading___Toc97362_581953129"/>
      <w:bookmarkStart w:id="422" w:name="_Toc174"/>
      <w:bookmarkEnd w:id="421"/>
      <w:r>
        <w:rPr>
          <w:rtl w:val="true"/>
        </w:rPr>
        <w:t>ج</w:t>
      </w:r>
      <w:r>
        <w:rPr>
          <w:rtl w:val="true"/>
        </w:rPr>
        <w:t>)</w:t>
      </w:r>
      <w:r>
        <w:rPr>
          <w:rtl w:val="true"/>
        </w:rPr>
        <w:t>التخصیب الصناعی</w:t>
      </w:r>
      <w:r>
        <w:rPr>
          <w:rtl w:val="true"/>
        </w:rPr>
        <w:t>:</w:t>
      </w:r>
      <w:bookmarkEnd w:id="422"/>
    </w:p>
    <w:p>
      <w:pPr>
        <w:pStyle w:val="BookText"/>
        <w:rPr/>
      </w:pPr>
      <w:r>
        <w:rPr>
          <w:rFonts w:ascii="IRNazanin" w:hAnsi="IRNazanin" w:eastAsia="IRNazanin"/>
          <w:color w:val="111111"/>
          <w:sz w:val="28"/>
          <w:sz w:val="28"/>
          <w:szCs w:val="28"/>
          <w:rtl w:val="true"/>
          <w:lang w:bidi="fa-IR"/>
        </w:rPr>
        <w:t>و یختصّ بما یجری فی الأنابیب،فهو عملیةً صناعیةً سواء،تمّ فیها نقل الجنین إلی الرحم،أم لا،ویقتصر المنع فیها علی ما إذا تمّ تخصیب بویضة امرأة بمنی أو خلیة من غیر زوجها؛إذ إنّه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تلقیح المرأة بماء غیر الزوج،سواء أکانت ذات زوج،أم لا،رضی الزوج و الزوجة بذلک،أم لا،کان التلقیح بواسطة الزوج،أم غیره</w:t>
      </w:r>
      <w:r>
        <w:rPr>
          <w:rFonts w:eastAsia="IRNazanin" w:cs="IRNazanin"/>
          <w:color w:val="111111"/>
          <w:sz w:val="28"/>
          <w:szCs w:val="28"/>
          <w:rtl w:val="true"/>
          <w:lang w:bidi="fa-IR"/>
        </w:rPr>
        <w:t xml:space="preserve">. </w:t>
      </w:r>
      <w:r>
        <w:rPr>
          <w:rStyle w:val="FootnoteAnchor"/>
          <w:rtl w:val="true"/>
        </w:rPr>
        <w:footnoteReference w:id="402"/>
      </w:r>
      <w:bookmarkStart w:id="423" w:name="pg5204_66141"/>
    </w:p>
    <w:p>
      <w:pPr>
        <w:pStyle w:val="BookText"/>
        <w:rPr/>
      </w:pPr>
      <w:bookmarkEnd w:id="423"/>
      <w:r>
        <w:rPr>
          <w:rFonts w:ascii="Amiri" w:hAnsi="Amiri" w:eastAsia="Amiri" w:cs="Amiri"/>
          <w:color w:val="111111"/>
          <w:sz w:val="28"/>
          <w:sz w:val="28"/>
          <w:szCs w:val="28"/>
          <w:rtl w:val="true"/>
          <w:lang w:bidi="ar-SA"/>
        </w:rPr>
        <w:t>فإنّ ذلک یعدّ من الزنی الذی جاء تحریمه صریحاً فی القرآن الکریم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 </w:t>
      </w:r>
      <w:r>
        <w:rPr>
          <w:rStyle w:val="FootnoteAnchor"/>
          <w:rtl w:val="true"/>
        </w:rPr>
        <w:footnoteReference w:id="403"/>
      </w:r>
      <w:r>
        <w:rPr>
          <w:rFonts w:ascii="IRNazanin" w:hAnsi="IRNazanin" w:eastAsia="IRNazanin"/>
          <w:color w:val="111111"/>
          <w:sz w:val="28"/>
          <w:sz w:val="28"/>
          <w:szCs w:val="28"/>
          <w:rtl w:val="true"/>
          <w:lang w:bidi="fa-IR"/>
        </w:rPr>
        <w:t>أمّا إذا تمّت العملیة بماء الزوج،فإنّه یقتصر الحظر حینها علی فیما لو کان المباشر لعملیة التلقیح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الزوج إذا کان ذلک موجباً للنظر إلی العورة أو مسّها </w:t>
      </w:r>
      <w:r>
        <w:rPr>
          <w:rStyle w:val="FootnoteAnchor"/>
          <w:rtl w:val="true"/>
        </w:rPr>
        <w:footnoteReference w:id="404"/>
      </w:r>
    </w:p>
    <w:p>
      <w:pPr>
        <w:pStyle w:val="Heading5"/>
        <w:numPr>
          <w:ilvl w:val="4"/>
          <w:numId w:val="1"/>
        </w:numPr>
        <w:rPr/>
      </w:pPr>
      <w:bookmarkStart w:id="424" w:name="__RefHeading___Toc97364_581953129"/>
      <w:bookmarkStart w:id="425" w:name="_Toc175"/>
      <w:bookmarkEnd w:id="424"/>
      <w:r>
        <w:rPr>
          <w:rtl w:val="true"/>
        </w:rPr>
        <w:t>رابعاً</w:t>
      </w:r>
      <w:r>
        <w:rPr>
          <w:rtl w:val="true"/>
        </w:rPr>
        <w:t>:</w:t>
      </w:r>
      <w:r>
        <w:rPr>
          <w:rtl w:val="true"/>
        </w:rPr>
        <w:t>عدم السماح بصنع ما یوجب الظلم</w:t>
      </w:r>
      <w:bookmarkEnd w:id="425"/>
    </w:p>
    <w:p>
      <w:pPr>
        <w:pStyle w:val="Heading6"/>
        <w:numPr>
          <w:ilvl w:val="5"/>
          <w:numId w:val="1"/>
        </w:numPr>
        <w:rPr/>
      </w:pPr>
      <w:bookmarkStart w:id="426" w:name="__RefHeading___Toc97366_581953129"/>
      <w:bookmarkStart w:id="427" w:name="_Toc176"/>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لقد جاء فی تعریف الظلم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حقوق الغیر والاعتداء علیه وإیذاؤه فی نفسه،أو ماله،أو عرضه،أو دینه،أو وطنه،أو فی غیرها من سائر ما هو له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فلا یختصّ بوقوعه علی ذات الشخص،فهو یصدُق علی ما یقع علی کلّ ما یتعلّق به،وکذا لا یختصّ بصدوره من شخص محدّد،بل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 ما یصدر عن الفرد أو الجماعة أو الدولة إذا تجاوزوا ما هو مرسوم لهم فی حدود شرعناً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ولقد قام الإسلام بتحریم الظلم،وشدّد النکیر علی من یمارسه فی کثیر من تعالیمه،فقال تعالی فی إحدی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یَظْلِمْ مِنْکُمْ نُذِقْهُ عَذاباً کَبِیراً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ولا غرو فی ذلک؛إذ إنّه من جانب؛یقف فی قبال القسط و العدل الذی أقام الإسلام تعالیمه علی أساسه،وجعله وسیلةً وغایةً فی ذات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مسبقاً،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من جانب آخر؛یعارض الفطرة الإنسانیة التی تُعدّ القاعدة الرئیسة لتعالیمه،فدرج علی تقنین مواجهة الظلم بما ینسجم،وما ذکرناه،ولم یکتفِ بالإدانة و الوعید،حتّی شمل هذا التقنین جمیع درجاته مهما کانت تلک الدرجة واطئةً،کالإیذاء النفسی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الإعانة علی الظلم،فکما أنّ الحرمة متوجّهةٌ إلی المباشر لعملیة الظلم،فهی أیضاً متوجهةٌ إلی من یقوم بدور الإعانة علیه،کما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 </w:t>
      </w:r>
      <w:r>
        <w:rPr>
          <w:rStyle w:val="FootnoteAnchor"/>
          <w:rtl w:val="true"/>
        </w:rPr>
        <w:footnoteReference w:id="408"/>
      </w:r>
      <w:r>
        <w:rPr>
          <w:rFonts w:ascii="IRNazanin" w:hAnsi="IRNazanin" w:eastAsia="IRNazanin"/>
          <w:color w:val="111111"/>
          <w:sz w:val="28"/>
          <w:sz w:val="28"/>
          <w:szCs w:val="28"/>
          <w:rtl w:val="true"/>
          <w:lang w:bidi="fa-IR"/>
        </w:rPr>
        <w:t>فیکون مشمولاً بالعذاب المترتّب علی الظلم،و هو ما صرّحت به الآیة الکریمة</w:t>
      </w:r>
      <w:r>
        <w:rPr>
          <w:rFonts w:eastAsia="IRNazanin" w:cs="IRNazanin"/>
          <w:color w:val="111111"/>
          <w:sz w:val="28"/>
          <w:szCs w:val="28"/>
          <w:rtl w:val="true"/>
          <w:lang w:bidi="fa-IR"/>
        </w:rPr>
        <w:t>:</w:t>
      </w:r>
      <w:bookmarkStart w:id="428" w:name="pg5204_66142"/>
    </w:p>
    <w:p>
      <w:pPr>
        <w:pStyle w:val="BookText"/>
        <w:rPr/>
      </w:pPr>
      <w:bookmarkEnd w:id="428"/>
      <w:r>
        <w:rPr>
          <w:rFonts w:ascii="Amiri" w:hAnsi="Amiri" w:eastAsia="Amiri" w:cs="Amiri"/>
          <w:color w:val="111111"/>
          <w:sz w:val="28"/>
          <w:sz w:val="28"/>
          <w:szCs w:val="28"/>
          <w:rtl w:val="true"/>
          <w:lang w:bidi="ar-SA"/>
        </w:rPr>
        <w:t xml:space="preserve">وَ لا تَرْکَنُوا إِلَی الَّذِینَ ظَلَمُوا فَتَمَسَّکُمُ النّارُ ، </w:t>
      </w:r>
      <w:r>
        <w:rPr>
          <w:rStyle w:val="FootnoteAnchor"/>
          <w:rtl w:val="true"/>
        </w:rPr>
        <w:footnoteReference w:id="409"/>
      </w:r>
      <w:r>
        <w:rPr>
          <w:rFonts w:ascii="IRNazanin" w:hAnsi="IRNazanin" w:eastAsia="IRNazanin"/>
          <w:color w:val="111111"/>
          <w:sz w:val="28"/>
          <w:sz w:val="28"/>
          <w:szCs w:val="28"/>
          <w:rtl w:val="true"/>
          <w:lang w:bidi="fa-IR"/>
        </w:rPr>
        <w:t>وانسجاماً مع مقولة کرامة الإنسان ذاتیاً؛فإنّه لا فرق فی تحقّق الظلم سواء کان متوجهاً نحو المسلم أو الکافر،فکما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وقوع الظلم من المکلّف فإنّه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 الظالم فی ظلمه،سواء وقع علی مسلم أو کافر</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وعلی هذا یمکننا إیراد موضوع الظلم حسب درجاته المتفاوتة</w:t>
      </w:r>
      <w:r>
        <w:rPr>
          <w:rFonts w:eastAsia="IRNazanin" w:cs="IRNazanin"/>
          <w:color w:val="111111"/>
          <w:sz w:val="28"/>
          <w:szCs w:val="28"/>
          <w:rtl w:val="true"/>
          <w:lang w:bidi="fa-IR"/>
        </w:rPr>
        <w:t>:</w:t>
      </w:r>
    </w:p>
    <w:p>
      <w:pPr>
        <w:pStyle w:val="Heading6"/>
        <w:numPr>
          <w:ilvl w:val="5"/>
          <w:numId w:val="1"/>
        </w:numPr>
        <w:rPr/>
      </w:pPr>
      <w:bookmarkStart w:id="429" w:name="__RefHeading___Toc97368_581953129"/>
      <w:bookmarkStart w:id="430" w:name="_Toc177"/>
      <w:bookmarkEnd w:id="429"/>
      <w:r>
        <w:rPr>
          <w:rtl w:val="true"/>
        </w:rPr>
        <w:t>أ</w:t>
      </w:r>
      <w:r>
        <w:rPr>
          <w:rtl w:val="true"/>
        </w:rPr>
        <w:t>)</w:t>
      </w:r>
      <w:r>
        <w:rPr>
          <w:rtl w:val="true"/>
        </w:rPr>
        <w:t>ما یوجب الموت</w:t>
      </w:r>
      <w:r>
        <w:rPr>
          <w:rtl w:val="true"/>
        </w:rPr>
        <w:t>:</w:t>
      </w:r>
      <w:bookmarkEnd w:id="430"/>
    </w:p>
    <w:p>
      <w:pPr>
        <w:pStyle w:val="Heading6"/>
        <w:numPr>
          <w:ilvl w:val="5"/>
          <w:numId w:val="1"/>
        </w:numPr>
        <w:rPr/>
      </w:pPr>
      <w:bookmarkStart w:id="431" w:name="__RefHeading___Toc97370_581953129"/>
      <w:bookmarkStart w:id="432" w:name="_Toc178"/>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 هو ما تدلّ علیه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 </w:t>
      </w:r>
      <w:r>
        <w:rPr>
          <w:rStyle w:val="FootnoteAnchor"/>
          <w:rtl w:val="true"/>
        </w:rPr>
        <w:footnoteReference w:id="411"/>
      </w:r>
      <w:r>
        <w:rPr>
          <w:rFonts w:ascii="IRNazanin" w:hAnsi="IRNazanin" w:eastAsia="IRNazanin"/>
          <w:color w:val="111111"/>
          <w:sz w:val="28"/>
          <w:sz w:val="28"/>
          <w:szCs w:val="28"/>
          <w:rtl w:val="true"/>
          <w:lang w:bidi="fa-IR"/>
        </w:rPr>
        <w:t>حیث عُدّ ذلک من الکبائر التی لا یمکن التجاوز عنها،والتی توجب الخلود فی نار جهنّم،ویمکن التطرّق إلی بعض مصادیق ذلک صناعیاً کالتالی</w:t>
      </w:r>
      <w:r>
        <w:rPr>
          <w:rFonts w:eastAsia="IRNazanin" w:cs="IRNazanin"/>
          <w:color w:val="111111"/>
          <w:sz w:val="28"/>
          <w:szCs w:val="28"/>
          <w:rtl w:val="true"/>
          <w:lang w:bidi="fa-IR"/>
        </w:rPr>
        <w:t>:</w:t>
      </w:r>
    </w:p>
    <w:p>
      <w:pPr>
        <w:pStyle w:val="Heading6"/>
        <w:numPr>
          <w:ilvl w:val="5"/>
          <w:numId w:val="1"/>
        </w:numPr>
        <w:rPr/>
      </w:pPr>
      <w:bookmarkStart w:id="433" w:name="__RefHeading___Toc97372_581953129"/>
      <w:bookmarkStart w:id="434" w:name="_Toc179"/>
      <w:bookmarkEnd w:id="433"/>
      <w:r>
        <w:rPr>
          <w:rtl w:val="true"/>
        </w:rPr>
        <w:t>الأوّل</w:t>
      </w:r>
      <w:r>
        <w:rPr>
          <w:rtl w:val="true"/>
        </w:rPr>
        <w:t>:</w:t>
      </w:r>
      <w:r>
        <w:rPr>
          <w:rtl w:val="true"/>
        </w:rPr>
        <w:t>أسلحة الدمار الشامل</w:t>
      </w:r>
      <w:r>
        <w:rPr>
          <w:rtl w:val="true"/>
        </w:rPr>
        <w:t>:</w:t>
      </w:r>
      <w:bookmarkEnd w:id="434"/>
    </w:p>
    <w:p>
      <w:pPr>
        <w:pStyle w:val="BookText"/>
        <w:rPr/>
      </w:pPr>
      <w:r>
        <w:rPr>
          <w:rFonts w:ascii="IRNazanin" w:hAnsi="IRNazanin" w:eastAsia="IRNazanin"/>
          <w:color w:val="111111"/>
          <w:sz w:val="28"/>
          <w:sz w:val="28"/>
          <w:szCs w:val="28"/>
          <w:rtl w:val="true"/>
          <w:lang w:bidi="fa-IR"/>
        </w:rPr>
        <w:t>کالقنابل الذریة و الهیدروجینیة ونحوها؛إذ إنّ المفترض فیها أنّها تدمّر کلّ شیء أتت علیه،ولا یقتصر تدمیرها علی العدو المقصود تدمیره،ویمکن الاستدلال علی حظرها بما جاء متواتراً عن النبی صلی الله علیه و آله من أنّه کان یمنع أصحابه فی الحرب من التعرّض للشیوخ و النساء و الأطفال،فقد کان ینهاهم بقوله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ولا تمثّلوا ولا تغدروا ولا تقتلوا شیخاً فانیاً ولا صبیاً ولا امرأةً ولا تقطعوا شجراً إلّا أن تضطرّوا إلیها</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وتجاوز البعض مسألة حظر انتاجها إلی مسألة حرمة تعلّم تصنیعها،حیث أدرجه ضمن الأمور التی یحرُم تعلّمها،فعرّف العلوم التی یحرُم تعلّمها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علم یبعث علی الفساد ویضرّ الفرد أو المجتمع،فتعلّمه حرام من منظور إسلامی،کالسحر،والکهانة،والنجوم التی کانت شائعةً فی غابر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العلوم التی تستخدم باتّجاه الغزو الثقافی،وفساد الأخلاق فی العالم المعاصر،أو علم أسلحة الدمار الشامل</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إدراج صناعة الأسلحة الجرثومیة و الوبائیة و الغازیة السامّة،کغاز الأعصاب ونحوها ضمن هذا العنوان؛إذ مع أنّها لا تؤدّی دائماً إلی الموت السریع،إلّا أنّها تُعدّ أفدح ضرراً من غیرها؛وذلک بناءً علی النتائج المرعبة المترتّبة علی 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إنّ إنتاجها یقتصر علی</w:t>
      </w:r>
      <w:bookmarkStart w:id="435" w:name="pg5204_66143"/>
    </w:p>
    <w:p>
      <w:pPr>
        <w:pStyle w:val="BookText"/>
        <w:rPr/>
      </w:pPr>
      <w:bookmarkEnd w:id="435"/>
      <w:r>
        <w:rPr>
          <w:rFonts w:ascii="IRNazanin" w:hAnsi="IRNazanin" w:eastAsia="IRNazanin"/>
          <w:color w:val="111111"/>
          <w:sz w:val="28"/>
          <w:sz w:val="28"/>
          <w:szCs w:val="28"/>
          <w:rtl w:val="true"/>
          <w:lang w:bidi="fa-IR"/>
        </w:rPr>
        <w:t>التدمیر و القتل الشامل،فتکون ممّا لا شکّ فی حظرها شرعیاً،إضافةً إلی أنّه قد تمّ حظرها قانونیاً إنتاجاً واستخداماً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لها إضافةً إلی ما تقدّم؛بأنّ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یلقی السمّ فی بلاد المشرکین</w:t>
      </w:r>
      <w:r>
        <w:rPr>
          <w:rFonts w:eastAsia="IRNazanin" w:cs="IRNazanin"/>
          <w:color w:val="111111"/>
          <w:sz w:val="28"/>
          <w:szCs w:val="28"/>
          <w:rtl w:val="true"/>
          <w:lang w:bidi="fa-IR"/>
        </w:rPr>
        <w:t xml:space="preserve">». </w:t>
      </w:r>
      <w:r>
        <w:rPr>
          <w:rStyle w:val="FootnoteAnchor"/>
          <w:rtl w:val="true"/>
        </w:rPr>
        <w:footnoteReference w:id="414"/>
      </w:r>
    </w:p>
    <w:p>
      <w:pPr>
        <w:pStyle w:val="Heading6"/>
        <w:numPr>
          <w:ilvl w:val="5"/>
          <w:numId w:val="1"/>
        </w:numPr>
        <w:rPr/>
      </w:pPr>
      <w:bookmarkStart w:id="436" w:name="__RefHeading___Toc97374_581953129"/>
      <w:bookmarkStart w:id="437" w:name="_Toc180"/>
      <w:bookmarkEnd w:id="436"/>
      <w:r>
        <w:rPr>
          <w:rtl w:val="true"/>
        </w:rPr>
        <w:t>الثانی</w:t>
      </w:r>
      <w:r>
        <w:rPr>
          <w:rtl w:val="true"/>
        </w:rPr>
        <w:t>:</w:t>
      </w:r>
      <w:r>
        <w:rPr>
          <w:rtl w:val="true"/>
        </w:rPr>
        <w:t>السموم القاتلة و الأدویة المجهضة</w:t>
      </w:r>
      <w:r>
        <w:rPr>
          <w:rtl w:val="true"/>
        </w:rPr>
        <w:t>:</w:t>
      </w:r>
      <w:bookmarkEnd w:id="437"/>
    </w:p>
    <w:p>
      <w:pPr>
        <w:pStyle w:val="BookText"/>
        <w:rPr/>
      </w:pPr>
      <w:r>
        <w:rPr>
          <w:rFonts w:ascii="IRNazanin" w:hAnsi="IRNazanin" w:eastAsia="IRNazanin"/>
          <w:color w:val="111111"/>
          <w:sz w:val="28"/>
          <w:sz w:val="28"/>
          <w:szCs w:val="28"/>
          <w:rtl w:val="true"/>
          <w:lang w:bidi="fa-IR"/>
        </w:rPr>
        <w:t>تلعب السموم دوراً إیجابیاً مهمّاً فی الکثیر من جوانب الحیاة المدنیة منها و الزراعیة و الطبیة وغیرها،إلّا أنّ الحظر هنا یأتی عرضیاً،وذلک فی عمل الصیدلة،فإنّه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یحرُم من جهة بعض العناوین الثانویة،ولا سیما منها الأدویة المخدّرة أو المسببة للإجهاض أو بعض السموم ونحو ذلک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وذلک فی الموارد الخاصّة التی تنحصر الغایة من تحضیرها الإضرار بالآخرین فضلاً عن محاولة القتل عن سابق 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ینطبق کذلک علی الأدویة المجهضة للحَمْل،فإنّه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للطبیب إجهاض المرأة وقتل جنینها الذی هو من مسلم أو من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طلب منه ذلک و الدا الجنین أو أحدهما،وحتّی لو کانت قوانین البلد تُبیحه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فلم یسمح الإسلام بانتاج ما یقتصر استخدامه علی الإجهاض أو کان المقصود منه ذلک فی حالة خاصّة دواءً کان أو غیره،فإنّ ذلک یعدّ آلةً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عدا ذلک من وسائل منع الحمل التی لا تستلزم إجهاض الجنین بعد انعقاد نطفته واستقراره فی الرحم،فإنّه یجوز استخدامها فی ذاتها</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حَظَرَ إنتاج کلّ ما ینحصر استخدامه فی القتل،سواء انحصر بذلک،أم کان المقصود منه تلک الغایة،وذلک حصراً علی المنتِج القاصد لها،و إن کانت له فوائد</w:t>
      </w:r>
      <w:r>
        <w:rPr>
          <w:rFonts w:eastAsia="IRNazanin" w:cs="IRNazanin"/>
          <w:color w:val="111111"/>
          <w:sz w:val="28"/>
          <w:szCs w:val="28"/>
          <w:rtl w:val="true"/>
          <w:lang w:bidi="fa-IR"/>
        </w:rPr>
        <w:t>.</w:t>
      </w:r>
    </w:p>
    <w:p>
      <w:pPr>
        <w:pStyle w:val="Heading6"/>
        <w:numPr>
          <w:ilvl w:val="5"/>
          <w:numId w:val="1"/>
        </w:numPr>
        <w:rPr/>
      </w:pPr>
      <w:bookmarkStart w:id="438" w:name="__RefHeading___Toc97376_581953129"/>
      <w:bookmarkStart w:id="439" w:name="_Toc181"/>
      <w:bookmarkEnd w:id="438"/>
      <w:r>
        <w:rPr>
          <w:rtl w:val="true"/>
        </w:rPr>
        <w:t>ب</w:t>
      </w:r>
      <w:r>
        <w:rPr>
          <w:rtl w:val="true"/>
        </w:rPr>
        <w:t>)</w:t>
      </w:r>
      <w:r>
        <w:rPr>
          <w:rtl w:val="true"/>
        </w:rPr>
        <w:t>ما یوجب الضرر</w:t>
      </w:r>
      <w:r>
        <w:rPr>
          <w:rtl w:val="true"/>
        </w:rPr>
        <w:t>:</w:t>
      </w:r>
      <w:bookmarkEnd w:id="439"/>
    </w:p>
    <w:p>
      <w:pPr>
        <w:pStyle w:val="Heading6"/>
        <w:numPr>
          <w:ilvl w:val="5"/>
          <w:numId w:val="1"/>
        </w:numPr>
        <w:rPr/>
      </w:pPr>
      <w:bookmarkStart w:id="440" w:name="__RefHeading___Toc97378_581953129"/>
      <w:bookmarkStart w:id="441" w:name="_Toc182"/>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فمع أنّ المستند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 أصلها بین المسلمین،و إن اختلفوا فی حدود شمولها لمختلف حالات الضرر و الإضرار،إلّا إنّ حرمة الإضرار بالغیر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کحرمة الإضرار بالنفس ثابتة بأدلّة أُخر غیر قاعدة نفی الحکم الضرری،و إن کانت هی من أدلّتها أیضا </w:t>
      </w:r>
      <w:r>
        <w:rPr>
          <w:rStyle w:val="FootnoteAnchor"/>
          <w:rtl w:val="true"/>
        </w:rPr>
        <w:footnoteReference w:id="418"/>
      </w:r>
      <w:bookmarkStart w:id="442" w:name="pg5204_66144"/>
    </w:p>
    <w:p>
      <w:pPr>
        <w:pStyle w:val="BookText"/>
        <w:rPr/>
      </w:pPr>
      <w:bookmarkEnd w:id="442"/>
      <w:r>
        <w:rPr>
          <w:rFonts w:ascii="IRNazanin" w:hAnsi="IRNazanin" w:eastAsia="IRNazanin"/>
          <w:color w:val="111111"/>
          <w:sz w:val="28"/>
          <w:sz w:val="28"/>
          <w:szCs w:val="28"/>
          <w:rtl w:val="true"/>
          <w:lang w:bidi="fa-IR"/>
        </w:rPr>
        <w:t>فیعدّ الإضرار بالغیر من الأحکام الضرریة کالإضرار بالنفس،فلا یجوز تعدّیها،فکما أنّه لا یجب دفع الضرر عن الغیر بإضرار النفس،فکذا لا یجوز الإضرار بالغیر لدفع الضرر المتوجّه إلی النفس</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ویمکن التطرّق لذلک ضمن عدّة نقاط</w:t>
      </w:r>
      <w:r>
        <w:rPr>
          <w:rFonts w:eastAsia="IRNazanin" w:cs="IRNazanin"/>
          <w:color w:val="111111"/>
          <w:sz w:val="28"/>
          <w:szCs w:val="28"/>
          <w:rtl w:val="true"/>
          <w:lang w:bidi="fa-IR"/>
        </w:rPr>
        <w:t>:</w:t>
      </w:r>
    </w:p>
    <w:p>
      <w:pPr>
        <w:pStyle w:val="Heading6"/>
        <w:numPr>
          <w:ilvl w:val="5"/>
          <w:numId w:val="1"/>
        </w:numPr>
        <w:rPr/>
      </w:pPr>
      <w:bookmarkStart w:id="443" w:name="__RefHeading___Toc97380_581953129"/>
      <w:bookmarkStart w:id="444" w:name="_Toc183"/>
      <w:bookmarkEnd w:id="443"/>
      <w:r>
        <w:rPr>
          <w:rtl w:val="true"/>
        </w:rPr>
        <w:t>الأوّل</w:t>
      </w:r>
      <w:r>
        <w:rPr>
          <w:rtl w:val="true"/>
        </w:rPr>
        <w:t>:</w:t>
      </w:r>
      <w:r>
        <w:rPr>
          <w:rtl w:val="true"/>
        </w:rPr>
        <w:t>المخدّرات و التبغ</w:t>
      </w:r>
      <w:r>
        <w:rPr>
          <w:rtl w:val="true"/>
        </w:rPr>
        <w:t>:</w:t>
      </w:r>
      <w:bookmarkEnd w:id="444"/>
    </w:p>
    <w:p>
      <w:pPr>
        <w:pStyle w:val="BookText"/>
        <w:rPr/>
      </w:pPr>
      <w:r>
        <w:rPr>
          <w:rFonts w:ascii="IRNazanin" w:hAnsi="IRNazanin" w:eastAsia="IRNazanin"/>
          <w:color w:val="111111"/>
          <w:sz w:val="28"/>
          <w:sz w:val="28"/>
          <w:szCs w:val="28"/>
          <w:rtl w:val="true"/>
          <w:lang w:bidi="fa-IR"/>
        </w:rPr>
        <w:t>و قد مرّ الحدیث عن الحظر الذاتی لصناعة المخدّرات من خلال الحظر الذاتی للإسکار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حظرها بالعنوان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الحظر هنا من باب العنوان الثانوی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ما تسبّبه من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ممّا ثبت ضررها الفادح علی المجتمع ککلّ من خلال انتزاع جذوة النشاط الإنسانی و الإنتاجی من الأفراد الذین اعتادوا تناولها،وتشکیل عصابات المتاجرة بها علی نطاق واسع،والتی تزعزع الاستقرار الاجتماعی للمجتمع عموماً؛ولذا فهی تُعدّ من أبرز مصادیق الإضرار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أفتوا بحرمة زراعتها المساوق لحرمة صنعها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وبخاصّة بعدما ثبت الضرر البالغ الذی تُحدِثه فی نفس المدمن وجسده وتوازن شخصیته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وعلی هذا،فلا یجوز تحضیر وتهیئة المواد المخدّرة سواء کان من المواد الطبیعیة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المورفین،والهیروئین،والحشیش وماری جوانا،أو من المواد الاصطناعیة مثل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إذا لم تکن لغرض الاستعمال المحلّل؛نظراً إلی ما یترتّب علی استعمالها من الأضرار الشخصیة والاجتماعیة المعتدّ بها</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أمّا التبغ،فقد تضاربت الآراء حوله؛إذ إنّ المستند فی تحریمه هو حرمة المضرّ،فمن قال بحرمة مطلق الضرر حکم بحرمته،ویدخل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الدخان فإنّه ضارٌ بالصحّة،وفیه تبذیر وضیاع للمال،والمسکر مثل الخمر وغیرها من المخدّرات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ومن قال بحرمة الضرر البلیغ ولو احتمالاً،قصر حرمته علی ذلک،فإنّما یحرُم علی الإنسان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التدخین،إذا کان یلحق به ضرراً بلیغاً آنیاً أو مستقبلیاً،سواء أکان الضرر البلیغ معلوماً،أو مظنوناً،أم محتملاً بدرجة یصدُق معه الخوف عند العقلاء </w:t>
      </w:r>
      <w:r>
        <w:rPr>
          <w:rStyle w:val="FootnoteAnchor"/>
          <w:rtl w:val="true"/>
        </w:rPr>
        <w:footnoteReference w:id="423"/>
      </w:r>
      <w:bookmarkStart w:id="445" w:name="pg5204_66145"/>
    </w:p>
    <w:p>
      <w:pPr>
        <w:pStyle w:val="BookText"/>
        <w:rPr/>
      </w:pPr>
      <w:bookmarkEnd w:id="445"/>
      <w:r>
        <w:rPr>
          <w:rFonts w:ascii="IRNazanin" w:hAnsi="IRNazanin" w:eastAsia="IRNazanin"/>
          <w:color w:val="111111"/>
          <w:sz w:val="28"/>
          <w:sz w:val="28"/>
          <w:szCs w:val="28"/>
          <w:rtl w:val="true"/>
          <w:lang w:bidi="fa-IR"/>
        </w:rPr>
        <w:t>وعلی هذا تکون حرمة صناعتها متوقّفةً علی ثبوت الضرر البلیغ ولو محتملاً،و هو 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علمیاً من خلال تواتر آراء الأطبّاء و البدیهیات فی الطبّ أنّ التدخین یشارک فی موت الکثیر من الناس،وأنّه المسؤول عن سرطان الفم و الحنجرة و الرئة وما إلی ذلک،ممّا یجعله فی مستوی المادّة التی کلّها ضرر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جریاً علی القول بحُجّیة قول أهل الخبرة</w:t>
      </w:r>
      <w:r>
        <w:rPr>
          <w:rFonts w:eastAsia="IRNazanin" w:cs="IRNazanin"/>
          <w:color w:val="111111"/>
          <w:sz w:val="28"/>
          <w:szCs w:val="28"/>
          <w:rtl w:val="true"/>
          <w:lang w:bidi="fa-IR"/>
        </w:rPr>
        <w:t>.</w:t>
      </w:r>
    </w:p>
    <w:p>
      <w:pPr>
        <w:pStyle w:val="Heading6"/>
        <w:numPr>
          <w:ilvl w:val="5"/>
          <w:numId w:val="1"/>
        </w:numPr>
        <w:rPr/>
      </w:pPr>
      <w:bookmarkStart w:id="446" w:name="__RefHeading___Toc97382_581953129"/>
      <w:bookmarkStart w:id="447" w:name="_Toc184"/>
      <w:bookmarkEnd w:id="446"/>
      <w:r>
        <w:rPr>
          <w:rtl w:val="true"/>
        </w:rPr>
        <w:t>الثانی</w:t>
      </w:r>
      <w:r>
        <w:rPr>
          <w:rtl w:val="true"/>
        </w:rPr>
        <w:t>:</w:t>
      </w:r>
      <w:r>
        <w:rPr>
          <w:rtl w:val="true"/>
        </w:rPr>
        <w:t>تلویث البیئة</w:t>
      </w:r>
      <w:r>
        <w:rPr>
          <w:rtl w:val="true"/>
        </w:rPr>
        <w:t>:</w:t>
      </w:r>
      <w:bookmarkEnd w:id="447"/>
    </w:p>
    <w:p>
      <w:pPr>
        <w:pStyle w:val="BookText"/>
        <w:rPr/>
      </w:pPr>
      <w:r>
        <w:rPr>
          <w:rFonts w:ascii="IRNazanin" w:hAnsi="IRNazanin" w:eastAsia="IRNazanin"/>
          <w:color w:val="111111"/>
          <w:sz w:val="28"/>
          <w:sz w:val="28"/>
          <w:szCs w:val="28"/>
          <w:rtl w:val="true"/>
          <w:lang w:bidi="fa-IR"/>
        </w:rPr>
        <w:t>و هو غالباً ما یکون أمراً عارضیاً لمختلف الصناعات،فیکون مرافقاً لعملیة التصنیع،والقدر المتیقّن من عدم جوازه هو ما یؤدّی إلی الإضرار بالمحیط المجاور لها بما یحویه من بشر،فلو کانت الدار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مجاورة للدور،فأراد صاحبها أن یبنی فیها تنوراً للخبز الدائم،کما یکون فی الدکاکین أو رحی للطحین أو مدقّات للقصّارین لم یجزِ؛لأنّ ذلک یضرّ بجیرانه ضرراً فاحشاً لا یمکن التحرّز عنه،فإنّه یأتی منه الدخان الکثیر الشدید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ویمکن الاستدلال لذلک بکون البیئة من المشترکات العامّة التی لا یمکن نفی حقّ الغیر ممّا یعود علیه بالنفع منها،فیقتصر حقّ الاستفادة منها علی ما لا یتنافی،وذلک،فیعدّ الانتفاع بها بشکل یقوّض حقّ الآخرین فیها إلی توسیع نطاق حرّیة المستفید منها علی حساب حرّیة الآخرین فی التمتّع بها بما یعود بالفائدة علیهم،والذی یعدّ بحدّ ذاته إضراراً بهم فضلاً عن الضرر الواقع علیهم بالتلویث،فیکون مشمولاً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جهتی النقص المادّی و البدنی</w:t>
      </w:r>
      <w:r>
        <w:rPr>
          <w:rFonts w:eastAsia="IRNazanin" w:cs="IRNazanin"/>
          <w:color w:val="111111"/>
          <w:sz w:val="28"/>
          <w:szCs w:val="28"/>
          <w:rtl w:val="true"/>
          <w:lang w:bidi="fa-IR"/>
        </w:rPr>
        <w:t>.</w:t>
      </w:r>
    </w:p>
    <w:p>
      <w:pPr>
        <w:pStyle w:val="Heading6"/>
        <w:numPr>
          <w:ilvl w:val="5"/>
          <w:numId w:val="1"/>
        </w:numPr>
        <w:rPr/>
      </w:pPr>
      <w:bookmarkStart w:id="448" w:name="__RefHeading___Toc97384_581953129"/>
      <w:bookmarkStart w:id="449" w:name="_Toc185"/>
      <w:bookmarkEnd w:id="448"/>
      <w:r>
        <w:rPr>
          <w:rtl w:val="true"/>
        </w:rPr>
        <w:t>الثالث</w:t>
      </w:r>
      <w:r>
        <w:rPr>
          <w:rtl w:val="true"/>
        </w:rPr>
        <w:t>:</w:t>
      </w:r>
      <w:r>
        <w:rPr>
          <w:rtl w:val="true"/>
        </w:rPr>
        <w:t>العملات الزائفة</w:t>
      </w:r>
      <w:r>
        <w:rPr>
          <w:rtl w:val="true"/>
        </w:rPr>
        <w:t>:</w:t>
      </w:r>
      <w:bookmarkEnd w:id="449"/>
    </w:p>
    <w:p>
      <w:pPr>
        <w:pStyle w:val="BookText"/>
        <w:rPr/>
      </w:pPr>
      <w:r>
        <w:rPr>
          <w:rFonts w:ascii="IRNazanin" w:hAnsi="IRNazanin" w:eastAsia="IRNazanin"/>
          <w:color w:val="111111"/>
          <w:sz w:val="28"/>
          <w:sz w:val="28"/>
          <w:szCs w:val="28"/>
          <w:rtl w:val="true"/>
          <w:lang w:bidi="fa-IR"/>
        </w:rPr>
        <w:t>والتی تترتّب علیها أضرارٌ اقتصادیةٌ خطیرةٌ تشمل کافّة أوجه النشاط الاقتصادی،لدخول النقد أساساً فی عملیة المبادلات الاقتصادیة فی أکثر نواحیها،هذا إضافةً إلی أنّها تُعدّ ظلماً للعملیة الاقتصادیة برمّتها،حیث یتمّ من خلالها استنزاف وسلب الأموال بغیر حقّ،و هو ممّا جاء النهی به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تَبْخَسُوا النّاسَ أَشْیاءَهُمْ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فیکون داخلاً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یؤدّی إلی النقص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حکموا بعدم جواز</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تزویر العملات الورقیة و المعدنیة المتداولة فی زماننا هذا فی ظلّ النظام النقدی العالمی المتعارف،کما لا یجوز التعامل بها فی البیع و الشراء </w:t>
      </w:r>
      <w:r>
        <w:rPr>
          <w:rStyle w:val="FootnoteAnchor"/>
          <w:rtl w:val="true"/>
        </w:rPr>
        <w:footnoteReference w:id="427"/>
      </w:r>
      <w:bookmarkStart w:id="450" w:name="pg5204_66146"/>
    </w:p>
    <w:p>
      <w:pPr>
        <w:pStyle w:val="BookText"/>
        <w:rPr/>
      </w:pPr>
      <w:bookmarkEnd w:id="450"/>
      <w:r>
        <w:rPr>
          <w:rFonts w:ascii="IRNazanin" w:hAnsi="IRNazanin" w:eastAsia="IRNazanin"/>
          <w:color w:val="111111"/>
          <w:sz w:val="28"/>
          <w:sz w:val="28"/>
          <w:szCs w:val="28"/>
          <w:rtl w:val="true"/>
          <w:lang w:bidi="fa-IR"/>
        </w:rPr>
        <w:t>و علی اعتبار أنّ عامّة التداولات الحاضرة تتمّ من خلالها علی خلاف ما کان رائجاً فی العهود الماضیة من استعمال النقود الذهبیة و الفضّیة،والتی لم یسمح بالتعامل بالمغشوش منها کذلک،کما فی روایة المفضّل ابن عمر الجعفی،حیث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فأُلقی بین یدیه دراهم،فألقی إلی درهماً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أیش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الستوق؟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طبقتین فضة،وطبقة من نحاس،وطبقة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اکسرها،فإنّه لا یحلّ بیع هذا،ولا إنفاقه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ومن هنا أبطل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البیع ما وقع قبالها،فقال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یستبدل الزائف ویبطل من الصفقة بقدر ما وجد من الستوق،ویصحّ فی الباقی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وینطبق أمر حظرها کذلک علی فیما لو تمّ استعمالها فی الزمن الراهن فی بعض المعاملات؛إذ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ولا تصحّ المعاملة بالدراهم الخارجة عن السکّة المعمولة لأجل غشّ الناس،فلا یجوز جعلها عوضاً أو معوّضاً عنه</w:t>
      </w:r>
      <w:r>
        <w:rPr>
          <w:rFonts w:eastAsia="IRNazanin" w:cs="IRNazanin"/>
          <w:color w:val="111111"/>
          <w:sz w:val="28"/>
          <w:szCs w:val="28"/>
          <w:rtl w:val="true"/>
          <w:lang w:bidi="fa-IR"/>
        </w:rPr>
        <w:t xml:space="preserve">. </w:t>
      </w:r>
      <w:r>
        <w:rPr>
          <w:rStyle w:val="FootnoteAnchor"/>
          <w:rtl w:val="true"/>
        </w:rPr>
        <w:footnoteReference w:id="430"/>
      </w:r>
    </w:p>
    <w:p>
      <w:pPr>
        <w:pStyle w:val="Heading6"/>
        <w:numPr>
          <w:ilvl w:val="5"/>
          <w:numId w:val="1"/>
        </w:numPr>
        <w:rPr/>
      </w:pPr>
      <w:bookmarkStart w:id="451" w:name="__RefHeading___Toc97386_581953129"/>
      <w:bookmarkStart w:id="452" w:name="_Toc186"/>
      <w:bookmarkEnd w:id="451"/>
      <w:r>
        <w:rPr>
          <w:rtl w:val="true"/>
        </w:rPr>
        <w:t>ج</w:t>
      </w:r>
      <w:r>
        <w:rPr>
          <w:rtl w:val="true"/>
        </w:rPr>
        <w:t>)</w:t>
      </w:r>
      <w:r>
        <w:rPr>
          <w:rtl w:val="true"/>
        </w:rPr>
        <w:t>ما یوجب الإیذاء</w:t>
      </w:r>
      <w:r>
        <w:rPr>
          <w:rtl w:val="true"/>
        </w:rPr>
        <w:t>:</w:t>
      </w:r>
      <w:bookmarkEnd w:id="452"/>
    </w:p>
    <w:p>
      <w:pPr>
        <w:pStyle w:val="BookText"/>
        <w:rPr/>
      </w:pPr>
      <w:r>
        <w:rPr>
          <w:rFonts w:ascii="Amiri" w:hAnsi="Amiri" w:eastAsia="Amiri" w:cs="Amiri"/>
          <w:color w:val="111111"/>
          <w:sz w:val="28"/>
          <w:sz w:val="28"/>
          <w:szCs w:val="28"/>
          <w:rtl w:val="true"/>
          <w:lang w:bidi="ar-SA"/>
        </w:rPr>
        <w:t>ویمکن الاستدلال علی حظره بعموم أدلّة النهی عن الغیبة و التنابز بالألقاب و الهمز و اللمز،وقوله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علی حرمة إیذاء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المسلم،فإنّهم حرّموا لعن الکافر المتحقّق موته علی الکفر إذا تضمّن ذلک اللعن إیذاء الذمّی أو المسلم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هذا مع کون الإیذاء النفسی مشمولاً لقاعدة نفی الضرر،علی اعتبار أنّه نقصٌ فی العِرْض،فیکون من أفراد ذلک النقص،والذی لا یقتصر علی الشخص ذاته،بل یشمل کلّ ما یرتبط به ویعود علیه کعِرْضه ودینه ونحوه،حسب ما مرّ من تعریف الظلم،والعبرة فی تحقّقه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حصول الذلّ و النقص فیه عرفا </w:t>
      </w:r>
      <w:r>
        <w:rPr>
          <w:rStyle w:val="FootnoteAnchor"/>
          <w:rtl w:val="true"/>
        </w:rPr>
        <w:footnoteReference w:id="4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یصدق علی کلّ ما من شأنه إحداث العیب و النقیصة فیمن وقع علیه حسب العرف الجاری فی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ولأجله علّلوا رجحان ترک استلام الحجر إذا کان مستوجباً للإیذاء؛لکون الکفّ عن الإیذاء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والاستلام سنّةً،والإتیان بالواجب مقدّمٌ علی الإتیان بالسنّة، </w:t>
      </w:r>
      <w:r>
        <w:rPr>
          <w:rStyle w:val="FootnoteAnchor"/>
          <w:rtl w:val="true"/>
        </w:rPr>
        <w:footnoteReference w:id="434"/>
      </w:r>
      <w:r>
        <w:rPr>
          <w:rFonts w:ascii="IRNazanin" w:hAnsi="IRNazanin" w:eastAsia="IRNazanin"/>
          <w:color w:val="111111"/>
          <w:sz w:val="28"/>
          <w:sz w:val="28"/>
          <w:szCs w:val="28"/>
          <w:rtl w:val="true"/>
          <w:lang w:bidi="fa-IR"/>
        </w:rPr>
        <w:t>بناءً علی أنّه یدخل فی نطاق النقص البدنی حینها و إن کان طفیفاً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أنّه غالباً ما یتحقّق بالأقوال،إلّا أنّ تحقّقه هنا یرتبط بما یعمل صناعیاً وفنّیاً؛وذلک خصّیصاً لأجل توهین الآخرین وإذلالهم نفسیاً،فلو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الغایة منها نقد صاحب الصورة والاحتجاج علیه بما یعدّ سُخریة منه وتوهیناً لمقامه وهتکاً لحرمته فهو محرّم إذا کان صاحب الصورة محترماً فی کرامته شرعا</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الکلام فی بحث التصنیع،وبه یتمّ الکلام فی المبحث الثانی من فصل ضوابط وحدود حرّیة الإنتاج</w:t>
      </w:r>
      <w:r>
        <w:rPr>
          <w:rFonts w:eastAsia="IRNazanin" w:cs="IRNazanin"/>
          <w:color w:val="111111"/>
          <w:sz w:val="28"/>
          <w:szCs w:val="28"/>
          <w:rtl w:val="true"/>
          <w:lang w:bidi="fa-IR"/>
        </w:rPr>
        <w:t>.</w:t>
      </w:r>
      <w:bookmarkStart w:id="453" w:name="pg5204_66148"/>
    </w:p>
    <w:p>
      <w:pPr>
        <w:pStyle w:val="Heading3"/>
        <w:numPr>
          <w:ilvl w:val="2"/>
          <w:numId w:val="1"/>
        </w:numPr>
        <w:rPr/>
      </w:pPr>
      <w:bookmarkStart w:id="454" w:name="__RefHeading___Toc97388_581953129"/>
      <w:bookmarkStart w:id="455" w:name="_Toc187"/>
      <w:bookmarkEnd w:id="453"/>
      <w:bookmarkEnd w:id="454"/>
      <w:r>
        <w:rPr>
          <w:rtl w:val="true"/>
        </w:rPr>
        <w:t>المبحث الثالث</w:t>
      </w:r>
      <w:r>
        <w:rPr>
          <w:rtl w:val="true"/>
        </w:rPr>
        <w:t>:</w:t>
      </w:r>
      <w:r>
        <w:rPr>
          <w:rtl w:val="true"/>
        </w:rPr>
        <w:t>حدود الحرّیة فی الإنتاج الزراعی</w:t>
      </w:r>
      <w:bookmarkEnd w:id="455"/>
    </w:p>
    <w:p>
      <w:pPr>
        <w:pStyle w:val="Heading4"/>
        <w:numPr>
          <w:ilvl w:val="3"/>
          <w:numId w:val="1"/>
        </w:numPr>
        <w:rPr/>
      </w:pPr>
      <w:bookmarkStart w:id="456" w:name="__RefHeading___Toc97390_581953129"/>
      <w:bookmarkStart w:id="457" w:name="_Toc188"/>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إنّ الإنتاج الزراعی یرتبط مرّةً بما أنتجته الطبیعة بشکل ذاتی،کالغابات و الریاض،وما یعیش فیها من حیوان وما یتوفّر فیها من میاه،ومرّةً بقیام الإنسان بتهیئة الأرض وإلقاء البذر،أو الغرس وتعهده بالسقایة و العنایة و الرعایة حتّی یؤتی ثماره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تلاحظ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الإنتاج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توفیر فرصة الانتفاع بالشیء،و هو ما أطلقنا علیه الإنتاج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إیجاد صفة جدیدة فی ذلک الشیء،و هو ما سمّیناه الإنتاج الترکیبی أو المرکّب؛وعلی أساس ذلک بحثنا الإنتاج الصناعی ضمن قسمین،الاستخراج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الإنتاج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والتصنیع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عبارة عن الإنتاج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وسنتّبع هنا ذات التقسیم،فنبحث حدود الحرّیة فی الإنتاج الزراعی ضمن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یختصّ بالثروة النباتیة،بل یشمل الثروة المائیة و الحیوانیة کما أسلفنا،ویتمحور الإنتاج فیه بعملیة جمع تلک الثروات الموجودة فعلاً فی الطبیعة،وتکون الحیازة الصفة الغالبة لتلک العملیة،حیث توفِّر فرصة الانتفاع بتلک الثروات،فنبحثه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الآخر،الإنتاج 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یتمثّل بإیجاد صفة جدیدة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وسنقوم ببحثه ضمن عنوان الزراعة،والذی یتمحور حول إنتاج المحاصیل الزراعیة ابتداءً بإلقاء البذر وحتّی الإثمار،والتی تشارک فیها عوامل عدّةٌ کالأرض و الماء،والبذر و العمل،وعناصر مساعدةٌ أخری</w:t>
      </w:r>
      <w:r>
        <w:rPr>
          <w:rFonts w:eastAsia="IRNazanin" w:cs="IRNazanin"/>
          <w:color w:val="111111"/>
          <w:sz w:val="28"/>
          <w:szCs w:val="28"/>
          <w:rtl w:val="true"/>
          <w:lang w:bidi="fa-IR"/>
        </w:rPr>
        <w:t>.</w:t>
      </w:r>
      <w:bookmarkStart w:id="458" w:name="pg5204_66149"/>
    </w:p>
    <w:p>
      <w:pPr>
        <w:pStyle w:val="BookText"/>
        <w:rPr/>
      </w:pPr>
      <w:bookmarkEnd w:id="458"/>
      <w:r>
        <w:rPr>
          <w:rFonts w:ascii="IRNazanin" w:hAnsi="IRNazanin" w:eastAsia="IRNazanin"/>
          <w:color w:val="111111"/>
          <w:sz w:val="28"/>
          <w:sz w:val="28"/>
          <w:szCs w:val="28"/>
          <w:rtl w:val="true"/>
          <w:lang w:bidi="fa-IR"/>
        </w:rPr>
        <w:t>وعلی هذا،فسوف نبتدئ ببحث الحدود التی تخضع لها الحرّیة فی الإنتاج البسیط المتمثّل بالحیازة،والذی یشمل المیاه و النبات و الحیوان،ثمّ نعرّج علی الخوض فی الحدود التی تخضع لها حرّیة النشاطات الزراعیة</w:t>
      </w:r>
      <w:r>
        <w:rPr>
          <w:rFonts w:eastAsia="IRNazanin" w:cs="IRNazanin"/>
          <w:color w:val="111111"/>
          <w:sz w:val="28"/>
          <w:szCs w:val="28"/>
          <w:rtl w:val="true"/>
          <w:lang w:bidi="fa-IR"/>
        </w:rPr>
        <w:t>.</w:t>
      </w:r>
    </w:p>
    <w:p>
      <w:pPr>
        <w:pStyle w:val="Heading4"/>
        <w:numPr>
          <w:ilvl w:val="3"/>
          <w:numId w:val="1"/>
        </w:numPr>
        <w:rPr/>
      </w:pPr>
      <w:bookmarkStart w:id="459" w:name="__RefHeading___Toc97392_581953129"/>
      <w:bookmarkStart w:id="460" w:name="_Toc189"/>
      <w:bookmarkEnd w:id="459"/>
      <w:r>
        <w:rPr>
          <w:rtl w:val="true"/>
        </w:rPr>
        <w:t>المطلب الأوّل</w:t>
      </w:r>
      <w:r>
        <w:rPr>
          <w:rtl w:val="true"/>
        </w:rPr>
        <w:t>:</w:t>
      </w:r>
      <w:r>
        <w:rPr>
          <w:rtl w:val="true"/>
        </w:rPr>
        <w:t>حدود الحرّیة فی الحیازة</w:t>
      </w:r>
      <w:bookmarkEnd w:id="460"/>
    </w:p>
    <w:p>
      <w:pPr>
        <w:pStyle w:val="Heading5"/>
        <w:numPr>
          <w:ilvl w:val="4"/>
          <w:numId w:val="1"/>
        </w:numPr>
        <w:rPr/>
      </w:pPr>
      <w:bookmarkStart w:id="461" w:name="__RefHeading___Toc97394_581953129"/>
      <w:bookmarkStart w:id="462" w:name="_Toc190"/>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و یختصّ بثروات الطبیعة التی لا تحتاج إلی عملیة إنتاجیة معقّدة،بل مجرّد حیازتها و التی تشمل المیاه و النباتات و الحیوانات،والتی سنبحثها بالشکل التالی</w:t>
      </w:r>
      <w:r>
        <w:rPr>
          <w:rFonts w:eastAsia="IRNazanin" w:cs="IRNazanin"/>
          <w:color w:val="111111"/>
          <w:sz w:val="28"/>
          <w:szCs w:val="28"/>
          <w:rtl w:val="true"/>
          <w:lang w:bidi="fa-IR"/>
        </w:rPr>
        <w:t>:</w:t>
      </w:r>
    </w:p>
    <w:p>
      <w:pPr>
        <w:pStyle w:val="Heading5"/>
        <w:numPr>
          <w:ilvl w:val="4"/>
          <w:numId w:val="1"/>
        </w:numPr>
        <w:rPr/>
      </w:pPr>
      <w:bookmarkStart w:id="463" w:name="__RefHeading___Toc97396_581953129"/>
      <w:bookmarkStart w:id="464" w:name="_Toc191"/>
      <w:bookmarkEnd w:id="463"/>
      <w:r>
        <w:rPr>
          <w:rtl w:val="true"/>
        </w:rPr>
        <w:t>أولّاً</w:t>
      </w:r>
      <w:r>
        <w:rPr>
          <w:rtl w:val="true"/>
        </w:rPr>
        <w:t>:</w:t>
      </w:r>
      <w:r>
        <w:rPr>
          <w:rtl w:val="true"/>
        </w:rPr>
        <w:t>المیاه</w:t>
      </w:r>
      <w:bookmarkEnd w:id="464"/>
    </w:p>
    <w:p>
      <w:pPr>
        <w:pStyle w:val="Heading6"/>
        <w:numPr>
          <w:ilvl w:val="5"/>
          <w:numId w:val="1"/>
        </w:numPr>
        <w:rPr/>
      </w:pPr>
      <w:bookmarkStart w:id="465" w:name="__RefHeading___Toc97398_581953129"/>
      <w:bookmarkStart w:id="466" w:name="_Toc192"/>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تنقسم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 جاریة،وتشمل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و الأنهار،والسیول و العیون الجاریة،ونحوها من مصادر المیاه الأساسیة التی تجری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ومیاه راکدة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کالبحیرات و المیاه الجوفیة،والعیون الراکدة التی لا یصدُق علیها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النوع الأوّل یخضع لسیطرة الدولة فی التشریع الإسلامی،فهو یعدّ من الأنفال،علی خلاف النوع الثانی الذی عُدّ من المباحات العامّة التی یشترک فی إمکان الاستفادة منها جمیع الناس علی السواء من دون الحاجة إلی استئذان أحد،إلّا أنّ الشارع الإسلامی أشرک النوع الأوّل مع الثانی فی عدم الحاجة إلی الاستئذان للانتفاع منها بشتّی الانتفاعات کالصید و التنقّل،والزراعة و الصناعة،وأنواع الحاجات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الإنسان حرّاً فی ممارسة حقّ الاستفادة منها حسب حاجاته المتنوّعة،إلّا أنّه وضِعت قیودٌ علی ممارسة حرّیته تلک،وذلک لتنظیم عملیة الاستفادة تلک للحفاظ علی حقّ الجمیع فیها من جهة،ودعم عملیة تنمیة الإنتاج والارتقاء بها بکافّة أبعادها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إیراد هذه القیود علی النحو الآتی</w:t>
      </w:r>
      <w:r>
        <w:rPr>
          <w:rFonts w:eastAsia="IRNazanin" w:cs="IRNazanin"/>
          <w:color w:val="111111"/>
          <w:sz w:val="28"/>
          <w:szCs w:val="28"/>
          <w:rtl w:val="true"/>
          <w:lang w:bidi="fa-IR"/>
        </w:rPr>
        <w:t>:</w:t>
      </w:r>
    </w:p>
    <w:p>
      <w:pPr>
        <w:pStyle w:val="Heading6"/>
        <w:numPr>
          <w:ilvl w:val="5"/>
          <w:numId w:val="1"/>
        </w:numPr>
        <w:rPr/>
      </w:pPr>
      <w:bookmarkStart w:id="467" w:name="__RefHeading___Toc97400_581953129"/>
      <w:bookmarkStart w:id="468" w:name="_Toc193"/>
      <w:bookmarkEnd w:id="467"/>
      <w:r>
        <w:rPr>
          <w:rtl w:val="true"/>
        </w:rPr>
        <w:t>أ</w:t>
      </w:r>
      <w:r>
        <w:rPr>
          <w:rtl w:val="true"/>
        </w:rPr>
        <w:t>)</w:t>
      </w:r>
      <w:r>
        <w:rPr>
          <w:rtl w:val="true"/>
        </w:rPr>
        <w:t>عدم السماح بمنع الغیر من الاستفادة من المیاه الأصلیة العامّة فی غیر موضع الحاجة</w:t>
      </w:r>
      <w:bookmarkEnd w:id="468"/>
    </w:p>
    <w:p>
      <w:pPr>
        <w:pStyle w:val="BookText"/>
        <w:rPr/>
      </w:pPr>
      <w:r>
        <w:rPr>
          <w:rFonts w:ascii="IRNazanin" w:hAnsi="IRNazanin" w:eastAsia="IRNazanin"/>
          <w:color w:val="111111"/>
          <w:sz w:val="28"/>
          <w:sz w:val="28"/>
          <w:szCs w:val="28"/>
          <w:rtl w:val="true"/>
          <w:lang w:bidi="fa-IR"/>
        </w:rPr>
        <w:t>ونقصد بالمیاه الأصلیة العامّة،المیاه التی لم یتمّ حیازتها من قِبل أحد بمثل شقّ القناة ونحوها،کالأنهار علی سبیل المثال،فالماء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ینحدر من الجبل إلی الوادی علی أصل الإباحة،فمن یسبق إلیه،فهو أحقّ</w:t>
      </w:r>
      <w:bookmarkStart w:id="469" w:name="pg5204_66150"/>
    </w:p>
    <w:p>
      <w:pPr>
        <w:pStyle w:val="BookText"/>
        <w:rPr/>
      </w:pPr>
      <w:bookmarkEnd w:id="469"/>
      <w:r>
        <w:rPr>
          <w:rFonts w:ascii="IRNazanin" w:hAnsi="IRNazanin" w:eastAsia="IRNazanin"/>
          <w:color w:val="111111"/>
          <w:sz w:val="28"/>
          <w:sz w:val="28"/>
          <w:szCs w:val="28"/>
          <w:rtl w:val="true"/>
          <w:lang w:bidi="fa-IR"/>
        </w:rPr>
        <w:t xml:space="preserve">بالانتفاع به بمنزلة النزول فی الموضع المباح کلّ من سبق إلی موضع،فهو أحقّ به،ولکن لیس له أن یتعنّت ویقصد الإضرار بالغیر فی منعه عمّا وراء موضع الحاجة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فیقتصر حقّ المنع علی موضع الحاجة الذی سبق إلیه ذلک الشخص،ولا یتعدّاه إلی غیره من مواضع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ازداد عداد المنتفعین بحیث لم یعدْ یکفِ الجمیع،فیبقی معیار السبق هو الحاکم فی مثل تلک الحالة،فلو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تکفِ الجمیع کان الأوْلی و المقدّم هو من سبق غیره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فیقدّم الأسبق فالأسبق،هذا مع انتظام الأمور،وعدم الجهل بمن هو السابق،ومن هو اللّاحق،فیکون بإمکان من أُحرزت أسبقیتهم منع غیرهم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الجهل بالأسبق،فینتقل المعیار إلی تقدیم الأعلی فالأعلی أو الأقرب فالأقرب من أصل النهر أو فوّهة العین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قلّة الماء بدئ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الأعلی أسبق إلی الماء،فلهم أن یحبسوه عن أهل الأسفل</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لکنّ الانتفاع یقتصر علی المقدار الذی یؤمّن حاجتهم،ولا یتعدّی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فیقبض الأعلی بمقدار ما یحتاج إلیه،ثمّ ما یلیه،وهکذا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کی لا یخلّ بحقوق الآخرین فی الاستفادة من المیاه العامّة</w:t>
      </w:r>
      <w:r>
        <w:rPr>
          <w:rFonts w:eastAsia="IRNazanin" w:cs="IRNazanin"/>
          <w:color w:val="111111"/>
          <w:sz w:val="28"/>
          <w:szCs w:val="28"/>
          <w:rtl w:val="true"/>
          <w:lang w:bidi="fa-IR"/>
        </w:rPr>
        <w:t>.</w:t>
      </w:r>
    </w:p>
    <w:p>
      <w:pPr>
        <w:pStyle w:val="Heading6"/>
        <w:numPr>
          <w:ilvl w:val="5"/>
          <w:numId w:val="1"/>
        </w:numPr>
        <w:rPr/>
      </w:pPr>
      <w:bookmarkStart w:id="470" w:name="__RefHeading___Toc97402_581953129"/>
      <w:bookmarkStart w:id="471" w:name="_Toc194"/>
      <w:bookmarkEnd w:id="470"/>
      <w:r>
        <w:rPr>
          <w:rtl w:val="true"/>
        </w:rPr>
        <w:t>ب</w:t>
      </w:r>
      <w:r>
        <w:rPr>
          <w:rtl w:val="true"/>
        </w:rPr>
        <w:t>)</w:t>
      </w:r>
      <w:r>
        <w:rPr>
          <w:rtl w:val="true"/>
        </w:rPr>
        <w:t>عدم السماح بمنع الغیر من الاستفادة من المیاه الفرعیة من دون أخذها بقصد الانتفاع بها</w:t>
      </w:r>
      <w:bookmarkEnd w:id="471"/>
    </w:p>
    <w:p>
      <w:pPr>
        <w:pStyle w:val="BookText"/>
        <w:rPr/>
      </w:pPr>
      <w:r>
        <w:rPr>
          <w:rFonts w:ascii="IRNazanin" w:hAnsi="IRNazanin" w:eastAsia="IRNazanin"/>
          <w:color w:val="111111"/>
          <w:sz w:val="28"/>
          <w:sz w:val="28"/>
          <w:szCs w:val="28"/>
          <w:rtl w:val="true"/>
          <w:lang w:bidi="fa-IR"/>
        </w:rPr>
        <w:t>فلو کانت هناک میاهٌ متفرّعةً من میاه عامّة،سواء کانت متفرّعةً بطبیعتها،أو من خلال تفریعها من قِبل الغیر،ولکن لم یکن ذلک بقصد التفریع للانتفاع بها،و إنّما تمّ بشکل عبثی،فلا یسمح فی مثلها منع الغیر من الاستفادة منها؛لأنّ المفترض هنا عدم وجود حیازة؛إذ إنّ الحیازة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بأخذه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بالدلو ونحوه من الوسائط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بجعله فی قناة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بقصد تملّکه،أمّا إذا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الماء فی الدلو عبثاً أو لغرض غیر تملّکه،أو شقّ قناة لغیر الماء فجری فیها الماء من دون قصد،لم یملک</w:t>
      </w:r>
      <w:r>
        <w:rPr>
          <w:rFonts w:eastAsia="IRNazanin" w:cs="IRNazanin"/>
          <w:color w:val="111111"/>
          <w:sz w:val="28"/>
          <w:szCs w:val="28"/>
          <w:rtl w:val="true"/>
          <w:lang w:bidi="fa-IR"/>
        </w:rPr>
        <w:t xml:space="preserve">. </w:t>
      </w:r>
      <w:r>
        <w:rPr>
          <w:rStyle w:val="FootnoteAnchor"/>
          <w:rtl w:val="true"/>
        </w:rPr>
        <w:footnoteReference w:id="441"/>
      </w:r>
      <w:bookmarkStart w:id="472" w:name="pg5204_66151"/>
    </w:p>
    <w:p>
      <w:pPr>
        <w:pStyle w:val="BookText"/>
        <w:rPr/>
      </w:pPr>
      <w:bookmarkEnd w:id="472"/>
      <w:r>
        <w:rPr>
          <w:rFonts w:ascii="IRNazanin" w:hAnsi="IRNazanin" w:eastAsia="IRNazanin"/>
          <w:color w:val="111111"/>
          <w:sz w:val="28"/>
          <w:sz w:val="28"/>
          <w:szCs w:val="28"/>
          <w:rtl w:val="true"/>
          <w:lang w:bidi="fa-IR"/>
        </w:rPr>
        <w:t>فالأصل فی جواز المنع من المیاه؛هو المنع ممّا تمّ حیازته لتأمین الانتفاع به فی موارد الحاجة،کما مرّ فی الفقرة الأولی،فلا یسمح بالمنع ممّا لم یتوفّر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إنّهم ذهبوا إلی الترتیب بین الحاجات فیما لو کان بعضها أکثر إلحاحاً من غیرها،وذلک بناءً علی تحقّق الإضرار من عدمه فی عدم تأمین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أراد أحد العابرین الشرب من ماء نهر خاصّ أو بئر محاز من قِبل آخر،فلیس له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الشفة ما لا یضرّ بصاحب النهر و البئر،فأمّا ما یضرّ به ویقطع حقّه،فله أن یمنع ذلک اعتباراً بسقی الأراضی و النخیل و الشجر و الزرع،فله أن یمنع من یرید سقی نخله وشجره وزرعه من نهره أو قناته أو بئره أو عینه،ولیس لأحد أن یفعل ذلک إلّا بإذنه</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فکما لا یسمح بالإضرار بصاحب الماء فی ما یؤدّی إلی حرمانه من تأمین حاجته من الماء،فکذا الأمر فی عدم السماح له فیما یتّصل بتأمین حاجة الشرب الملحّة لآخر علی أدنی تقدیر،حتّی أنّ البعض حکم بجواز مقاتلة المانع،فلو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منعه الماء،و هو یخاف علی نفسه ودابّته العطش کان له أن یقاتله بالسلاح</w:t>
      </w:r>
      <w:r>
        <w:rPr>
          <w:rFonts w:eastAsia="IRNazanin" w:cs="IRNazanin"/>
          <w:color w:val="111111"/>
          <w:sz w:val="28"/>
          <w:szCs w:val="28"/>
          <w:rtl w:val="true"/>
          <w:lang w:bidi="fa-IR"/>
        </w:rPr>
        <w:t xml:space="preserve">. </w:t>
      </w:r>
      <w:r>
        <w:rPr>
          <w:rStyle w:val="FootnoteAnchor"/>
          <w:rtl w:val="true"/>
        </w:rPr>
        <w:footnoteReference w:id="443"/>
      </w:r>
    </w:p>
    <w:p>
      <w:pPr>
        <w:pStyle w:val="Heading6"/>
        <w:numPr>
          <w:ilvl w:val="5"/>
          <w:numId w:val="1"/>
        </w:numPr>
        <w:rPr/>
      </w:pPr>
      <w:bookmarkStart w:id="473" w:name="__RefHeading___Toc97404_581953129"/>
      <w:bookmarkStart w:id="474" w:name="_Toc195"/>
      <w:bookmarkEnd w:id="473"/>
      <w:r>
        <w:rPr>
          <w:rtl w:val="true"/>
        </w:rPr>
        <w:t>ج</w:t>
      </w:r>
      <w:r>
        <w:rPr>
          <w:rtl w:val="true"/>
        </w:rPr>
        <w:t>)</w:t>
      </w:r>
      <w:r>
        <w:rPr>
          <w:rtl w:val="true"/>
        </w:rPr>
        <w:t>عدم السماح بحرمان من سُمح له بالاستفادة الإنتاجیة من المیاه الفرعیة المملوکة</w:t>
      </w:r>
      <w:bookmarkEnd w:id="474"/>
    </w:p>
    <w:p>
      <w:pPr>
        <w:pStyle w:val="BookText"/>
        <w:rPr/>
      </w:pPr>
      <w:r>
        <w:rPr>
          <w:rFonts w:ascii="IRNazanin" w:hAnsi="IRNazanin" w:eastAsia="IRNazanin"/>
          <w:color w:val="111111"/>
          <w:sz w:val="28"/>
          <w:sz w:val="28"/>
          <w:szCs w:val="28"/>
          <w:rtl w:val="true"/>
          <w:lang w:bidi="fa-IR"/>
        </w:rPr>
        <w:t>فإذا سمح صاحب القناة أو النهر لغیره الاستفادة من میاهه لإنشاء مشروع زراعی أو صناعی ولو مجّاناً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لصاحب النهر تحویله إلّا بإذن صاحب الرحی المنصوبة علیه بإذنه،وکذا غیر الرحی من الأشجار المغروسة علی حافتیه وغیرها</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إذ المفترض إنّه سمح له بالانتفاع منه بما یتلاءم وتأمین حاجته منه،فیکون حدّد حرّیته فی التصرّف فی نهره بمقدار ما سمح له به،فلا یمکنه،والحال هذه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بالنحو الذی یعطّل تلک الأعمال أو یتلف الزرع </w:t>
      </w:r>
      <w:r>
        <w:rPr>
          <w:rStyle w:val="FootnoteAnchor"/>
          <w:rtl w:val="true"/>
        </w:rPr>
        <w:footnoteReference w:id="44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اشترط علیه،فیکون حسب ما اشترط لکونه المالک</w:t>
      </w:r>
      <w:r>
        <w:rPr>
          <w:rFonts w:eastAsia="IRNazanin" w:cs="IRNazanin"/>
          <w:color w:val="111111"/>
          <w:sz w:val="28"/>
          <w:szCs w:val="28"/>
          <w:rtl w:val="true"/>
          <w:lang w:bidi="fa-IR"/>
        </w:rPr>
        <w:t>.</w:t>
      </w:r>
      <w:bookmarkStart w:id="475" w:name="pg5204_66152"/>
    </w:p>
    <w:p>
      <w:pPr>
        <w:pStyle w:val="Heading6"/>
        <w:numPr>
          <w:ilvl w:val="5"/>
          <w:numId w:val="1"/>
        </w:numPr>
        <w:rPr/>
      </w:pPr>
      <w:bookmarkStart w:id="476" w:name="__RefHeading___Toc97406_581953129"/>
      <w:bookmarkStart w:id="477" w:name="_Toc196"/>
      <w:bookmarkEnd w:id="475"/>
      <w:bookmarkEnd w:id="476"/>
      <w:r>
        <w:rPr>
          <w:rtl w:val="true"/>
        </w:rPr>
        <w:t>د</w:t>
      </w:r>
      <w:r>
        <w:rPr>
          <w:rtl w:val="true"/>
        </w:rPr>
        <w:t>)</w:t>
      </w:r>
      <w:r>
        <w:rPr>
          <w:rtl w:val="true"/>
        </w:rPr>
        <w:t>عدم السماح بالتصرّف فی حریم المیاه بما یلحق ضرراً بها</w:t>
      </w:r>
      <w:bookmarkEnd w:id="477"/>
    </w:p>
    <w:p>
      <w:pPr>
        <w:pStyle w:val="Heading6"/>
        <w:numPr>
          <w:ilvl w:val="5"/>
          <w:numId w:val="1"/>
        </w:numPr>
        <w:rPr/>
      </w:pPr>
      <w:bookmarkStart w:id="478" w:name="__RefHeading___Toc97408_581953129"/>
      <w:bookmarkStart w:id="479" w:name="_Toc197"/>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فقد جُعل حریمٌ لکلّ ماء،وحُدّد ذلک بحسب نوع مصدره بئراً کانت أو عیناً أو قناةً أو نهراً،وحسب نوعیة الأرض الواقع فیها ذلک المصدر من الرخاوة و الصلابة حسب ما جاء مفصّلاً،و قد جُعل هذا الحریم علی نوعین</w:t>
      </w:r>
      <w:r>
        <w:rPr>
          <w:rFonts w:eastAsia="IRNazanin" w:cs="IRNazanin"/>
          <w:color w:val="111111"/>
          <w:sz w:val="28"/>
          <w:szCs w:val="28"/>
          <w:rtl w:val="true"/>
          <w:lang w:bidi="fa-IR"/>
        </w:rPr>
        <w:t>:</w:t>
      </w:r>
    </w:p>
    <w:p>
      <w:pPr>
        <w:pStyle w:val="Heading6"/>
        <w:numPr>
          <w:ilvl w:val="5"/>
          <w:numId w:val="1"/>
        </w:numPr>
        <w:rPr/>
      </w:pPr>
      <w:bookmarkStart w:id="480" w:name="__RefHeading___Toc97410_581953129"/>
      <w:bookmarkStart w:id="481" w:name="_Toc198"/>
      <w:bookmarkEnd w:id="480"/>
      <w:r>
        <w:rPr>
          <w:rtl w:val="true"/>
        </w:rPr>
        <w:t>الأوّل</w:t>
      </w:r>
      <w:r>
        <w:rPr>
          <w:rtl w:val="true"/>
        </w:rPr>
        <w:t>:</w:t>
      </w:r>
      <w:r>
        <w:rPr>
          <w:rtl w:val="true"/>
        </w:rPr>
        <w:t>حریم الانتفاع</w:t>
      </w:r>
      <w:r>
        <w:rPr>
          <w:rtl w:val="true"/>
        </w:rPr>
        <w:t>:</w:t>
      </w:r>
      <w:bookmarkEnd w:id="481"/>
    </w:p>
    <w:p>
      <w:pPr>
        <w:pStyle w:val="BookText"/>
        <w:rPr/>
      </w:pPr>
      <w:r>
        <w:rPr>
          <w:rFonts w:ascii="IRNazanin" w:hAnsi="IRNazanin" w:eastAsia="IRNazanin"/>
          <w:color w:val="111111"/>
          <w:sz w:val="28"/>
          <w:sz w:val="28"/>
          <w:szCs w:val="28"/>
          <w:rtl w:val="true"/>
          <w:lang w:bidi="fa-IR"/>
        </w:rPr>
        <w:t>و هو الحریم الذی یتوقّف علیه إمکان الاستفادة من ذلک الماء،و هو المجال المحیط به بالمقدار الذی یتمّ من خلاله ممارسة عملیة استخدام الماء،کالمجال الذی یتمّ من خلاله الاستقاء منه و المرور إلیه و العبور منه وإصلاحه ممّا ذُکر مفصّلاً</w:t>
      </w:r>
      <w:r>
        <w:rPr>
          <w:rFonts w:eastAsia="IRNazanin" w:cs="IRNazanin"/>
          <w:color w:val="111111"/>
          <w:sz w:val="28"/>
          <w:szCs w:val="28"/>
          <w:rtl w:val="true"/>
          <w:lang w:bidi="fa-IR"/>
        </w:rPr>
        <w:t xml:space="preserve">. </w:t>
      </w:r>
      <w:r>
        <w:rPr>
          <w:rStyle w:val="FootnoteAnchor"/>
          <w:rtl w:val="true"/>
        </w:rPr>
        <w:footnoteReference w:id="446"/>
      </w:r>
    </w:p>
    <w:p>
      <w:pPr>
        <w:pStyle w:val="Heading6"/>
        <w:numPr>
          <w:ilvl w:val="5"/>
          <w:numId w:val="1"/>
        </w:numPr>
        <w:rPr/>
      </w:pPr>
      <w:bookmarkStart w:id="482" w:name="__RefHeading___Toc97412_581953129"/>
      <w:bookmarkStart w:id="483" w:name="_Toc199"/>
      <w:bookmarkEnd w:id="482"/>
      <w:r>
        <w:rPr>
          <w:rtl w:val="true"/>
        </w:rPr>
        <w:t>الثانی</w:t>
      </w:r>
      <w:r>
        <w:rPr>
          <w:rtl w:val="true"/>
        </w:rPr>
        <w:t>:</w:t>
      </w:r>
      <w:r>
        <w:rPr>
          <w:rtl w:val="true"/>
        </w:rPr>
        <w:t>حریم البقاء</w:t>
      </w:r>
      <w:r>
        <w:rPr>
          <w:rtl w:val="true"/>
        </w:rPr>
        <w:t>:</w:t>
      </w:r>
      <w:bookmarkEnd w:id="483"/>
    </w:p>
    <w:p>
      <w:pPr>
        <w:pStyle w:val="BookText"/>
        <w:rPr/>
      </w:pPr>
      <w:r>
        <w:rPr>
          <w:rFonts w:ascii="IRNazanin" w:hAnsi="IRNazanin" w:eastAsia="IRNazanin"/>
          <w:color w:val="111111"/>
          <w:sz w:val="28"/>
          <w:sz w:val="28"/>
          <w:szCs w:val="28"/>
          <w:rtl w:val="true"/>
          <w:lang w:bidi="fa-IR"/>
        </w:rPr>
        <w:t>و هو الذی یتمّ من خلاله ضمان تدفّق المیاه وعدم غورها،و قد حدّدوا حدوداً مختلفةً لکلّ من مصادر المیاه،إلّا أنّه من الممکن القول إنّ هذه الحدود تجتمع فی ضابط کلّی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لا یکون فی إحداث البئر الثانیة ضرر علی الأولی من جذب مائها تماماً أو بعضاً أو منعجریانه إلیها من عروقها،و هذا هو الضابط الکلّی فی جمیع أقسامها</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وکذا الأمر فی العین و القناة؛إذ إنّه أمرٌ توفیقی،ولیس توقیفیاً فهذا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التحدید غالبی حیث إنّ الغالب یندفع الضرر بهذا المقدار من البعد،ولیس تعبدّیا</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فاختصّ المنع بما یکون فیه ضررٌ علیها،ومن هنا جوّزوا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راغب إحیاء الأراضی الموات الواقعة داخل المسافة التی تفصل بین بئر وأخری أو قناة وأخری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حیث إنّ المنع متوقّفٌ علی ما یحدِثه الانتفاع بذلک من ضرر،و هذا الضرر یتّصل بالحفر لا بالانتفاعات الأخری کالاستفادة من الکلأ الموجود فیه مثلاً؛إذ إنّ التمکّن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الکلأ شرعاً لیس باعتبار المُلک،فقد کان متمکّناً منه قبل البیع وبعد فسخ البیع بخلاف ما لو حفر بئراً فی حریمها </w:t>
      </w:r>
      <w:r>
        <w:rPr>
          <w:rStyle w:val="FootnoteAnchor"/>
          <w:rtl w:val="true"/>
        </w:rPr>
        <w:footnoteReference w:id="450"/>
      </w:r>
      <w:bookmarkStart w:id="484" w:name="pg5204_66153"/>
    </w:p>
    <w:p>
      <w:pPr>
        <w:pStyle w:val="BookText"/>
        <w:rPr/>
      </w:pPr>
      <w:bookmarkEnd w:id="484"/>
      <w:r>
        <w:rPr>
          <w:rFonts w:ascii="IRNazanin" w:hAnsi="IRNazanin" w:eastAsia="IRNazanin"/>
          <w:color w:val="111111"/>
          <w:sz w:val="28"/>
          <w:sz w:val="28"/>
          <w:szCs w:val="28"/>
          <w:rtl w:val="true"/>
          <w:lang w:bidi="fa-IR"/>
        </w:rPr>
        <w:t>فالحفر فی الحریم یستوجب وقوع الضرر علی البئر أو العین السابقة،فیکون البُعد الواجب مراعاته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هو بالإضافة إلی إحداث قناة أو بئر أخری فقط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Heading5"/>
        <w:numPr>
          <w:ilvl w:val="4"/>
          <w:numId w:val="1"/>
        </w:numPr>
        <w:rPr/>
      </w:pPr>
      <w:bookmarkStart w:id="485" w:name="__RefHeading___Toc97414_581953129"/>
      <w:bookmarkStart w:id="486" w:name="_Toc200"/>
      <w:bookmarkEnd w:id="485"/>
      <w:r>
        <w:rPr>
          <w:rtl w:val="true"/>
        </w:rPr>
        <w:t>ثانیاً</w:t>
      </w:r>
      <w:r>
        <w:rPr>
          <w:rtl w:val="true"/>
        </w:rPr>
        <w:t>:</w:t>
      </w:r>
      <w:r>
        <w:rPr>
          <w:rtl w:val="true"/>
        </w:rPr>
        <w:t>النبات</w:t>
      </w:r>
      <w:bookmarkEnd w:id="486"/>
    </w:p>
    <w:p>
      <w:pPr>
        <w:pStyle w:val="Heading6"/>
        <w:numPr>
          <w:ilvl w:val="5"/>
          <w:numId w:val="1"/>
        </w:numPr>
        <w:rPr/>
      </w:pPr>
      <w:bookmarkStart w:id="487" w:name="__RefHeading___Toc97416_581953129"/>
      <w:bookmarkStart w:id="488" w:name="_Toc201"/>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و هو یشمل الکلأ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العشب ونحوه ممّا لیس له ساقٌ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یطلب ویبتغی لأجل الاستفادة من أوراقه وأزهاره؛والآجام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ونحوه ممّا له ساقٌ کالقصب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یراد لأجل الانتفاع بساقه وثمره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البحث فیه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ینبت بذاته من دون قیام أحد علیه،سواء کان فی أرض مملوکة أم غیرها،وتتمثّل الحدود التی تُراعی فی إنتاجه بما یلی</w:t>
      </w:r>
      <w:r>
        <w:rPr>
          <w:rFonts w:eastAsia="IRNazanin" w:cs="IRNazanin"/>
          <w:color w:val="111111"/>
          <w:sz w:val="28"/>
          <w:szCs w:val="28"/>
          <w:rtl w:val="true"/>
          <w:lang w:bidi="fa-IR"/>
        </w:rPr>
        <w:t>:</w:t>
      </w:r>
    </w:p>
    <w:p>
      <w:pPr>
        <w:pStyle w:val="Heading6"/>
        <w:numPr>
          <w:ilvl w:val="5"/>
          <w:numId w:val="1"/>
        </w:numPr>
        <w:rPr/>
      </w:pPr>
      <w:bookmarkStart w:id="489" w:name="__RefHeading___Toc97418_581953129"/>
      <w:bookmarkStart w:id="490" w:name="_Toc202"/>
      <w:bookmarkEnd w:id="489"/>
      <w:r>
        <w:rPr>
          <w:rtl w:val="true"/>
        </w:rPr>
        <w:t>أ</w:t>
      </w:r>
      <w:r>
        <w:rPr>
          <w:rtl w:val="true"/>
        </w:rPr>
        <w:t>)</w:t>
      </w:r>
      <w:r>
        <w:rPr>
          <w:rtl w:val="true"/>
        </w:rPr>
        <w:t>عدم السماح بممارسة إنتاجه من الأراضی المملوکة إلّا بعد استئذان المالک</w:t>
      </w:r>
      <w:bookmarkEnd w:id="490"/>
    </w:p>
    <w:p>
      <w:pPr>
        <w:pStyle w:val="BookText"/>
        <w:rPr/>
      </w:pPr>
      <w:r>
        <w:rPr>
          <w:rFonts w:ascii="IRNazanin" w:hAnsi="IRNazanin" w:eastAsia="IRNazanin"/>
          <w:color w:val="111111"/>
          <w:sz w:val="28"/>
          <w:sz w:val="28"/>
          <w:szCs w:val="28"/>
          <w:rtl w:val="true"/>
          <w:lang w:bidi="fa-IR"/>
        </w:rPr>
        <w:t>فإذا ما نبت فی الأرض المملوکة شجرٌ برّی بنفسه أو حشائش بنفسها،فهو من المباحات العامّة،کما هو الحال فی ما نبت بذاته فی الأرض غیر المملوکة،فالناس یکونون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شرکاء فی الرعی والاحتشاش منه کالشرکة فی ماء البحار وأخصّ منه،و هو ما نبت فی أرض مملوکة بلا إنبات صاحبها،و هو کذلک إلّا أنّ لربّ الأرض المنع من الدخول فی أرضه</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فأعطی هذا النصّ لصاحب الأرض الحقّ فی المنع من دخول أرضه لجنیه،و هو ما یؤکّد تقدّم الحقّ فی الأرض علی الحقّ فی ما تحویه؛إذ إنّها الأصل و هو الفرع،والأصل مقدّمٌ علی الفرع،فلا طریق لتقدیم الفرع علی الأصل إلّا بالاستئذان،الذی یمکن من خلاله الانتفاع بما نبت فیها،فیکون من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 المالک ترک حیازتها إلّا بعد استئذان المالک واسترضائه</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یؤمّن الحقوق العامّة التی تُعطی الناس جمیعاً حقّ استثمار الطبیعة من دون المساس بالحقوق الخاصّة التی تُعطی الفرد الحقّ فی الاستئثار بنتائج جهوده،وعمله المتمثّلة بالأرض هنا</w:t>
      </w:r>
      <w:r>
        <w:rPr>
          <w:rFonts w:eastAsia="IRNazanin" w:cs="IRNazanin"/>
          <w:color w:val="111111"/>
          <w:sz w:val="28"/>
          <w:szCs w:val="28"/>
          <w:rtl w:val="true"/>
          <w:lang w:bidi="fa-IR"/>
        </w:rPr>
        <w:t>.</w:t>
      </w:r>
      <w:bookmarkStart w:id="491" w:name="pg5204_66154"/>
    </w:p>
    <w:p>
      <w:pPr>
        <w:pStyle w:val="Heading6"/>
        <w:numPr>
          <w:ilvl w:val="5"/>
          <w:numId w:val="1"/>
        </w:numPr>
        <w:rPr/>
      </w:pPr>
      <w:bookmarkStart w:id="492" w:name="__RefHeading___Toc97420_581953129"/>
      <w:bookmarkStart w:id="493" w:name="_Toc203"/>
      <w:bookmarkEnd w:id="491"/>
      <w:bookmarkEnd w:id="492"/>
      <w:r>
        <w:rPr>
          <w:rtl w:val="true"/>
        </w:rPr>
        <w:t>ب</w:t>
      </w:r>
      <w:r>
        <w:rPr>
          <w:rtl w:val="true"/>
        </w:rPr>
        <w:t>)</w:t>
      </w:r>
      <w:r>
        <w:rPr>
          <w:rtl w:val="true"/>
        </w:rPr>
        <w:t>عدم السماح بمنع الغیر من إنتاجه من دون السبق إلیه ووضع الید علیه</w:t>
      </w:r>
      <w:bookmarkEnd w:id="493"/>
    </w:p>
    <w:p>
      <w:pPr>
        <w:pStyle w:val="BookText"/>
        <w:rPr/>
      </w:pPr>
      <w:r>
        <w:rPr>
          <w:rFonts w:ascii="IRNazanin" w:hAnsi="IRNazanin" w:eastAsia="IRNazanin"/>
          <w:color w:val="111111"/>
          <w:sz w:val="28"/>
          <w:sz w:val="28"/>
          <w:szCs w:val="28"/>
          <w:rtl w:val="true"/>
          <w:lang w:bidi="fa-IR"/>
        </w:rPr>
        <w:t>فبما أنّ النبات النابت بنفسه هو من المباحات العامّة التی لا تختصّ بشخص دون آخر،کما فی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یمنعن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الکلأ و النار</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فلکلّ إنسان الحقّ فی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دون فرق بین المسلم وغیره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ولیس لأحد الحقّ فی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یکون لأحد أن یمنع أحداً من الانتفاع به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إلّا ما سبق إلیه منه وحازه،فیقتصر حقّ السابق فیما حازه فعلاً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سبق إلی شیء منه ووضع یده علیه،فقد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ما یملک منها بذلک هو ما یجتزّ من الحشیش،وما یقطع من الشجر،وما یقطف من الثمار و الأوراق و الأزهار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أمّا ما عدا ذلک ممّا لم یجتز ویقطع،فیبقی علی إباحته ولیس لأحد 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الآثار المترتّبة علی الحیازة،وهی الملکیة،فقد سبق وأن تطرّقنا إلیها فی مبحث الضوابط،وقلنا إنّها تختصّ بمن یمارس عملیة الحیازة بنفسه دون غیره،ولا یستثنی أمرها هنا،فإنّه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لکلّ إنسان أن یتملّک منه ما نبت فی الأراضی المباحة بنفسه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لا عن طریق غیره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الاحتطاب والاحتشاش وسائر الأسباب إنّما یوجب الملک باعتبار الید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ومن هنا حکموا بعدم صحّة النیابة و الوکالة فی ذلک،فلو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إنساناً بأن یحتطب له لم یصحّ التوکیل،وکان الحطب للذی یحتطب دون‌الموکّل </w:t>
      </w:r>
      <w:r>
        <w:rPr>
          <w:rStyle w:val="FootnoteAnchor"/>
          <w:rtl w:val="true"/>
        </w:rPr>
        <w:footnoteReference w:id="460"/>
      </w:r>
      <w:bookmarkStart w:id="494" w:name="pg5204_66155"/>
    </w:p>
    <w:p>
      <w:pPr>
        <w:pStyle w:val="BookText"/>
        <w:rPr/>
      </w:pPr>
      <w:bookmarkEnd w:id="494"/>
      <w:r>
        <w:rPr>
          <w:rFonts w:ascii="IRNazanin" w:hAnsi="IRNazanin" w:eastAsia="IRNazanin"/>
          <w:color w:val="111111"/>
          <w:sz w:val="28"/>
          <w:sz w:val="28"/>
          <w:szCs w:val="28"/>
          <w:rtl w:val="true"/>
          <w:lang w:bidi="fa-IR"/>
        </w:rPr>
        <w:t>فالعمل المباشر هو المعیار فی ثبوت الملکیة لما أُنتج،فهو ما لا تتعلّق به الوکالة و النیابة ونحوها؛إذ إنّ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الصید أو الاحتطاب وغیرهما من سائر أقسام الحیازة غیر صحیح لعدم قبولها للوکالة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وبهذا یتبین عدم اقتصار عدم جواز المنع من حیازة النبات عشباً وشجراً،علی المنع من حیازتها،بل أبطلوا کلّ أثر للمنع،فإذا منعت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من الاحتطاب من المروج إلّا بدفع شیء إلیهم فالدفع و الأخذ حرام؛لأنّه رشوة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فامتدّ إلی ما لم یحاز فعلیاً و إن سُبق إلیه،فلم یرتّبوا أثراً علی مجرّد السبق إلیه من دون أن تکون هناک حیازةٌ فعلیةٌ له</w:t>
      </w:r>
      <w:r>
        <w:rPr>
          <w:rFonts w:eastAsia="IRNazanin" w:cs="IRNazanin"/>
          <w:color w:val="111111"/>
          <w:sz w:val="28"/>
          <w:szCs w:val="28"/>
          <w:rtl w:val="true"/>
          <w:lang w:bidi="fa-IR"/>
        </w:rPr>
        <w:t>.</w:t>
      </w:r>
    </w:p>
    <w:p>
      <w:pPr>
        <w:pStyle w:val="Heading6"/>
        <w:numPr>
          <w:ilvl w:val="5"/>
          <w:numId w:val="1"/>
        </w:numPr>
        <w:rPr/>
      </w:pPr>
      <w:bookmarkStart w:id="495" w:name="__RefHeading___Toc97422_581953129"/>
      <w:bookmarkStart w:id="496" w:name="_Toc204"/>
      <w:bookmarkEnd w:id="495"/>
      <w:r>
        <w:rPr>
          <w:rtl w:val="true"/>
        </w:rPr>
        <w:t>ج</w:t>
      </w:r>
      <w:r>
        <w:rPr>
          <w:rtl w:val="true"/>
        </w:rPr>
        <w:t>)</w:t>
      </w:r>
      <w:r>
        <w:rPr>
          <w:rtl w:val="true"/>
        </w:rPr>
        <w:t>عدم السماح بمزاحمة الغیر فی ما سبق إلیه ووضع یده علیه</w:t>
      </w:r>
      <w:bookmarkEnd w:id="496"/>
    </w:p>
    <w:p>
      <w:pPr>
        <w:pStyle w:val="BookText"/>
        <w:rPr/>
      </w:pPr>
      <w:r>
        <w:rPr>
          <w:rFonts w:ascii="IRNazanin" w:hAnsi="IRNazanin" w:eastAsia="IRNazanin"/>
          <w:color w:val="111111"/>
          <w:sz w:val="28"/>
          <w:sz w:val="28"/>
          <w:szCs w:val="28"/>
          <w:rtl w:val="true"/>
          <w:lang w:bidi="fa-IR"/>
        </w:rPr>
        <w:t>فهذه الحرّیة فی ممارسة الإنتاج علی النبات النابت بنفسه مقیدةٌ بعدم سبق الغیر إلیه وحیازته إیاه فعلیاً،فلا یسمح للّاحق مزاحمة السابق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سبق إلی شیء منه ووضع یده علیه فقد ملکه ولم یجز لغیره مزاحمته فیه</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فهو من باب الترتیب بین الحقوق واحترامها،فهناک حقٌّ ابتدائی شاملٌ لجمیع الناس فی ممارسة عملیة الحیازة ینتفی بسبق ممارسته من قِبل أحدهم،فتکون له الأحقّیة من خلال عملیة السبق إلیه قبل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سبقت یده إلیها،وتمّ إحرازه لها فهو أحقّ بها کمن أخذ صیداً أو حطباً أو حشیشا</w:t>
      </w:r>
      <w:r>
        <w:rPr>
          <w:rFonts w:eastAsia="IRNazanin" w:cs="IRNazanin"/>
          <w:color w:val="111111"/>
          <w:sz w:val="28"/>
          <w:szCs w:val="28"/>
          <w:rtl w:val="true"/>
          <w:lang w:bidi="fa-IR"/>
        </w:rPr>
        <w:t xml:space="preserve">. </w:t>
      </w:r>
      <w:r>
        <w:rPr>
          <w:rStyle w:val="FootnoteAnchor"/>
          <w:rtl w:val="true"/>
        </w:rPr>
        <w:footnoteReference w:id="464"/>
      </w:r>
    </w:p>
    <w:p>
      <w:pPr>
        <w:pStyle w:val="Heading6"/>
        <w:numPr>
          <w:ilvl w:val="5"/>
          <w:numId w:val="1"/>
        </w:numPr>
        <w:rPr/>
      </w:pPr>
      <w:bookmarkStart w:id="497" w:name="__RefHeading___Toc97424_581953129"/>
      <w:bookmarkStart w:id="498" w:name="_Toc205"/>
      <w:bookmarkEnd w:id="497"/>
      <w:r>
        <w:rPr>
          <w:rtl w:val="true"/>
        </w:rPr>
        <w:t>د</w:t>
      </w:r>
      <w:r>
        <w:rPr>
          <w:rtl w:val="true"/>
        </w:rPr>
        <w:t>)</w:t>
      </w:r>
      <w:r>
        <w:rPr>
          <w:rtl w:val="true"/>
        </w:rPr>
        <w:t>عدم السماح بحیازة الأصول إلّا بإحیائها</w:t>
      </w:r>
      <w:bookmarkEnd w:id="498"/>
    </w:p>
    <w:p>
      <w:pPr>
        <w:pStyle w:val="BookText"/>
        <w:rPr/>
      </w:pPr>
      <w:r>
        <w:rPr>
          <w:rFonts w:ascii="IRNazanin" w:hAnsi="IRNazanin" w:eastAsia="IRNazanin"/>
          <w:color w:val="111111"/>
          <w:sz w:val="28"/>
          <w:sz w:val="28"/>
          <w:szCs w:val="28"/>
          <w:rtl w:val="true"/>
          <w:lang w:bidi="fa-IR"/>
        </w:rPr>
        <w:t>وکما ذکرنا سابقاً،فإنّ ترتیب آثار الحیازة یقتصر علی ما حیز منه فعلاً بالاجتزاز والاقتطاع والاقتطاف؛أمّا ما لا یثبت حیازته بذلک،وهی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الأصول الثابتة،فإنّها لا تُملک بمجرّد الأخذ منها ما لم یضع یده علی الأرض نفسها ویتملّکها بالإحیاء </w:t>
      </w:r>
      <w:r>
        <w:rPr>
          <w:rStyle w:val="FootnoteAnchor"/>
          <w:rtl w:val="true"/>
        </w:rPr>
        <w:footnoteReference w:id="465"/>
      </w:r>
      <w:bookmarkStart w:id="499" w:name="pg5204_66156"/>
    </w:p>
    <w:p>
      <w:pPr>
        <w:pStyle w:val="BookText"/>
        <w:rPr/>
      </w:pPr>
      <w:bookmarkEnd w:id="499"/>
      <w:r>
        <w:rPr>
          <w:rFonts w:ascii="IRNazanin" w:hAnsi="IRNazanin" w:eastAsia="IRNazanin"/>
          <w:color w:val="111111"/>
          <w:sz w:val="28"/>
          <w:sz w:val="28"/>
          <w:szCs w:val="28"/>
          <w:rtl w:val="true"/>
          <w:lang w:bidi="fa-IR"/>
        </w:rPr>
        <w:t>فیشترط فی ثبوت حیازتها ممارسة عملیة الإحیاء لها بما یساهم فی نموّها وصیانتها،وذلک عن طریق وضع الید علی الأرض نفسها المشروط بممارسة عملیة إحیائها،کما سیأتی فی فصل حدود حرّیة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تبقی علی حالها من کونها مباحات عامّة،فیکون هذا الحدّ تطبیقاً لضابطة لزوم إنجاز عمل مباشر لترتیب آثار الإنتاج من جهة،وإغراءً بالسعی نحو تنمیة الإنتاج من خلال ممارسة عملیة إحیاء الأرض المستوجب للنمو والازدهار وحقّ الأولویة فی الأرض من جهة أخری</w:t>
      </w:r>
      <w:r>
        <w:rPr>
          <w:rFonts w:eastAsia="IRNazanin" w:cs="IRNazanin"/>
          <w:color w:val="111111"/>
          <w:sz w:val="28"/>
          <w:szCs w:val="28"/>
          <w:rtl w:val="true"/>
          <w:lang w:bidi="fa-IR"/>
        </w:rPr>
        <w:t>.</w:t>
      </w:r>
    </w:p>
    <w:p>
      <w:pPr>
        <w:pStyle w:val="Heading5"/>
        <w:numPr>
          <w:ilvl w:val="4"/>
          <w:numId w:val="1"/>
        </w:numPr>
        <w:rPr/>
      </w:pPr>
      <w:bookmarkStart w:id="500" w:name="__RefHeading___Toc97426_581953129"/>
      <w:bookmarkStart w:id="501" w:name="_Toc206"/>
      <w:bookmarkEnd w:id="500"/>
      <w:r>
        <w:rPr>
          <w:rtl w:val="true"/>
        </w:rPr>
        <w:t>ثالثاً</w:t>
      </w:r>
      <w:r>
        <w:rPr>
          <w:rtl w:val="true"/>
        </w:rPr>
        <w:t>:</w:t>
      </w:r>
      <w:r>
        <w:rPr>
          <w:rtl w:val="true"/>
        </w:rPr>
        <w:t>الحیوان</w:t>
      </w:r>
      <w:bookmarkEnd w:id="501"/>
    </w:p>
    <w:p>
      <w:pPr>
        <w:pStyle w:val="Heading6"/>
        <w:numPr>
          <w:ilvl w:val="5"/>
          <w:numId w:val="1"/>
        </w:numPr>
        <w:rPr/>
      </w:pPr>
      <w:bookmarkStart w:id="502" w:name="__RefHeading___Toc97428_581953129"/>
      <w:bookmarkStart w:id="503" w:name="_Toc207"/>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و هو یشمل ما یحلّ أکله وما لا یحلّ حسب تعالیم الإسلام،وتتمّ عملیة توفیر فرصة الانتفاع به من خلال عملیة الحیازة التی تمثّل الإنتاج البسیط کما أسلفنا،وذلک بغضّ النظر عن کونه محلّل الأکل أو محظوره،لکون عملیة الانتفاع به لا تقتصر علی الأکل،و إنّما تتعدّاها إلی الکثیر من الفوائد التی من الممکن أن یوفّرها للإنسان،و هو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البرّی الذی یشمل الأهلی و الوحشی علی اختلاف أنواعهما؛والبحری الذی یتضمّن کلّ ما یعیش منه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والخاصّیة الأساسیة لحیازة هذا النوع من الموارد الطبیعیة هو أن تتمّ من خلال عملیة الصید؛وذلک لکونه ممّا یتحرّک ویمتنع من السیطرة علیه إلّا بواسطة اصطیاده،فتختلف بذلک وسائل حیازته عن غیره من مصادر الطبیعة؛إذ إنّها تتطلّب الحرکة والاستکمان ونصب الأفخاخ ونحوها من الوسائل،وما یرافق ذلک من احتمال التجاوز علی حقوق الغیر بسبب الإغراء بتعقّب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احتمال اتّخاذ تلک العملیة طابعاً غیر إنتاجی عن طریق تحوّلها إلی وسیلة للهو و التسلّی لما تتّصف به من مغامرة وتحدّ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یمکننا تصویر الحدود التی تخضع لها الحرّیة فی مجال الإنتاج البسیط للحیوان باالشکل الآتی</w:t>
      </w:r>
      <w:r>
        <w:rPr>
          <w:rFonts w:eastAsia="IRNazanin" w:cs="IRNazanin"/>
          <w:color w:val="111111"/>
          <w:sz w:val="28"/>
          <w:szCs w:val="28"/>
          <w:rtl w:val="true"/>
          <w:lang w:bidi="fa-IR"/>
        </w:rPr>
        <w:t>:</w:t>
      </w:r>
    </w:p>
    <w:p>
      <w:pPr>
        <w:pStyle w:val="Heading6"/>
        <w:numPr>
          <w:ilvl w:val="5"/>
          <w:numId w:val="1"/>
        </w:numPr>
        <w:rPr/>
      </w:pPr>
      <w:bookmarkStart w:id="504" w:name="__RefHeading___Toc97430_581953129"/>
      <w:bookmarkStart w:id="505" w:name="_Toc208"/>
      <w:bookmarkEnd w:id="504"/>
      <w:r>
        <w:rPr>
          <w:rtl w:val="true"/>
        </w:rPr>
        <w:t>أ</w:t>
      </w:r>
      <w:r>
        <w:rPr>
          <w:rtl w:val="true"/>
        </w:rPr>
        <w:t>)</w:t>
      </w:r>
      <w:r>
        <w:rPr>
          <w:rtl w:val="true"/>
        </w:rPr>
        <w:t>عدم السماح بحیازته دون محاولة القضاء علی مقاومته وإعجازه</w:t>
      </w:r>
      <w:bookmarkEnd w:id="5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الحدّ جانبان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إبداء أی درجة کانت من محاولة الاصطیاد مهما کانت طفیفة،فمع عدم المحاولة،لا یمکن ترتیب أی أثر حیازی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وثب شیء فی سفینته المتوقّفة،أو وقع فی شبکته التی نشرها لإصلاحها،أو رمی بدون قصد الاصطیاد فأصاب صیداً،لم یملک صاحب السفینة،ولا الشبکة ولا الرمیة ما یقع فریسة لذلک من الحیوان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فلا یمکن ترتیب أی أثر علی ذلک ما دام الإنسان لم تصدر منه أی محاولة لصید الحیوان،ومن هنا حکموا علی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فسطاطاً فتعلّق به صید فأخذه إنسان،فهو للآخذ؛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ضارب الفسطاط ما قصد الاصطیاد،فلا یکون آخذاً له و إن تعلّق بفسطاطه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علی خلاف الآخذ،فإنّه حاول أخذه فأخذه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الثانی،فیرتبط بأداء تلک المحاولة إلی القضاء علی مقاومة ذلک الحیوان وجعله عاجزاً عنها،و قد یتحقّق ذلک بالسیطرة علیه فی أوّل حرکة یسیرة ولو حُکماً لا حقیقةً کما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 موضع دخول الماء حتّی صار،بحیث لا یقدر علی الخروج فقد صار آخذاً له بمنزلة ما لو وقع فی شبکة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هذا النصّ یوحی بقیام عملیة التعجیز مقام الأخذ،أو قد یتحقّق ببذل جهد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حیوان فی شبکة منصوبة للاصطیاد،ولم تمسکه الشبکة لضعفها وقوّته فانفلت منها لم یملکه ناصبها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وما ذلک إلّا لأجل أنّه لم یستطع القضاء علی مقاومته وتعجیزه و إن حاول أکثر من ذلک،بحیث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دنا منه بحیث یقدر علی أخذه فانفلت لا یملکه الآخذ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لأنّه لم یستطع إعجازه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فالعملیة متقوّمةٌ بشیئین المحاولة و الإعجاز،ولکن هل یمکن ثبوت الحقّ فیه من خلال عملیة الإعجاز،فحسب،أم لا،بحیث یجب أن ینظمّ إلیها الإمساک 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اختلفوا فیه؛إذ إنّ السواد الأعظم قالوا بلزوم الإمساک فی ثبوت الحقّ،فلا</w:t>
      </w:r>
      <w:bookmarkStart w:id="506" w:name="pg5204_66158"/>
    </w:p>
    <w:p>
      <w:pPr>
        <w:pStyle w:val="BookText"/>
        <w:rPr/>
      </w:pPr>
      <w:bookmarkEnd w:id="506"/>
      <w:r>
        <w:rPr>
          <w:rFonts w:ascii="IRNazanin" w:hAnsi="IRNazanin" w:eastAsia="IRNazanin"/>
          <w:color w:val="111111"/>
          <w:sz w:val="28"/>
          <w:sz w:val="28"/>
          <w:szCs w:val="28"/>
          <w:rtl w:val="true"/>
          <w:lang w:bidi="fa-IR"/>
        </w:rPr>
        <w:t>یثبت من دونه و إن تحقّق الإعجاز،فلو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خلف حیوان فوقف للإعیاء لم یملکه فإذا أخذه غیره قبل أن یأخذه هو ملکه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فالمعیار عندهم هو عملیة الأخذ من أی کان صدورها،و إن سبقتها عملیة تعجیز من الغیر بحیث</w:t>
      </w:r>
    </w:p>
    <w:p>
      <w:pPr>
        <w:pStyle w:val="BookText"/>
        <w:rPr/>
      </w:pPr>
      <w:r>
        <w:rPr>
          <w:rFonts w:ascii="IRNazanin" w:hAnsi="IRNazanin" w:eastAsia="IRNazanin"/>
          <w:color w:val="111111"/>
          <w:sz w:val="28"/>
          <w:sz w:val="28"/>
          <w:szCs w:val="28"/>
          <w:rtl w:val="true"/>
          <w:lang w:bidi="fa-IR"/>
        </w:rPr>
        <w:t>أتعبه وأعجزه عن المشی لم یملکه بمجرّد ذلک</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وذهب بعضهم إلی أنّ الأحقّ به فی هذه الحالة هو الساعی الذی أرهقه،فإذا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خلف حیوان فأعیاه فوقف کان أحقّ به من غیره،و إن لم یملکه إلّا بالأخذ،فلو بادر الغیر إلی أخذه قبل ذلک لم یملکه</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فیکون لعملیة التعجیز عندهم أثرٌ فی ترتیب آثار الحیازة،و إن لم یترتّب علیها وحدها الأثر إلّا بانضمام عملیة الأخذ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الرأی هو الأنسب؛وذلک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ینسجم وضابط العمل المباشر،حیث إنّ المفترض هو أنّه بذل جهداً إلی درجة التعجیز،فهل من الممکن الغضّ عن ذلک بحیث یأتی آخر ویقطف ثمار جهده لا لشیء إلّا لسبقه فی الأخذ فقط</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الثانی،هو أنّ ذلک السواد قد رتّب الأثر علی أساس التعجیز،فحکم بثبوت ملکیة الصید لمن کان هو المعجّز له دون رفیقه،فیما لو رمیاه معاً فأصاباه، </w:t>
      </w:r>
      <w:r>
        <w:rPr>
          <w:rStyle w:val="FootnoteAnchor"/>
          <w:rtl w:val="true"/>
        </w:rPr>
        <w:footnoteReference w:id="475"/>
      </w:r>
      <w:r>
        <w:rPr>
          <w:rFonts w:ascii="IRNazanin" w:hAnsi="IRNazanin" w:eastAsia="IRNazanin"/>
          <w:color w:val="111111"/>
          <w:sz w:val="28"/>
          <w:sz w:val="28"/>
          <w:szCs w:val="28"/>
          <w:rtl w:val="true"/>
          <w:lang w:bidi="fa-IR"/>
        </w:rPr>
        <w:t>فإنّ قالوا بإنّ الأمر هنا مختلفٌ لورود یدین علیه،نقول ما عدا ممّا بدا فأنتم حکمتم هناک بثبوته للآخذ دون المعجِّز مع أنّ الآخذ لم یبذل أی جهد فما بالک بالتعجیز،وهنا الاثنان تصدّیا لعملیة التعجیز،فلماذا لم تحکموا بأنّه یکون للآخذ منهما دون الآخر؟</w:t>
      </w:r>
    </w:p>
    <w:p>
      <w:pPr>
        <w:pStyle w:val="BookText"/>
        <w:rPr/>
      </w:pPr>
      <w:r>
        <w:rPr>
          <w:rFonts w:ascii="IRNazanin" w:hAnsi="IRNazanin" w:eastAsia="IRNazanin"/>
          <w:color w:val="111111"/>
          <w:sz w:val="28"/>
          <w:sz w:val="28"/>
          <w:szCs w:val="28"/>
          <w:rtl w:val="true"/>
          <w:lang w:bidi="fa-IR"/>
        </w:rPr>
        <w:t>فالحکم هناک باستحقاق المعجِّز له دون الآخذ أولی منه هنا بأنّه للمعجِّز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ممارسة الإنتاج للحیوان لا تتمّ إلّا من خلال محاولة القضاء علی مقاومته وإعجازه ویرتبط هذا بطبیعة الحال بالحیوان الطلق غیر المملوک؛أمّا المملوک،فیبقی ثبوت حقّ صاحبه فیه،فلا تثبت الحرّیة فی محاولة حیازته إلّا إذا فرّ منه بالطیران،لانتفاء التعجیز حینئذ</w:t>
      </w:r>
      <w:r>
        <w:rPr>
          <w:rFonts w:eastAsia="IRNazanin" w:cs="IRNazanin"/>
          <w:color w:val="111111"/>
          <w:sz w:val="28"/>
          <w:szCs w:val="28"/>
          <w:rtl w:val="true"/>
          <w:lang w:bidi="fa-IR"/>
        </w:rPr>
        <w:t>.</w:t>
      </w:r>
    </w:p>
    <w:p>
      <w:pPr>
        <w:pStyle w:val="Heading6"/>
        <w:numPr>
          <w:ilvl w:val="5"/>
          <w:numId w:val="1"/>
        </w:numPr>
        <w:rPr/>
      </w:pPr>
      <w:bookmarkStart w:id="507" w:name="__RefHeading___Toc97432_581953129"/>
      <w:bookmarkStart w:id="508" w:name="_Toc209"/>
      <w:bookmarkEnd w:id="507"/>
      <w:r>
        <w:rPr>
          <w:rtl w:val="true"/>
        </w:rPr>
        <w:t>ب</w:t>
      </w:r>
      <w:r>
        <w:rPr>
          <w:rtl w:val="true"/>
        </w:rPr>
        <w:t>)</w:t>
      </w:r>
      <w:r>
        <w:rPr>
          <w:rtl w:val="true"/>
        </w:rPr>
        <w:t>عدم السماح بالاصطیاد اللهوی</w:t>
      </w:r>
      <w:bookmarkEnd w:id="5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ضمن الحدود التی تخضع لها حرّیة الإنسان فی ممارسة عملیة الإنتاج علی الحیوان هی</w:t>
      </w:r>
      <w:bookmarkStart w:id="509" w:name="pg5204_66159"/>
    </w:p>
    <w:p>
      <w:pPr>
        <w:pStyle w:val="BookText"/>
        <w:rPr/>
      </w:pPr>
      <w:bookmarkEnd w:id="509"/>
      <w:r>
        <w:rPr>
          <w:rFonts w:ascii="IRNazanin" w:hAnsi="IRNazanin" w:eastAsia="IRNazanin"/>
          <w:color w:val="111111"/>
          <w:sz w:val="28"/>
          <w:sz w:val="28"/>
          <w:szCs w:val="28"/>
          <w:rtl w:val="true"/>
          <w:lang w:bidi="fa-IR"/>
        </w:rPr>
        <w:t>مسألة اللهو،فمع وجود الاختلاف فیها بین الفقهاء فی کونها محظورةً أو مکروهةً،لا تصل إلی درجة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ینبغی عدم صدوره من المسلم المؤمن،وعلیه أن یتجنّبه،و إن لم یکن مأثوماً بفعله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فهو أمرٌ مکروهٌ فعله عندهم،مع أنّهم حکموا بلزوم إتمام الصلاة علی من خرج لصید اللهو،لکنّهم لم یدرجوه ضمن سفر المعصیة الواجب فیه الإتمام علی المسافر، </w:t>
      </w:r>
      <w:r>
        <w:rPr>
          <w:rStyle w:val="FootnoteAnchor"/>
          <w:rtl w:val="true"/>
        </w:rPr>
        <w:footnoteReference w:id="477"/>
      </w:r>
      <w:r>
        <w:rPr>
          <w:rFonts w:ascii="IRNazanin" w:hAnsi="IRNazanin" w:eastAsia="IRNazanin"/>
          <w:color w:val="111111"/>
          <w:sz w:val="28"/>
          <w:sz w:val="28"/>
          <w:szCs w:val="28"/>
          <w:rtl w:val="true"/>
          <w:lang w:bidi="fa-IR"/>
        </w:rPr>
        <w:t>علی اعتبار أنّه من الباطل،ولیس من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المراد به ما قابل الباطل،لا المعصیة کالسفر لصید اللهو،لا للقوت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وذلک علی خلاف من قال بحرمته؛إذ إنّ البعض حکم بحرمته،فهو یدخل فی حوزة المعاصی،ولیس الباطل،فاستثنوه علی هذا الأساس من الصید المباح،فقالوا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لمُحرِم فی غیر الحرام أو للتلهّی،کما هو الظاهر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فالصید عندهم من حیث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مباح إلّا للتلهّی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إلّا أنّ الحکم بکراهته لا ینسجم و الأسس و الضوابط التی قدّمناها،حیث إنّه یتعارض و الدور الإعماری للإنسان المبنی علی أساس استثمار ثروات الطبیعة لا هدرها،فهو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من التبذیر و التضییع فلا یقاس بسائر أنواع اللهو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وکذا یتعارض وضابط الحاجة،فإنّما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یسوغ الاصطیاد ویحلّ من أجل أن یستفید منه الإنسان فائدة معتبرة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فالمفروض فی الإنتاج تأمین حاجات الإنسان ممّا فیه فائدةٌ معتبرةٌ لا التسبّب فی جعله محتاجاً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الأنسب أن یلحق هذا الأمر بالحدود التی تخضع لها حرّیة حیازة الحیوان</w:t>
      </w:r>
      <w:r>
        <w:rPr>
          <w:rFonts w:eastAsia="IRNazanin" w:cs="IRNazanin"/>
          <w:color w:val="111111"/>
          <w:sz w:val="28"/>
          <w:szCs w:val="28"/>
          <w:rtl w:val="true"/>
          <w:lang w:bidi="fa-IR"/>
        </w:rPr>
        <w:t>.</w:t>
      </w:r>
    </w:p>
    <w:p>
      <w:pPr>
        <w:pStyle w:val="Heading6"/>
        <w:numPr>
          <w:ilvl w:val="5"/>
          <w:numId w:val="1"/>
        </w:numPr>
        <w:rPr/>
      </w:pPr>
      <w:bookmarkStart w:id="510" w:name="__RefHeading___Toc97434_581953129"/>
      <w:bookmarkStart w:id="511" w:name="_Toc210"/>
      <w:bookmarkEnd w:id="510"/>
      <w:r>
        <w:rPr>
          <w:rtl w:val="true"/>
        </w:rPr>
        <w:t>ج</w:t>
      </w:r>
      <w:r>
        <w:rPr>
          <w:rtl w:val="true"/>
        </w:rPr>
        <w:t>)</w:t>
      </w:r>
      <w:r>
        <w:rPr>
          <w:rtl w:val="true"/>
        </w:rPr>
        <w:t>عدم السماح بالتجاوز علی ممتلکات الغیر أثناء الاصطیاد</w:t>
      </w:r>
      <w:bookmarkEnd w:id="5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فحرمة التجاوز علی ممتلکات الغیر ممّا ثبت بأدلّة أخری مستفیضة،إلّا أنّه جیء به هنا لکثرة</w:t>
      </w:r>
      <w:bookmarkStart w:id="512" w:name="pg5204_66160"/>
    </w:p>
    <w:p>
      <w:pPr>
        <w:pStyle w:val="BookText"/>
        <w:rPr/>
      </w:pPr>
      <w:bookmarkEnd w:id="512"/>
      <w:r>
        <w:rPr>
          <w:rFonts w:ascii="IRNazanin" w:hAnsi="IRNazanin" w:eastAsia="IRNazanin"/>
          <w:color w:val="111111"/>
          <w:sz w:val="28"/>
          <w:sz w:val="28"/>
          <w:szCs w:val="28"/>
          <w:rtl w:val="true"/>
          <w:lang w:bidi="fa-IR"/>
        </w:rPr>
        <w:t>الابتلاء به فی مجال الصید،فذکره بعضهم ضمن الأمور الواجب الاحتراز عنها فی ممارسة الإنسان لعملیة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یطلق رصاصه علی شجرة محترمة تتضرّر أغصانها به،أو یدوس علی زرع فیتلفه،أو یتسوّر ویدخل أرضاً مسوّرة،فإنّ فی جمیع ذلک عدواناً محرّماً علی أملاک الغیر</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فیکون ذلک من ضمن الحدود التی تخضع لها حرّیة ممارسة النشاط الإنتاجی،وعلی الخصوص فی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ینتهی الکلام حول حدود الحرّیة فی الإنتاج الزراعی البسیط المتقوّم بالحیازة</w:t>
      </w:r>
      <w:r>
        <w:rPr>
          <w:rFonts w:eastAsia="IRNazanin" w:cs="IRNazanin"/>
          <w:color w:val="111111"/>
          <w:sz w:val="28"/>
          <w:szCs w:val="28"/>
          <w:rtl w:val="true"/>
          <w:lang w:bidi="fa-IR"/>
        </w:rPr>
        <w:t>.</w:t>
      </w:r>
    </w:p>
    <w:p>
      <w:pPr>
        <w:pStyle w:val="Heading4"/>
        <w:numPr>
          <w:ilvl w:val="3"/>
          <w:numId w:val="1"/>
        </w:numPr>
        <w:rPr/>
      </w:pPr>
      <w:bookmarkStart w:id="513" w:name="__RefHeading___Toc97436_581953129"/>
      <w:bookmarkStart w:id="514" w:name="_Toc211"/>
      <w:bookmarkEnd w:id="513"/>
      <w:r>
        <w:rPr>
          <w:rtl w:val="true"/>
        </w:rPr>
        <w:t>المطلب الثانی</w:t>
      </w:r>
      <w:r>
        <w:rPr>
          <w:rtl w:val="true"/>
        </w:rPr>
        <w:t>:</w:t>
      </w:r>
      <w:r>
        <w:rPr>
          <w:rtl w:val="true"/>
        </w:rPr>
        <w:t>حدود الحرّیة فی الزراعة</w:t>
      </w:r>
      <w:bookmarkEnd w:id="514"/>
    </w:p>
    <w:p>
      <w:pPr>
        <w:pStyle w:val="Heading5"/>
        <w:numPr>
          <w:ilvl w:val="4"/>
          <w:numId w:val="1"/>
        </w:numPr>
        <w:rPr/>
      </w:pPr>
      <w:bookmarkStart w:id="515" w:name="__RefHeading___Toc97438_581953129"/>
      <w:bookmarkStart w:id="516" w:name="_Toc212"/>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تمثّل الزراعة الشریان الرئیسی للحیاة البشریة،الذی یضخّها بالوقود اللازم لتجدید نشاطها علی طریق أداء حقّ البدن من خلال تأمین حاجاته الغذائیة من جهة،ومن ثمّ القیام بالوظائف الملقاة علی عاتقه،شخصیةً کانت أو اجتماعیةً أو عبادیةً من جهة أخری؛ولهذا نری الإسلام أولاها أهمّیةً خاصّةً علی اعتبار أنّها تمثّل الثقل الأساسی من عملیة الإعمار التی وُکِّل الإنسان علی تعهّدها وحسن القیام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دیدنه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التأکید علی أنّها أفضل الأعمال و المِهَن،و إنّما قام بتقنین القوانین التی تحفظ حقوق المزارعین من جانب،وتقوم بتنمیة الإنتاج الزراعی من جانب آخر،فلاحظنا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المطلب الأوّل المتمثّل بعملیة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أنّه سمح باستغلال مواردها الطبیعیة،وسنّ التشریعات التی تساهم فی الاستغلال الأمثل لها من إقراره تکافؤ الفرص فی استثمارها إلی وضعه آلیات تقنینیة تمنع من هدرها وقیام النزاعات حولها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هنا لیؤدّی ذات المهمّة،فلم یطلق ید الإنسان فی ممارستها بالکیفیة التی یشاءها و التی تؤدّی کما أثبتت الوقائع التاریخیة إلی جعله بمثابة حاکم مستبد یتحکّم بمصائر الناس ویستعبدهم؛وذلک عن طریق سیطرته علی الأراضی الزراعیة دون حدّ وحدود،و إنّما قام بوضع قیود علی تحرّکاته فی هذا النطاق،وذلک علی ضوء الأسس و القواعد و الضوابط</w:t>
      </w:r>
    </w:p>
    <w:p>
      <w:pPr>
        <w:pStyle w:val="BookText"/>
        <w:rPr/>
      </w:pPr>
      <w:r>
        <w:rPr>
          <w:rFonts w:ascii="IRNazanin" w:hAnsi="IRNazanin" w:eastAsia="IRNazanin"/>
          <w:color w:val="111111"/>
          <w:sz w:val="28"/>
          <w:sz w:val="28"/>
          <w:szCs w:val="28"/>
          <w:rtl w:val="true"/>
          <w:lang w:bidi="fa-IR"/>
        </w:rPr>
        <w:t>السالف ذکرها بما یساهم مساهمةً فعّالةً فی الوصول بالعملیة الانتاجیة إلی غایتها المرجوّة من تأمین الغذاء الکافی للمجتمع عامّةً وحفظ حقوق الأفراد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لنا،وأن أتینا علی ذکر الحدود اللازم مراعاتها فی حرّیة ممارسة الإنتاج علی الثروات الزراعیة الموجودة فی الطبیعیة،وها نحن بصدد ذکر الحدود المأخوذة علی حرّیة الإنتاج الزراعی فی قسمه الثانی المتمثّل بالزراعة،والذی هو علی خلاف القسم الأوّل حیث إنّه یتمثّل بإیجاد صفة جدیدة فی الشیء،ولیس مجرّد توفیر فرصة الانتفاع،وذلک من خلال الاستفادة من الموارد الطبیعیة کالأراضی و المیاه،إضافةً إلی الجهد البدنی و الآلی المبذول للقیام بعملیة الزرع و الغرس ذاتها،وما یرافقها من عملیات إعداد وتهیئة ورعایة حتّی یؤتی ثماره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ألقینا نظرةً عامّةً علی العملیة الزراعیة من جهة القیام بتنفیذها،للاحظنا أنّها تنحصر بنحوین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فردی،والآخر جماعی،فمرّةً یقوم الإنسان بممارستها بکافّة مراحلها بنفسه،ومرّةً یستفید من جهود الآخرین منذ انطلاقتها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بدء عملیة استحداث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حیث تستوجب حاجته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ففی‌خصوص النحو الجماعی،فقد عقد له الفقهاء بابین خاصّین،الأوّل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أو المخابرة کما سُمّیت،والثانی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 أو المعاملة،بتعبیر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أنّهما قریبتان جدّاً ممّا یطلق علیه فقهیاً بالإجارة،إلّا أنّهما تختصّان ببعض المسائل التی تمیزهما عنها،وخصوصاً،من حیث استحقاق العامل فیهما جزءً من الحاصل بالأصالة لقیامه بتولید شیء جدید بنفسه،خلافاً للإجارة التی یکون فیها مستحقّاً للأجرة،لا غیر مقابل ما یؤدّیه من خدمة معینة علی مادّة موجودة فعلیاً،فالأمر یرتبط مباشرةً بالمعیار الأساسی الذی تبنّاه الإسلام فی توزیع الثروة المنتجة علی عناصر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ویشترک کلا النحوین فی حدود عامّة تقید حرّیة المنتِج فیهما ببعض الأمور التی تصبّ فی حفظ النظام وترشید الإنتاج وتوجیهه نحو الغایة التی أرادها الإسلام،وحدود خاصّة ترتبط أکثر ما ترتبط بالنحو الجماعی منهما،فتقیده ببعض الشروط التی تساهم فی حفظ حقوق الأطراف المشترکة فیه من جهة،وتوفّر الجهود دون إتلافها فیما لا جدوی فیه من جهة أخری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وسنقوم بالتعرّض للحدود العامّة أوّلاً،ثمّ ننتقل إلی الحدود الخاصّة ثانیاً</w:t>
      </w:r>
      <w:r>
        <w:rPr>
          <w:rFonts w:eastAsia="Amiri" w:cs="Amiri" w:ascii="Amiri" w:hAnsi="Amiri"/>
          <w:color w:val="111111"/>
          <w:sz w:val="28"/>
          <w:szCs w:val="28"/>
          <w:rtl w:val="true"/>
          <w:lang w:bidi="ar-SA"/>
        </w:rPr>
        <w:t>:</w:t>
      </w:r>
      <w:bookmarkStart w:id="517" w:name="pg5204_66162"/>
    </w:p>
    <w:p>
      <w:pPr>
        <w:pStyle w:val="Heading5"/>
        <w:numPr>
          <w:ilvl w:val="4"/>
          <w:numId w:val="1"/>
        </w:numPr>
        <w:rPr/>
      </w:pPr>
      <w:bookmarkStart w:id="518" w:name="__RefHeading___Toc97440_581953129"/>
      <w:bookmarkStart w:id="519" w:name="_Toc213"/>
      <w:bookmarkEnd w:id="517"/>
      <w:bookmarkEnd w:id="518"/>
      <w:r>
        <w:rPr>
          <w:rtl w:val="true"/>
        </w:rPr>
        <w:t>أوّلاً</w:t>
      </w:r>
      <w:r>
        <w:rPr>
          <w:rtl w:val="true"/>
        </w:rPr>
        <w:t>:</w:t>
      </w:r>
      <w:r>
        <w:rPr>
          <w:rtl w:val="true"/>
        </w:rPr>
        <w:t>الحدود العامّة لحرّیة الإنتاج الزراعی</w:t>
      </w:r>
      <w:bookmarkEnd w:id="519"/>
    </w:p>
    <w:p>
      <w:pPr>
        <w:pStyle w:val="Heading6"/>
        <w:numPr>
          <w:ilvl w:val="5"/>
          <w:numId w:val="1"/>
        </w:numPr>
        <w:rPr/>
      </w:pPr>
      <w:bookmarkStart w:id="520" w:name="__RefHeading___Toc97442_581953129"/>
      <w:bookmarkStart w:id="521" w:name="_Toc214"/>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فإنّ ممارسة الإنسان لحرّیته فی هذا المجال تخضع لعدّة أمور عامّة من حیث إنّها تشمل الإنتاجین الفردی و الجماعی،والتی هی کالآتی</w:t>
      </w:r>
      <w:r>
        <w:rPr>
          <w:rFonts w:eastAsia="IRNazanin" w:cs="IRNazanin"/>
          <w:color w:val="111111"/>
          <w:sz w:val="28"/>
          <w:szCs w:val="28"/>
          <w:rtl w:val="true"/>
          <w:lang w:bidi="fa-IR"/>
        </w:rPr>
        <w:t>:</w:t>
      </w:r>
    </w:p>
    <w:p>
      <w:pPr>
        <w:pStyle w:val="Heading6"/>
        <w:numPr>
          <w:ilvl w:val="5"/>
          <w:numId w:val="1"/>
        </w:numPr>
        <w:rPr/>
      </w:pPr>
      <w:bookmarkStart w:id="522" w:name="__RefHeading___Toc97444_581953129"/>
      <w:bookmarkStart w:id="523" w:name="_Toc215"/>
      <w:bookmarkEnd w:id="522"/>
      <w:r>
        <w:rPr>
          <w:rtl w:val="true"/>
        </w:rPr>
        <w:t>أ</w:t>
      </w:r>
      <w:r>
        <w:rPr>
          <w:rtl w:val="true"/>
        </w:rPr>
        <w:t>)</w:t>
      </w:r>
      <w:r>
        <w:rPr>
          <w:rtl w:val="true"/>
        </w:rPr>
        <w:t>عدم السماح بالزراعة فی الأراضی التی یتطلّب إحیاؤها الاستئذان إلّا بعده</w:t>
      </w:r>
      <w:bookmarkEnd w:id="523"/>
    </w:p>
    <w:p>
      <w:pPr>
        <w:pStyle w:val="BookText"/>
        <w:rPr/>
      </w:pPr>
      <w:r>
        <w:rPr>
          <w:rFonts w:ascii="IRNazanin" w:hAnsi="IRNazanin" w:eastAsia="IRNazanin"/>
          <w:color w:val="111111"/>
          <w:sz w:val="28"/>
          <w:sz w:val="28"/>
          <w:szCs w:val="28"/>
          <w:rtl w:val="true"/>
          <w:lang w:bidi="fa-IR"/>
        </w:rPr>
        <w:t>والأراضی التی تتطلّب الاستئذان للتصرّف فیها فیما لو کانت متروکةً،تتمثّل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العامرة المفتوحة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لکونها ملکاً لجمیع المسلمین،وهی الأرض العامرة بوجود المیاه فیها أو الأشجار کالغابات؛أمّا ما کانت مخضرّةً بطبیعتها من دون وجود میاه أو أشجار،فإنّها تُعدّ من الموات،فما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حقّاً لعامّة المسلمین،فالتدبیر فیه إلی الإمام،فإذا أحدثه بغیر إذن الإمام کان متعدّیا</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وباعتبار أنّ هذه الأرض أصبحت ملکاً لجمیع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یختصّ واحد منهم بتملّک رقبة الأرض،بل غایة ما یثبت له جواز الانتفاع بها فی الزراعة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التی تتوقّف بدورها بما أنّها عملیة إحیاء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استئذان الحاکم الشرعی المبسوط الید فعلا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فإذا أراد الفرد القیام باستحداث الزرع فی هذه الأراضی لابدّ له من الحصول علی 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الموقوفة علی جهة معینة أو أشخاص معلومین بأعیانهم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غیر المسموح القیام بزراعة الأرض المتروکة التی تتّصف بهذه الصفة؛إذ إنّ نفعها موقوفٌ علی هذه الجهة أو هؤلاء الأشخاص المفترض معلومیتهم،فلا یحقّ للفرد التصرّف فی مثل هذه الأرض</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بإحیاء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بمراجعة المتولّی،ولو کان هو الحاکم الشرعی أو الموقوف علیهم المعینین إذا کان الوقف علیهم،ولم یکن له متولّ خاص</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المعلوم إجمالاً وقفها علی جهة معینة أو ذرّیة الواقف المعلومین بأعیانهم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الأرض تُعدّ أیضاً من الأراضی التی تستلزم الاستئذان للتصرّف فیها،حیث یفترض فیها أنّها مختصّةٌ بجهة معینة أو شخص معلوم،فیجب حینها لمن أراد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یستأذن فی تصرّفه فیه منهم ومن المتولّی لتلک الجهة إن کان،وإلّا فمن الحاکم الشرعی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هذا إذا لم یکن هناک طریقٌ شرعی لإحراز تعلّق الوقف بأحدهم،فإذا تعین ذلک الطریق اختصّ الاستئذان بالمتعین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الاستئذان بالقسمین السابقین من أرض الوقف دون غیرهما منها فیما لو کان الموقوف علیه مجهولاً؛بناءً علی القول بأنّ الملکیة غیر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المتحقّقة بغیر الشراء أو الإرث؛لا تُخرج الأرض عن حکم الموات إن کانت مواتاً بالفعل؛أمّا علی القول بأنّ ما سبق علیه المُلک منها یخرجها عن کونها مواتاً حقیقةً و إن کانت مواتاً حکماً،فإنّه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بالطریق الأولی أنّ أرض الوقف الموات،لا یجوز إحیاؤها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فضلاً عن غیر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الموات بالعارض إن کان لها مالکٌ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الموات 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کانت مواتاً بالأصل،وهی ما یسمح بإحیائها لکلّ الناس علی اعتبار أنّهم یشترکون فی کونهم یمثّلون الخلیفة العامّ،وذلک من غیر فرق بین المسلم وغیره، </w:t>
      </w:r>
      <w:r>
        <w:rPr>
          <w:rStyle w:val="FootnoteAnchor"/>
          <w:rtl w:val="true"/>
        </w:rPr>
        <w:footnoteReference w:id="490"/>
      </w:r>
      <w:r>
        <w:rPr>
          <w:rFonts w:ascii="IRNazanin" w:hAnsi="IRNazanin" w:eastAsia="IRNazanin"/>
          <w:color w:val="111111"/>
          <w:sz w:val="28"/>
          <w:sz w:val="28"/>
          <w:szCs w:val="28"/>
          <w:rtl w:val="true"/>
          <w:lang w:bidi="fa-IR"/>
        </w:rPr>
        <w:t>وذلک للنبوی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فثبوت الحقّ فیها بالإحیاء دلیلٌ علی السماح به،بل علی الحثّ علیه؛إذ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وجود الإذن من صاحب الشرع،لا حاجة إلی إذن أحد من الأئمة </w:t>
      </w:r>
      <w:r>
        <w:rPr>
          <w:rStyle w:val="FootnoteAnchor"/>
          <w:rtl w:val="true"/>
        </w:rPr>
        <w:footnoteReference w:id="4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یقدح إضافتها إلی الرسول صلی الله علیه و آله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w:t>
      </w:r>
      <w:r>
        <w:rPr>
          <w:rStyle w:val="FootnoteAnchor"/>
          <w:rtl w:val="true"/>
        </w:rPr>
        <w:footnoteReference w:id="493"/>
      </w:r>
      <w:r>
        <w:rPr>
          <w:rFonts w:ascii="IRNazanin" w:hAnsi="IRNazanin" w:eastAsia="IRNazanin"/>
          <w:color w:val="111111"/>
          <w:sz w:val="28"/>
          <w:sz w:val="28"/>
          <w:szCs w:val="28"/>
          <w:rtl w:val="true"/>
          <w:lang w:bidi="fa-IR"/>
        </w:rPr>
        <w:t>فی السماح بإحیائها بالزراعة،ونحوها علی فرض کون الموجف علیه مواتاً بعد تقدّم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حیث الأصل وسیأتی فی بحث التوزیع</w:t>
      </w:r>
    </w:p>
    <w:p>
      <w:pPr>
        <w:pStyle w:val="BookText"/>
        <w:rPr/>
      </w:pPr>
      <w:r>
        <w:rPr>
          <w:rFonts w:ascii="IRNazanin" w:hAnsi="IRNazanin" w:eastAsia="IRNazanin"/>
          <w:color w:val="111111"/>
          <w:sz w:val="28"/>
          <w:sz w:val="28"/>
          <w:szCs w:val="28"/>
          <w:rtl w:val="true"/>
          <w:lang w:bidi="fa-IR"/>
        </w:rPr>
        <w:t>صلاحیة الإمام فی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الإذن مختصّاً بالعامرة،ممّا کان مفتوحاً بالقوّة،والذی سبق الحدیث عنه فی الفقرة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الأنفال،کما سلف إلّا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یتنافی مع کونه مباحاً لکلّ إنسان تحقّق منه القیام بما یعرف بالإحیاء،أی ببذل الجهد فیه من أجل إعماره بالسکن أو الزراعة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إن شرط البعض إذن الإمام فی إحیائه،فهو من باب أنّ عدم الإذن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امتداد المنازعة و الخصوصة بینهم فیها،فکلّ واحد منهم یرغب فی إحیاء ناحیة وجعل التدبیر فی مثله إلی الأئمّة یرجع إلی المصلحة لما فیه من إطفاء ثائرة الفتنة</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مواتاً بالعارض،وهی علی عدّة أقسام،فإنّها؛إمّا أن تکون لأمم مندثرة،أو کان لها صاحبٌ،ولکنّه کان معرِضاً عنها،أو کان لها صاحبٌ،لکنّه لم ینتفع بها فعلیاً بأی نوع من أنواع الانتفاع،ولم یکن مالکاً لها بشراء أو إرث؛فلا تحتاج جمیع هذه الأقسام للاستئذان؛إذ إنّ حکمها یکون کحکم الموات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الذی یهمّنا منها و الذی یستلزم الاستئذان،هو ما کان له مالکٌ معلومٌ إن کانت ملکیته له قد تمّت عن طریق الشراء أو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عدم جواز إحیائه لغیره و التصرّف فیه بدون إذنه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فعلی من أراد زراعة مثل هذه الأرض فعلیه استئذان صاحبها،هذا إن کان تارکاً لها بشکل لا یمارس فیها أی نوع من أنواع الانتفاع مهما کان ضئیلاً؛أمّا إذا کان یمارس ذلک،فتنتفی إمکانیة زراعتها بالکلّیة بناءً علی أنّها مملوکةٌ بالفعل و أنّ صاحبها یمارس فیها عملاً إحیائیاً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واختصاص الاستئذان بهذا القسم من الموات بالعارض یکون بناءً علی القول بأنّ الملکیة لا تُخرج الأرض عن حکم الموات إن کانت مواتاً بالفعل؛أمّا علی القول بأنّ ما سبق علیه المُلک منها یخرجها عن کونها مواتاً حقیقةً،و إن کانت مواتاً حکماً،فیلزم فیها الاستئذان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یعرف مالکها فهی لقطة یتصرّف فیها الإمام،ولو ظهر مالکها تُردّ إلیه،ویضمن نقصانها إن نقصت بالزرع</w:t>
      </w:r>
      <w:r>
        <w:rPr>
          <w:rFonts w:eastAsia="IRNazanin" w:cs="IRNazanin"/>
          <w:color w:val="111111"/>
          <w:sz w:val="28"/>
          <w:szCs w:val="28"/>
          <w:rtl w:val="true"/>
          <w:lang w:bidi="fa-IR"/>
        </w:rPr>
        <w:t xml:space="preserve">. </w:t>
      </w:r>
      <w:r>
        <w:rPr>
          <w:rStyle w:val="FootnoteAnchor"/>
          <w:rtl w:val="true"/>
        </w:rPr>
        <w:footnoteReference w:id="497"/>
      </w:r>
      <w:bookmarkStart w:id="524" w:name="pg5204_66165"/>
    </w:p>
    <w:p>
      <w:pPr>
        <w:pStyle w:val="Heading6"/>
        <w:numPr>
          <w:ilvl w:val="5"/>
          <w:numId w:val="1"/>
        </w:numPr>
        <w:rPr/>
      </w:pPr>
      <w:bookmarkStart w:id="525" w:name="__RefHeading___Toc97446_581953129"/>
      <w:bookmarkStart w:id="526" w:name="_Toc216"/>
      <w:bookmarkEnd w:id="524"/>
      <w:bookmarkEnd w:id="525"/>
      <w:r>
        <w:rPr>
          <w:rtl w:val="true"/>
        </w:rPr>
        <w:t>ب</w:t>
      </w:r>
      <w:r>
        <w:rPr>
          <w:rtl w:val="true"/>
        </w:rPr>
        <w:t>)</w:t>
      </w:r>
      <w:r>
        <w:rPr>
          <w:rtl w:val="true"/>
        </w:rPr>
        <w:t>عدم السماح بزراعة الفائض عن الحاجة</w:t>
      </w:r>
      <w:bookmarkEnd w:id="526"/>
    </w:p>
    <w:p>
      <w:pPr>
        <w:pStyle w:val="BookText"/>
        <w:rPr/>
      </w:pPr>
      <w:r>
        <w:rPr>
          <w:rFonts w:ascii="IRNazanin" w:hAnsi="IRNazanin" w:eastAsia="IRNazanin"/>
          <w:color w:val="111111"/>
          <w:sz w:val="28"/>
          <w:sz w:val="28"/>
          <w:szCs w:val="28"/>
          <w:rtl w:val="true"/>
          <w:lang w:bidi="fa-IR"/>
        </w:rPr>
        <w:t>لقد جاء فی ضوابط الإنتاج ضرورة استثماره فی ما یسدّ حاجةً مشروعةً،وعلی هذا فمن الطبیعی أن لا ینظر إلی الحاجة هنا من ناحیة کونها محظورةً أو مباحةً فحسب،و إنّما إلی ناحیة تأمین الحاجة ذاتها علاوةً علی کونها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یرتبط أکثر ما یرتبط بمسؤولیة الدولة فی القیام بتنظیم عملیات الإنتاج،فإنّ الإسلام یحتّم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الإنتاج الاجتماعی أن یوفّر إشباع الحاجات الضروریة لجمیع أفراد المجتمع،بإنتاج کمّیة من السلع القادرة علی إشباع تلک الحاجات الحیاتیة،بدرجة من الکفایة التی تسمح لکلّ فرد بتناول حاجته الضروریة منها</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فإنّ تأمین المحاصیل الضروریة مقدّمٌ علی إنتاج محاصیل غیر ضروریة،هذا إضافة إلی أنّ القیام بإنتاج محاصیل فائضة علی الحاجة یعدّ لوناً من ألوان الإسراف،فالإسراف لا یختصّ بباب الاستهلاک،و إنّما یشمل الإنتاج کذلک،فکما یحرُم علی الفرد أن یقوم باستعمال مقتنیاته فی أمور غیر نافعة؛لأنّه إسراف،کذلک یحرُم إنتاج کمّیة من المواد تفوق القدرة الاستهلاکیة للفرد و المجتمع؛لأنّه لونٌ من الإسراف وتبدید للثروات بلا مبرّر</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ویتعلّق هذا الأمر أکثر ما یتعلّق بالإنتاج الزراعی لکونه أکثر عرضةً للتلف و الفساد من غیره،و أنّ تنظیم مثل هذا الأمر و الإشراف علیه یتطلّب تدخّل الدولة لکونه من الأمور الخارجة عن قدرة الأفراد،فمع أنّ النزعة الطبیعیة تتّجه لمجاراة قانون العرض و الطلب؛إلّا أنّ هناک أموراً تلعب دوراً هامّاً فی التلاعب بهذه المسألة بما یسوقها نحو تأمین منافع خاصّة لجهات خاصّة؛وذلک علی حساب المصلحة العامّة،فإنّ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مشاریع الإنتاج الخاصّة،وفقاً لإرادة أصحابها،دون توجیه مرکزی من قبل السلطة الشرعیة یؤدّی فی عصور الإنتاج المعقّد و الضخم إلی تسیب الإنتاج الاجتماعی،وتعرّضه للإسراف و الإفراط من جانب،وللتفریط بالحدّ الأدنی من جانب آخر،فلا بدّ لضمان سیر الإنتاج الاجتماعی بین الحدّین من الإشراف و التوجیه</w:t>
      </w:r>
      <w:r>
        <w:rPr>
          <w:rFonts w:eastAsia="IRNazanin" w:cs="IRNazanin"/>
          <w:color w:val="111111"/>
          <w:sz w:val="28"/>
          <w:szCs w:val="28"/>
          <w:rtl w:val="true"/>
          <w:lang w:bidi="fa-IR"/>
        </w:rPr>
        <w:t xml:space="preserve">. </w:t>
      </w:r>
      <w:r>
        <w:rPr>
          <w:rStyle w:val="FootnoteAnchor"/>
          <w:rtl w:val="true"/>
        </w:rPr>
        <w:footnoteReference w:id="500"/>
      </w:r>
      <w:bookmarkStart w:id="527" w:name="pg5204_66166"/>
    </w:p>
    <w:p>
      <w:pPr>
        <w:pStyle w:val="BookText"/>
        <w:rPr/>
      </w:pPr>
      <w:bookmarkEnd w:id="527"/>
      <w:r>
        <w:rPr>
          <w:rFonts w:ascii="IRNazanin" w:hAnsi="IRNazanin" w:eastAsia="IRNazanin"/>
          <w:color w:val="111111"/>
          <w:sz w:val="28"/>
          <w:sz w:val="28"/>
          <w:szCs w:val="28"/>
          <w:rtl w:val="true"/>
          <w:lang w:bidi="fa-IR"/>
        </w:rPr>
        <w:t>فیکون الإشراف علی عملیات الإنتاج وتوجیهها الوجهة التی تؤمّن مصالح المجتمع من ضمن المهام المنوطة بالخلیفة الخاصّ،الذی یتمثّل هنا بالدولة باعتبارها الجهة التی تمتلک الوسائل التی یمکنها من خلالها إعداد البرامج الإنتاجیة وإجراءها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لکی تضمن الدولة الحدّ الأدنی من إنتاج السلع الضروریة،والحدّ الأعلی الذی لا یجوز التجاوز عنه </w:t>
      </w:r>
      <w:r>
        <w:rPr>
          <w:rStyle w:val="FootnoteAnchor"/>
          <w:rtl w:val="true"/>
        </w:rPr>
        <w:footnoteReference w:id="501"/>
      </w:r>
    </w:p>
    <w:p>
      <w:pPr>
        <w:pStyle w:val="Heading6"/>
        <w:numPr>
          <w:ilvl w:val="5"/>
          <w:numId w:val="1"/>
        </w:numPr>
        <w:rPr/>
      </w:pPr>
      <w:bookmarkStart w:id="528" w:name="__RefHeading___Toc97448_581953129"/>
      <w:bookmarkStart w:id="529" w:name="_Toc217"/>
      <w:bookmarkEnd w:id="528"/>
      <w:r>
        <w:rPr>
          <w:rtl w:val="true"/>
        </w:rPr>
        <w:t>ج</w:t>
      </w:r>
      <w:r>
        <w:rPr>
          <w:rtl w:val="true"/>
        </w:rPr>
        <w:t>)</w:t>
      </w:r>
      <w:r>
        <w:rPr>
          <w:rtl w:val="true"/>
        </w:rPr>
        <w:t>عدم السماح بزراعة ما یتنافی وما حظره الإسلام</w:t>
      </w:r>
      <w:bookmarkEnd w:id="529"/>
    </w:p>
    <w:p>
      <w:pPr>
        <w:pStyle w:val="BookText"/>
        <w:rPr/>
      </w:pPr>
      <w:r>
        <w:rPr>
          <w:rFonts w:ascii="IRNazanin" w:hAnsi="IRNazanin" w:eastAsia="IRNazanin"/>
          <w:color w:val="111111"/>
          <w:sz w:val="28"/>
          <w:sz w:val="28"/>
          <w:szCs w:val="28"/>
          <w:rtl w:val="true"/>
          <w:lang w:bidi="fa-IR"/>
        </w:rPr>
        <w:t xml:space="preserve">و هذا الأمر لایرتبط بتحریم ذلک مباشرةً بل من خلال تحریم الغایة التی تتمّ من أجلها زراعة تلک المحاصیل،و قد مرّ علینا فی المبحث السابق کیف أنّ الإسلام حظر صناعة الخمر و المخدّرات،و قد أوردنا بهذا الخصوص حدیث النبی صلی الله علیه و آله حول الخمر،ولعنه غارسها وحارسها،وبایعها ومشتریها،وشاربها و الآکل ثمنها،وعاصرها وحاملها،والمحمولة إلیه وساقیها، </w:t>
      </w:r>
      <w:r>
        <w:rPr>
          <w:rStyle w:val="FootnoteAnchor"/>
          <w:rtl w:val="true"/>
        </w:rPr>
        <w:footnoteReference w:id="502"/>
      </w:r>
      <w:r>
        <w:rPr>
          <w:rFonts w:ascii="IRNazanin" w:hAnsi="IRNazanin" w:eastAsia="IRNazanin"/>
          <w:color w:val="111111"/>
          <w:sz w:val="28"/>
          <w:sz w:val="28"/>
          <w:szCs w:val="28"/>
          <w:rtl w:val="true"/>
          <w:lang w:bidi="fa-IR"/>
        </w:rPr>
        <w:t>فمع أنّه لم یصرّح بالحرمة،إلّا أنّ اللعن هنا یقتضی الحرمة،لا الکراهة بدلیل وروده علی الغرس و الشرب الذی ثبتت حرمته،فی سیاق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حینها،بأنّ المخدّرات تُلحق بالخمر علی هذا الصعید،وذلک من خلال العلّة المنصوصة لحرمة الخمر ألَا،وهی عملیة الإسکار،فتشترک معها فی تلک العلّة،فکما أنّ الخمر لا یسمح بتناوله وزراعة ما یراد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نصّ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تنطبق علی المخدّرات کذلک،فکما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تناولها تحرُم زراعتها والاتّجار بها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وکما أشرنا فی بدایة الکلام إلی أنّ هذا الحظر یرتبط بالغایة المقصودة من زراعة وغرس مثل تلک المحاصیل؛أمّا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للانتفاع المحلّل المعتنی به منها،کالاستفادة منها فی صنع الأدویة،وفی علاج المرضی،ونحو ذلک،فلا بأس فیها </w:t>
      </w:r>
      <w:r>
        <w:rPr>
          <w:rStyle w:val="FootnoteAnchor"/>
          <w:rtl w:val="true"/>
        </w:rPr>
        <w:footnoteReference w:id="50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الغایة منها ستنقلب إلی غایة نافعة تساهم فی الحفاظ علی الصحّة العامّة للمجتمع علی عکس الغایة الأولی التی تعمل علی هدمها،فهی تصبّ بالتالی فی خدمة</w:t>
      </w:r>
      <w:bookmarkStart w:id="530" w:name="pg5204_66167"/>
    </w:p>
    <w:p>
      <w:pPr>
        <w:pStyle w:val="BookText"/>
        <w:rPr/>
      </w:pPr>
      <w:bookmarkEnd w:id="530"/>
      <w:r>
        <w:rPr>
          <w:rFonts w:ascii="IRNazanin" w:hAnsi="IRNazanin" w:eastAsia="IRNazanin"/>
          <w:color w:val="111111"/>
          <w:sz w:val="28"/>
          <w:sz w:val="28"/>
          <w:szCs w:val="28"/>
          <w:rtl w:val="true"/>
          <w:lang w:bidi="fa-IR"/>
        </w:rPr>
        <w:t>الإنسان للقیام بدوره الخلافتی فی إعمار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وتلعب الخلافة الخاصّة المتمثّلة بالدولة دوراً محوریاً فی الحؤول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أنّ الإسلام تبنّی طریقین للحدّ من التخلّفات الشرعیة و الحقوقیة،وهما الطریق الذاتی و القانونی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أعطی للدور القانونی المتمثّل بالدولة دوراً أهمّ فی القضایا العامّة التی لا تتقوقع علی الجانب الشخصی،فقضیة کالمخدّرات التی باتت تهدّد الأنظمة الاجتماعیة و السیاسیة حتّی لا یمکن للارتداع الذاتی و الخطوات المؤسّساتیة أن تقف بوجهها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للدولة من دخول هذا المضمار و المعترک للقضاء علی مثل هذه الظواهر،وذلک من خلال التخطیط المبرمج واستخدام کافّة الأسالیب الإعلامیة و الثقافیة و العسکریة</w:t>
      </w:r>
      <w:r>
        <w:rPr>
          <w:rFonts w:eastAsia="IRNazanin" w:cs="IRNazanin"/>
          <w:color w:val="111111"/>
          <w:sz w:val="28"/>
          <w:szCs w:val="28"/>
          <w:rtl w:val="true"/>
          <w:lang w:bidi="fa-IR"/>
        </w:rPr>
        <w:t>.</w:t>
      </w:r>
    </w:p>
    <w:p>
      <w:pPr>
        <w:pStyle w:val="Heading5"/>
        <w:numPr>
          <w:ilvl w:val="4"/>
          <w:numId w:val="1"/>
        </w:numPr>
        <w:rPr/>
      </w:pPr>
      <w:bookmarkStart w:id="531" w:name="__RefHeading___Toc97450_581953129"/>
      <w:bookmarkStart w:id="532" w:name="_Toc218"/>
      <w:bookmarkEnd w:id="531"/>
      <w:r>
        <w:rPr>
          <w:rtl w:val="true"/>
        </w:rPr>
        <w:t>ثانیاً</w:t>
      </w:r>
      <w:r>
        <w:rPr>
          <w:rtl w:val="true"/>
        </w:rPr>
        <w:t>:</w:t>
      </w:r>
      <w:r>
        <w:rPr>
          <w:rtl w:val="true"/>
        </w:rPr>
        <w:t>الحدود الخاصّة لحرّیة الإنتاج الزراعی</w:t>
      </w:r>
      <w:bookmarkEnd w:id="532"/>
    </w:p>
    <w:p>
      <w:pPr>
        <w:pStyle w:val="Heading6"/>
        <w:numPr>
          <w:ilvl w:val="5"/>
          <w:numId w:val="1"/>
        </w:numPr>
        <w:rPr/>
      </w:pPr>
      <w:bookmarkStart w:id="533" w:name="__RefHeading___Toc97452_581953129"/>
      <w:bookmarkStart w:id="534" w:name="_Toc219"/>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وقلنا إنّ هذه الحدود ترتبط بالإنتاج الجماعی المتمثّل باشتراک طرفین أو أکثر أحدهما مالک الأرض و الآخر الزارع فیه،أو صاحب الزرع و الشجر وشخصٌ یرعاه ویصلحه،وذلک حسب اتّفاق مسبق فیما بینهما،فبما أنّها عملیة تعاقد تتمّ بین طرفین،أو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تخضع لشروط یلزم توفّرها فی کلّ من المتعاقدین من جهة،إضافة إلی الشروط التی تُشکّل المقوّمات الرئیسة لتلک العملیة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الشروط الأولی،فلا ترتبط بعملیة الإنتاج مباشرةً؛إذ إنّها أمورٌ عامّةٌ ترتبط بشخص المتعاقدین وتخضع لها کلّ عملیة تعاقد فی أی مجال کانت،ولا تختصّ بهذا المجال؛وذلک کی تترتّب آثارٌ صحیحةٌ علی الخدمة التی یقدّمها أحدهما للآخر،و هو ما سنبحثه فی قطاع الخدمات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الشروط الثانیة،فتنقسم بدورها إلی شروط توافقیة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ومعدّات المشروع وتقسیم العمل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فتتحدّد هذه حسب ما یتّفقان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یعدّ التوافق من الضوابط التی تتوقّف علیها کلّ عملیة تبادلیة أو خدمیة،والتی بسطنا الکلام حوله فی بحث الضوابط</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شروط موضوعیة؛لا بدّ من توفّرها فیما لو أرادا لهذا الاتّفاق أن یکون منتجاً،وأن یکتسب صفةً حقوقیةً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الذی یهمّنا فی الحقیقة هو الأخیر،مع أنّ القسم الأوّل یکون مقیداً للمتعاقدین أیضاً،وذلک من خلال إیقاعهما تصرّفاتهما حسب ما تمّ الاتّفاق علیه فیما بینهما</w:t>
      </w:r>
      <w:r>
        <w:rPr>
          <w:rFonts w:eastAsia="IRNazanin" w:cs="IRNazanin"/>
          <w:color w:val="111111"/>
          <w:sz w:val="28"/>
          <w:szCs w:val="28"/>
          <w:rtl w:val="true"/>
          <w:lang w:bidi="fa-IR"/>
        </w:rPr>
        <w:t>.</w:t>
      </w:r>
      <w:bookmarkStart w:id="535" w:name="pg5204_66168"/>
    </w:p>
    <w:p>
      <w:pPr>
        <w:pStyle w:val="BookText"/>
        <w:rPr/>
      </w:pPr>
      <w:bookmarkEnd w:id="535"/>
      <w:r>
        <w:rPr>
          <w:rFonts w:ascii="IRNazanin" w:hAnsi="IRNazanin" w:eastAsia="IRNazanin"/>
          <w:color w:val="111111"/>
          <w:sz w:val="28"/>
          <w:sz w:val="28"/>
          <w:szCs w:val="28"/>
          <w:rtl w:val="true"/>
          <w:lang w:bidi="fa-IR"/>
        </w:rPr>
        <w:t>وعلی هذا،فسنأتی علی ذکر تلک الشروط الموضوعیة بحسب نوعیة الإنتاج الذی قلنا إنّه یتفرّع إلی فرعین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عملیة استحداث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سنُطلق علیها الإنتاج الابتدائی أو الاستحداثی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وإصلاح ما نبت من الزرع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سنُطلق علیها الإنتاج التکمیلی أو الرعائی،فلم یترک الأمر لأطراف الإنتاج لکی یمارسوا مثل هکذا إنتاج کیفما اتّفق،بل أُخذت فیه شروطٌ تُعدّ بمثابة قیود تؤمّن حقوق المشترکین فیها،حیث إنّها تحول دون المناورة فی التصرّف بما یتسبّب فی هضم الحقوق وإیجاد النزاعات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خلال تأسیسه علی أساس موضوعی متین کما ألمحنا إلیه فیما سبق،وعلی هذا فسنبحث المسألة تحت عنوانین</w:t>
      </w:r>
      <w:r>
        <w:rPr>
          <w:rFonts w:eastAsia="IRNazanin" w:cs="IRNazanin"/>
          <w:color w:val="111111"/>
          <w:sz w:val="28"/>
          <w:szCs w:val="28"/>
          <w:rtl w:val="true"/>
          <w:lang w:bidi="fa-IR"/>
        </w:rPr>
        <w:t>:</w:t>
      </w:r>
    </w:p>
    <w:p>
      <w:pPr>
        <w:pStyle w:val="Heading6"/>
        <w:numPr>
          <w:ilvl w:val="5"/>
          <w:numId w:val="1"/>
        </w:numPr>
        <w:rPr/>
      </w:pPr>
      <w:bookmarkStart w:id="536" w:name="__RefHeading___Toc97454_581953129"/>
      <w:bookmarkStart w:id="537" w:name="_Toc220"/>
      <w:bookmarkEnd w:id="536"/>
      <w:r>
        <w:rPr>
          <w:rtl w:val="true"/>
        </w:rPr>
        <w:t>أ</w:t>
      </w:r>
      <w:r>
        <w:rPr>
          <w:rtl w:val="true"/>
        </w:rPr>
        <w:t>)</w:t>
      </w:r>
      <w:r>
        <w:rPr>
          <w:rtl w:val="true"/>
        </w:rPr>
        <w:t>الإنتاج الاستحداثی</w:t>
      </w:r>
      <w:bookmarkEnd w:id="537"/>
    </w:p>
    <w:p>
      <w:pPr>
        <w:pStyle w:val="Heading6"/>
        <w:numPr>
          <w:ilvl w:val="5"/>
          <w:numId w:val="1"/>
        </w:numPr>
        <w:rPr/>
      </w:pPr>
      <w:bookmarkStart w:id="538" w:name="__RefHeading___Toc97456_581953129"/>
      <w:bookmarkStart w:id="539" w:name="_Toc221"/>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و هو عملیة استحداث الزرع،والذی یطلق علیه فقهیاً المزارعة،وعرّفوها فقهیاً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عملیة التعاقد أو الاتّفاق بین مالک الأرض أو متولّیها و الزارع أو العامل علی زراعة الأرض بحصّة من حاصلها </w:t>
      </w:r>
      <w:r>
        <w:rPr>
          <w:rStyle w:val="FootnoteAnchor"/>
          <w:rtl w:val="true"/>
        </w:rPr>
        <w:footnoteReference w:id="505"/>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علی الزرع ببعض الخارج</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والمقوّم الأساسی لهذا النوع من الإنتاج هو اشتراک طرفین فیه،یکونان مسلّطین علی الأرض انفراداً أو اشتراکاً تسلّطاً صحیحاً یسمح لهما بالتصرّف فیها بمثل المزارعة،ملکیاً کان التسلّط أو غیر ملکی؛أمّا العمل و المؤن من البذر و المعدّات ونحوها من النفقات،فهی تخضع لحسب ما یتّفقان علیه،مع أنّ الفقهاء اختلفوا فی بعض صور تقسیم ذلک،فأبطلها البعض فی تلک الصور،وسیأتی الکلام حولها فی فصل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الأخری التی اختُلف حولها،هی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أن یشترک عدّة أشخاص فیها،أم أنّه یلزم أن تقتصر علی شخصین فقط،فجوّز البعض اشتراک عدّة أطراف فیها بالأصالة أو التبعیة،ولم یجوّز البعض الآخر ذلک فقصرها علی شخصین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المسألتین الخلافیتین الآنفتین ترتبطان بالتوزیع أکثر من ارتباطهما بالإنتاج،</w:t>
      </w:r>
      <w:bookmarkStart w:id="540" w:name="pg5204_66169"/>
    </w:p>
    <w:p>
      <w:pPr>
        <w:pStyle w:val="BookText"/>
        <w:rPr/>
      </w:pPr>
      <w:bookmarkEnd w:id="540"/>
      <w:r>
        <w:rPr>
          <w:rFonts w:ascii="IRNazanin" w:hAnsi="IRNazanin" w:eastAsia="IRNazanin"/>
          <w:color w:val="111111"/>
          <w:sz w:val="28"/>
          <w:sz w:val="28"/>
          <w:szCs w:val="28"/>
          <w:rtl w:val="true"/>
          <w:lang w:bidi="fa-IR"/>
        </w:rPr>
        <w:t>و هو ما سیأتی بعض الکلام عنه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حال،فإنّ هذا النوع من الإنتاج الاستحداثی یشتمل علی عدّة شروط موضوعیة،یمکن حصر أرکانها بالمقوّمات الأساسیة لعملیة الزراعة و التی تتمثّل فی الأرض،النبات،الزمن،إضافةً إلی القسمة بما أنّه عملیةٌ تتمّ بین طرفین،ولهذا فسنقوم ببیانها حسب تلک المقوّمات</w:t>
      </w:r>
      <w:r>
        <w:rPr>
          <w:rFonts w:eastAsia="IRNazanin" w:cs="IRNazanin"/>
          <w:color w:val="111111"/>
          <w:sz w:val="28"/>
          <w:szCs w:val="28"/>
          <w:rtl w:val="true"/>
          <w:lang w:bidi="fa-IR"/>
        </w:rPr>
        <w:t>:</w:t>
      </w:r>
    </w:p>
    <w:p>
      <w:pPr>
        <w:pStyle w:val="Heading6"/>
        <w:numPr>
          <w:ilvl w:val="5"/>
          <w:numId w:val="1"/>
        </w:numPr>
        <w:rPr/>
      </w:pPr>
      <w:bookmarkStart w:id="541" w:name="__RefHeading___Toc97458_581953129"/>
      <w:bookmarkStart w:id="542" w:name="_Toc222"/>
      <w:bookmarkEnd w:id="541"/>
      <w:r>
        <w:rPr>
          <w:rtl w:val="true"/>
        </w:rPr>
        <w:t>الأوّل</w:t>
      </w:r>
      <w:r>
        <w:rPr>
          <w:rtl w:val="true"/>
        </w:rPr>
        <w:t>:</w:t>
      </w:r>
      <w:r>
        <w:rPr>
          <w:rtl w:val="true"/>
        </w:rPr>
        <w:t>الأرض</w:t>
      </w:r>
      <w:bookmarkEnd w:id="542"/>
    </w:p>
    <w:p>
      <w:pPr>
        <w:pStyle w:val="BookText"/>
        <w:rPr/>
      </w:pPr>
      <w:r>
        <w:rPr>
          <w:rFonts w:ascii="IRNazanin" w:hAnsi="IRNazanin" w:eastAsia="IRNazanin"/>
          <w:color w:val="111111"/>
          <w:sz w:val="28"/>
          <w:sz w:val="28"/>
          <w:szCs w:val="28"/>
          <w:rtl w:val="true"/>
          <w:lang w:bidi="fa-IR"/>
        </w:rPr>
        <w:t>و یمکن إیراد الحدود التی تخضع لها بالنحو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فی الأرض غیر القابلة للزراعة ابتداءً واستمراراً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شرطٌ موضوعی،فمع عدم صلاحیة الأرض ابتداءً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إذا کانت الأرض سبخة لا یمکن الانتفاع بها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أو من جهة 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توفّر الماء فیها أو إمکان إیصاله إلیها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ونحوها من الأسباب،فإنّ قضیة العقد مع وجود مثل هذه الأمور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سالباً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ذلک من جهة عوارض مؤقّتة یرجی زوالها أو هی علی طریق الزوال تصحّ حینها؛وذلک لتوفّر إمکانیة زراعتها عندئذ،فتکون قابلةً للزراعة مع توفّر مثل تلک الصلاحیة خلال فترة العقد،فإذا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صالحة للزراعة فی المدّة لکن لا تمکن زراعتها وقت العقد لعارض من انقطاع الماء وزمان الشتاء،ونحوه من العوارض التی هی علی شرف الزوال فی المدّة تجوز مزارعتها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أمّا مع عدم رجاء زوال مثل ذلک خلال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وجود عدو أو سبع ضار أو فئران تضرّ بالزرع أو ما یشبه ذلک من الموانع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فلا یصحّح وجود مثل تلک الأمور العقد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ابتداءً؛أمّا استمراراً،فالحال کما هو فی الابتداء؛لأنّ الغایة تتمثّل فی وصول الزرع</w:t>
      </w:r>
    </w:p>
    <w:p>
      <w:pPr>
        <w:pStyle w:val="BookText"/>
        <w:rPr/>
      </w:pPr>
      <w:r>
        <w:rPr>
          <w:rFonts w:ascii="IRNazanin" w:hAnsi="IRNazanin" w:eastAsia="IRNazanin"/>
          <w:color w:val="111111"/>
          <w:sz w:val="28"/>
          <w:sz w:val="28"/>
          <w:szCs w:val="28"/>
          <w:rtl w:val="true"/>
          <w:lang w:bidi="fa-IR"/>
        </w:rPr>
        <w:t xml:space="preserve">إلی مرحلة الصلاح،فلو طرأت معوّقات قبل بلوغه وإدراکه من شأنها المنع من الاستمرار فی الزراعة کانقطاع الماء عنه،ولم یمکن تحصیله أو استولی علیه الماء،ولم یمکن قطعه أو وُجد مانع لم یمکن رفعه، </w:t>
      </w:r>
      <w:r>
        <w:rPr>
          <w:rStyle w:val="FootnoteAnchor"/>
          <w:rtl w:val="true"/>
        </w:rPr>
        <w:footnoteReference w:id="511"/>
      </w:r>
      <w:r>
        <w:rPr>
          <w:rFonts w:ascii="IRNazanin" w:hAnsi="IRNazanin" w:eastAsia="IRNazanin"/>
          <w:color w:val="111111"/>
          <w:sz w:val="28"/>
          <w:sz w:val="28"/>
          <w:szCs w:val="28"/>
          <w:rtl w:val="true"/>
          <w:lang w:bidi="fa-IR"/>
        </w:rPr>
        <w:t>فإنّ ذلک یکشف عن بطلان العقد من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دون تعیین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المکان و المقدار؛إذ إنّ الأراضی تختلف باختلاف مواقعها وتربتها،و هذا ما یؤثّر علی عملیة الإنتاج من ناحیة إمکان ومدی قبولها للزرع،إلّا إذا تساوت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القطع من الأرض فی الصلاحیة الزراعیة ومستلزماتها،فلا یضرّ عدم التعیین بصحّة العقد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ویؤثّر کذلک علی حقوق المالک،فیما لوکانت له أراض متعدّدةٌ أو أرضٌ واسعة،إلّا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کلّیاً موصوفاً علی وجه لا یکون فیه غرر کمقدار جریب من هذه القطعة من الأرض التی لا اختلاف بین أجزائها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فإنّها تصحّ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 التعیین سیقطع الطریق علی کثیر من المشاکل التی غالباً ما تنشأ من الجهل بما یتمّ التعامل علیه؛فلذا لو أنّ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مجهولةً لا تصحّ المزارعة لأنّها تؤدّی إلی المنازعة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هو ما یؤدّی إلی تقویض العملیة الإنتاجیة،و هذا ما یخالف الغایة التی أُریدت لمثل هذه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دون التخلیة بین الأرض و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یشتمل علی 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تُسلَّم الأرض إلی العامل،و هو أمرٌ موضوعی لا یعقل أن تتمّ العملیة الإنتاجیة من دونه،فیلزم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الأرض مسلّمة إلی العامل مخلاة،و هو أن یوجد من صاحب الأرض التخلیة بین الأرض وبین العامل</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ویتمثّل الجانب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التخلیة بقیام العامل وحده بعملیة زراعتها وعدم صحّة اشتراک المالک فیها،بحیث</w:t>
      </w:r>
      <w:r>
        <w:rPr>
          <w:rFonts w:eastAsia="IRNazanin" w:cs="IRNazanin"/>
          <w:color w:val="111111"/>
          <w:sz w:val="28"/>
          <w:szCs w:val="28"/>
          <w:rtl w:val="true"/>
          <w:lang w:bidi="fa-IR"/>
        </w:rPr>
        <w:t>:</w:t>
      </w:r>
      <w:bookmarkStart w:id="543" w:name="pg5204_66171"/>
    </w:p>
    <w:p>
      <w:pPr>
        <w:pStyle w:val="BookText"/>
        <w:rPr/>
      </w:pPr>
      <w:bookmarkEnd w:id="543"/>
      <w:r>
        <w:rPr>
          <w:rFonts w:ascii="IRNazanin" w:hAnsi="IRNazanin" w:eastAsia="IRNazanin"/>
          <w:color w:val="111111"/>
          <w:sz w:val="28"/>
          <w:sz w:val="28"/>
          <w:szCs w:val="28"/>
          <w:rtl w:val="true"/>
          <w:lang w:bidi="fa-IR"/>
        </w:rPr>
        <w:t xml:space="preserve">لو شرط العمل علی ربّ الأرض لا تصحّ المزارعة لانعدام التخلیة،فکذا إذا اشترط فیه عملهما فیمنع التخلیة جمیعا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یعود هذا فی الحقیقة إلی أنّه؛هل یصحّ إخضاع العمل فی المزارعة إلی مبدأ التوافق أم لا؟فمن قال بالصحّة لم یتعرّض له هنا</w:t>
      </w:r>
      <w:r>
        <w:rPr>
          <w:rFonts w:eastAsia="IRNazanin" w:cs="IRNazanin"/>
          <w:color w:val="111111"/>
          <w:sz w:val="28"/>
          <w:szCs w:val="28"/>
          <w:rtl w:val="true"/>
          <w:lang w:bidi="fa-IR"/>
        </w:rPr>
        <w:t>.</w:t>
      </w:r>
    </w:p>
    <w:p>
      <w:pPr>
        <w:pStyle w:val="Heading6"/>
        <w:numPr>
          <w:ilvl w:val="5"/>
          <w:numId w:val="1"/>
        </w:numPr>
        <w:rPr/>
      </w:pPr>
      <w:bookmarkStart w:id="544" w:name="__RefHeading___Toc97460_581953129"/>
      <w:bookmarkStart w:id="545" w:name="_Toc223"/>
      <w:bookmarkEnd w:id="544"/>
      <w:r>
        <w:rPr>
          <w:rtl w:val="true"/>
        </w:rPr>
        <w:t>الثانی</w:t>
      </w:r>
      <w:r>
        <w:rPr>
          <w:rtl w:val="true"/>
        </w:rPr>
        <w:t>:</w:t>
      </w:r>
      <w:r>
        <w:rPr>
          <w:rtl w:val="true"/>
        </w:rPr>
        <w:t>النبات</w:t>
      </w:r>
      <w:bookmarkEnd w:id="545"/>
    </w:p>
    <w:p>
      <w:pPr>
        <w:pStyle w:val="BookText"/>
        <w:rPr/>
      </w:pPr>
      <w:r>
        <w:rPr>
          <w:rFonts w:ascii="IRNazanin" w:hAnsi="IRNazanin" w:eastAsia="IRNazanin"/>
          <w:color w:val="111111"/>
          <w:sz w:val="28"/>
          <w:sz w:val="28"/>
          <w:szCs w:val="28"/>
          <w:rtl w:val="true"/>
          <w:lang w:bidi="fa-IR"/>
        </w:rPr>
        <w:t>أمّا ما یتعلّق بما یزرع،فإنّه یخضع للحدود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علی غیر المستحدَث وغیر الصالح للنمو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المفترض فیه إنّه عقدٌ علی عملیة الزراعة ابتداءً،و إن استمرّ حتّی نضجه انتهاءً کما سبق فی تعریفها،فینبغی أن یتمّ زراعة شیء جدید؛إذ إنّ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تختصّ بنفس استحداث الزرع بعد أن لم یکن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هذا یتنافی بطبیعة الحال فیما لو أُرید العمل علی ما کان له أصولٌ موجودةٌ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الزرع إذا استُحصد لا یؤثّر فیه عمل الزراعة بالزیادة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فستکون حینها فاقدةٌ لشرطها الأساسی،بل لصدق إطلاق الإنتاج الاستحداثی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جهة،ومن جهة أخری،فإنّه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ذات الاتّجاه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المزروع صالحاً للنموّ عادةً،فهو کالأرض من حیث إنّها ینبغی أن تکون صالحةً للزراعة،و هذا من الأمور الموضوعیة التی یلزم توفّرها فی النبات؛وذلک من حیث تلاؤم ما یزرع و الظروف الطبیعیة التی یزرع فیها من أرض ونحوها،کی یکون العمل علیه منتجاً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مالا یؤثّر فیه العمل بالزیادة عادة لا یتحقّق فیه عمل الزراعة</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علی غیر المعین وغیر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تعیین نوعیة النبات الذی یراد زرعه،فیجب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معلوماً بأن یبین ما یزرع </w:t>
      </w:r>
      <w:r>
        <w:rPr>
          <w:rStyle w:val="FootnoteAnchor"/>
          <w:rtl w:val="true"/>
        </w:rPr>
        <w:footnoteReference w:id="520"/>
      </w:r>
      <w:bookmarkStart w:id="546" w:name="pg5204_66172"/>
    </w:p>
    <w:p>
      <w:pPr>
        <w:pStyle w:val="BookText"/>
        <w:rPr/>
      </w:pPr>
      <w:bookmarkEnd w:id="546"/>
      <w:r>
        <w:rPr>
          <w:rFonts w:ascii="IRNazanin" w:hAnsi="IRNazanin" w:eastAsia="IRNazanin"/>
          <w:color w:val="111111"/>
          <w:sz w:val="28"/>
          <w:sz w:val="28"/>
          <w:szCs w:val="28"/>
          <w:rtl w:val="true"/>
          <w:lang w:bidi="fa-IR"/>
        </w:rPr>
        <w:t>هذا إذا کان بین المتعاقدین اختلاف علی ما یزرع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لم یلزم التعیین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أمّا إذا کان هناک انصرافٌ متعارفٌ إلی نوع معین بعینه،فیکون حینها هو المتعین؛إذ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یکفی فی التعیین الانصراف المُغنی عن التصریح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فإنّ ذلک کاشفٌ فی الحقیقة عن اتّفاقهما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یعینا نوع المزروع بطل العقد إلّا أن یصرّحا بالتعمیم وبحرّیة الزارع فی زرع ما یشاء</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إذ إنّه یتوفّر حینئذ نوعٌ من رفع الجهالة التی تتسبّب فیما لو بقیت بعدم صحّة مثل هذا العقد،فإذا ارتفعت الجهالة بأی وسیلة کانت ومنها التعمیم،فیجوز له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یزرع فیها ما شاء</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ولو عدنا أدراجنا إلی الحدود العامّة للإنتاج الزراعی لتبین أنّ هناک فائدة مهمّة أخری فی أن یتمّ تعیین نوع المزروع مسبقاً؛إذ یکون هذا الأمر منسجماً تمام الانسجام مع ما جاء فیها من عدم السماح بإنتاج الفائض عن الحاجة،فیصبّ التحدید فی أنّه یساعد علی عملیة ترشید الإنتاج وفقاً لحاجة المجتمع،والتی تتولّی الدولة عملیة الإشراف علیها</w:t>
      </w:r>
      <w:r>
        <w:rPr>
          <w:rFonts w:eastAsia="IRNazanin" w:cs="IRNazanin"/>
          <w:color w:val="111111"/>
          <w:sz w:val="28"/>
          <w:szCs w:val="28"/>
          <w:rtl w:val="true"/>
          <w:lang w:bidi="fa-IR"/>
        </w:rPr>
        <w:t>.</w:t>
      </w:r>
    </w:p>
    <w:p>
      <w:pPr>
        <w:pStyle w:val="Heading6"/>
        <w:numPr>
          <w:ilvl w:val="5"/>
          <w:numId w:val="1"/>
        </w:numPr>
        <w:rPr/>
      </w:pPr>
      <w:bookmarkStart w:id="547" w:name="__RefHeading___Toc97462_581953129"/>
      <w:bookmarkStart w:id="548" w:name="_Toc224"/>
      <w:bookmarkEnd w:id="547"/>
      <w:r>
        <w:rPr>
          <w:rtl w:val="true"/>
        </w:rPr>
        <w:t>الثالث</w:t>
      </w:r>
      <w:r>
        <w:rPr>
          <w:rtl w:val="true"/>
        </w:rPr>
        <w:t>:</w:t>
      </w:r>
      <w:r>
        <w:rPr>
          <w:rtl w:val="true"/>
        </w:rPr>
        <w:t>الزمن</w:t>
      </w:r>
      <w:bookmarkEnd w:id="548"/>
    </w:p>
    <w:p>
      <w:pPr>
        <w:pStyle w:val="BookText"/>
        <w:rPr/>
      </w:pPr>
      <w:r>
        <w:rPr>
          <w:rFonts w:ascii="IRNazanin" w:hAnsi="IRNazanin" w:eastAsia="IRNazanin"/>
          <w:color w:val="111111"/>
          <w:sz w:val="28"/>
          <w:sz w:val="28"/>
          <w:szCs w:val="28"/>
          <w:rtl w:val="true"/>
          <w:lang w:bidi="fa-IR"/>
        </w:rPr>
        <w:t>ولتحدید المدّة التی یتمّ فیها الإنتاج الاستحداثی دورٌ مهمٌّ کذلک لتتحقّق عملیة الإنتاج،فیلزم أن تکون کافیةً لإدراک المحصول،فمع أنّه من المتعارف أن یکون القصد من ممارسة عملیة الإنتاج هو نضج الحاصل للانتفاع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جوّز البعض عدم ضرورة تحدیدها استحساناً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لتعامل الناس علی ذلک من غیر بیان المدّة وتقع علی أوّل جزء یخرج من الثمرة فی أوّل السنة؛لأنّ وقت ابتداء المعاملة معلوم </w:t>
      </w:r>
      <w:r>
        <w:rPr>
          <w:rStyle w:val="FootnoteAnchor"/>
          <w:rtl w:val="true"/>
        </w:rPr>
        <w:footnoteReference w:id="52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من الممکن أن یدّعی أحد الطرفین امتدادها لعدّة مواسم مثلاً،أو حدوث أو وجود</w:t>
      </w:r>
      <w:bookmarkStart w:id="549" w:name="pg5204_66173"/>
    </w:p>
    <w:p>
      <w:pPr>
        <w:pStyle w:val="BookText"/>
        <w:rPr/>
      </w:pPr>
      <w:bookmarkEnd w:id="549"/>
      <w:r>
        <w:rPr>
          <w:rFonts w:ascii="IRNazanin" w:hAnsi="IRNazanin" w:eastAsia="IRNazanin"/>
          <w:color w:val="111111"/>
          <w:sz w:val="28"/>
          <w:sz w:val="28"/>
          <w:szCs w:val="28"/>
          <w:rtl w:val="true"/>
          <w:lang w:bidi="fa-IR"/>
        </w:rPr>
        <w:t>ظروف تؤخّر من إمکانیة اقتطاف ثمار الإنتاج علی سبیل المثال،ولأجل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تصحّ المزارعة إلّا بعد بیان المدّة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ولا یکفی مجرّد تحدید المدّة،بل ینبغی أن تکون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بمقدار یمکن حصول الزرع فیه،وعلیه فلو جعل آخر المدّة إدراک الحاصل بعد تعیین أوّلها کفی فی الصحّة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إذ إنّ المهمّ و الشرط الأساسی أن تکون هذه المدّة کافیةً لجنی المحصول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یستوجب فی تحدید المدّة أن تکون لموسم واحد؛إذ إنّ المسألة ترتبط بصلاحیة الأرض للاستفادة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فالمعیار فی تحدید المدّة هو أن تکون کافیةً لإدراک المحصول،فربما تطلّب الأمر عدّة مواسم لإدراکه،وعلی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الأرض تحتاج إلی إصلاح فی السنة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یضرّ ذلک فی مزارعتها سنتین أو ثلاث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فتحدید المدّة إضافةً إلی أنّه یفید فی رفع الجهالة عن المتعاقدین لحفظ حقوق کلّ منهما،یرتبط کذلک بالظروف المحیطة بالعملیة الإنتاجیة فی أن تکون بصورة یمکن من خلالها قطف ثمار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نکون قد انتهینا من الحدود اللازم الأخذ بها فی ممارسة حرّیة الإنتاج الزراعی الاستحداثی،إلّا أنّه یبقی شرطٌ مهمٌّ آخر،والذی یرتبط بکیفیة تقاسم المحصول،فقد اتّفق الجمیع علی أنّه لا بدّ أن یتمّ تقاسمه بحصّة مشاعة من تمام حاصل الأرض محدّدةً بالکسور،لا من غیرها،ولا علی غیر مبدأ الحصص الکسریة المشاعة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هذا الأمر لا یرتبط مباشرةً بعملیة الانتاج؛إذ إنّه خاضعٌ للمعاییر التی یتمّ علی أساسها التوزیع،ولذا فسوف نبحثه فی فصل التوزیع،إن شاء الله</w:t>
      </w:r>
      <w:r>
        <w:rPr>
          <w:rFonts w:eastAsia="IRNazanin" w:cs="IRNazanin"/>
          <w:color w:val="111111"/>
          <w:sz w:val="28"/>
          <w:szCs w:val="28"/>
          <w:rtl w:val="true"/>
          <w:lang w:bidi="fa-IR"/>
        </w:rPr>
        <w:t>.</w:t>
      </w:r>
    </w:p>
    <w:p>
      <w:pPr>
        <w:pStyle w:val="Heading6"/>
        <w:numPr>
          <w:ilvl w:val="5"/>
          <w:numId w:val="1"/>
        </w:numPr>
        <w:rPr/>
      </w:pPr>
      <w:bookmarkStart w:id="550" w:name="__RefHeading___Toc97464_581953129"/>
      <w:bookmarkStart w:id="551" w:name="_Toc225"/>
      <w:bookmarkEnd w:id="550"/>
      <w:r>
        <w:rPr>
          <w:rtl w:val="true"/>
        </w:rPr>
        <w:t>ب</w:t>
      </w:r>
      <w:r>
        <w:rPr>
          <w:rtl w:val="true"/>
        </w:rPr>
        <w:t>)</w:t>
      </w:r>
      <w:r>
        <w:rPr>
          <w:rtl w:val="true"/>
        </w:rPr>
        <w:t>الإنتاج التکمیلی</w:t>
      </w:r>
      <w:bookmarkEnd w:id="551"/>
    </w:p>
    <w:p>
      <w:pPr>
        <w:pStyle w:val="Heading6"/>
        <w:numPr>
          <w:ilvl w:val="5"/>
          <w:numId w:val="1"/>
        </w:numPr>
        <w:rPr/>
      </w:pPr>
      <w:bookmarkStart w:id="552" w:name="__RefHeading___Toc97466_581953129"/>
      <w:bookmarkStart w:id="553" w:name="_Toc226"/>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و هو عبارةٌ عن عملیة رعایة ما سبق زراعته،والتی أطلقوا علیها فقهیاً المساقاة،وعرّفوها بأنّها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شخص مع آخر علی رعایة أشجار ونحوها وإصلاح شؤونها إلی مدّة معینة بحصّة من حاصلها </w:t>
      </w:r>
      <w:r>
        <w:rPr>
          <w:rStyle w:val="FootnoteAnchor"/>
          <w:rtl w:val="true"/>
        </w:rPr>
        <w:footnoteReference w:id="529"/>
      </w:r>
      <w:bookmarkStart w:id="554" w:name="pg5204_66174"/>
    </w:p>
    <w:p>
      <w:pPr>
        <w:pStyle w:val="BookText"/>
        <w:rPr/>
      </w:pPr>
      <w:bookmarkEnd w:id="554"/>
      <w:r>
        <w:rPr>
          <w:rFonts w:ascii="IRNazanin" w:hAnsi="IRNazanin" w:eastAsia="IRNazanin"/>
          <w:color w:val="111111"/>
          <w:sz w:val="28"/>
          <w:sz w:val="28"/>
          <w:szCs w:val="28"/>
          <w:rtl w:val="true"/>
          <w:lang w:bidi="fa-IR"/>
        </w:rPr>
        <w:t>فهو عقدٌ علی العمل بالرعایة إلّا أنّ حقّ العامل یتمثّل بحصّة من نفس الحاصل بالتحدید،ولیس من غیره،ولذا اکتفی البعض فی تعریفها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علی العمل ببعض الخارج</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والمائز الأساسی فیما بین هذا النوع من الإنتاج و الإنتاج الاستحداثی،هو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الاستحداثی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تمّ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یتقوّم فی أنّه عملیة استحداث للنبات؛أمّا التکمیلی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هو واضحٌ من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یتقوّم فی العنایة بالنبات بعد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الإساس،فإنّ الحدود التی ترتبط بالأرض تکون منتفیةً هنا،وتبقی مسألة التوافق و النبات و الزمن و التحاصّ،کما هو واضحٌ من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التحاصّ یتعلّق بموضوع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موکولٌ إلی بحث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الاتّفاق،فهو من الشروط الرئیسة فی کلّ مسألة تعاقد کما سبق ذکره؛وذلک من حیث إحداثه علی أصل الموضوع،و هو الإنتاج التکمیلی هنا،ومن حیث الأمور التکمیلیة الأخری له،والتی لا ترتبط بالحدود الأساسیة لهذه العملیة،فیبقی لدینا الحدود المتعلّقة بالنبات و الزمن،والتی سنبحثها کالتالی</w:t>
      </w:r>
      <w:r>
        <w:rPr>
          <w:rFonts w:eastAsia="IRNazanin" w:cs="IRNazanin"/>
          <w:color w:val="111111"/>
          <w:sz w:val="28"/>
          <w:szCs w:val="28"/>
          <w:rtl w:val="true"/>
          <w:lang w:bidi="fa-IR"/>
        </w:rPr>
        <w:t>:</w:t>
      </w:r>
    </w:p>
    <w:p>
      <w:pPr>
        <w:pStyle w:val="Heading6"/>
        <w:numPr>
          <w:ilvl w:val="5"/>
          <w:numId w:val="1"/>
        </w:numPr>
        <w:rPr/>
      </w:pPr>
      <w:bookmarkStart w:id="555" w:name="__RefHeading___Toc97468_581953129"/>
      <w:bookmarkStart w:id="556" w:name="_Toc227"/>
      <w:bookmarkEnd w:id="555"/>
      <w:r>
        <w:rPr>
          <w:rtl w:val="true"/>
        </w:rPr>
        <w:t>الأوّل</w:t>
      </w:r>
      <w:r>
        <w:rPr>
          <w:rtl w:val="true"/>
        </w:rPr>
        <w:t>:</w:t>
      </w:r>
      <w:r>
        <w:rPr>
          <w:rtl w:val="true"/>
        </w:rPr>
        <w:t>النبات</w:t>
      </w:r>
      <w:bookmarkEnd w:id="556"/>
    </w:p>
    <w:p>
      <w:pPr>
        <w:pStyle w:val="BookText"/>
        <w:rPr/>
      </w:pPr>
      <w:r>
        <w:rPr>
          <w:rFonts w:ascii="IRNazanin" w:hAnsi="IRNazanin" w:eastAsia="IRNazanin"/>
          <w:color w:val="111111"/>
          <w:sz w:val="28"/>
          <w:sz w:val="28"/>
          <w:szCs w:val="28"/>
          <w:rtl w:val="true"/>
          <w:lang w:bidi="fa-IR"/>
        </w:rPr>
        <w:t>ویقوم النبات هنا بدور الأرض فی الإنتاج الاستحداثی،من حیث إنّه یلزم أن یکون التصرّف فیه من خلال ملکیته أو ملکیة منفعته أو الولایة علیه بنحو تُجیز لمتولّیه التصرّف فیه بمثل الإنتاج التکمیلی،أمّا الحدود اللازم مراعاتها فیه فیمکن إیرادها حسب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علی غیر المعین وغیر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مرّ سابقاً فی الإنتاج الاستحداثی،فإنّ تعیین نوع ما یقع علیه الإنتاج التکمیلی یعدّ من الأرکان الرئیسة لعملیة الإنتاج،وذلک من الناحیة الحقوقیة المرتبطة بحفظ حقوق کلا المتعاقدین،وکذا من ناحیة ما یلزمها من الأمور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فالنباتات تختلف من حیث کیفیة رعایتها و الوسائل التی تتطلّبها تلک الرعایة،کی تصل حدّ الإنتاج،والأمر ذاته ینطبق علی مقدار ما یراد رعایته،فلا بدّ إذاً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تعیین النبات من حیث النوع و المقدار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ولا یتطلّب تحدید نوع النبات ومقداره تلک الدقّة التی تحول دون جریان العملیة الإنتاجیة بسلاسة وانسیابیة،فیکفی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بها إجمالاً بمشاهدة أو نحوها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فلا یحتاج الأمر إلی معرفة تفصیلیة؛إذ إنّ المهمّ فی المسألة هو أن یقدِم المتعاقدین علی هذه العملیة بنحو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یرتفع معه الغرر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عنهما،و هو ما یساهم فی تعزیز العلاقة الإنتاجیة فیما بین المتعاقدین،والإسراع فیها،بما أنّها تخضع للزمن و الظروف البیئویة أیضاً،واللذان یلعبان دوراً مهمّاً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علی ما لیس له 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سبق،وأن ذکرنا فی أوّل بحثنا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الإنتاج التکمیلی یختلف عن الاستحداثی فی أنّه یتمّ علی ما هو مزروعٌ فعلاً،فهذا الأمر یعدّ مقوّماً إساسیاً للإنتاج التکمیلی،فهو یأخذ فی عهدته إیصال النبات إلی مرحلة النضج و النمو،وقصروا تحقّقه علی فیما لو تمّ علی ما له أصولٌ من النبات،فإنّ هذا النوع من النبات یحتاج إلی عملیات متعدّدة من أجل الوصول به إلی تلک المرحلة،علی عکس ما لم یکن له أصول؛ولهذا السبب ربّما لم یصحّحوه علی الأنواع التی تقتصر علی کونها مجرّد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الخس وغیره من البقول التی لا یبقی لها أصل فی الأرض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إذ إنّ الغالب فیها أنّها لا تحتاج إلی عمل تکمیلی إصلاحی أم رعائی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جاء الاختلاف علی ما لیس له جذورٌ عمیقةٌ ممتدّة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 فی الکرم و الشجر و الرطب وأصول الباذنجان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فهی علی هذا القول ومن خلال ذکره أصول الباذنجان تکون صحیحةً فیما لو جرت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الأصول غیر الثابتة کالبطیخ و الخیار علی الأظهر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وذلک علی خلاف مَن قصر صحّتها بوقوعها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أصل ثابت؛و أمّا إذا لم یکن ثابتاً کالبطیخ و الباذنجان ونحوهما فالظاهر عدم وقوع المساقاة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فإنّ هذا البعض قصر تعریف الإنتاج التکمیلی علی ما إذا وقع علی أشجار مثمرة، </w:t>
      </w:r>
      <w:r>
        <w:rPr>
          <w:rStyle w:val="FootnoteAnchor"/>
          <w:rtl w:val="true"/>
        </w:rPr>
        <w:footnoteReference w:id="538"/>
      </w:r>
      <w:r>
        <w:rPr>
          <w:rFonts w:ascii="IRNazanin" w:hAnsi="IRNazanin" w:eastAsia="IRNazanin"/>
          <w:color w:val="111111"/>
          <w:sz w:val="28"/>
          <w:sz w:val="28"/>
          <w:szCs w:val="28"/>
          <w:rtl w:val="true"/>
          <w:lang w:bidi="fa-IR"/>
        </w:rPr>
        <w:t>فأخرج ما لم تکن له أصولٌ ثابتةٌ منذ البدء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ما تمسّک به هذا البعض،هو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یعقوب بن شعیب؛إذ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یعطی الرجل أرضه وفیها الرمان و النخل و الفاکهة،ویقول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هذا من الماء واعمره ولک نصف ما أخرج؟قال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وذلک باقتصارها علی ذکر الأشجار ذات الثمر،فلا یتعدّی إلی غیرها،فلا إطلاق فی المقام کی یشمل کلّ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العلّة فی التجویز لیس فی کون السقایة و الإعمار واقعةً علی خصوص الشجر،بل لکونها بالحصص التی جاء التأکید علیها فی کثیر من الأحادیث،ولم یرد من ذکر الشجر هنا إلّا من باب ذکر بعض مصادیق وأفراد ما تقع علیه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فالسائل ذکرها باعتبارها موضعاً لابتلائه لا باعتبارها الفرد الجائز من وقوع المساقاة علیها،ولعلّ ما جاء فی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عامل أهل خیبر بشطر ما یخرج منها من ثمر أو زرع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مؤیدٌ لما قلناه؛إذ تنتفی مسألة التقیید بالشجر،فهو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فلا یجوز قصره علی بعض الأشجار دون بعض؛لأنّه تقیید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هذا مع أنّ هذا البعض عدّا الحکم إلی ما لیس له ثمرةٌ من الأشجار ممّا یراد لورقه کالحنّاء،فخرقوا عدم الإطلاق الذی ادّعوه،باتّباعهم الظنّ فی کون هذا النوع موجوداً فی خیبر عند إعطاء النبی صلی الله علیه و آله إیاها بالنصف للیهود، </w:t>
      </w:r>
      <w:r>
        <w:rPr>
          <w:rStyle w:val="FootnoteAnchor"/>
          <w:rtl w:val="true"/>
        </w:rPr>
        <w:footnoteReference w:id="542"/>
      </w:r>
      <w:r>
        <w:rPr>
          <w:rFonts w:ascii="IRNazanin" w:hAnsi="IRNazanin" w:eastAsia="IRNazanin"/>
          <w:color w:val="111111"/>
          <w:sz w:val="28"/>
          <w:sz w:val="28"/>
          <w:szCs w:val="28"/>
          <w:rtl w:val="true"/>
          <w:lang w:bidi="fa-IR"/>
        </w:rPr>
        <w:t>ولم یجد هذا الظنّ طریقاً إلیهم فیما کان له أصلٌ غیر ثابت،مع أنّه أولی بالوجود ممّا یراد لورقه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فالثابت بالروایة الأسبق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السقی و الإعمار وصحّة التقاسم بالحصص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اختصاص المساقی علیه بالشجر المثمر،فهو ما لا یمکن تأکیده من خلال هذه الروایة،فالأصل هو الإباحة و الصحّة مقیدةً بالإعمار و التحاصّ،هذا مع عدم ورود نهی عن</w:t>
      </w:r>
    </w:p>
    <w:p>
      <w:pPr>
        <w:pStyle w:val="BookText"/>
        <w:rPr/>
      </w:pPr>
      <w:r>
        <w:rPr>
          <w:rFonts w:ascii="IRNazanin" w:hAnsi="IRNazanin" w:eastAsia="IRNazanin"/>
          <w:color w:val="111111"/>
          <w:sz w:val="28"/>
          <w:sz w:val="28"/>
          <w:szCs w:val="28"/>
          <w:rtl w:val="true"/>
          <w:lang w:bidi="fa-IR"/>
        </w:rPr>
        <w:t>مثل ما له أصولٌ غیر ثابتة؛و أمّا خروج ما لیس له أصولٌ مطلقاً کالخسّ،فهو لأجل الإخلال بشرطیة قبوله للإصلاح المأخوذ فی الإنتاج التکمیلی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أصولٌ غیر ثابتة یحتمل الإصلاح،والغالب فی ما لیس له أصولٌ هو أنّه لا یحتمل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الأساس،لم یکن المدار عندهم فی صحّة وقوع الإنتاج التکمیلی وجود الثمر،و إنّما وجود المالیة العرفیة فی کونه محتاجاً إلیه؛ولذا یصحّ الإنتاج التکمیلی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الأشجار غیر المثمرة إذا کانت لها حاصل آخر من ورق أو ورد،ونحوهما ممّا له مالیة یعتدّ بها عرفاً کشجر الحنّاء الذی یستفاد من ورقه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وبهذا یکون صحیحاً فی ما یکون شجره بذاته مطلوباً لمنافع متعدّدة فیه،کما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 السکر الذی تبقی جذوره فی التربة رغم أنّ الثمر فیه هو نفس الأصول الثابتة من تلک الجذور</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بل لم یستبعدوا الصحّة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الشجر الذی یزرع لخشبه کالسرو و الحور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إذ إنّ مالیته لیس معتدٌّ بها فحسب،بل متنافَسٌ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هذا،فالمعیار المعتمد فی إمکانیة التعاقد علی الإنتاج التکمیلی،هو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المتعاقد علیه للعمل الرعائی و الإصلاحی،ویدخل بذلک کلّ نبات له أصولٌ،و إن کانت غیر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إلی رجل قد صار زرعه بقلاً فعامله علی أن یقوم علیه ویسقیه حتّی یستحصد فما خرج فهو بینهما نصفان کان جائزا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سواء کان هذا النبات مطلوباً لثمره أو لنفسه،و هذه المطلوبیة تعکس فی الحقیقة ضابط الحاجة الذی تضمّنه الإنتاج،ولولا اتّفاقهم بشأن عدم صحّته فی ما کان متقوّماً بالثمر،کالخسّ لقلنا بصحّته فی مثله أیضاً،فیما لو کان محتاجاً إلی عمل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خلال ما قدّمنا،بأنّه لا یسمح بالتعاقد علی الإنتاج التکمیلی علی ما کان مزروعاً،فیما لو لم یکن له أصولٌ،ولو غیر ثابتة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السماح بوقوعه علی ما لا یقبل النموّ کمّاً أو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أنّ العملیة هی عملیة تعاقد علی عمل إنتاجی،فلا بدّ وأن تکون مؤثّرةً فی ازدیاد ما تقع علیه کمّاً أو کیفاً،وإلّا لا</w:t>
      </w:r>
      <w:bookmarkStart w:id="557" w:name="pg5204_66178"/>
    </w:p>
    <w:p>
      <w:pPr>
        <w:pStyle w:val="BookText"/>
        <w:rPr/>
      </w:pPr>
      <w:bookmarkEnd w:id="557"/>
      <w:r>
        <w:rPr>
          <w:rFonts w:ascii="IRNazanin" w:hAnsi="IRNazanin" w:eastAsia="IRNazanin"/>
          <w:color w:val="111111"/>
          <w:sz w:val="28"/>
          <w:sz w:val="28"/>
          <w:szCs w:val="28"/>
          <w:rtl w:val="true"/>
          <w:lang w:bidi="fa-IR"/>
        </w:rPr>
        <w:t>یمکن إدخالها تحت ضابط العمل المأخوذ فی الإنتاج،فینبغی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للعمل فیها تأثیر فی تحصیل الخارج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هذا التأثیر فی المحصول یتمثّل بأحد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یلعب دوراً فی اکتمال نموّه وإثماره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یؤثّر فی الازدیاد الکمّی للمحصول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خلال النمو الذی یطرأ علی النبات،فلا بدّ من احتیاج النبات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یتوقّف علیه اکتمال نمو الثمرة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ویعدّ هذا جانباً أساسیاً فی تصحیح وقوع الإنتاج التکمیلی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یعدّ جانباً تطویریاً للجانب الأوّل؛إذ إنّه یکون مساهماً فی کثرة الإنتاج أو جودته أو الحفاظ علیه ممّا یفسده،فیصحّ فی هذه الحالة التعاقد علیه حتّی بعد ظهور الثمرة،وذلک لیکون</w:t>
      </w:r>
    </w:p>
    <w:p>
      <w:pPr>
        <w:pStyle w:val="BookText"/>
        <w:rPr/>
      </w:pPr>
      <w:r>
        <w:rPr>
          <w:rFonts w:ascii="IRNazanin" w:hAnsi="IRNazanin" w:eastAsia="IRNazanin"/>
          <w:color w:val="111111"/>
          <w:sz w:val="28"/>
          <w:sz w:val="28"/>
          <w:szCs w:val="28"/>
          <w:rtl w:val="true"/>
          <w:lang w:bidi="fa-IR"/>
        </w:rPr>
        <w:t xml:space="preserve">إنتاجها أکثر ویجود ویوقی ممّا یطرأ علیه من عوادی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فهو یؤثّر تأثیراً کبیراً فی تحصیل الخارج الذی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تنمیة للمحصول من ناحیة الکمّ کانت هذه التنمیة أم من ناحیة الکیف لکی یکون الإنتاج التکمیلی صحیحاً،فلو أنّ أحداً</w:t>
      </w:r>
    </w:p>
    <w:p>
      <w:pPr>
        <w:pStyle w:val="BookText"/>
        <w:rPr/>
      </w:pPr>
      <w:r>
        <w:rPr>
          <w:rFonts w:ascii="IRNazanin" w:hAnsi="IRNazanin" w:eastAsia="IRNazanin"/>
          <w:color w:val="111111"/>
          <w:sz w:val="28"/>
          <w:sz w:val="28"/>
          <w:szCs w:val="28"/>
          <w:rtl w:val="true"/>
          <w:lang w:bidi="fa-IR"/>
        </w:rPr>
        <w:t>دفع نخلاً فیه ثمرة مساقاة و الثمر یزید بالعمل صحّت؛و إن انتهت لا</w:t>
      </w:r>
      <w:r>
        <w:rPr>
          <w:rFonts w:eastAsia="IRNazanin" w:cs="IRNazanin"/>
          <w:color w:val="111111"/>
          <w:sz w:val="28"/>
          <w:szCs w:val="28"/>
          <w:rtl w:val="true"/>
          <w:lang w:bidi="fa-IR"/>
        </w:rPr>
        <w:t xml:space="preserve">. </w:t>
      </w:r>
      <w:r>
        <w:rPr>
          <w:rStyle w:val="FootnoteAnchor"/>
          <w:rtl w:val="true"/>
        </w:rPr>
        <w:footnoteReference w:id="550"/>
      </w:r>
    </w:p>
    <w:p>
      <w:pPr>
        <w:pStyle w:val="Heading6"/>
        <w:numPr>
          <w:ilvl w:val="5"/>
          <w:numId w:val="1"/>
        </w:numPr>
        <w:rPr/>
      </w:pPr>
      <w:bookmarkStart w:id="558" w:name="__RefHeading___Toc97470_581953129"/>
      <w:bookmarkStart w:id="559" w:name="_Toc228"/>
      <w:bookmarkEnd w:id="558"/>
      <w:r>
        <w:rPr>
          <w:rtl w:val="true"/>
        </w:rPr>
        <w:t>الثانی</w:t>
      </w:r>
      <w:r>
        <w:rPr>
          <w:rtl w:val="true"/>
        </w:rPr>
        <w:t>:</w:t>
      </w:r>
      <w:r>
        <w:rPr>
          <w:rtl w:val="true"/>
        </w:rPr>
        <w:t>الزمن</w:t>
      </w:r>
      <w:bookmarkEnd w:id="559"/>
    </w:p>
    <w:p>
      <w:pPr>
        <w:pStyle w:val="BookText"/>
        <w:rPr/>
      </w:pPr>
      <w:r>
        <w:rPr>
          <w:rFonts w:ascii="IRNazanin" w:hAnsi="IRNazanin" w:eastAsia="IRNazanin"/>
          <w:color w:val="111111"/>
          <w:sz w:val="28"/>
          <w:sz w:val="28"/>
          <w:szCs w:val="28"/>
          <w:rtl w:val="true"/>
          <w:lang w:bidi="fa-IR"/>
        </w:rPr>
        <w:t>وبناءً علی المسائل السابقة فسیکون لتحدید المدّة التی یتمّ التعاقد علیها ارتباطٌ وثیقٌ بما نحن فیه،کی یکون للعمل تأثیرٌ علی الثمرة،فقد سبق عدم صحّة الإنتاج التکمیل مع عدم تأثیر العمل فی الزیادة أو الجودة،ولأجل هذا،فلا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تکون المساقاة قبل ظهور الثمرة أو بعده قبل البلوغ </w:t>
      </w:r>
      <w:r>
        <w:rPr>
          <w:rStyle w:val="FootnoteAnchor"/>
          <w:rtl w:val="true"/>
        </w:rPr>
        <w:footnoteReference w:id="5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یکفی مجرّد إیقاعه حسب ما مرّ؛لأنّ الغایة من هذا الإنتاج الحصول علی المحصول الکامل،فینبغی أن یکون محدّداً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ببلوغ الثمرة المساقی علیها؛و إمّا بالأشهر و السنین بمقدار تبلغ فیها الثمرة غالباً،فلو کانت أقلّ من هذا المقدار بطلت المساقاة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فالمعیار فی تحدید المدّة هو صحّة القیام بعمل علیها وجعلها کافیةً لحصول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التعاقد إلی مدّة تنتهی قبل صیرورة الغروس قابلة للإثمار،أو کان العقد بعد أن اکتمل نمو الثمرة،ولم تعدّ بحاجة إلی رعایة،فلا یبعد الحکم بعدم صحّة المساقاة</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فما یتعارف فیه عدم تأخّر ثمرته عن وقتها المعلوم یجوز فیه جعل مدّته إلی النضوج،ومن هنا جوّز البعض عدم ذکر المدّة فی حالة التیقّن بوقت حصول الإثمار،وذلک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دفع إلیه غرساً قد نبت،ولم یثمر بعد معاملة حیث لا یجوز إلّا بیان المدّة؛لأنّه یتفاوت بقوّة الأرض وضعفها تفاوتاً فاحشاً فلا یمکن صرفه إلی أوّل ثمر یخرج منه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فمن اللازم فی هذه الحالة تحدید المدّة بما یزیل الالتباس و الجهالة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نکون قد انتهینا من الحدود المأخوذة علی الحرّیة فی الإنتاج الزراعی،والتی اختصّت هنا بالقسم الثانی منه و هو الزراعة</w:t>
      </w:r>
      <w:r>
        <w:rPr>
          <w:rFonts w:eastAsia="IRNazanin" w:cs="IRNazanin"/>
          <w:color w:val="111111"/>
          <w:sz w:val="28"/>
          <w:szCs w:val="28"/>
          <w:rtl w:val="true"/>
          <w:lang w:bidi="fa-IR"/>
        </w:rPr>
        <w:t>.</w:t>
      </w:r>
      <w:bookmarkStart w:id="560" w:name="pg5204_66180"/>
    </w:p>
    <w:p>
      <w:pPr>
        <w:pStyle w:val="Heading3"/>
        <w:numPr>
          <w:ilvl w:val="2"/>
          <w:numId w:val="1"/>
        </w:numPr>
        <w:rPr/>
      </w:pPr>
      <w:bookmarkStart w:id="561" w:name="__RefHeading___Toc97472_581953129"/>
      <w:bookmarkStart w:id="562" w:name="_Toc229"/>
      <w:bookmarkEnd w:id="560"/>
      <w:bookmarkEnd w:id="561"/>
      <w:r>
        <w:rPr>
          <w:rtl w:val="true"/>
        </w:rPr>
        <w:t>المبحث الرابع</w:t>
      </w:r>
      <w:r>
        <w:rPr>
          <w:rtl w:val="true"/>
        </w:rPr>
        <w:t>:</w:t>
      </w:r>
      <w:r>
        <w:rPr>
          <w:rtl w:val="true"/>
        </w:rPr>
        <w:t>حدود الحرّیة فی قطاع الخدمات</w:t>
      </w:r>
      <w:bookmarkEnd w:id="562"/>
    </w:p>
    <w:p>
      <w:pPr>
        <w:pStyle w:val="Heading4"/>
        <w:numPr>
          <w:ilvl w:val="3"/>
          <w:numId w:val="1"/>
        </w:numPr>
        <w:rPr/>
      </w:pPr>
      <w:bookmarkStart w:id="563" w:name="__RefHeading___Toc97474_581953129"/>
      <w:bookmarkStart w:id="564" w:name="_Toc230"/>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لقد سبق،وأن ذکرنا فی المبحث الأوّل من هذا الفصل بأنّ الإنتاج ینقسم إلی قسمین،وهما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الانتاج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الکلام عنه فی المبحثین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والإنتاج الثانوی و الذی هو عبارةٌ عن عملیة التداول أو التبادل أو الخدمة التی تتمّ بین شخصین علی ما تمّ إنتاجه بالإنتاج الأوّلی مسبقاً،والتی أُدخلت فی الإنتاج باعتبار ما تخلقه من منفعة حقیقیة،ولیست صوریةً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ویلعب التداول حاضراً دوراً هامّاً فی مجمل النشاطات الاقتصادیة؛إذ یمثّل الوسیلة الفعّالة وربّما الوحیدة التی تقوم بدور الخطّ المتقدّم للعملیة الإنتاجیة،فإذا تقدّمت وامتدّت تنامی الإنتاج واتّسع،و إذا انکفأت وتراجعت رکد الإنتاج وکسد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هذا فهی تضمّ بین ظهرانیها أطیافاً واسعةً من المجتمع الاقتصادی،وتؤثّر تأثیراً خطیراً علی التنمیة الاقتصادیة أو الرکود الاقتصادی،وذلک من خلال الأسالیب التنفیذیة التی تتّبعها،والأسس العامّة و الخاصّة التی ترتکز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هنا،فقد قام الإسلام بوضع قیود علی هذه العملیة؛بما یحفظ حقوق الأفراد بما أنّهم یمثّلون خلفاء متکافئین مکلَّفین بمهمّة واحدة،وهی إعمار الأرض و الوصول بها إلی أقصی درجات التطوّر و الرقی من جهة،وبما یؤدّی إلی التکامل الإنسانی لذات الخلفاء أنفسهم،لتصل الحیاة البشریة إلی المستوی اللائق بها من خلال تداخل ذینک التکاملین المادّی و الروحی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ذلک لم یطلق الإسلام العنان للإنسان أن یمارس حرّیته فی هذا المجال،بما یخلّ بتلک العملیة ویدخلها فی متاهات لا سبیل للخروج و التخلّص منها،کما یشهد بذلک تاریخ</w:t>
      </w:r>
    </w:p>
    <w:p>
      <w:pPr>
        <w:pStyle w:val="BookText"/>
        <w:rPr/>
      </w:pPr>
      <w:r>
        <w:rPr>
          <w:rFonts w:ascii="IRNazanin" w:hAnsi="IRNazanin" w:eastAsia="IRNazanin"/>
          <w:color w:val="111111"/>
          <w:sz w:val="28"/>
          <w:sz w:val="28"/>
          <w:szCs w:val="28"/>
          <w:rtl w:val="true"/>
          <w:lang w:bidi="fa-IR"/>
        </w:rPr>
        <w:t>البشریة فی کافّة مراحلها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نحن نعیش مأساتها تلک بأوضح صورها،فقام الإسلام بخطّ حدود تؤدّی فی الحقیقة الدور التنموی الذی سعی إلیه الإنسان جاهداً دون أن یتمکّن من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أردنا تحدید تلک الحدود المقیدة لحرّیة التداول بالشکل الذی یکون واضحاً ومرتکزاً علی الأسس و الضوابط التی یعتمدها الإنتاج،فلا بدّ لنا من تحلیل عملیة التداول إلی عناصرها المکوّنة لها؛کی تتّضح الخطوط الحمراء التی لا یمکن تجاوزها إذا ما أُرید لها أن تلعب الدور التنموی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قمنا بتحلیل عملیة التداول أو الخدمة،لوجدناها تنطوی علی ثلاثة 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المتداولَین ذاتهما بما أنّهما مجریان لعقد التداول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التوافق فیما بین المتداولَین بما تتضمّنه من أمور یلزم مراعاتها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المتداوَل فیما بین الطرفین سلعةً کان أو منفعةً من جهة و العوض الذی یکون بأزائها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التی یتمّ من أجلها التداول،وهی تمثّل الحاجة المشروعة التی تضمّنها تعریف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إلفات النظر إلی أنّ المقوّمین الثالث و الرابع یتّحدان فی الحاجة،حیث إنّ السلعة التی یتمّ شراؤها من قِبل المشتری،إنّما یتمّ شراؤها بما تمثّل من حاجة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الخدمة،فهی تعبِّر عن حاجة المستخدِم إلیها،والعوض بدوره هو ما یحتاج إلیه البائع أو المستخدَم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المشروعیة المأخوذة علی الحاجة،مأخوذة علی الخدمة التی تُقدّم و السلعة التی تُتداول بشکل آلی وطبیعی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أنّنا لو ذهبنا بعیداً فی التحلیل،لوجدنا أنّ الحاجة عبارةٌ عن النقص البدنی أو النفسی الذی یتمّ ملؤه بواسطة تلک السلعة أو الخدمة،ومع أنّ الإسلام سمح بسدّ هذا النقص،بل أوجبه،إلّا أنّه لم یسمح أن یتمّ ذلک بأی شیء کان وأی طریقة کانت،و إنّما بما یؤمّن ملأً جوهریاً وحقیقیاً لذلک النقص،لا بما یؤدّی إلی إیجاد اختلالات واضطرابات تقود الإنسان إلی زیادة الإحساس بالنقص و الحاجة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أنّ ذلک النقص إنّما یتمّ سدّه بتلک السلعة أو الخدمة ذاتها،فقد وضع الإسلام بعض القیود علیها بما یصبّ فی تأمین إنسانیة الإنسان وحرّیته وکرامته وسعادته الحقیقیة</w:t>
      </w:r>
      <w:r>
        <w:rPr>
          <w:rFonts w:eastAsia="IRNazanin" w:cs="IRNazanin"/>
          <w:color w:val="111111"/>
          <w:sz w:val="28"/>
          <w:szCs w:val="28"/>
          <w:rtl w:val="true"/>
          <w:lang w:bidi="fa-IR"/>
        </w:rPr>
        <w:t>.</w:t>
      </w:r>
      <w:bookmarkStart w:id="565" w:name="pg5204_66182"/>
    </w:p>
    <w:p>
      <w:pPr>
        <w:pStyle w:val="BookText"/>
        <w:rPr/>
      </w:pPr>
      <w:bookmarkEnd w:id="565"/>
      <w:r>
        <w:rPr>
          <w:rFonts w:ascii="IRNazanin" w:hAnsi="IRNazanin" w:eastAsia="IRNazanin"/>
          <w:color w:val="111111"/>
          <w:sz w:val="28"/>
          <w:sz w:val="28"/>
          <w:szCs w:val="28"/>
          <w:rtl w:val="true"/>
          <w:lang w:bidi="fa-IR"/>
        </w:rPr>
        <w:t>فیتّضح ممّا سبق أنّ الحدود الأساسیة المأخوذة علی الشیء المتداول تتمثّل فی کونه محتاجاً إلیه ومشروعاً،فترتبط هذه الحدود بصمیم الشیء المتداول سلعةً کان أو 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حدودٌ ثانویةٌ ترتبط بإجراء عملیة التداول بشفافیة تغلق الباب علی کثیر من النزاعات،و هو ما له علاقةٌ وطیدةٌ بصیانة حقوق کلا المتداولَین،ککونه محدّداً وممکناً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التحلیل الذی قدّمناه،فسنذکر الحدود التی تخضع لها عملیة التداول ضمن مطلبین،یرتبط المطلب الأوّل بالحدود المرتبطة بشخص المتعاملَین،وسنوردها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الشخصیة،ویتعلّق 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بالحدود المأخوذة علی ما یتمّ التوافق علیه سلعةً کان أو خدمة،وسنُطلق علیها الحدود العوضیة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مسألة التوافق فهی تدخل ضمن المطلب الثانی علی اعتبار أنّه یتمّ من خلاله تحدید کلّ ما یرتبط بالعوضین،والذی یکون التوافق أحد معالمه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ذکرنا قبل البدء بمبحث حدود الحرّیة فی الإنتاج الصناعی،بأنّ عنونتنا للعناوین ستنطلق من أنّ الأصل هو الحرّیة،وبالتالی ستعکس العناوین ما یقیدها علی اعتبار أنّنا نبحث فی الحدود التی تخضع لها</w:t>
      </w:r>
      <w:r>
        <w:rPr>
          <w:rFonts w:eastAsia="IRNazanin" w:cs="IRNazanin"/>
          <w:color w:val="111111"/>
          <w:sz w:val="28"/>
          <w:szCs w:val="28"/>
          <w:rtl w:val="true"/>
          <w:lang w:bidi="fa-IR"/>
        </w:rPr>
        <w:t>:</w:t>
      </w:r>
    </w:p>
    <w:p>
      <w:pPr>
        <w:pStyle w:val="Heading4"/>
        <w:numPr>
          <w:ilvl w:val="3"/>
          <w:numId w:val="1"/>
        </w:numPr>
        <w:rPr/>
      </w:pPr>
      <w:bookmarkStart w:id="566" w:name="__RefHeading___Toc97476_581953129"/>
      <w:bookmarkStart w:id="567" w:name="_Toc231"/>
      <w:bookmarkEnd w:id="566"/>
      <w:r>
        <w:rPr>
          <w:rtl w:val="true"/>
        </w:rPr>
        <w:t>المطلب الأوّل</w:t>
      </w:r>
      <w:r>
        <w:rPr>
          <w:rtl w:val="true"/>
        </w:rPr>
        <w:t>:</w:t>
      </w:r>
      <w:r>
        <w:rPr>
          <w:rtl w:val="true"/>
        </w:rPr>
        <w:t>الحدود الشخصیة</w:t>
      </w:r>
      <w:bookmarkEnd w:id="567"/>
    </w:p>
    <w:p>
      <w:pPr>
        <w:pStyle w:val="Heading5"/>
        <w:numPr>
          <w:ilvl w:val="4"/>
          <w:numId w:val="1"/>
        </w:numPr>
        <w:rPr/>
      </w:pPr>
      <w:bookmarkStart w:id="568" w:name="__RefHeading___Toc97478_581953129"/>
      <w:bookmarkStart w:id="569" w:name="_Toc232"/>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یکتفِ بوضعه اللبُنَات الأساسیة لحرّیة الإنسان من خلال البُنیة النفسیة و الفکریة و البدنیة التی صبّه فیها،ولم یکتفِ أیضا بتقنینها تشریعیاً،کأصل یرجع إلیه فی کلّ حالة تشوبها سُحب الشکّ و التردّد فیما یراد منه فی مقابل من أمدّه بها ووهبه إیاها،بل وضع حدوداً من أجل صیانتها،فحتّی الحدود التی وضِعت علی حرّیة شخص المتعاملَین فیما سنراه،لا یمکن عدّها حدوداً مقیدةً لهما إلّا اعتباراً لا حقیقةً؛إذ إنّها فی الحقیقة موضوعةٌ لأجل أن لا تُستخدم الحرّیة هذه فی اتّجاه مضادّ لمصلحتهما،فهی بالنتیجة تجعلهما حرّین من کلّ ما یکبّلهما من الشروط و الأوضاع المهدّدة لمصلحتهما و الناجمة عن معاملتهما تلک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أن یقوم التداول فیما بینهما علی أسس متینة تتضمّن إعمالاً لحرّیتهما بأبعادها النفسیة و الفکریة و البدنیة من جهة،وحفظاً لحقوقهما کإنسانین متکافئین حقوقیاً ووظیفیاً،ویتجسّد کلّ ذلک من خلال مراعاة الأمور التالیة فی کلّ واحد من المتداولَین</w:t>
      </w:r>
      <w:r>
        <w:rPr>
          <w:rFonts w:eastAsia="IRNazanin" w:cs="IRNazanin"/>
          <w:color w:val="111111"/>
          <w:sz w:val="28"/>
          <w:szCs w:val="28"/>
          <w:rtl w:val="true"/>
          <w:lang w:bidi="fa-IR"/>
        </w:rPr>
        <w:t>:</w:t>
      </w:r>
      <w:bookmarkStart w:id="570" w:name="pg5204_66183"/>
    </w:p>
    <w:p>
      <w:pPr>
        <w:pStyle w:val="Heading5"/>
        <w:numPr>
          <w:ilvl w:val="4"/>
          <w:numId w:val="1"/>
        </w:numPr>
        <w:rPr/>
      </w:pPr>
      <w:bookmarkStart w:id="571" w:name="__RefHeading___Toc97480_581953129"/>
      <w:bookmarkStart w:id="572" w:name="_Toc233"/>
      <w:bookmarkEnd w:id="570"/>
      <w:bookmarkEnd w:id="571"/>
      <w:r>
        <w:rPr>
          <w:rtl w:val="true"/>
        </w:rPr>
        <w:t>أوّلاً</w:t>
      </w:r>
      <w:r>
        <w:rPr>
          <w:rtl w:val="true"/>
        </w:rPr>
        <w:t>:</w:t>
      </w:r>
      <w:r>
        <w:rPr>
          <w:rtl w:val="true"/>
        </w:rPr>
        <w:t>أن لا یکون صغیراً</w:t>
      </w:r>
      <w:bookmarkEnd w:id="572"/>
    </w:p>
    <w:p>
      <w:pPr>
        <w:pStyle w:val="BookText"/>
        <w:rPr/>
      </w:pPr>
      <w:r>
        <w:rPr>
          <w:rFonts w:ascii="IRNazanin" w:hAnsi="IRNazanin" w:eastAsia="IRNazanin"/>
          <w:color w:val="111111"/>
          <w:sz w:val="28"/>
          <w:sz w:val="28"/>
          <w:szCs w:val="28"/>
          <w:rtl w:val="true"/>
          <w:lang w:bidi="fa-IR"/>
        </w:rPr>
        <w:t>والصغیر کما هو معروفٌ خلاف الکبیر،ویرتبط هذا الحدّ بالقدرة الإدراکیة التی یتمیز بها الکبیر عن الصغیر،فیعدّ حدّاً موضوعیاً علی اعتبار أنّ التصرّف المالی یتطلّب إدراکاً کاملاً بخصوص متعلّقه وآثاره،و هو ممّا لا یکاد یتوفّر حتّی فی بعض الکبار،ولکن مع أنّه یخفی وراءه علّةً واضحةً للحدّ من حرّیته تلک؛ألَا وهی عدم اکتمال عقله ورشده بدرجة یمکنه من خلالها إدارة أموره المالیة بشکل یحفظ مصالحه،إلّا أنّ المشرّع الإسلامی لم یأخذ ذلک معیاراً فی السماح لمن لم یصل سنّ البلوغ فی أن یتصرّف فی ماله،فهو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محجور علیه شرعاً لا تنفذ تصرّفاته الاستقلالیة فی أمواله ببیع وصلح وهبة وإقراض وإجارة وإیداع وإعارة وغیرها،و إن کان فی کمال التمییز و الرشد،وکان التصرّف فی غایة الغبطة و الصلاح</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فیکون الصغر بحدّ ذاته مانعاً لحرّیة الصغیر فی مجال التصرّفات المالیة،فلا یسمح له بها و إن کان عاقلاً ورشیداً بدرجة تسمح له بالتمییز بین النافع و الضارّ من المعاملات،فاشتُرط فی السماح لمن کان یتّصف بالتمییز و الرشد أن یتمّ ذلک تحت إشراف ولیه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أَذِنَ له وکان خبیراً بإدارة أمواله ورشیداً فی التصرّف صحّ بیعه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ومع هذا،فإنّ التصرّف المسموح له فی هذه الحالة هو ما کان متضمّناً مصلحةً له،أمّا ما کان مقتصراً علی الضرر،فإنّه غیر مشمول بالإذن؛إذ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الإذن بالتجارة یزیل الحِجر عن التصرّفات الدائرة بین الضرر و النفع؛و أمّا التصرّفات الضارّة المحضة،فلا یزول الحِجر عنها إلّا بالبلوغ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بل إنّ المشرّع الإسلامی کان أکثر تفانیاً فی حفظ مصالحه،فأوقف مسألة السماح للصغیر الرشید فی التصرّف علی نجاحه فی اختبار حسن التصرّف،فالصبی الذی لم یصل درجة الرشد لم یسمح له مطلقاً بالتصرّف،و إن کان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یؤنس منه رشده،ولا بأس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یدفع إلیه شیئاً من أمواله ویأذن له بالتجارة للاختبار </w:t>
      </w:r>
      <w:r>
        <w:rPr>
          <w:rStyle w:val="FootnoteAnchor"/>
          <w:rtl w:val="true"/>
        </w:rPr>
        <w:footnoteReference w:id="5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التصرّف متوقّفاً علی الإذن،والإذن علی الاختبار،والاختبار علی الرشد</w:t>
      </w:r>
      <w:r>
        <w:rPr>
          <w:rFonts w:eastAsia="IRNazanin" w:cs="IRNazanin"/>
          <w:color w:val="111111"/>
          <w:sz w:val="28"/>
          <w:szCs w:val="28"/>
          <w:rtl w:val="true"/>
          <w:lang w:bidi="fa-IR"/>
        </w:rPr>
        <w:t>.</w:t>
      </w:r>
      <w:bookmarkStart w:id="573" w:name="pg5204_66184"/>
    </w:p>
    <w:p>
      <w:pPr>
        <w:pStyle w:val="BookText"/>
        <w:rPr/>
      </w:pPr>
      <w:bookmarkEnd w:id="573"/>
      <w:r>
        <w:rPr>
          <w:rFonts w:ascii="IRNazanin" w:hAnsi="IRNazanin" w:eastAsia="IRNazanin"/>
          <w:color w:val="111111"/>
          <w:sz w:val="28"/>
          <w:sz w:val="28"/>
          <w:szCs w:val="28"/>
          <w:rtl w:val="true"/>
          <w:lang w:bidi="fa-IR"/>
        </w:rPr>
        <w:t>ویجری هذا الأمر فی جمیع المعاملات العِقْدیة،حتّی فیما لو أراد أن یصبح أجیراً،مع أنّ صیرورته أجیراً لا یتطلّب تصرّفه فی ماله،فالأمر فیها ربّما یرتبط بمدی قدرته وخبرته علی إنجاز ما یستأجر علی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عقد الصبی إذا استقلّ به دون إذن الولی،مؤجّراً نفسه أو مستأجرا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یأذن له فیقع منه،ویصحّ إذا کان رشیداً وخبیراً رغم عدم بلوغه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وتنفرد الوکالة من بین العقود فی السماح للصبی بأن یکون وکیلاً لا موکِّلاً،فیجوز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الصغیر وکیلاً،ولو بدون إذن ولیه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ویختصّ هذا بالطبع بمن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فتصحّ وکالة الصبی العاقل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حصراً،ولا یتعدّی ذلک إلی غیر العاقل،وما ذلک إلّا لأجل أنّ صیرورته وکیلاً مرتبطٌ برضی الموکِّل ولا یستوجب التصرّف فی ماله هو،وبالتالی،فلا یلحق به أی ضرر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المعاملات الإیقاعیة کالجعالة علی سبیل المثال،فیقتصر الأمر علی الموقِّع؛لأنّه هو المتصرِّف فی المال؛أمّا العامل،فلا یشترط فیه ذلک،فلا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فی العامل نفوذ التصرّف فیجوز أن یکون صبیاً ممیزاً،ولو بغیر إذن الولی،بل یجوز أن یکون صبیاً غیر ممیز </w:t>
      </w:r>
      <w:r>
        <w:rPr>
          <w:rStyle w:val="FootnoteAnchor"/>
          <w:rtl w:val="true"/>
        </w:rPr>
        <w:footnoteReference w:id="562"/>
      </w:r>
    </w:p>
    <w:p>
      <w:pPr>
        <w:pStyle w:val="Heading5"/>
        <w:numPr>
          <w:ilvl w:val="4"/>
          <w:numId w:val="1"/>
        </w:numPr>
        <w:rPr/>
      </w:pPr>
      <w:bookmarkStart w:id="574" w:name="__RefHeading___Toc97482_581953129"/>
      <w:bookmarkStart w:id="575" w:name="_Toc234"/>
      <w:bookmarkEnd w:id="574"/>
      <w:r>
        <w:rPr>
          <w:rtl w:val="true"/>
        </w:rPr>
        <w:t>ثانیاً</w:t>
      </w:r>
      <w:r>
        <w:rPr>
          <w:rtl w:val="true"/>
        </w:rPr>
        <w:t>:</w:t>
      </w:r>
      <w:r>
        <w:rPr>
          <w:rtl w:val="true"/>
        </w:rPr>
        <w:t>أن لا یکون مجنوناً</w:t>
      </w:r>
      <w:bookmarkEnd w:id="575"/>
    </w:p>
    <w:p>
      <w:pPr>
        <w:pStyle w:val="BookText"/>
        <w:rPr/>
      </w:pPr>
      <w:r>
        <w:rPr>
          <w:rFonts w:ascii="IRNazanin" w:hAnsi="IRNazanin" w:eastAsia="IRNazanin"/>
          <w:color w:val="111111"/>
          <w:sz w:val="28"/>
          <w:sz w:val="28"/>
          <w:szCs w:val="28"/>
          <w:rtl w:val="true"/>
          <w:lang w:bidi="fa-IR"/>
        </w:rPr>
        <w:t>والمجنون خلاف العاقل،فهو یقدم علی الأفعال بغیر وعی منه وعقل،و قد تتفاوت درجات ذلک شدةً وضعفاً،ویعدّ هذا الحدّ حدّاً موضوعیاً آخر؛إذ إنّ المجنون أکثر عجزاً وقصوراً عن إحسان التصرّف فی کلّ ما یرتبط به وعلی الخصوص فی الأمور المالیة،فیکون أولی بالمنع من الصبی،حیث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المال فی ید من لا عقل له إتلاف المال </w:t>
      </w:r>
      <w:r>
        <w:rPr>
          <w:rStyle w:val="FootnoteAnchor"/>
          <w:rtl w:val="true"/>
        </w:rPr>
        <w:footnoteReference w:id="5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الغایة العرفیة و الطبیعیة و الشرعیة من التصرّف فی المال هو إصلاحه،لا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ممنوعاً من التصرّف فی ماله،و إن کان الجنون عارضاً علیه لا أصلیاً،فلا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مانعیة الجنون بین الجنون المطبق المستمرّ وبین الجنون الأدواری إذا وقع منه التصرّف حین جنونه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فما دام تصرّفه قد حدث أثناء جنونه،فلا اعتبار له،ولا 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شاملٌ بطبیعة الحال لجمیع المعاملات العقدیة،فمن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العقل،فلا ینعقد بیع المجنون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ولا تشذّ حتّی الوکالة من ذلک،ولا یختصّ الأمر فیها فیما لو أراد أن یکون موکِّلاً،بل یتعدّی إلی فیما لو أراد أن یکون وکیلاً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علی خلاف الصبی الذی مرّ جواز صیرورته وکیلاً،بقید کونه عاقلاً،و هو ما ینتفی فی المقام،فیعتبر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الوکیل کونه متمکّناً عقلاً وشرعاً من مباشرة ما وُکّل فیه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ابتداءً واستمراراً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طرأ علیه الجنون أثناء الوکالة تبطل وکالته فی الحال،حیث إنّ القدرة العقلیة و التدبیریة تُعدّ عماد الوکالة،فتبطل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بموت الوکیل أو الموکّل وکذا بجنون أحدهما أو إغمائه إن کان مطبقاً؛و أمّا إن کان أدواریاً،فبطلانها فی زمان الجنون أو 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إشکال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والإشکال ناشئٌ من إمکان القیام بأمر الوکالة فی زمن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ینفذ تصرّف المجنون إلّا فی أوقات إفاقته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إذ إنّ أمر الجنون یکون منتفیاً فیها،فیکون عدم نفوذ تصرّفه فی أمواله مقتصراً علی وقت الجنون،کما هو الحال فی الصبی مع عدم رشده وعدم الإذن له فیه،وما ذلک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لکون الحِجر مصلحة فی حقّهما </w:t>
      </w:r>
      <w:r>
        <w:rPr>
          <w:rStyle w:val="FootnoteAnchor"/>
          <w:rtl w:val="true"/>
        </w:rPr>
        <w:footnoteReference w:id="56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مرتبطٌ بغیاب العقل الذی یؤدّی إلی اختلال التصرّف وفقاً للمصالح و المفاسد،وعلی</w:t>
      </w:r>
      <w:bookmarkStart w:id="576" w:name="pg5204_66186"/>
    </w:p>
    <w:p>
      <w:pPr>
        <w:pStyle w:val="BookText"/>
        <w:rPr/>
      </w:pPr>
      <w:bookmarkEnd w:id="576"/>
      <w:r>
        <w:rPr>
          <w:rFonts w:ascii="IRNazanin" w:hAnsi="IRNazanin" w:eastAsia="IRNazanin"/>
          <w:color w:val="111111"/>
          <w:sz w:val="28"/>
          <w:sz w:val="28"/>
          <w:szCs w:val="28"/>
          <w:rtl w:val="true"/>
          <w:lang w:bidi="fa-IR"/>
        </w:rPr>
        <w:t>الخصوص فی ما یرتبط منها بحیاته المالیة،ولذا حکموا ببطلان الوکالة علی سبیل المثال فی صورة فقدان العقل،و إن لم یکن من قبیل الجنون،کما هو الحال فی الغیبوبة التی ربّما یتعرّض لها،فالوکالة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تبطل بجنون الموکّل وبإغمائه حال جنونه وإغمائه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هذا بخصوص العقود التی تتطلّب انشغال ذمّة الطرفین بما یتّفقان علیه؛أمّا فی الموارد التی لا تتطلّب انشغال الذمّة کالجعالة بالنسبة إلی العامل لا الجاعل،حیث إنّها من الإیقاعات التی تصدر من طرف واحد،فتکون مُلزِمةً للجاعل لا العامل،فلا یمنع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لو کان العامل صبیاً أو مجنوناً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حیث لا یکون العامل مُلزَماً بأداء ما قصده الجاعل،فلا یکون فی الحقیقة مکلَّفاً بما یتعارض مع و قدرته العقلیة التی أُخذت شرطاً فی عموم التکالیف الشرعیة لا الحقوقیة،فحسب</w:t>
      </w:r>
      <w:r>
        <w:rPr>
          <w:rFonts w:eastAsia="IRNazanin" w:cs="IRNazanin"/>
          <w:color w:val="111111"/>
          <w:sz w:val="28"/>
          <w:szCs w:val="28"/>
          <w:rtl w:val="true"/>
          <w:lang w:bidi="fa-IR"/>
        </w:rPr>
        <w:t>.</w:t>
      </w:r>
    </w:p>
    <w:p>
      <w:pPr>
        <w:pStyle w:val="Heading5"/>
        <w:numPr>
          <w:ilvl w:val="4"/>
          <w:numId w:val="1"/>
        </w:numPr>
        <w:rPr/>
      </w:pPr>
      <w:bookmarkStart w:id="577" w:name="__RefHeading___Toc97484_581953129"/>
      <w:bookmarkStart w:id="578" w:name="_Toc235"/>
      <w:bookmarkEnd w:id="577"/>
      <w:r>
        <w:rPr>
          <w:rtl w:val="true"/>
        </w:rPr>
        <w:t>ثالثاً</w:t>
      </w:r>
      <w:r>
        <w:rPr>
          <w:rtl w:val="true"/>
        </w:rPr>
        <w:t>:</w:t>
      </w:r>
      <w:r>
        <w:rPr>
          <w:rtl w:val="true"/>
        </w:rPr>
        <w:t>أن لا یکون سفیهاً</w:t>
      </w:r>
      <w:bookmarkEnd w:id="578"/>
    </w:p>
    <w:p>
      <w:pPr>
        <w:pStyle w:val="BookText"/>
        <w:rPr/>
      </w:pPr>
      <w:r>
        <w:rPr>
          <w:rFonts w:ascii="IRNazanin" w:hAnsi="IRNazanin" w:eastAsia="IRNazanin"/>
          <w:color w:val="111111"/>
          <w:sz w:val="28"/>
          <w:sz w:val="28"/>
          <w:szCs w:val="28"/>
          <w:rtl w:val="true"/>
          <w:lang w:bidi="fa-IR"/>
        </w:rPr>
        <w:t>والسفیه خلاف الرشید،و قد عرّفوا السفیه بالذی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له حالة باعثة علی حفظ ماله والاعتناء بحاله،یصرفه فی غیر موقعه ویتلفه بغیر محلّه،ولیس معاملاته مبنیة علی المکایسة و التحفّظ عن المغابنة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فإذا کان الحدّ السابق یرتبط بسلامة القدرة الذهنیة و العقلیة،فالأمر یرتبط هنا بسلامة القدرة التدبیریة التی یتوقّف علیها حسم کثیر من الأمور الدخیلة فی حدوث النفع أو الضرر؛إذ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السفه هو العمل بخلاف موجب الشرع،و هو اتّباع الهوی وترک ما یدلّ علیه العقل و الحِجا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فمن اللازم أن یتمتّع المتعامل بقابلیة تدبیریة یقوده إلیها عقله السلیم،بما یؤدّی إلی تنمیة ماله والانتفاع به بشکل یحفظ مصالحه،و هذا ما لا یتوفّر فی السفیه؛ولذا فهو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محجور علیه شرعاً لا ینفذ تصرّفاته فی ماله ببیع وصلح وإجارة وإیداع وعاریة‌وغیرها </w:t>
      </w:r>
      <w:r>
        <w:rPr>
          <w:rStyle w:val="FootnoteAnchor"/>
          <w:rtl w:val="true"/>
        </w:rPr>
        <w:footnoteReference w:id="574"/>
      </w:r>
      <w:bookmarkStart w:id="579" w:name="pg5204_66187"/>
    </w:p>
    <w:p>
      <w:pPr>
        <w:pStyle w:val="BookText"/>
        <w:rPr/>
      </w:pPr>
      <w:bookmarkEnd w:id="579"/>
      <w:r>
        <w:rPr>
          <w:rFonts w:ascii="IRNazanin" w:hAnsi="IRNazanin" w:eastAsia="IRNazanin"/>
          <w:color w:val="111111"/>
          <w:sz w:val="28"/>
          <w:sz w:val="28"/>
          <w:szCs w:val="28"/>
          <w:rtl w:val="true"/>
          <w:lang w:bidi="fa-IR"/>
        </w:rPr>
        <w:t>إلّا أنّ هذا التحدید لحرّیة السفیه بالتصرّف یقتصر علی التصرّفات التبادلیة التی نحن بصددها أمّا التصرّفات الاجتماعیة و العبادیة فیما یرتبط بحقوقه،فهو فی حلّ من هذا التحدید،فتکون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مانعیة السفه مختصّة بالأموال،بیعاً وشراء وهبة ونحو ذلک،فلا یمنع السفه من نفوذ تصرّفاته الأخری حتّی لو استتبعت بذل المال،کمثل الزواج و الطلاق و النذر،ونحو ذلک من أنواع التصرّفات الخارجة عن إطار التبادل المالی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فیصبّ هذا التحدید المالی فی مصلحة السفیه،فصحیحٌ أنّه ماله،ولکن علیه أن یستفید من هذا المال بما یصلح شأنه،ولا یتمّ ذلک إلّا من خلال إصلاح المال،لا إتلافه وتضییعه،و هو ما لا یقدر علیه،ولأجل هذا وضع الباری صلاحیة التصرّف فیه بید أولیائه،فقال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فنسب ماله إلیهم تأکیداً منه علی ضرورة حفظه من خلال القیام علیه،و هو ما یحمّل الأولیاء مسؤولیة الأخذ بید السفیه إلی ما من شأنه أن یسلک به جادّة التنمیة،لا الهدر و الإتلاف،فیکون الحِجر علیه هنا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التصرّفات شُرّعت لمصالح العباد و المصلحة تتعلّق بالإطلاق مرّة وبالحِجر أخری و المصلحة ههنا فی الحِجر،ولهذا إذا بلغ الصبی سفیهاً یمنع عنه ماله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فیکون السفه مقیداً لحرّیة الشخص فی القیام بالفعّالیات الاقتصادیة؛لأنّه یتسبّب فی القضاء علی قدرته المالیة التی إذا ما حدثت انجرّت إلی تحدید حرّیته فیما یرتبط بعجزه المالی،فیعامل معاملة الصغیر،فلا یدفع إلیه ماله إلّا أن یؤنس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ویعلم الرشد بإصلاح ماله عند اختباره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فهو کالصغیر فی توقّف تصرّفه بماله علی اختبار حسن تصرّفه فیه</w:t>
      </w:r>
      <w:r>
        <w:rPr>
          <w:rFonts w:eastAsia="IRNazanin" w:cs="IRNazanin"/>
          <w:color w:val="111111"/>
          <w:sz w:val="28"/>
          <w:szCs w:val="28"/>
          <w:rtl w:val="true"/>
          <w:lang w:bidi="fa-IR"/>
        </w:rPr>
        <w:t>.</w:t>
      </w:r>
    </w:p>
    <w:p>
      <w:pPr>
        <w:pStyle w:val="Heading5"/>
        <w:numPr>
          <w:ilvl w:val="4"/>
          <w:numId w:val="1"/>
        </w:numPr>
        <w:rPr/>
      </w:pPr>
      <w:bookmarkStart w:id="580" w:name="__RefHeading___Toc97486_581953129"/>
      <w:bookmarkStart w:id="581" w:name="_Toc236"/>
      <w:bookmarkEnd w:id="580"/>
      <w:r>
        <w:rPr>
          <w:rtl w:val="true"/>
        </w:rPr>
        <w:t>رابعاً</w:t>
      </w:r>
      <w:r>
        <w:rPr>
          <w:rtl w:val="true"/>
        </w:rPr>
        <w:t>:</w:t>
      </w:r>
      <w:r>
        <w:rPr>
          <w:rtl w:val="true"/>
        </w:rPr>
        <w:t>أن لا یکون مُکرَهاً</w:t>
      </w:r>
      <w:bookmarkEnd w:id="581"/>
    </w:p>
    <w:p>
      <w:pPr>
        <w:pStyle w:val="BookText"/>
        <w:rPr/>
      </w:pPr>
      <w:r>
        <w:rPr>
          <w:rFonts w:ascii="Amiri" w:hAnsi="Amiri" w:eastAsia="Amiri" w:cs="Amiri"/>
          <w:color w:val="111111"/>
          <w:sz w:val="28"/>
          <w:sz w:val="28"/>
          <w:szCs w:val="28"/>
          <w:rtl w:val="true"/>
          <w:lang w:bidi="ar-SA"/>
        </w:rPr>
        <w:t>والمُکرَه خلاف المختار وعرّفوه بأنّه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یأمره غیره بالبیع أو الشراء علی نحو یخاف من الإضرار به لو خالفه،بحیث یکون لخوف الضرر من الغیر دخل فی صدور البیع أو الشراء منه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أو هو خلاف الرضی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الکره معنی قائم بالمُکرَه ینافی المحبّة و الرضا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فمجرّد الإقدام فی حالة عدم الرضی یعدّ إکراهاً،و إن لم یکن هناک ضررٌ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وتتجلّی أصالة الحرّیة فی الإسلام بأوضح صورها فی هذا الحدّ،فلکی تکون تصرّفات الإنسان نافذةً یجب أن تکون ناشئةً عن اختیاره ورضاه المنبعث من صمیم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عقد المُکرَه إلّا أن یرضی بعد ذلک أو یکون الإکراه لسبب مشروع؛نعم،إذا کان الإکراه بدرجة تسلب القصد،فإنّ العقد یبطل حتّی لو رضی بعد ذلک</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ویتمثّل هذا السبب المشروع بما هو حقٌّ لابدّ من إمضائه وإجرائه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یکن کذلک،فیعدّ العقد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یکون الإکراه بحقّ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کما ذکرنا،أو یتعقّبه رضاه المرادف لقبوله به عن قصد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یجعل تعقّب الرضی للعقد مُمضیاً للمعاملة؛إلّا لأجل احتمال حدوث مصلحة یراها المُکرَه،فیکون إمضاؤه لها مبنیاً علی اختیاره ومنفعة له فیها،فتتوقّف الصحّة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و الفائدة،ففسد بیع المکرَه وشراؤه وبیع ما لا فائدة فیه وشراؤه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ولا یقتصر الأمر علی البیع فقط بل یشمل کلّ عقد مالی،کما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البیع و الشراء و الهبة و الإجارة،ونحوها فالإکراه یوجب فساد هذه التصرّفات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فتُعدّ حرّیة التصرّف المتمثّلة بالاختیار رکناً أساسیاً من أرکان نفوذ التصرّفات المالیة؛ولأجل هذا،فإنّ تصرّفات من کان مسلوب الحرّیة من الأساس،کالعبد تُعدّ غیر نافذة لعدم توفّر شرط أساسی فیها،و هو الاختیار الذی لا یمکن أن یتّصف به العبد أصالةً،إلّا إذا جبره مولاه بالرضی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ینعقد تصرّف المملوک بدون إذن مولاه</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ربّما یثار هنا إشکالٌ بخصوص أنّ الإسلام الذی أصّل للحرّیة،وجعلها أساساً یرتکز علیه التکلیف فی کافّة نشاطات الحیاة ومناحیها ومنها الاقتصادیة،الإسلام الذی أضفی علی</w:t>
      </w:r>
      <w:bookmarkStart w:id="582" w:name="pg5204_66189"/>
    </w:p>
    <w:p>
      <w:pPr>
        <w:pStyle w:val="BookText"/>
        <w:rPr/>
      </w:pPr>
      <w:bookmarkEnd w:id="582"/>
      <w:r>
        <w:rPr>
          <w:rFonts w:ascii="IRNazanin" w:hAnsi="IRNazanin" w:eastAsia="IRNazanin"/>
          <w:color w:val="111111"/>
          <w:sz w:val="28"/>
          <w:sz w:val="28"/>
          <w:szCs w:val="28"/>
          <w:rtl w:val="true"/>
          <w:lang w:bidi="fa-IR"/>
        </w:rPr>
        <w:t>الحرّیة هذه الهالة من القداسة؛کیف یسمح لنفسه أن یقرّ بعبودیة الإنسان،ویعمل علی ترسیخ هذه العبودیة من خلال إقراره بما هو سائدٌ من الممارسات التی تکبّل العبد بقیودها،وتشطب علی إنسانیته من خلال إقرارها عدم نفوذ تصرّفاته؟</w:t>
      </w:r>
    </w:p>
    <w:p>
      <w:pPr>
        <w:pStyle w:val="BookText"/>
        <w:rPr/>
      </w:pPr>
      <w:r>
        <w:rPr>
          <w:rFonts w:ascii="IRNazanin" w:hAnsi="IRNazanin" w:eastAsia="IRNazanin"/>
          <w:color w:val="111111"/>
          <w:sz w:val="28"/>
          <w:sz w:val="28"/>
          <w:szCs w:val="28"/>
          <w:rtl w:val="true"/>
          <w:lang w:bidi="fa-IR"/>
        </w:rPr>
        <w:t>و هذا استفهامٌ هامٌّ وطبیعی لمن لم یدخل معترک التشریع الإسلامی،و هو ممّا لا یمکن استیعاب الإجابة علیه فی هذا الهامش الذی أثرناه متعمّدین،فهی تتطلّب إفراد کتاب خاصّ لها کی تتّضح حقیقة صدق دعوی الإسلام فی تبنّیه لحرّیة الإنسان کرکیزة أساسیة فی تشریعاته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الممکن القول هنا اختصاراً،بأنّ الإسلام دینٌ واقعی،ولیس دیناً مثالیاً أو دیالکتیکیاً،فجاء لیمسک بزمام الواقع المعاش بکلّ تناقضاته،لیأخذ به رویداً رویداً نحو الغایات التی یتبنّاها اعتماداً علی الأسس التی بیناها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نتیجة هذه الطریقة العقلانیة التی اعتمدها،أنَه قضی علی الرقّ و العبودیة فی عصوره الأولی،وذلک من خلال تشریعاته الذکّیة و الحکیمة فی هذا المجال من دون أن یجبر أو یکره أحداً علی ذلک،أو ینفّر أحداً منه،و هو ما یؤکّد إیمانه العمیق و الراسخ بأصالة حرّیة الإنسان</w:t>
      </w:r>
      <w:r>
        <w:rPr>
          <w:rFonts w:eastAsia="IRNazanin" w:cs="IRNazanin"/>
          <w:color w:val="111111"/>
          <w:sz w:val="28"/>
          <w:szCs w:val="28"/>
          <w:rtl w:val="true"/>
          <w:lang w:bidi="fa-IR"/>
        </w:rPr>
        <w:t>.</w:t>
      </w:r>
    </w:p>
    <w:p>
      <w:pPr>
        <w:pStyle w:val="Heading5"/>
        <w:numPr>
          <w:ilvl w:val="4"/>
          <w:numId w:val="1"/>
        </w:numPr>
        <w:rPr/>
      </w:pPr>
      <w:bookmarkStart w:id="583" w:name="__RefHeading___Toc97488_581953129"/>
      <w:bookmarkStart w:id="584" w:name="_Toc237"/>
      <w:bookmarkEnd w:id="583"/>
      <w:r>
        <w:rPr>
          <w:rtl w:val="true"/>
        </w:rPr>
        <w:t>خامساً</w:t>
      </w:r>
      <w:r>
        <w:rPr>
          <w:rtl w:val="true"/>
        </w:rPr>
        <w:t>:</w:t>
      </w:r>
      <w:r>
        <w:rPr>
          <w:rtl w:val="true"/>
        </w:rPr>
        <w:t>أن لا یکون مفلّساً</w:t>
      </w:r>
      <w:bookmarkEnd w:id="584"/>
    </w:p>
    <w:p>
      <w:pPr>
        <w:pStyle w:val="BookText"/>
        <w:rPr/>
      </w:pPr>
      <w:r>
        <w:rPr>
          <w:rFonts w:ascii="IRNazanin" w:hAnsi="IRNazanin" w:eastAsia="IRNazanin"/>
          <w:color w:val="111111"/>
          <w:sz w:val="28"/>
          <w:sz w:val="28"/>
          <w:szCs w:val="28"/>
          <w:rtl w:val="true"/>
          <w:lang w:bidi="fa-IR"/>
        </w:rPr>
        <w:t>الأمر الآخر الذی یحدّ من حرّیة الإنسان فی تصرّفه المالی هو الإفلاس،والمقصود بالمفلّس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 الذی یعجز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وفاء دیونه الکثیرة الزائدة علی ما یملکه من أموال غیر محتاج إلیها فی معاشه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ولا یتمّ منعه من التصرّف هذا بصورة عشوائیة؛و إنّما عن طریق الحاکم الشرعی للتحقیق فی ثبوت الدَّین علیه شرعاً وثبوت حلوله علیه وثبوت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ماله وطلب الغرماء من القاضی الحِجر علیه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فإذا ثبت کلّ ذلک 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الحاکم بالحِجر علی المفلّس لم یجز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بأمواله علی شتّی أنواعها،من الأعیان و المنافع و الدیون ونحوها ممّا له مالیة،بعوض کان التصرّف،کالبیع و الإجارة،أو بغیر عوض،کالوقف و الهبة و الإبراء</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وذلک لأنّ حرّیة التصرّف بالمال لها أهمّیةٌ قصوی لا یمکن سلبها وانتزاعها جزافاً،وخصوصاً فی حالات الدعاوی التی غالباً ما یثبت وهمها وخطأها،فیکون البتّ فیها موکولاً إلی الحاکم الشرعی الذی ینظر إلی الأمور بنظرة شمولیة،ویأخذ کلّ ما له دخلٌ فی الکشف عن الحقیقة بعین الاعتبار،ویراعی بحکمه مصالح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ربّما حکم البعض بعدم کفایة قضاء قاض واحد فی نفوذ الحکم بالحِجر علیه،فلو حجر الأوّل علیه وأطلقه الثانی،فتصرّف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ماله من بیع أو شراء قبل إطلاق الثانی أو بعده کان جائزاً؛لأنّ حِجر الأوّل مجتهد فیه فیتوقّف علی إمضاء قاض آخر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الحفاظ علی حیویة وسلامة واستمرار النشاطات الاقتصادیة یستوجب قطع الطریق علی مثل هذه الممارسات بعد التأکّد من ثبوتها،کما أشرنا،والتی تلعب بطبیعة الحال دوراً سلبیاً علی مجمل الحرکة الاقتصادیة؛إذ تتسبّب فی تعطیل الکثیر منها،وذلک لکون دوران الأموال فی السوق عمدتها وشریانها الأساسی،و هذا أمرٌ مخالفٌ لما أراده الإسلام من تنمیة المجتمع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خلاف ما تقدّم فی الحِجر علی الصغیر و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حِجراً ذاتیاً،أی أنّ طبیعة الشخص ذاته تتطلّب الحِجر علیه،و إنّما حِجراً خارجیاً،أی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وضعه المالی ولارتباطه باحتمال تضییع حقوق الآخرین یتطلّب الحِجر علیه،لا لأجل خصیصة ذاتیة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 تصرّف أدّی إلی إبطال حقّ الغرماء،فالحِجر یؤثّر فیه کالهبة و الصدقة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ومن هنا فقد حکم البعض،بأنّ التصرّفات التی لا تؤدّی إلی تضییع حقّ الغرماء مسموحٌ له فیها کالبیع مثلاً،فإن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بمثل القیمة جاز،و إن بغبن فلا </w:t>
      </w:r>
      <w:r>
        <w:rPr>
          <w:rStyle w:val="FootnoteAnchor"/>
          <w:rtl w:val="true"/>
        </w:rPr>
        <w:footnoteReference w:id="59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البیع بالقیمة السوقیة یبقی علی حقّ الغرماء محفوظاً،والبیع بغبن خسارةٌ توجب ضیاع جزء من حقّهم،ومن هنا جوّزوا</w:t>
      </w:r>
      <w:r>
        <w:rPr>
          <w:rFonts w:eastAsia="IRNazanin" w:cs="IRNazanin"/>
          <w:color w:val="111111"/>
          <w:sz w:val="28"/>
          <w:szCs w:val="28"/>
          <w:rtl w:val="true"/>
          <w:lang w:bidi="fa-IR"/>
        </w:rPr>
        <w:t>:</w:t>
      </w:r>
      <w:bookmarkStart w:id="585" w:name="pg5204_66191"/>
    </w:p>
    <w:p>
      <w:pPr>
        <w:pStyle w:val="BookText"/>
        <w:rPr/>
      </w:pPr>
      <w:bookmarkEnd w:id="585"/>
      <w:r>
        <w:rPr>
          <w:rFonts w:ascii="IRNazanin" w:hAnsi="IRNazanin" w:eastAsia="IRNazanin"/>
          <w:color w:val="111111"/>
          <w:sz w:val="28"/>
          <w:sz w:val="28"/>
          <w:szCs w:val="28"/>
          <w:rtl w:val="true"/>
          <w:lang w:bidi="fa-IR"/>
        </w:rPr>
        <w:t xml:space="preserve">للمفلّس إجازة بیع الخیار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للعلّة ذاتها علی فرض صحّته؛إذ یکون له الخیار فی الردّ بما لا یؤدّی إلی تضییع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الأمر مرتبطاً بحقوق الغرماء فحکم الحاکم یکون مرتکزاً علیهم،فإذا سمح له الغرماء بالتصرّف یکون تصرّفه نافذاً،فبطلان تصرّفه فی ماله مختصٌّ فی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إجازة الدیان ما دام الحِجر باقیاً </w:t>
      </w:r>
      <w:r>
        <w:rPr>
          <w:rStyle w:val="FootnoteAnchor"/>
          <w:rtl w:val="true"/>
        </w:rPr>
        <w:footnoteReference w:id="593"/>
      </w:r>
    </w:p>
    <w:p>
      <w:pPr>
        <w:pStyle w:val="Heading5"/>
        <w:numPr>
          <w:ilvl w:val="4"/>
          <w:numId w:val="1"/>
        </w:numPr>
        <w:rPr/>
      </w:pPr>
      <w:bookmarkStart w:id="586" w:name="__RefHeading___Toc97490_581953129"/>
      <w:bookmarkStart w:id="587" w:name="_Toc238"/>
      <w:bookmarkEnd w:id="586"/>
      <w:r>
        <w:rPr>
          <w:rtl w:val="true"/>
        </w:rPr>
        <w:t>سادساً</w:t>
      </w:r>
      <w:r>
        <w:rPr>
          <w:rtl w:val="true"/>
        </w:rPr>
        <w:t>:</w:t>
      </w:r>
      <w:r>
        <w:rPr>
          <w:rtl w:val="true"/>
        </w:rPr>
        <w:t>أن لا یکون مریضاً مرضَ الموت</w:t>
      </w:r>
      <w:bookmarkEnd w:id="587"/>
    </w:p>
    <w:p>
      <w:pPr>
        <w:pStyle w:val="BookText"/>
        <w:rPr/>
      </w:pPr>
      <w:r>
        <w:rPr>
          <w:rFonts w:ascii="IRNazanin" w:hAnsi="IRNazanin" w:eastAsia="IRNazanin"/>
          <w:color w:val="111111"/>
          <w:sz w:val="28"/>
          <w:sz w:val="28"/>
          <w:szCs w:val="28"/>
          <w:rtl w:val="true"/>
          <w:lang w:bidi="fa-IR"/>
        </w:rPr>
        <w:t>ویعدّ هذا الحدّ حدّاً وقائیاً من حدوث الإضرار بالورثة أوّلاً،أو بمن له علیه حقٌّ کالغرماء ثانیاً،فهو لا یقید حرّیة تصرّف المریض مرض الموت فی ماله بشکل مطلق؛إذ هو بالتالی إنسانٌ یتمتّع بکمال الإنسانیة،ف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جواز انتفاعه بماله بالأکل و الشرب و الإنفاق علی نفسه ومن یعوله و الصرف علی أضیافه،وفی حفظ شأنه واعتباره وغیر ذلک ممّا یلیق به،ولا یعدّ سرفاً وتبذیراً أی مقدار کان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أی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تصرّف المریض فی مرض الموت فیما یحتاج إلیه حاجة أصلیة نافذ کشراء الطعام و الکسوة،ونحو ذلک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أمّا فی ما لم یکن له حاجةٌ أصلیة،فلو تمّ حسب الروال السابق علی مرض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مشتملاً علی المحاباة،کما إذا باع بثمن المثل أو آجر بأجرة المثل،فلا إشکال فی صحّته ولزوم العمل به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ولکن إذا ما ترتّب علی تصرّفه فی غیر حاجاته الأساسیة نقصٌ فی ماله،فمن ناحیة حقوق الورثة؛إن کان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 بأقلّ من ثمن المثل و الإجارة بأقلّ من أجرة المثل،ونحو ذلک ممّا یستوجب نقصاً فی ماله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فقد ذهب البعض إلی توقّف نفوذ تصرّفه هذا علی فیما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من قصده الإضرار بالورثة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فصحیحٌ أنّه یتمتّع بکمال الإنسانیة،إلّا أنّه یفترض أنّه مریضٌ مرض الموت،فهو معلّقٌ بین الموت و الحیاة،فتکون سلطته علی ماله فیما لا یختصّ بحاجاته الأصلیة؛سلطةً معلّقةً علی مراعاة مصلحة المالک اللاحق لماله و المحدّد شرعیاً،فإذا کان فی تصرّفه هذا إضرارٌ به،فهو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وحسم البعض المسألة بما أنّها ترتبط بحقوق الورثة،بأن علّق نفوذ تصرّفاته تلک علی إمضاء الورثة،حتّی فیما لو کان تعامله مع الورثة ذاتهم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المریض مرض الموت عیناً من أعیان ماله لوارثه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إذا أجاز الورثة،و إن کان بمثل القیمة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وبهذا لیس له الحقّ فی التصرّفات المنجّزة التی لا یمکن تلافیها؛لأنّه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ینفذ من تصرّفات المریض ما یحتمل النقض بعد وقوعه،فأمّا ما لا یحتمل النقض،فالحکم فیه یثبت علی سبیل التوقّف</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وفرّق البعض الآخر بین ما إذا کان تصرّفه زائداً علی مقدار ثلث ماله،وبین ما إذا کان بمقداره أو أقلّ،فبما أنّ للمیت حقّ التصرّف و الوصیة بالثلث من ماله،فقد أجازوا تصرّفاته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زاد علیه،فهو بحاجة إلی إجازة الورثة علی اعتبار أنّ الأمر یمسّهم بما أنّه مریضٌ مرض الموت؛فتکون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نافذة بمقدار الثلث،فإذا زادت یتوقّف صحّتها ونفوذها فی الزائد علی إمضاء الورثة</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أمّا من ناحیة حقوق الغرماء،فبما أنّ هناک شریکاً فی ماله علی نحو تعلّق الدین به،فإنّ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یصیر بمنزلة الأجنبی عنه حتّی لا ینفذ منه التصرّف المبطل لحقّ الغریم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فتکون حرّیة تصرّفه فیه مقیدةً بالحالة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 بدین علیه بنحو یضیق باقی أمواله عن سداده </w:t>
      </w:r>
      <w:r>
        <w:rPr>
          <w:rStyle w:val="FootnoteAnchor"/>
          <w:rtl w:val="true"/>
        </w:rPr>
        <w:footnoteReference w:id="60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مثل هذا التصرّف مضرّاً بدیون الآخرین علیه،فهو غیر مسموح له به ویکون حکمه باطلاً</w:t>
      </w:r>
      <w:r>
        <w:rPr>
          <w:rFonts w:eastAsia="IRNazanin" w:cs="IRNazanin"/>
          <w:color w:val="111111"/>
          <w:sz w:val="28"/>
          <w:szCs w:val="28"/>
          <w:rtl w:val="true"/>
          <w:lang w:bidi="fa-IR"/>
        </w:rPr>
        <w:t>.</w:t>
      </w:r>
      <w:bookmarkStart w:id="588" w:name="pg5204_66193"/>
    </w:p>
    <w:p>
      <w:pPr>
        <w:pStyle w:val="Heading5"/>
        <w:numPr>
          <w:ilvl w:val="4"/>
          <w:numId w:val="1"/>
        </w:numPr>
        <w:rPr/>
      </w:pPr>
      <w:bookmarkStart w:id="589" w:name="__RefHeading___Toc97492_581953129"/>
      <w:bookmarkStart w:id="590" w:name="_Toc239"/>
      <w:bookmarkEnd w:id="588"/>
      <w:bookmarkEnd w:id="589"/>
      <w:r>
        <w:rPr>
          <w:rtl w:val="true"/>
        </w:rPr>
        <w:t>سابعاً</w:t>
      </w:r>
      <w:r>
        <w:rPr>
          <w:rtl w:val="true"/>
        </w:rPr>
        <w:t>:</w:t>
      </w:r>
      <w:r>
        <w:rPr>
          <w:rtl w:val="true"/>
        </w:rPr>
        <w:t>الإسلام</w:t>
      </w:r>
      <w:bookmarkEnd w:id="590"/>
    </w:p>
    <w:p>
      <w:pPr>
        <w:pStyle w:val="BookText"/>
        <w:rPr/>
      </w:pPr>
      <w:r>
        <w:rPr>
          <w:rFonts w:ascii="IRNazanin" w:hAnsi="IRNazanin" w:eastAsia="IRNazanin"/>
          <w:color w:val="111111"/>
          <w:sz w:val="28"/>
          <w:sz w:val="28"/>
          <w:szCs w:val="28"/>
          <w:rtl w:val="true"/>
          <w:lang w:bidi="fa-IR"/>
        </w:rPr>
        <w:t>إنّ الإسلام بما أنّه دینٌ واقعی،فإنّه لم ینطلق فی تشریعاته من رؤیة خاصّة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المحیط الذی یعایشه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انطلق من رؤیة شمولیة له تأخذ بنظر الاعتبار المحیط الذی یحیاه و الظروف التی تنتابه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من خلال الأسس التی تطرّقنا إلیها فی المدخل کیف أنّه لم یقلّده وسام الخلافة علی أساس مذهبی،بل بما هو إنسان،و إن جعل الغایة التی یتوخّاها وحثّه علی محاولة الوصول إلیها هی الکمال الذی لا یمکن الوصول إلیه إلّا من خلال توحید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أنّه لم یفرّق بین المسلم وغیر المسلم فی جلّ أو جمیع تشریعاته المرتبطة بالإنتاج،إلّا أنّنا لاحظنا أنّ هناک من یفتی فی حالة واحدة فیما تتبّعنا ترتبط بعدم السماح لغیر المسلم بحرّیة ممارسة حقّ تبادلی یتمثّل فی حالة،کونه شفیعاً لشریکه المسلم،فیما لو أراد أن یشتری الحصّة المشاعة للشریک مسلمٌ آخر،فهو یعطی الحقّ للمشتری المسلم علی حساب الشفیع 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اشتری المسلم حصّة أحد الشریکین،لم یکن لشریک ذلک الشخص إذا کان کافراً أن یأخذ تلک الحصّة من الشاری المسلم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فمع أنّ الذی یبدو أنّ الشریک یکون أولی من غیره بشراء حصّة شریکه،إلّا أنّ مجیء الفتوی بخلاف ذلک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علی أصل یکون حاکماً علی مثل هذه الأمور،و هو قوله تعالی وَ لَنْ یَجْعَلَ اللّهُ لِلْکافِرِینَ عَلَی الْمُؤْمِنِینَ سَبِیلاً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فلا مجال لاستعلاء من لم یسبق إلی الغایة التی خُلق الإنسان من أجل الوصول إلیها علی من سبق إلیها،ولو بدرجة واحدة من درجات ذلک السُّلّم التصاعدی و المتمثّلة بالإیمان،فیکون الثانی أحقّ بقیادة العملیة الإنتاجیة؛لکونه قد وضع قدمه علی الطریق الصحیحة لتنمیة تلک العملیة حسب الموازین التی أرادها المستخلِف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 البعض أنّ هذه المسألة مسألةٌ دنیویةٌ بحتةٌ ترتبط بمسائل المعاش،فلیس لها أدنی ارتباط بقضیة الاستطالة والاستعلاء فیما بین المسلم وغیره،فهی مجرّد عملیة</w:t>
      </w:r>
      <w:bookmarkStart w:id="591" w:name="pg5204_66194"/>
    </w:p>
    <w:p>
      <w:pPr>
        <w:pStyle w:val="BookText"/>
        <w:rPr/>
      </w:pPr>
      <w:bookmarkEnd w:id="591"/>
      <w:r>
        <w:rPr>
          <w:rFonts w:ascii="IRNazanin" w:hAnsi="IRNazanin" w:eastAsia="IRNazanin"/>
          <w:color w:val="111111"/>
          <w:sz w:val="28"/>
          <w:sz w:val="28"/>
          <w:szCs w:val="28"/>
          <w:rtl w:val="true"/>
          <w:lang w:bidi="fa-IR"/>
        </w:rPr>
        <w:t>تبادلیة لا تؤثّر فی شیء من ذلک،وعلی هذا،فإنّ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الشفیع،فلیس بشرط لوجوب الشفعة،فتجب لأهل الذمّة فیما بینهم وللذمّی علی المسلم؛لأنّ هذا حقّ التملّک علی المشتری بمنزلة الشراء منه و الکافر و المسلم فی ذلک سواء؛لأنّه من الأمور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حقّ مبنی علی المُلک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فعلی أساس ذلک یکون المسلم وغیر المسلم علی حدّ سواء فی الاستفادة من حقّ الشفعة،فلا تکون حرّیة غیر المسلم مقیدةً،و إن کان المشتری مسلماً</w:t>
      </w:r>
      <w:r>
        <w:rPr>
          <w:rFonts w:eastAsia="IRNazanin" w:cs="IRNazanin"/>
          <w:color w:val="111111"/>
          <w:sz w:val="28"/>
          <w:szCs w:val="28"/>
          <w:rtl w:val="true"/>
          <w:lang w:bidi="fa-IR"/>
        </w:rPr>
        <w:t>.</w:t>
      </w:r>
    </w:p>
    <w:p>
      <w:pPr>
        <w:pStyle w:val="Heading4"/>
        <w:numPr>
          <w:ilvl w:val="3"/>
          <w:numId w:val="1"/>
        </w:numPr>
        <w:rPr/>
      </w:pPr>
      <w:bookmarkStart w:id="592" w:name="__RefHeading___Toc97494_581953129"/>
      <w:bookmarkStart w:id="593" w:name="_Toc240"/>
      <w:bookmarkEnd w:id="592"/>
      <w:r>
        <w:rPr>
          <w:rtl w:val="true"/>
        </w:rPr>
        <w:t>المطلب الثانی</w:t>
      </w:r>
      <w:r>
        <w:rPr>
          <w:rtl w:val="true"/>
        </w:rPr>
        <w:t>:</w:t>
      </w:r>
      <w:r>
        <w:rPr>
          <w:rtl w:val="true"/>
        </w:rPr>
        <w:t>الحدود العوضیة</w:t>
      </w:r>
      <w:bookmarkEnd w:id="593"/>
    </w:p>
    <w:p>
      <w:pPr>
        <w:pStyle w:val="Heading5"/>
        <w:numPr>
          <w:ilvl w:val="4"/>
          <w:numId w:val="1"/>
        </w:numPr>
        <w:rPr/>
      </w:pPr>
      <w:bookmarkStart w:id="594" w:name="__RefHeading___Toc97496_581953129"/>
      <w:bookmarkStart w:id="595" w:name="_Toc241"/>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تحتلّ السلعة أو المنفعة فی الإنتاج الثانوی أو التداولی دور المادّة الأوّلیة فی الإنتاج الأوّلی،فکما أنّ الإنتاج الأوّلی یقع علی المادّة الأوّلیة ولا یصدُق أن یطلق علیه إنتاجاً من دونها،فکذا الأمر بالنسبة إلی السلعة و المنفعة فی الإنتاج الثانوی،إذ إنّ عملیة التبادل تقع علیهما،ولا یمکن أن توجد عملیةٌ تبادلیةٌ من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قد ذکرنا وفقاً لتعریف الإنتاج و الضوابط المستخلصة منه،بأنّ العملیة التداولیة إنّما تقع علی السلعة و المنفعة بما تتقوّمان به من سدّ حاجة یتسقّطها الإنسان،ویسعی للحصول علیها لملء النقص الحاصل لدیه،وضرورة أن تکون تلک الحاجة مشروعةً لیتمّ ملء ذلک النقص بأحسن صورة تفوّت الکثیر من المتاعب و المضاعفات التی ستهدّد حیاته فیما لو لم یلاحِظ ذلک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 فی مصلحته،وتلعب تبعاً لذلک دوراً تنمویاً لا دوراً تخریبیاً للعملیة الإنتاجیة و النشاط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أطلقنا أیضاً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الخدمة علی الإنتاج التداولی؛لأنّ العملیات التبادلیة تمثّل فی حقیقتها خدمةً یقدّمها أحد الطرفین إلی الآخر؛سواء کانت سلعةً یتمّ نقلها إلیه بالبیع ونحوه،أو منفعةً یخلّی بینه وبینها،جهداً کانت أو عیناً بواسطة الإجارة و الجعالة ونحوها من العقود و الإیقاعات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تکون هذه الخدمة،و هذه العملیة التداولیة شاملةً للسلع و المنافع،إلّا أنّ بعض العقود تختصّ بالسلع کالبیع،فلا یمکن أن یقع البیع علی المنافع،بینما تختصّ بعضها بالمنافع کالإجارة،و إن وقعت علی عین،فإنّما وقعت علیها لأجل منافعها،لا علیها بالذات</w:t>
      </w:r>
      <w:r>
        <w:rPr>
          <w:rFonts w:eastAsia="IRNazanin" w:cs="IRNazanin"/>
          <w:color w:val="111111"/>
          <w:sz w:val="28"/>
          <w:szCs w:val="28"/>
          <w:rtl w:val="true"/>
          <w:lang w:bidi="fa-IR"/>
        </w:rPr>
        <w:t>.</w:t>
      </w:r>
      <w:bookmarkStart w:id="596" w:name="pg5204_66195"/>
    </w:p>
    <w:p>
      <w:pPr>
        <w:pStyle w:val="BookText"/>
        <w:rPr/>
      </w:pPr>
      <w:bookmarkEnd w:id="596"/>
      <w:r>
        <w:rPr>
          <w:rFonts w:ascii="IRNazanin" w:hAnsi="IRNazanin" w:eastAsia="IRNazanin"/>
          <w:color w:val="111111"/>
          <w:sz w:val="28"/>
          <w:sz w:val="28"/>
          <w:szCs w:val="28"/>
          <w:rtl w:val="true"/>
          <w:lang w:bidi="fa-IR"/>
        </w:rPr>
        <w:t>وعلی کلا التقدیرین،فإنّ الشارع الإسلامی وضع حدوداً لهذه السلع و المنافع المعبَّر عنهما فقهیاً بالمبیع و المثمن،والمضارب فیه و المستأجَر،والمجعول علیه و الموکَّل فیه،وما إلی ذلک،وللعوض المقدّم أزاءهما و المعبَّر عنه فقهیاً بالثمن و الأجرة و الجعل ونحوها،ولا فرق</w:t>
      </w:r>
    </w:p>
    <w:p>
      <w:pPr>
        <w:pStyle w:val="BookText"/>
        <w:rPr/>
      </w:pPr>
      <w:r>
        <w:rPr>
          <w:rFonts w:ascii="IRNazanin" w:hAnsi="IRNazanin" w:eastAsia="IRNazanin"/>
          <w:color w:val="111111"/>
          <w:sz w:val="28"/>
          <w:sz w:val="28"/>
          <w:szCs w:val="28"/>
          <w:rtl w:val="true"/>
          <w:lang w:bidi="fa-IR"/>
        </w:rPr>
        <w:t>بینهما من حیث الأساس،فیشترک کلا العوضین الثمن و المبیع علی سبیل المثال فی خضوعهما لتلک الحدود التی سنوردها حسب الشکل التالی</w:t>
      </w:r>
      <w:r>
        <w:rPr>
          <w:rFonts w:eastAsia="IRNazanin" w:cs="IRNazanin"/>
          <w:color w:val="111111"/>
          <w:sz w:val="28"/>
          <w:szCs w:val="28"/>
          <w:rtl w:val="true"/>
          <w:lang w:bidi="fa-IR"/>
        </w:rPr>
        <w:t>:</w:t>
      </w:r>
    </w:p>
    <w:p>
      <w:pPr>
        <w:pStyle w:val="Heading5"/>
        <w:numPr>
          <w:ilvl w:val="4"/>
          <w:numId w:val="1"/>
        </w:numPr>
        <w:rPr/>
      </w:pPr>
      <w:bookmarkStart w:id="597" w:name="__RefHeading___Toc97498_581953129"/>
      <w:bookmarkStart w:id="598" w:name="_Toc242"/>
      <w:bookmarkEnd w:id="597"/>
      <w:r>
        <w:rPr>
          <w:rtl w:val="true"/>
        </w:rPr>
        <w:t>أوّلاً</w:t>
      </w:r>
      <w:r>
        <w:rPr>
          <w:rtl w:val="true"/>
        </w:rPr>
        <w:t>:</w:t>
      </w:r>
      <w:r>
        <w:rPr>
          <w:rtl w:val="true"/>
        </w:rPr>
        <w:t>عدم السماح بتداول غیر المعین وغیر المعلوم</w:t>
      </w:r>
      <w:bookmarkEnd w:id="598"/>
    </w:p>
    <w:p>
      <w:pPr>
        <w:pStyle w:val="BookText"/>
        <w:rPr/>
      </w:pPr>
      <w:r>
        <w:rPr>
          <w:rFonts w:ascii="IRNazanin" w:hAnsi="IRNazanin" w:eastAsia="IRNazanin"/>
          <w:color w:val="111111"/>
          <w:sz w:val="28"/>
          <w:sz w:val="28"/>
          <w:szCs w:val="28"/>
          <w:rtl w:val="true"/>
          <w:lang w:bidi="fa-IR"/>
        </w:rPr>
        <w:t>ویقوم هذا الحدّ علی أساس الحیلولة دون الغرر الذی ربّما یحصل من خلال عدم التحدید و التعیین،فرفع الجهالة عن کلّ من العوضین یعدّ شرطاً رئیساً فی نفوذ المعاملة،فیشترط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البیع أن لا یکون غرریاً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فإنّ جهالة کلّ من العوضین أو أحدهما یفضی إلی الغرر من خلال احتمال تخلّف المواصفات التی یتوقّعها المتعامِل مع عدم البوح بها والاتّفاق حولها،فلا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المبیع معلوماً و الثمن معلوماً علماً یمنع من المنازعة،فالمجهول جهالة مفضیة إلیها غیر صحیح کشاة من هذا القطیع</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ولا یمکن أن یتمّ ذلک إلّا من خلال تحدید النوعیة و المقدار،وکلّ ما له دخلٌ فی تعیینهما بما یرفع الجهالة،کالأجل فیما لو کانت المعاملة تتمّ علی شیء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یرتبط بالنوعیة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معرفة جنس العوضین وصفاتهما التی تختلف القیمة باختلافها،کالألوان و الطعوم،والجودة و الرداءة،والرقّة و الغلظة،والثقل و الخفّة ونحو ذلک</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فینبغی تعیین کلّ ما له ارتباطٌ فی معرفة نوعیة العوضین معرفةً لا تؤدّی إلی الجهالة الموجبة للغرر،فإذا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اشتری من هذا اللحم ثلاثة أرطال بدرهم،ولم یبین الموضع فالبیع فاسد </w:t>
      </w:r>
      <w:r>
        <w:rPr>
          <w:rStyle w:val="FootnoteAnchor"/>
          <w:rtl w:val="true"/>
        </w:rPr>
        <w:footnoteReference w:id="61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لحم الذبیحة تتفاوت نوعیته ومواصفاته من موضع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المقدار،فإنّه من اللازم أیضاً تحدیده؛لأنّ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الصحّة معرفة قدر مبیع وثمن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هذا یصبّ أیضاً فی ذات الاتّجاه بأن یکون،کلا المتعاملین علی معرفة تامّة بما یقدِمان علیه حفظاً لحقوق کلّ منهما،ونیل ما یطلبانه من تلک المعاملة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تحدید مقدار کلّ من العوضین بالنحو الذی یرفع الجهالة الموجبة لوقوع أحد المتعاقدین أو کلیهما فی الغرر وتحقّق غیر المراد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هذا ینطبق علی کافّة المعاملات،ففی الإجارة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فی الأجرة معلومیتها،فإذا کانت من المکیل أو الموزون أو المعدود لا بدّ من معرفتها بالکیل و الوزن أو العدّ،وما یعرف منها بالمشاهدة،لا بدّ من مشاهدته أو وصفه علی نحو ترتفع الجهالة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وعلی هذا الأساس،حظروا بیع الثمار و الخضّار و الزرع قبل ظهوره،فإذا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الشجر فی مرحلة الإزهار ولم یکن قد ظهر شیء من ثمره،فإنّ الأحوط وجوباً ترک بیعه فی هذه الحالة فی خصوص عامه هذا دون ضمیمة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وکذا الزرع،فإنّه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بیع الزرع بذراً قبل ظهوره علی الأحوط وجوبا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والأمر یسری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 کالخیار و الباذنجان و البطیخ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بیعها قبل ظهورها علی الأحوط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وما ذلک إلّا 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مظنّة جهالة المقدار</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المقدار یجب أن یکون محدَّداً مضبوطاً،ولا یکفی تحدیده حتّی علی سبیل أن یکون معادلاً لقیمته دون ذکر تلک القیمة،أو أن یوکل أمر تحدیده إلی شخص آخر دون ذکر</w:t>
      </w:r>
    </w:p>
    <w:p>
      <w:pPr>
        <w:pStyle w:val="BookText"/>
        <w:rPr/>
      </w:pPr>
      <w:r>
        <w:rPr>
          <w:rFonts w:ascii="IRNazanin" w:hAnsi="IRNazanin" w:eastAsia="IRNazanin"/>
          <w:color w:val="111111"/>
          <w:sz w:val="28"/>
          <w:sz w:val="28"/>
          <w:szCs w:val="28"/>
          <w:rtl w:val="true"/>
          <w:lang w:bidi="fa-IR"/>
        </w:rPr>
        <w:t>مقداره فی العقد،فلا یصحّ بیع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بقیمته أو بحکم فلان</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وبالنسبة إلی الأجل فیما لو کان البیع نسیئةً مثلاً،یلزم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معلومیة الأجل فی البیع بثمن مؤجّل ففسد إن کان مجهولا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تحدید الأجل بشکل یدفع أی جهالة،وأی نزاع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وینطبق ذات الأمر علی بیع السلف،فیجب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أجل مضبوط للمسلَم فیه بالأیام أو الشهور أو السنین أو نحوها،ولو جعل الأجل زمان الحصاد،أو الدیاس،أو الحضیرة بطل البیع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وذلک لعدم ضبط مثل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یقتصر أمر أن یکون کلا العوضین معیناً محدَّداً علی فیما لو کان العوضان عیناً مشخّصة،بل هو کذلک فیما لو کانت الأجرة مثلاً حقّاً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کمثل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 الحضانة،وحقّ الاختصاص،وحقّ التألیف،ونحو ذلک؛فإنّه لا بدّ من کونه معلوماً محدّداً بما یرفع الجهالة به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وکذا لو کان منفعةً کعمل الأجیر،فلا بدّ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تحدید نوع ومواصفات العمل المطلوب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والموضوع و المدّة أو المسافة فیما لو کان عیناً 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استأجر الدار للسکنی سنةً و الدابة للرکوب فرسخاً من دون تعیین الزمان بطلت الأجارة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ویتّضح بهذا أنّ التداول لا یکون تامّاً ترتّب علیه الآثار المطلوبة إلّا من خلال تعیین وتحدید ما یراد تداوله منفعةً کان أو 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فی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ذکر کلّ ما ترتفع به الجهالة و الغرر</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أنّ هذه المسألة خاضعةٌ لتوافق الطرفین،إلّا أنّ هذا الخضوع لا یکون سائباً بشکل</w:t>
      </w:r>
      <w:bookmarkStart w:id="599" w:name="pg5204_66198"/>
    </w:p>
    <w:p>
      <w:pPr>
        <w:pStyle w:val="BookText"/>
        <w:rPr/>
      </w:pPr>
      <w:bookmarkEnd w:id="599"/>
      <w:r>
        <w:rPr>
          <w:rFonts w:ascii="IRNazanin" w:hAnsi="IRNazanin" w:eastAsia="IRNazanin"/>
          <w:color w:val="111111"/>
          <w:sz w:val="28"/>
          <w:sz w:val="28"/>
          <w:szCs w:val="28"/>
          <w:rtl w:val="true"/>
          <w:lang w:bidi="fa-IR"/>
        </w:rPr>
        <w:t>یجعلهما غیر مُلزَمین فی تحدید کثیر من الأمور الدخیلة فی انتقاص حقوق کلّ منهما فیما لو لم یضبطاها بشکل یحول دون ذلک،ممّا سیؤدّی إلی حدوث نزاعات تعرقل العملیة التبادلیة،ولأجل هذا فهما مقیدان بمراعاة ما یحول دون الغرر الواقع علی أحدهما أو کلیهما،وضمان سلاستها وانسیابیتها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وللتأکید علی أهمّیة هذا الحدّ فقد حظر الإسلام الغشّ،وأعطی للمغشوش فرصة إبطال المعاملة فیما لو کان الغشّ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أنّها لا تبطل من الأساس فیما لو کان جزئیاً،إلّا أنّ له الحقّ فی إبطالها،فإنّ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الغشّ و إن حرُم لا تفسد المعاملة به،لکن یثبت الخیار للمغشوش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أما لو کان الغشّ کلّیاً،کما لو اختلف جنس ما تمّ التعامل و التوافق علیه،فإنّ المعاملة تُعدّ باطلةً من الأساس،ویتحمّل الغاشّ کافّة تبعاتها،ففی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المطلی بماء الذهب أو الفضّة</w:t>
      </w:r>
    </w:p>
    <w:p>
      <w:pPr>
        <w:pStyle w:val="BookText"/>
        <w:rPr/>
      </w:pPr>
      <w:r>
        <w:rPr>
          <w:rFonts w:ascii="IRNazanin" w:hAnsi="IRNazanin" w:eastAsia="IRNazanin"/>
          <w:color w:val="111111"/>
          <w:sz w:val="28"/>
          <w:sz w:val="28"/>
          <w:szCs w:val="28"/>
          <w:rtl w:val="true"/>
          <w:lang w:bidi="fa-IR"/>
        </w:rPr>
        <w:t>فیما لو کان البیع وقع علی الخالص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یبطل فیه البیع،ویحرُم الثمن علی البائع،وکذا أمثاله ممّا کان الغشّ فیه موجباً لاختلاف الجنس </w:t>
      </w:r>
      <w:r>
        <w:rPr>
          <w:rStyle w:val="FootnoteAnchor"/>
          <w:rtl w:val="true"/>
        </w:rPr>
        <w:footnoteReference w:id="626"/>
      </w:r>
    </w:p>
    <w:p>
      <w:pPr>
        <w:pStyle w:val="Heading5"/>
        <w:numPr>
          <w:ilvl w:val="4"/>
          <w:numId w:val="1"/>
        </w:numPr>
        <w:rPr/>
      </w:pPr>
      <w:bookmarkStart w:id="600" w:name="__RefHeading___Toc97500_581953129"/>
      <w:bookmarkStart w:id="601" w:name="_Toc243"/>
      <w:bookmarkEnd w:id="600"/>
      <w:r>
        <w:rPr>
          <w:rtl w:val="true"/>
        </w:rPr>
        <w:t>ثانیاً</w:t>
      </w:r>
      <w:r>
        <w:rPr>
          <w:rtl w:val="true"/>
        </w:rPr>
        <w:t>:</w:t>
      </w:r>
      <w:r>
        <w:rPr>
          <w:rtl w:val="true"/>
        </w:rPr>
        <w:t>عدم السماح بتداول ما لا ینفذ التصرّف فیه</w:t>
      </w:r>
      <w:bookmarkEnd w:id="601"/>
    </w:p>
    <w:p>
      <w:pPr>
        <w:pStyle w:val="BookText"/>
        <w:rPr/>
      </w:pPr>
      <w:r>
        <w:rPr>
          <w:rFonts w:ascii="IRNazanin" w:hAnsi="IRNazanin" w:eastAsia="IRNazanin"/>
          <w:color w:val="111111"/>
          <w:sz w:val="28"/>
          <w:sz w:val="28"/>
          <w:szCs w:val="28"/>
          <w:rtl w:val="true"/>
          <w:lang w:bidi="fa-IR"/>
        </w:rPr>
        <w:t>ونفوذ التصرّف یرتکز علی ملکیته من قِبل المتصرِّف أو کون المتصرِّف وکیلاً عن المالک أو مأذوناً منه أو ولیاً علیه،والملکیة فی هذا المجال علی أنحاء،فمنها ما تکون حقیقیة،أی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یکون موجوداً مالاً متقوّماً مملوکاً فی نفسه </w:t>
      </w:r>
      <w:r>
        <w:rPr>
          <w:rStyle w:val="FootnoteAnchor"/>
          <w:rtl w:val="true"/>
        </w:rPr>
        <w:footnoteReference w:id="6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ما فإمّا أن یکون شیئاً منفرداً بذاته کالثوب و البیت،أو أن یکون جزءً من کلّی معین ککیلو</w:t>
      </w:r>
    </w:p>
    <w:p>
      <w:pPr>
        <w:pStyle w:val="BookText"/>
        <w:rPr/>
      </w:pPr>
      <w:r>
        <w:rPr>
          <w:rFonts w:ascii="IRNazanin" w:hAnsi="IRNazanin" w:eastAsia="IRNazanin"/>
          <w:color w:val="111111"/>
          <w:sz w:val="28"/>
          <w:sz w:val="28"/>
          <w:szCs w:val="28"/>
          <w:rtl w:val="true"/>
          <w:lang w:bidi="fa-IR"/>
        </w:rPr>
        <w:t>غراماً من هذا الطعام،ففی کلا الحالین یکون الشیء المملوک موجوداً فی الخارج ومملوکاً ملکیةً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تداوله متشخّصاً ومتعیناً فی الخارج،و 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شیئاً منفرداً بذاته کالثوب و البیت،أو أن یکون جزءً من کلّی معین ککیلو غراماً من هذا الطعام،ففی کلا الحالین یکون الشیء المملوک موجوداً فی الخارج ومملوکاً ملکیةً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تکون اعتباریة،أی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یراد تداوله غیر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تقدّم فی الملکیة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علی شکل التزام بإیجاده حسب المواصفات المتّفق علیها،و هو ما یطلق علیه فقهیاً بالکلّی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شیئاً مفترضاً بمواصفات معینة کسلعة یتعهّد البائع بتوفیرها أو بناء یلتزم الأجیر بتنفیذه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ذلک لا یجوز تداول ما لم یملک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بیع السمک فی الماء و الطیر فی الهواء،وشجر البیداء قبل أن یصاد أو یحاز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والمراد من ذلک بیعه هذا السمک،و هذا الطیر و هذا الشجر بالتحدید بواقعه المشخَّص فی الخارج،ومثله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ما لیس مملوکاً له،و إن ملکه بعده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کالکتاب المملوک فعلاً من قِبل زید،علی خلاف ما لو باع کتاباً فی الذمّة لا خصوص کتاب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اشتری منقولاً،ولم یقبضه فباعه لا یصحّ بیعه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فینزّل منزلة غیر المملوک فیما لو أراد بیعه،و إن ترتّبت علیه آثار الملکیة من نواح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مملوکاً بنحو العموم کأرض الخراجّ 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رقبة الأرض الخراجیة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المفتوحة عنوة العامرة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الفتح،فإنّها ملک للمسلمین من وجِد ومن یوجد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لأنّ ملکیتّها عامّةٌ غیر شخصیة،فلا یمکن نفوذ التصرّف فیها بمثل البیع،وکذا لا یصحّ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 أحیاها بغیر إذن الإمام </w:t>
      </w:r>
      <w:r>
        <w:rPr>
          <w:rStyle w:val="FootnoteAnchor"/>
          <w:rtl w:val="true"/>
        </w:rPr>
        <w:footnoteReference w:id="63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یحتاج إلی الإذن من الأراضی،لعدم استئذانه الإمام</w:t>
      </w:r>
      <w:r>
        <w:rPr>
          <w:rFonts w:eastAsia="IRNazanin" w:cs="IRNazanin"/>
          <w:color w:val="111111"/>
          <w:sz w:val="28"/>
          <w:szCs w:val="28"/>
          <w:rtl w:val="true"/>
          <w:lang w:bidi="fa-IR"/>
        </w:rPr>
        <w:t>.</w:t>
      </w:r>
      <w:bookmarkStart w:id="602" w:name="pg5204_66200"/>
    </w:p>
    <w:p>
      <w:pPr>
        <w:pStyle w:val="BookText"/>
        <w:rPr/>
      </w:pPr>
      <w:bookmarkEnd w:id="602"/>
      <w:r>
        <w:rPr>
          <w:rFonts w:ascii="IRNazanin" w:hAnsi="IRNazanin" w:eastAsia="IRNazanin"/>
          <w:color w:val="111111"/>
          <w:sz w:val="28"/>
          <w:sz w:val="28"/>
          <w:szCs w:val="28"/>
          <w:rtl w:val="true"/>
          <w:lang w:bidi="fa-IR"/>
        </w:rPr>
        <w:t>أو لم یکن ملکاً طلقاً،أی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مانع من التصرّف فیه،و إن کان مملوکاً،کبیع الوقف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العین موقوفة لم یجز بیعها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عموماً؛إلّا فی بعض مواردها التی لا مجال لتفصیلها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ینفذ تداول ما لا یکون کذلک،کما لو کان ممّا لا تتحقّق ملکیته للمتصرّف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أن یجعل أجرته خمراً أو مالاً مغصوبا</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وینطبق کلّ هذا علی المنافع و الحقوق أیضاً،فإذا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الأجرة التی یرید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کونه مملوکاً له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إذ لا یسمح له بالتصرّف بحقّ غیره،ولو قام الولی بإجارة الصبی فبلغ الصبی أثناء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 الخیار فی إجارة النفس إن شاء مضی علیها و إن شاء أبطلها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لملکیته لمنافع نفسه حینئذ بسقوط ولایة الغیر علیه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ممّا سبق أنّه لا بدّ فی صحّة تداول المنافع و الأعیان من ثبوت حقّ التصرّف فیها،فلا یسمح بحرّیة التصرّف فیها من دون ثبوت ملکیتها للمتصرِّف أو ولایته علیها أو مأذونیته فیها،حیث یرتبط هذا الأمر بحقیقة کون الناس مسلّطون علی أنفسهم وأموالهم ولزوم احترام ذلک التسلّط و المال،من خلال الحقّ الذی أوجبه الله تعالی لهم فی کونهم خلفاء له فی إعمار الأرض،وضرورة وقوع ذلک الحقّ علی ما یصحّ أن یکون مورداً لإعمال ذلک الحقّ</w:t>
      </w:r>
      <w:r>
        <w:rPr>
          <w:rFonts w:eastAsia="IRNazanin" w:cs="IRNazanin"/>
          <w:color w:val="111111"/>
          <w:sz w:val="28"/>
          <w:szCs w:val="28"/>
          <w:rtl w:val="true"/>
          <w:lang w:bidi="fa-IR"/>
        </w:rPr>
        <w:t>.</w:t>
      </w:r>
    </w:p>
    <w:p>
      <w:pPr>
        <w:pStyle w:val="Heading5"/>
        <w:numPr>
          <w:ilvl w:val="4"/>
          <w:numId w:val="1"/>
        </w:numPr>
        <w:rPr/>
      </w:pPr>
      <w:bookmarkStart w:id="603" w:name="__RefHeading___Toc97502_581953129"/>
      <w:bookmarkStart w:id="604" w:name="_Toc244"/>
      <w:bookmarkEnd w:id="603"/>
      <w:r>
        <w:rPr>
          <w:rtl w:val="true"/>
        </w:rPr>
        <w:t>ثالثاً</w:t>
      </w:r>
      <w:r>
        <w:rPr>
          <w:rtl w:val="true"/>
        </w:rPr>
        <w:t>:</w:t>
      </w:r>
      <w:r>
        <w:rPr>
          <w:rtl w:val="true"/>
        </w:rPr>
        <w:t>عدم السماح بالتداول علی غیر المقدور</w:t>
      </w:r>
      <w:bookmarkEnd w:id="604"/>
    </w:p>
    <w:p>
      <w:pPr>
        <w:pStyle w:val="BookText"/>
        <w:rPr/>
      </w:pPr>
      <w:r>
        <w:rPr>
          <w:rFonts w:ascii="IRNazanin" w:hAnsi="IRNazanin" w:eastAsia="IRNazanin"/>
          <w:color w:val="111111"/>
          <w:sz w:val="28"/>
          <w:sz w:val="28"/>
          <w:szCs w:val="28"/>
          <w:rtl w:val="true"/>
          <w:lang w:bidi="fa-IR"/>
        </w:rPr>
        <w:t>وتخضع حرّیة تبادل العوضین کذلک إلی أن یکونا ممّا یقدر علی تسلیمه،فلا یکفی أن یکونا محدَّدین ومملوکین علی نحو ینفذ التصرّف فیهما کما مرّ،بل لا بدّ وأن یکون المتداوِل متمکّناً من إعداد العوض ودفعه إلی الطرف الآخر،فیشترط</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من العوضین أن یکون مقدوراً علی تسلیمه،فلا یجوز بیع الجمل الشارد،أو الطیر الطائر،أو السمک المرسَل فی الماء</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وذلک؛لأنّ عملیة الخدمة و التبادل ستکون منتفیةً من الأساس،مع أنّ العوض فی تلک الموارد غیر معدوم،بل هو مملوکٌ أساساً کما یلاحَظ فی الاقتباس الذی مرّ،فالبیع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یستدعی المُلک فی المحلّ یستدعی القدرة علی التسلیم؛ولهذا لا ینفذ فی الآبق و الجنین فی البطن،فکذلک لا ینفذ فی المرهون لعجز الراهن عن تسلیمه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وعدم النفوذ،یعنی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وقوعه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یختصّ ذلک بالبیع،بل یشمل کلّ عوض عیناً کان أو منفعة،فیشترط فی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ممّا یمکن تسلیمها ودفعها للأجیر عند اللزوم،فلا یصحّ أن یجعل 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طائراً فرّ من قبضته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وینطبق ذلک علی المنفعة أیضاً،فلو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الکفیل قدرته علی 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فتبین عجزه عنه من الأوّل بطلت الکفالة من حین الانکشاف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إذ ستنتفی بذلک قدرته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من التداول،هو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المرجوّة منه،و هذا ما لا یتمّ إلّا من خلال التخلیة فیما بین المتعامِل وبین العوض،فإذا لم تتوفّر مثل هذه القدرة علی التخلیة،فستنتفی تلک المنفعة المقصودة،وعلی هذا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علی التسلیم لذا العاقد شرط انعقاد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لا ینعقد إلّا لفائدة،ولا یفید إذا لم یکن قادراً علی التسلیم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ولا یضرّ فی تحقّق القدرة علی تسلیم المنفعة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فی نتائجه خاضعاً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لمقدّمات غیر اختیاریة قد تؤثّر علی النتیجة وجوداً وعدما </w:t>
      </w:r>
      <w:r>
        <w:rPr>
          <w:rStyle w:val="FootnoteAnchor"/>
          <w:rtl w:val="true"/>
        </w:rPr>
        <w:footnoteReference w:id="64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فعدم وصول موادّ البناء بسبب انقطاع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مبطلاً للإجارة علی اعتبار أنّ مثل هکذا أمور تُعدّ موانع طبیعیةً لا یملک کلا المتعاملین الاختیار فی الحیلولة دون وقوعها،أو التسبّب فی وجودها،فهی من الأمور الخارجة عن نطاق الاختیار</w:t>
      </w:r>
      <w:r>
        <w:rPr>
          <w:rFonts w:eastAsia="IRNazanin" w:cs="IRNazanin"/>
          <w:color w:val="111111"/>
          <w:sz w:val="28"/>
          <w:szCs w:val="28"/>
          <w:rtl w:val="true"/>
          <w:lang w:bidi="fa-IR"/>
        </w:rPr>
        <w:t>.</w:t>
      </w:r>
      <w:bookmarkStart w:id="605" w:name="pg5204_66202"/>
    </w:p>
    <w:p>
      <w:pPr>
        <w:pStyle w:val="BookText"/>
        <w:rPr/>
      </w:pPr>
      <w:bookmarkEnd w:id="605"/>
      <w:r>
        <w:rPr>
          <w:rFonts w:ascii="IRNazanin" w:hAnsi="IRNazanin" w:eastAsia="IRNazanin"/>
          <w:color w:val="111111"/>
          <w:sz w:val="28"/>
          <w:sz w:val="28"/>
          <w:szCs w:val="28"/>
          <w:rtl w:val="true"/>
          <w:lang w:bidi="fa-IR"/>
        </w:rPr>
        <w:t>فتکون حرّیة التداول مقیدةً بوجود قابلیة علی إیصال فائدة ومنفعة العوض إلی الطرف الآخر،فیما لا یرتبط بالموانع الخارجة عن نطاق قدرتیهما</w:t>
      </w:r>
      <w:r>
        <w:rPr>
          <w:rFonts w:eastAsia="IRNazanin" w:cs="IRNazanin"/>
          <w:color w:val="111111"/>
          <w:sz w:val="28"/>
          <w:szCs w:val="28"/>
          <w:rtl w:val="true"/>
          <w:lang w:bidi="fa-IR"/>
        </w:rPr>
        <w:t>.</w:t>
      </w:r>
    </w:p>
    <w:p>
      <w:pPr>
        <w:pStyle w:val="Heading5"/>
        <w:numPr>
          <w:ilvl w:val="4"/>
          <w:numId w:val="1"/>
        </w:numPr>
        <w:rPr/>
      </w:pPr>
      <w:bookmarkStart w:id="606" w:name="__RefHeading___Toc97504_581953129"/>
      <w:bookmarkStart w:id="607" w:name="_Toc245"/>
      <w:bookmarkEnd w:id="606"/>
      <w:r>
        <w:rPr>
          <w:rtl w:val="true"/>
        </w:rPr>
        <w:t>رابعاً</w:t>
      </w:r>
      <w:r>
        <w:rPr>
          <w:rtl w:val="true"/>
        </w:rPr>
        <w:t>:</w:t>
      </w:r>
      <w:r>
        <w:rPr>
          <w:rtl w:val="true"/>
        </w:rPr>
        <w:t>عدم السماح بتداول غیر النافع</w:t>
      </w:r>
      <w:bookmarkEnd w:id="607"/>
    </w:p>
    <w:p>
      <w:pPr>
        <w:pStyle w:val="BookText"/>
        <w:rPr/>
      </w:pPr>
      <w:r>
        <w:rPr>
          <w:rFonts w:ascii="IRNazanin" w:hAnsi="IRNazanin" w:eastAsia="IRNazanin"/>
          <w:color w:val="111111"/>
          <w:sz w:val="28"/>
          <w:sz w:val="28"/>
          <w:szCs w:val="28"/>
          <w:rtl w:val="true"/>
          <w:lang w:bidi="fa-IR"/>
        </w:rPr>
        <w:t>والمقصود من النفع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المعتبرة فی الشیء،بلحاظ أنّ مالیة الشیء ترتکز علی مقدار الفائدة التی یتمتّع بها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بلحاظها تکون للشیء قیمة سوقیة معتدّ بها،و إن اختصّ العلم بوجودها ببعض أصحاب الاختصاص،سواء کانت مرغوبة لعامّة الناس أو لقسم خاصّ منهم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ومع أنّ البعض قد خصّ ذلک بالمال المتقوّم بدل المال،إلّا أنّ ذلک ناظرٌ إلی قید آخر یخضع له العوضان،فالمالیة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تثبت بتموّل الناس کافّة أو بعضهم،والتقوّم یثبت بها بإباحة الانتفاع به شرعاً،فما یباح بلا تموّل لا یکون مالاً کحبة حنطة وما یتموّل بلا إباحة انتفاع لا یکون متقوّماً 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عدم الأمران لم یثبت واحد منهما کالدم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إذ إنّ المتقوّم عندهم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یجب إبقاؤه بعینه أو بمثله أو بقیمته،والخمر یجب اجتنابها بالنصّ فلم تکن متقوّمة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فیعود المتقوّم إلی ما له قیمةٌ عینیةٌ کانت أو مثلیة،والقیمة إنّما تقع علی ما له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منفعة الخمر منفیةٌ باعتبار عدم إباحته،فیکون مقصودهم من التقوّم هو الفائدة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المالیة لا تقتصر علی کون الشیء مفیداً،بل ومباحاً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 یعدّ قیداً آخر من قیود العوضین،والتی سنأتی علیه لاحقاً،فلا خلاف فی حقیقة الأمر،فالمالیة ترتبط بمقدار ما للشیء من فائدة،فإذا فُقدت تلک الفائدة خرج عن کونه مالاً کحبّة الحنطة،وبذلک یکون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لا فائدة فیه وشراؤه فاسد </w:t>
      </w:r>
      <w:r>
        <w:rPr>
          <w:rStyle w:val="FootnoteAnchor"/>
          <w:rtl w:val="true"/>
        </w:rPr>
        <w:footnoteReference w:id="6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تتحدّد فائدة العوض بالعوض ذاته،بل ربما تکون فائدته متوقّفةً علی أمور أخری،لا علی العوض ذاته،فیلزم أن تتوفّر فی العین التی یراد إجارتها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قابلیتها للانتفاع المقصود من الإجارة،فلا تصحّ إجارة الأرض للزراعة إذا لم یکن المطر وافیاً،ولم یمکن سقیها من النهر أو غیره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فمسألة الفائدة ترتبط بما یرجی من تلک العین أو تلک المنفعة أو ذلک الحقّ المراد تداوله،فلو کان المقصود من إجارة تلک الأرض السکن مثلاً،لتوفّرت مثل تلک الفائدة بغضّ النظر عن توفّر وجود شیء آخر زائداً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وجود ما یراد شراؤه مثلاً إذا لم یمکن الاستفادة منه فعلیاً،إذ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هذه یکون مرادفاً للعدم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هو توفّر فائدة حقیقیة وواقعیة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قالوا فی الحیوان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شراء بعض معین منه کرأسه وجلده إذا لم یکن ممّا یطلب للحمه،بل کأن کان المقصود الإبقاء للرکوب أو الحمل أو نحوهما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فشراء الرأس و الجلد یصبّ فی إرادة الاستفادة منهما بنحو الرأسیة و الجلدیة و الحال أنّه لا یمکن استیفاؤهما بحسب الفرض،فیکون شراؤهما عملاً غیر انتاجی؛لأنّه سیجمّد المال دون استفادة تُذکر،کمن یشتری حدید الدار بإرادة الحدیدیة مع أنّه متقوّمٌ بنحو الداریة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تقتصر تلک المالیة و الفائدة علی الأعیان کما أسلفنا،بل إنّها تشمل المنافع و الحقوق أیضاً،فلم یصحّحوا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استئجار الأقطع و الأشل للخیاط بنفسه و القصارة و الکتابة،وکلّ عمل لا یقوم إلّا بالیدین واستئجار الأخرس لتعلیم الشعر و الأدب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إذ لا یمکن استیفاء منافعهما وهما بتلک الحال،والأمر ینطبق کذلک علی الأجرة،فیلزم أن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له قیمة،ویصحّ فیها أن تکون عیناً،کالنقد و السلع،أو تکون عملاً للمستأجر عند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تکون حقّا </w:t>
      </w:r>
      <w:r>
        <w:rPr>
          <w:rStyle w:val="FootnoteAnchor"/>
          <w:rtl w:val="true"/>
        </w:rPr>
        <w:footnoteReference w:id="65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فی ذلک جمیعاً؛إذ إنّ الغایة الأصلیة هو مقدار الفائدة التی یمکن استیفائها من الشیء،هذا مع الأخذ بنظر الاعتبار أنّ جعل الحقّ أجرةً لا یعنی أنّ الحقّ ممّا یمکن التعامل علیه بالبیع و الشراء،بل بعنوان رفع الید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w:t>
      </w:r>
      <w:r>
        <w:rPr>
          <w:rFonts w:eastAsia="IRNazanin" w:cs="IRNazanin"/>
          <w:color w:val="111111"/>
          <w:sz w:val="28"/>
          <w:szCs w:val="28"/>
          <w:rtl w:val="true"/>
          <w:lang w:bidi="fa-IR"/>
        </w:rPr>
        <w:t>.</w:t>
      </w:r>
      <w:bookmarkStart w:id="608" w:name="pg5204_66204"/>
    </w:p>
    <w:p>
      <w:pPr>
        <w:pStyle w:val="BookText"/>
        <w:rPr/>
      </w:pPr>
      <w:bookmarkEnd w:id="608"/>
      <w:r>
        <w:rPr>
          <w:rFonts w:ascii="IRNazanin" w:hAnsi="IRNazanin" w:eastAsia="IRNazanin"/>
          <w:color w:val="111111"/>
          <w:sz w:val="28"/>
          <w:sz w:val="28"/>
          <w:szCs w:val="28"/>
          <w:rtl w:val="true"/>
          <w:lang w:bidi="fa-IR"/>
        </w:rPr>
        <w:t>فالمقصود من کونه ثمناً أن یکون الثمن مقابل التخلّی و التنازل عنه لا بیعه؛لأنّ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الحقوق مطلقاً من قبیل الأحکام،فکما لا یصحّ بیعها لا یصحّ جعلها ثمنا</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والمسألة الأخری المهمّة المرتبطة بالموضوع،هی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الفائدة تعنی أن تکون للشیء المتداوَل قیمةٌ إنتاجیةٌ،ولا نقصد بالقیمة هنا الثمن و إنّما الأهمّیة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فالأمور العبثیة التی کثیراً ما یتعامل علیها فی عصرنا الراهن،لم یسمح الشارع الإسلامی بالتعاوض علیها،فیشترط فی الجعالة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للعمل فائدة معتبرة عند العقلاء،فلا یصحّ الجعل علی العمل العابث الذی لا فائدة منه،کمثل القفز فی الهواء</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إذ إنّ الغایة من عملیة التداول و الخدمة هو الفائدة المرجوّة منها،والتی تعمل بدورها علی تنمیة الإنتاج من خلال محاولة خلق فرص جدیدة له بتتبّع الفوائد التی یقصدها الناس،و هذا علی العکس من الأعمال العبثیة التی تؤدّی إلی تراجع الإنتاج،بل إنّها ممّا لا ینطبق علیها تعریف الإنتاج وضوابطه</w:t>
      </w:r>
      <w:r>
        <w:rPr>
          <w:rFonts w:eastAsia="IRNazanin" w:cs="IRNazanin"/>
          <w:color w:val="111111"/>
          <w:sz w:val="28"/>
          <w:szCs w:val="28"/>
          <w:rtl w:val="true"/>
          <w:lang w:bidi="fa-IR"/>
        </w:rPr>
        <w:t>.</w:t>
      </w:r>
    </w:p>
    <w:p>
      <w:pPr>
        <w:pStyle w:val="Heading5"/>
        <w:numPr>
          <w:ilvl w:val="4"/>
          <w:numId w:val="1"/>
        </w:numPr>
        <w:rPr/>
      </w:pPr>
      <w:bookmarkStart w:id="609" w:name="__RefHeading___Toc97506_581953129"/>
      <w:bookmarkStart w:id="610" w:name="_Toc246"/>
      <w:bookmarkEnd w:id="609"/>
      <w:r>
        <w:rPr>
          <w:rtl w:val="true"/>
        </w:rPr>
        <w:t>خامساً</w:t>
      </w:r>
      <w:r>
        <w:rPr>
          <w:rtl w:val="true"/>
        </w:rPr>
        <w:t>:</w:t>
      </w:r>
      <w:r>
        <w:rPr>
          <w:rtl w:val="true"/>
        </w:rPr>
        <w:t>عدم السماح بالتداول علی الواجب</w:t>
      </w:r>
      <w:bookmarkEnd w:id="610"/>
    </w:p>
    <w:p>
      <w:pPr>
        <w:pStyle w:val="BookText"/>
        <w:rPr/>
      </w:pPr>
      <w:r>
        <w:rPr>
          <w:rFonts w:ascii="IRNazanin" w:hAnsi="IRNazanin" w:eastAsia="IRNazanin"/>
          <w:color w:val="111111"/>
          <w:sz w:val="28"/>
          <w:sz w:val="28"/>
          <w:szCs w:val="28"/>
          <w:rtl w:val="true"/>
          <w:lang w:bidi="fa-IR"/>
        </w:rPr>
        <w:t>الأمر الآخر الذی یدخل ضمن نطاق الحدود العوضیة،هو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الأمر الذی یتمّ‌التعامل علیه من الواجبات التی کُلّف المتعامِل بالإتیان بها بنفسه،فما نُسب إلی الأحناف من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الإجارة علی الطاعات کاستئجار شخص آخر لیصلّی أو یصوم أو یحجّ عنه أو یقرأ القرآن ویهدی ثوابه إلیه أو یؤذّن أو یؤمّ بالناس أو ما أشبه ذلک لا یجوز،ویحرُم أخذ الأجرة علیه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غیر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لفظة الطاعات تشمل جمیع الأمور التی یتقرّب بها إلی الله سواء کانت من الواجبات أو غیرها،فمع أنّ المتقدّمین منهم قد أفتوا بعدم جوازها فی الجمیع،کما فی مثل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الأذان و الحجّ و الإمامة وتعلیم القرآن و الفقه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إلّا أنّ المتأخّرین فرّقوا بین ما کان واجباً وغیر واجب،فأفتوا بجواز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الأجرة علی الأذان و الإمامة و التعلیم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باعتبار أنّها لیست من الواجبات العینیة أو الکفائیة اللازم الإتیان بها مجّاناً؛ولذلک لم یدخلوا ما یأخذه القاضی تحت عنوان الصلة أو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مثل هذه العبادة لم یقل أحد بجواز الاستئجار علیها</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ومن خلال هذا التفریق حکم البعض بأنّ التعلیم الجائز أخذ الأجرة علیه لا یشمل ما وجب منه،کما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الحلال و الحرام وتعلیم الواجبات مثل الصلاة و الصیام وغیرهما ممّا هو محلّ الابتلاء علی الأحوط وجوبا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علی اعتبار أنّ تعلیم ذلک وتعلّمه واجبٌ أیضاً،فلا یشذّ عن عدم الجواز،و إن کان تعلیماً،مع أنّها من الواجبات الکفائیة لا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استئجار الإنسان لیقوم بالواجب الکفائی المتوجّه إلیه عموماً إذا کان من نوع الواجبات التی رغب التشریع بالإتیان بها مجّاناً؛وذلک مثل الأمر بالمعروف و النهی عن المنکر،والإفتاء من المجتهد،والقضاء،والجهاد الدفاعی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ویشمل ذلک أولویاً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استئجار المکلّف من أجل أن یؤدّی الواجبات العینیة المطلوبة من کلّ مکلّف</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إذ إنّها مطلوبةٌ منه بالذات علی سبیل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ذهبوا أکثر من ذلک،فقالوا بعدم الجواز علی ما هو غیر واجب أیضاً،فیما لو عُلم إرادة الشارع الإتیان به علی سبیل المجّان،ولذلک لم یصحّحوا الجعالة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ما عُلم من الشرع لزوم الإتیان به مجّاناً،واجباً کان أو مستحباً عینیاً کان أو کفائیاً،عبادیاً کان أو توصلیا </w:t>
      </w:r>
      <w:r>
        <w:rPr>
          <w:rStyle w:val="FootnoteAnchor"/>
          <w:rtl w:val="true"/>
        </w:rPr>
        <w:footnoteReference w:id="660"/>
      </w:r>
      <w:bookmarkStart w:id="611" w:name="pg5204_66206"/>
    </w:p>
    <w:p>
      <w:pPr>
        <w:pStyle w:val="BookText"/>
        <w:rPr/>
      </w:pPr>
      <w:bookmarkEnd w:id="611"/>
      <w:r>
        <w:rPr>
          <w:rFonts w:ascii="IRNazanin" w:hAnsi="IRNazanin" w:eastAsia="IRNazanin"/>
          <w:color w:val="111111"/>
          <w:sz w:val="28"/>
          <w:sz w:val="28"/>
          <w:szCs w:val="28"/>
          <w:rtl w:val="true"/>
          <w:lang w:bidi="fa-IR"/>
        </w:rPr>
        <w:t>فعدم السماح بالتعامل علی ما لزم الإتیان به مجّاناً یشمل کلّ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ینطبق علیها،ولأجل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 الوکالة فیما یعتبر إیقاعه مباشرة</w:t>
      </w:r>
      <w:r>
        <w:rPr>
          <w:rFonts w:eastAsia="IRNazanin" w:cs="IRNazanin"/>
          <w:color w:val="111111"/>
          <w:sz w:val="28"/>
          <w:szCs w:val="28"/>
          <w:rtl w:val="true"/>
          <w:lang w:bidi="fa-IR"/>
        </w:rPr>
        <w:t xml:space="preserve">. </w:t>
      </w:r>
      <w:r>
        <w:rPr>
          <w:rStyle w:val="FootnoteAnchor"/>
          <w:rtl w:val="true"/>
        </w:rPr>
        <w:footnoteReference w:id="661"/>
      </w:r>
    </w:p>
    <w:p>
      <w:pPr>
        <w:pStyle w:val="Heading5"/>
        <w:numPr>
          <w:ilvl w:val="4"/>
          <w:numId w:val="1"/>
        </w:numPr>
        <w:rPr/>
      </w:pPr>
      <w:bookmarkStart w:id="612" w:name="__RefHeading___Toc97508_581953129"/>
      <w:bookmarkStart w:id="613" w:name="_Toc247"/>
      <w:bookmarkEnd w:id="612"/>
      <w:r>
        <w:rPr>
          <w:rtl w:val="true"/>
        </w:rPr>
        <w:t>سادساً</w:t>
      </w:r>
      <w:r>
        <w:rPr>
          <w:rtl w:val="true"/>
        </w:rPr>
        <w:t>:</w:t>
      </w:r>
      <w:r>
        <w:rPr>
          <w:rtl w:val="true"/>
        </w:rPr>
        <w:t>عدم السماح باحتکار ما یضرّ احتکاره بالعامّة</w:t>
      </w:r>
      <w:bookmarkEnd w:id="613"/>
    </w:p>
    <w:p>
      <w:pPr>
        <w:pStyle w:val="BookText"/>
        <w:rPr/>
      </w:pPr>
      <w:r>
        <w:rPr>
          <w:rFonts w:ascii="IRNazanin" w:hAnsi="IRNazanin" w:eastAsia="IRNazanin"/>
          <w:color w:val="111111"/>
          <w:sz w:val="28"/>
          <w:sz w:val="28"/>
          <w:szCs w:val="28"/>
          <w:rtl w:val="true"/>
          <w:lang w:bidi="fa-IR"/>
        </w:rPr>
        <w:t>لقد ذکرنا فیما مضی بأنّ الاقتصاد الإسلامی اقتصادٌ تنموی،ومن مستلزمات التنمویة فی قطاع التداول،السیولة سواء کانت نقدیةً أو سلعیة،حیث یکون النقد و السلع فی متناول الجمیع ممّا یؤدی إلی إشباع حاجات أوسع طیف ممکن،وبالتالی تنامی هذه النقود و السلع بعیداً عن التلاعب و الحیف،ومن هنا نلاحظ حظر الشارع الإسلامی الاکتناز فی مجال النقد،والذی یرادفه حظر الاحتکار فی مجال السلع؛إذ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أعمال الاحتکار والاستئثار تقوم علی أساس القوّة ولا تحقّق انتفاعاً ولا استثماراًمباشرا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ولم یقتصر علی حظر الاحتکار بأسلوبه الجزئی المباشر،فإنّه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الاحتکار،و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السلعة والامتناع من بیعها،لانتظار زیادة القیمة،مع حاجة المسلمین إلیها،وعدم وجود الباذل لها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بل تعدّی الحظر إلی أسلوبه العامّ غیر المباشر،والذی یعدّ أکثر خطورةً وتهدیداً للأمن الاقتصادی،والذی یتمثّل باحتکار السوق،والذی یتمّ من خلال سیطرة السماسرة علی المبادلات التجاریة،وعدم سماحهم بمرور السلع إلّا من خلال غربال رسومهم الجمرکیة،إن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النبوی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وسلّم عن التلقّی وأن یبیع حاضر لباد</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یشمل تلقّی السلع أو ما یعبّر عنه بتلقّی الرکبان،الذی هو عبارة عن خروج التاجر إلی خارج البلد لیستقبل أصحاب البضائع ویشتری منهم بضائعهم قبل أن یدخلوا البلد ویرجع إلی المدینة فیبیع السلع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قیام التجّار بتولّی شؤون القرویین الذی یقدِمون</w:t>
      </w:r>
      <w:bookmarkStart w:id="614" w:name="pg5204_66207"/>
    </w:p>
    <w:p>
      <w:pPr>
        <w:pStyle w:val="BookText"/>
        <w:rPr/>
      </w:pPr>
      <w:bookmarkEnd w:id="614"/>
      <w:r>
        <w:rPr>
          <w:rFonts w:ascii="IRNazanin" w:hAnsi="IRNazanin" w:eastAsia="IRNazanin"/>
          <w:color w:val="111111"/>
          <w:sz w:val="28"/>
          <w:sz w:val="28"/>
          <w:szCs w:val="28"/>
          <w:rtl w:val="true"/>
          <w:lang w:bidi="fa-IR"/>
        </w:rPr>
        <w:t>المدینة فیشترون منتجاتهم منهم لیتحکّموا فی بیعها،فیکونون محتکرین للسوق،ویقصون باقی الناس من شرائها مباشرةً من القرویین ممّا یؤدّی إلی التلاعب بالأسعار ووقوع الحیف علی العامّة،و هو ما یلمّح إلیه النبوی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 حاضر لباد دعوا الناس یرزق بعضهم من بعض</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فهذان أسلوبان للاحتکار،احتکارٌ جزئی خاص،واحتکارٌ کلّی عام،إلّا أنّ الشارع وحرصاً منه علی حرّیة عملیة التداول،قصر حظرهما علی حالة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یضرّ بأهل البلد أو یلبس 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الواردین لعدم علمهم به،فیکره للضرر و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انتفیا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والکراهة هنا 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البعض خصّه بالقوت من الطعام،إلّا أنّ الأنسب بالموضوع هو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الاحتکار یجری فی کلّ ما یضرّ بالعامّة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قوتاً کان أو لا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إذ إنّ الإضرار بالعامّة فی مثل هذه الموارد لا یقتصر علی القوت فحسب،فمع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الشریعة حرّمت الاحتکار فی بعض السلع الضروریة وترکت للحاکم الشرعی أن یمنع عنه فی سائر السلع ویأمر بأثمان محدّدة تبعاً لما یقدّره من المصلحة العامّة،فإذا استعمل الحاکم الشرعی صلاحیته هذه وجبت إطاعته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فیتّبع الوسائل الممکنة فی سدّ جمیع المنافذ المستحدثة فی الاحتکار بشقّیه الجزئی و الکلّی</w:t>
      </w:r>
      <w:r>
        <w:rPr>
          <w:rFonts w:eastAsia="IRNazanin" w:cs="IRNazanin"/>
          <w:color w:val="111111"/>
          <w:sz w:val="28"/>
          <w:szCs w:val="28"/>
          <w:rtl w:val="true"/>
          <w:lang w:bidi="fa-IR"/>
        </w:rPr>
        <w:t>.</w:t>
      </w:r>
    </w:p>
    <w:p>
      <w:pPr>
        <w:pStyle w:val="Heading5"/>
        <w:numPr>
          <w:ilvl w:val="4"/>
          <w:numId w:val="1"/>
        </w:numPr>
        <w:rPr/>
      </w:pPr>
      <w:bookmarkStart w:id="615" w:name="__RefHeading___Toc97510_581953129"/>
      <w:bookmarkStart w:id="616" w:name="_Toc248"/>
      <w:bookmarkEnd w:id="615"/>
      <w:r>
        <w:rPr>
          <w:rtl w:val="true"/>
        </w:rPr>
        <w:t>سابعاً</w:t>
      </w:r>
      <w:r>
        <w:rPr>
          <w:rtl w:val="true"/>
        </w:rPr>
        <w:t>:</w:t>
      </w:r>
      <w:r>
        <w:rPr>
          <w:rtl w:val="true"/>
        </w:rPr>
        <w:t>عدم السماح بالإجحاف بالثمن</w:t>
      </w:r>
      <w:bookmarkEnd w:id="616"/>
    </w:p>
    <w:p>
      <w:pPr>
        <w:pStyle w:val="BookText"/>
        <w:rPr/>
      </w:pPr>
      <w:r>
        <w:rPr>
          <w:rFonts w:ascii="IRNazanin" w:hAnsi="IRNazanin" w:eastAsia="IRNazanin"/>
          <w:color w:val="111111"/>
          <w:sz w:val="28"/>
          <w:sz w:val="28"/>
          <w:szCs w:val="28"/>
          <w:rtl w:val="true"/>
          <w:lang w:bidi="fa-IR"/>
        </w:rPr>
        <w:t>مع أنّ الشارع الإسلامی لم یقید حرّیة الإنسان فی اختیار مقدار الثمن الذی یریده لقاء سلعته أو الأجرة لقاء خدمته،فجعله خاضعاً للتوافق الذی یتوصّل إلیه الطرفان،و هو ما یحدّده سیر العملیة الاقتصادیة فی السوق،ولکنّه تدخّل علی نحوین لرفع الإجحاف بارتفاع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 النحو الأوّل طابعاً عامّاً؛وذلک فی حالات الاحتکار و الندرة المصطنعة التی تؤدّی إلی الإضرار بعامّة الناس فی توفیر احتیاجاتهم،واقتصر فیه علی إجبار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المحتکر علی البیع فی الاحتکار المحرّم،من دون أن یعین له السعر</w:t>
      </w:r>
      <w:r>
        <w:rPr>
          <w:rFonts w:eastAsia="IRNazanin" w:cs="IRNazanin"/>
          <w:color w:val="111111"/>
          <w:sz w:val="28"/>
          <w:szCs w:val="28"/>
          <w:rtl w:val="true"/>
          <w:lang w:bidi="fa-IR"/>
        </w:rPr>
        <w:t xml:space="preserve">. </w:t>
      </w:r>
      <w:r>
        <w:rPr>
          <w:rStyle w:val="FootnoteAnchor"/>
          <w:rtl w:val="true"/>
        </w:rPr>
        <w:footnoteReference w:id="669"/>
      </w:r>
      <w:bookmarkStart w:id="617" w:name="pg5204_66208"/>
    </w:p>
    <w:p>
      <w:pPr>
        <w:pStyle w:val="BookText"/>
        <w:rPr/>
      </w:pPr>
      <w:bookmarkEnd w:id="617"/>
      <w:r>
        <w:rPr>
          <w:rFonts w:ascii="IRNazanin" w:hAnsi="IRNazanin" w:eastAsia="IRNazanin"/>
          <w:color w:val="111111"/>
          <w:sz w:val="28"/>
          <w:sz w:val="28"/>
          <w:szCs w:val="28"/>
          <w:rtl w:val="true"/>
          <w:lang w:bidi="fa-IR"/>
        </w:rPr>
        <w:t>إلّا أنّه أعطی الحقّ للحاکم الشرعی فی تحدید الأثمان،وذلک لتنظیم السوق و الحفاظ علی مصالح عامّة الناس فیما لو أضرّ ارتفاع الأثمان بذلک،فمسألة تحدید الأسعار تقتصر ابتداءً علی الموادّ الضروریة،وهی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القوتین لا غیر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لکنّه فی حال سریانه إلی بقیة الموادّ فیما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 أرباب غیر القوتین وظلموا علی العامّة فیسعّر علیهم الحاکم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فیشمل کلّ مادّة تُصبح ضروریةً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الخصوص،فی الحالات الطارئة التی تعمّ المجتمع کالمجاعة ونحوها،فإذا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السعر الذی اختاره مجحفاً بالعامّة أُلزم علی الأقلّ الذی لا یکون مجحفا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أزید من السعر المتعارف فی الظروف العادیة</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فالتحدید لا یکون مطلقاً،بل یقتصر علی ما یتحقّق به رفع الإضرار بعامّة الناس لا خاصّتهم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 النحو الثانی طابعاً خاصّاً؛وذلک من خلال حظر النجَش،و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علی ثمن السلعة عند المساومة علیها بهدف زیادة ثمنها من دون قصد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فیعدّ هذا الأسلوب إجحافاً بحقّ المشتری؛إذ إنّ ثمنها سیکون ثمناً غیر واقعی،وربّما أدّی إلی کساد السوق،وذلک من خلال انصراف المشتری عن الشراء و البائع عن البیع من خلال بقائه مصرّاً علی الثمن الوهمی الذی أُعطی له باعتقاد أنّه ثمنٌ حقیقی،فذاک مثل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مطلقاً،و إن خلا عن تغریر الغیر وغشّه علی الأحوط،ولا فرق فی ذلک بین ما إذا کان عن مواطاة مع البائع وغیره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إن ورد بلسان الکراهة؛إذ إنّ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تحریمیة لا نعلم خلافاً فی الإثم </w:t>
      </w:r>
      <w:r>
        <w:rPr>
          <w:rStyle w:val="FootnoteAnchor"/>
          <w:rtl w:val="true"/>
        </w:rPr>
        <w:footnoteReference w:id="675"/>
      </w:r>
    </w:p>
    <w:p>
      <w:pPr>
        <w:pStyle w:val="Heading5"/>
        <w:numPr>
          <w:ilvl w:val="4"/>
          <w:numId w:val="1"/>
        </w:numPr>
        <w:rPr/>
      </w:pPr>
      <w:bookmarkStart w:id="618" w:name="__RefHeading___Toc97512_581953129"/>
      <w:bookmarkStart w:id="619" w:name="_Toc249"/>
      <w:bookmarkEnd w:id="618"/>
      <w:r>
        <w:rPr>
          <w:rtl w:val="true"/>
        </w:rPr>
        <w:t>ثامناً</w:t>
      </w:r>
      <w:r>
        <w:rPr>
          <w:rtl w:val="true"/>
        </w:rPr>
        <w:t>:</w:t>
      </w:r>
      <w:r>
        <w:rPr>
          <w:rtl w:val="true"/>
        </w:rPr>
        <w:t>عدم السماح بتداول المحظور</w:t>
      </w:r>
      <w:bookmarkEnd w:id="619"/>
    </w:p>
    <w:p>
      <w:pPr>
        <w:pStyle w:val="Heading6"/>
        <w:numPr>
          <w:ilvl w:val="5"/>
          <w:numId w:val="1"/>
        </w:numPr>
        <w:rPr/>
      </w:pPr>
      <w:bookmarkStart w:id="620" w:name="__RefHeading___Toc97514_581953129"/>
      <w:bookmarkStart w:id="621" w:name="_Toc250"/>
      <w:bookmarkEnd w:id="620"/>
      <w:r>
        <w:rPr>
          <w:rtl w:val="true"/>
        </w:rPr>
        <w:t>اشارة</w:t>
      </w:r>
      <w:bookmarkEnd w:id="6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هذا الحدّ من أکثر الحدود تقییداً لحرّیة الفرد بخصوص العوضین؛إذ هو یشمل جمیع</w:t>
      </w:r>
      <w:bookmarkStart w:id="622" w:name="pg5204_66209"/>
    </w:p>
    <w:p>
      <w:pPr>
        <w:pStyle w:val="BookText"/>
        <w:rPr/>
      </w:pPr>
      <w:bookmarkEnd w:id="622"/>
      <w:r>
        <w:rPr>
          <w:rFonts w:ascii="IRNazanin" w:hAnsi="IRNazanin" w:eastAsia="IRNazanin"/>
          <w:color w:val="111111"/>
          <w:sz w:val="28"/>
          <w:sz w:val="28"/>
          <w:szCs w:val="28"/>
          <w:rtl w:val="true"/>
          <w:lang w:bidi="fa-IR"/>
        </w:rPr>
        <w:t>ما حظر الشارع الإسلامی تبادلَهُ،و قد مرّ الکثیر منه فی مطلب التصنیع فحویً،ویمکننا تقسیم ذلک إلی قسمین رئیسیین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محظوراً حظراً ذاتیاً کالتبادل الواقع علی عملیة الزنی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محظوراً حظراً تبعیاً کالواقع علی غایة محظورة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یقتصر الأمر علی لزوم کون العمل نفسه غیر محظور،بل یلزم أن یکون العوض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یشترط فی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عملاً محلّلاً،فلا یصحّ أن یجعل أجرته علی بناء داره أن یغنّی له أو أن یعلّمه الغناء</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المحظور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عدم الاستغراق کثیراً فی هذا الحدّ بما له من سعة وشمولیة،حیث یتطلّب التفصیل فیه إفراد کتاب خاصّ حوله إذا ما أردنا الخوض فی الأدلّة وتفصیلها وتحلیلها؛فلذلک سنحاول اختزاله بالشکل الذی یحاول استیعاب أغلب حالاته،هذا مع أنّنا سنؤخّر الکلام عن بعض الحالات التی یشملها الحظر إلی فصل الاستهلاک؛لکونه أنسب لها،وذلک حسب ما یلی</w:t>
      </w:r>
      <w:r>
        <w:rPr>
          <w:rFonts w:eastAsia="IRNazanin" w:cs="IRNazanin"/>
          <w:color w:val="111111"/>
          <w:sz w:val="28"/>
          <w:szCs w:val="28"/>
          <w:rtl w:val="true"/>
          <w:lang w:bidi="fa-IR"/>
        </w:rPr>
        <w:t>:</w:t>
      </w:r>
    </w:p>
    <w:p>
      <w:pPr>
        <w:pStyle w:val="Heading6"/>
        <w:numPr>
          <w:ilvl w:val="5"/>
          <w:numId w:val="1"/>
        </w:numPr>
        <w:rPr/>
      </w:pPr>
      <w:bookmarkStart w:id="623" w:name="__RefHeading___Toc97516_581953129"/>
      <w:bookmarkStart w:id="624" w:name="_Toc251"/>
      <w:bookmarkEnd w:id="623"/>
      <w:r>
        <w:rPr>
          <w:rtl w:val="true"/>
        </w:rPr>
        <w:t>أ</w:t>
      </w:r>
      <w:r>
        <w:rPr>
          <w:rtl w:val="true"/>
        </w:rPr>
        <w:t>)</w:t>
      </w:r>
      <w:r>
        <w:rPr>
          <w:rtl w:val="true"/>
        </w:rPr>
        <w:t>المحظور الذاتی</w:t>
      </w:r>
      <w:bookmarkEnd w:id="624"/>
    </w:p>
    <w:p>
      <w:pPr>
        <w:pStyle w:val="Heading6"/>
        <w:numPr>
          <w:ilvl w:val="5"/>
          <w:numId w:val="1"/>
        </w:numPr>
        <w:rPr/>
      </w:pPr>
      <w:bookmarkStart w:id="625" w:name="__RefHeading___Toc97518_581953129"/>
      <w:bookmarkStart w:id="626" w:name="_Toc252"/>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ویختصّ ذلک فیما لو کان الحظر یرتبط بنفس العمل بصورة مباشرة،فمع أنّ الممارسات المحظورة حظراً ذاتیاً لا تنحصر ممارستها من خلال إیقاعها،کعوض أو معوّض علیه نحو عملیة الزنی مثلاً،إلّا أنّها ترتبط بموضوعنا هنا فیما لو وقعت عملیة التبادل علیها بالذات،وعلی هذا فسنبحث المحظور الذاتی ضمن العناوین التالیة</w:t>
      </w:r>
      <w:r>
        <w:rPr>
          <w:rFonts w:eastAsia="IRNazanin" w:cs="IRNazanin"/>
          <w:color w:val="111111"/>
          <w:sz w:val="28"/>
          <w:szCs w:val="28"/>
          <w:rtl w:val="true"/>
          <w:lang w:bidi="fa-IR"/>
        </w:rPr>
        <w:t>:</w:t>
      </w:r>
    </w:p>
    <w:p>
      <w:pPr>
        <w:pStyle w:val="Heading6"/>
        <w:numPr>
          <w:ilvl w:val="5"/>
          <w:numId w:val="1"/>
        </w:numPr>
        <w:rPr/>
      </w:pPr>
      <w:bookmarkStart w:id="627" w:name="__RefHeading___Toc97520_581953129"/>
      <w:bookmarkStart w:id="628" w:name="_Toc253"/>
      <w:bookmarkEnd w:id="627"/>
      <w:r>
        <w:rPr>
          <w:rtl w:val="true"/>
        </w:rPr>
        <w:t>الأوّل</w:t>
      </w:r>
      <w:r>
        <w:rPr>
          <w:rtl w:val="true"/>
        </w:rPr>
        <w:t>:</w:t>
      </w:r>
      <w:r>
        <w:rPr>
          <w:rtl w:val="true"/>
        </w:rPr>
        <w:t>العمل الجنسی</w:t>
      </w:r>
      <w:bookmarkEnd w:id="628"/>
    </w:p>
    <w:p>
      <w:pPr>
        <w:pStyle w:val="BookText"/>
        <w:rPr/>
      </w:pPr>
      <w:r>
        <w:rPr>
          <w:rFonts w:ascii="IRNazanin" w:hAnsi="IRNazanin" w:eastAsia="IRNazanin"/>
          <w:color w:val="111111"/>
          <w:sz w:val="28"/>
          <w:sz w:val="28"/>
          <w:szCs w:val="28"/>
          <w:rtl w:val="true"/>
          <w:lang w:bidi="fa-IR"/>
        </w:rPr>
        <w:t>والذی یشمل الزنی الواقع فیما بین الذکر و الأنثی،واللواط الواقع بین الذکرین،والسحاق الواقع بین الأنثیین،فإنّه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العمل فی کلّ ما یعدّ من الأفعال الجنسیة المحرّمة،مثل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و اللواط،</w:t>
      </w:r>
      <w:bookmarkStart w:id="629" w:name="pg5204_66210"/>
    </w:p>
    <w:p>
      <w:pPr>
        <w:pStyle w:val="BookText"/>
        <w:rPr/>
      </w:pPr>
      <w:bookmarkEnd w:id="629"/>
      <w:r>
        <w:rPr>
          <w:rFonts w:ascii="IRNazanin" w:hAnsi="IRNazanin" w:eastAsia="IRNazanin"/>
          <w:color w:val="111111"/>
          <w:sz w:val="28"/>
          <w:sz w:val="28"/>
          <w:szCs w:val="28"/>
          <w:rtl w:val="true"/>
          <w:lang w:bidi="fa-IR"/>
        </w:rPr>
        <w:t xml:space="preserve">والسحاق ممّا هو معلوم وواضح،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الزنا ثابتة فی العقول قال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و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وحرّم اللواط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الَّذانِ یَأْتِیانِها مِنْکُمْ فَآذُوهُما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وکذا السحاق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ویدخل فیه کلّ ما یرتبط بالجنس فیما لو کان محرّماً،کالأعمال التی تتطلّب مسّ ما یحرُم مسّه من بدن الغیر،أو مسّ غیر ما یحرُم مسّه إن کان بشهوة للجنس الموافق أو المخالف،إلّا فی حالات الاضطرار التی لا مناص منها،وکذا الأعمال التی تستلزم کشف ما یحرّم کشفه من البدن کعرض الأزیاء،أو الأعمال التی تتطلّب النظر إلی ذلک إلّا اضطراراً، </w:t>
      </w:r>
      <w:r>
        <w:rPr>
          <w:rStyle w:val="FootnoteAnchor"/>
          <w:rtl w:val="true"/>
        </w:rPr>
        <w:footnoteReference w:id="682"/>
      </w:r>
      <w:r>
        <w:rPr>
          <w:rFonts w:ascii="Amiri" w:hAnsi="Amiri" w:eastAsia="Amiri" w:cs="Amiri"/>
          <w:color w:val="111111"/>
          <w:sz w:val="28"/>
          <w:sz w:val="28"/>
          <w:szCs w:val="28"/>
          <w:rtl w:val="true"/>
          <w:lang w:bidi="ar-SA"/>
        </w:rPr>
        <w:t>فیحرّم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 الصور الخلاعیة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ویحرم أخذ الأجرة علیها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وینطبق الأمر ذاته علی الرسم و التمثیل</w:t>
      </w:r>
      <w:r>
        <w:rPr>
          <w:rFonts w:eastAsia="IRNazanin" w:cs="IRNazanin"/>
          <w:color w:val="111111"/>
          <w:sz w:val="28"/>
          <w:szCs w:val="28"/>
          <w:rtl w:val="true"/>
          <w:lang w:bidi="fa-IR"/>
        </w:rPr>
        <w:t xml:space="preserve">. </w:t>
      </w:r>
      <w:r>
        <w:rPr>
          <w:rStyle w:val="FootnoteAnchor"/>
          <w:rtl w:val="true"/>
        </w:rPr>
        <w:footnoteReference w:id="684"/>
      </w:r>
    </w:p>
    <w:p>
      <w:pPr>
        <w:pStyle w:val="Heading6"/>
        <w:numPr>
          <w:ilvl w:val="5"/>
          <w:numId w:val="1"/>
        </w:numPr>
        <w:rPr/>
      </w:pPr>
      <w:bookmarkStart w:id="630" w:name="__RefHeading___Toc97522_581953129"/>
      <w:bookmarkStart w:id="631" w:name="_Toc254"/>
      <w:bookmarkEnd w:id="630"/>
      <w:r>
        <w:rPr>
          <w:rtl w:val="true"/>
        </w:rPr>
        <w:t>الثانی</w:t>
      </w:r>
      <w:r>
        <w:rPr>
          <w:rtl w:val="true"/>
        </w:rPr>
        <w:t>:</w:t>
      </w:r>
      <w:r>
        <w:rPr>
          <w:rtl w:val="true"/>
        </w:rPr>
        <w:t>العمل اللهوی و الشهوانی</w:t>
      </w:r>
      <w:bookmarkEnd w:id="631"/>
    </w:p>
    <w:p>
      <w:pPr>
        <w:pStyle w:val="BookText"/>
        <w:rPr/>
      </w:pPr>
      <w:r>
        <w:rPr>
          <w:rFonts w:ascii="IRNazanin" w:hAnsi="IRNazanin" w:eastAsia="IRNazanin"/>
          <w:color w:val="111111"/>
          <w:sz w:val="28"/>
          <w:sz w:val="28"/>
          <w:szCs w:val="28"/>
          <w:rtl w:val="true"/>
          <w:lang w:bidi="fa-IR"/>
        </w:rPr>
        <w:t>و هو یشمل عدّة أمور،منها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من ترجیع الصوت وترقیقه،والقدر المتیقّن الذی لم یسمح به الإسلام منه یختصّ فیما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علی وجه اللهو و الباطل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والمراد من الباطل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یرجع إلی جانب الغریزة الجنسیة فی الإنسان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فإذا وقع الغناء بهذه الکیفیة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فعله واستماعه و التکسّب به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ولأجل تسبّبه فی إخراج الإنسان عن جادّة الصواب و الجنوح نحو الخیال و العواطف المفرطة لم یقبلوا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من یسمع الغناء أو یجلس مجلس الغناء</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یحرُم منها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منها مناسباً لمجالس اللهو و اللعب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وهی التی تقع علی وجه تساعد علی إثارة الشهوة عند غالبیة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علی الشخص الذی لم تُثِر شهوته لدواع طارئة أو استثنائیة عند استماعها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ما دامت مثیرةً لأغلب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الإنتاج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اختصاص الحظر بما یختصّ استعماله فی اللهو المحرّم من الآلات الموسیقیة أو کان الغالب علیها استعمالها فی اللحن المحرّم؛الشامل لحالة تداولها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معروف،ویتمّ فیه تحریک أعضاء البدن بطریقة فنّیة،ویختصّ المحظور منه 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نوع الرقص الخلیع الماجن،و هو الذی یعبَّر فیه عن معانی العشق و الرغبة الجنسیة بدرجاتها المتفاوتة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إن اقتصرت ممارسته بین أعضاء الجنس الواحد ما دام خلیعاً ماجناً،وعلیه فلا یسمح باتّخاذه وسیلةً للکسب ما دام محظوراً بذاته،و قد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 الأئمّة علی حرمة هذا الغناء وضرب القضیب و الرقص</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الترویج للرذیلة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ذکرنا للآیة الکریمة التی تشیر إلی ذلک،وهی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 </w:t>
      </w:r>
      <w:r>
        <w:rPr>
          <w:rStyle w:val="FootnoteAnchor"/>
          <w:rtl w:val="true"/>
        </w:rPr>
        <w:footnoteReference w:id="693"/>
      </w:r>
      <w:r>
        <w:rPr>
          <w:rFonts w:ascii="IRNazanin" w:hAnsi="IRNazanin" w:eastAsia="IRNazanin"/>
          <w:color w:val="111111"/>
          <w:sz w:val="28"/>
          <w:sz w:val="28"/>
          <w:szCs w:val="28"/>
          <w:rtl w:val="true"/>
          <w:lang w:bidi="fa-IR"/>
        </w:rPr>
        <w:t>وینطبق ذلک</w:t>
      </w:r>
      <w:bookmarkStart w:id="632" w:name="pg5204_66212"/>
    </w:p>
    <w:p>
      <w:pPr>
        <w:pStyle w:val="BookText"/>
        <w:rPr/>
      </w:pPr>
      <w:bookmarkEnd w:id="632"/>
      <w:r>
        <w:rPr>
          <w:rFonts w:ascii="IRNazanin" w:hAnsi="IRNazanin" w:eastAsia="IRNazanin"/>
          <w:color w:val="111111"/>
          <w:sz w:val="28"/>
          <w:sz w:val="28"/>
          <w:szCs w:val="28"/>
          <w:rtl w:val="true"/>
          <w:lang w:bidi="fa-IR"/>
        </w:rPr>
        <w:t>علی کلّ عمل من شأنه أن یکون إشاعةً للرذیلة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کالدفاع أو الحثّ علی السفور أو الزنی أو غیرهما من الأمور التی تساعد علی انتشار الفساد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هو ما حرص الشارع کثیراً علی تلافیه إلی درجة أنّه لم یجوّز نسبة المولود سفاحاً کما فی وط‌ء الشبهة إلی الواطئ معلّلاً ذلک بإنّه یتضمّن إشاعةً للفاحشة</w:t>
      </w:r>
      <w:r>
        <w:rPr>
          <w:rFonts w:eastAsia="IRNazanin" w:cs="IRNazanin"/>
          <w:color w:val="111111"/>
          <w:sz w:val="28"/>
          <w:szCs w:val="28"/>
          <w:rtl w:val="true"/>
          <w:lang w:bidi="fa-IR"/>
        </w:rPr>
        <w:t xml:space="preserve">. </w:t>
      </w:r>
      <w:r>
        <w:rPr>
          <w:rStyle w:val="FootnoteAnchor"/>
          <w:rtl w:val="true"/>
        </w:rPr>
        <w:footnoteReference w:id="695"/>
      </w:r>
    </w:p>
    <w:p>
      <w:pPr>
        <w:pStyle w:val="Heading6"/>
        <w:numPr>
          <w:ilvl w:val="5"/>
          <w:numId w:val="1"/>
        </w:numPr>
        <w:rPr/>
      </w:pPr>
      <w:bookmarkStart w:id="633" w:name="__RefHeading___Toc97524_581953129"/>
      <w:bookmarkStart w:id="634" w:name="_Toc255"/>
      <w:bookmarkEnd w:id="633"/>
      <w:r>
        <w:rPr>
          <w:rtl w:val="true"/>
        </w:rPr>
        <w:t>الثالث</w:t>
      </w:r>
      <w:r>
        <w:rPr>
          <w:rtl w:val="true"/>
        </w:rPr>
        <w:t>:</w:t>
      </w:r>
      <w:r>
        <w:rPr>
          <w:rtl w:val="true"/>
        </w:rPr>
        <w:t>العمل الوهمی و الخرافی</w:t>
      </w:r>
      <w:bookmarkEnd w:id="634"/>
    </w:p>
    <w:p>
      <w:pPr>
        <w:pStyle w:val="BookText"/>
        <w:rPr/>
      </w:pPr>
      <w:r>
        <w:rPr>
          <w:rFonts w:ascii="IRNazanin" w:hAnsi="IRNazanin" w:eastAsia="IRNazanin"/>
          <w:color w:val="111111"/>
          <w:sz w:val="28"/>
          <w:sz w:val="28"/>
          <w:szCs w:val="28"/>
          <w:rtl w:val="true"/>
          <w:lang w:bidi="fa-IR"/>
        </w:rPr>
        <w:t>و هو یشمل عدّة أمور،منها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استخدام الأسالیب التی تؤثّر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النشاط الطبیعی للقوی الإنسانیة وجعلها أسیرة الوهم و الخرافة و التسلّط القهری لتحقیق أهداف شخصیة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السحر تعلیمه وتعلّمه و التکسّب به حرام مطلقاً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لما فیه من الضرر الخطیر الذی دعاهم إلی الحکم بشأن الساحر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یستتاب بل یقتل إذا ثبت أنّه یستعمل السحر</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ممّا یدّعی تأثیرها فی البغض و الحبّ و السعادة و الشقاء و الصحّة و السقم ونحوها من الأمور</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الشعوذة أو الشعبذة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إراءة غیر الواقع واقعاً بسبب الحرکة السریعة الخارجة عن العادة حرام،إذا ترتّب علیها عنوان محرّم کالإضرار بمؤمن ونحوه</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فهی بذاتها غیر محظورة إلّا إذا وقعت وفقاً للقید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مورست بطرق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غریبة کقطع رأس إنسان وإعادته وجعل نحو دراهم من التراب،وغیر ذلک بأنّهم فی معنی السحرة إن لم یکونوا منهم فلا یجوز لهم ذلک،ولا لأحد أن یقف علیهم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الجن و الملائکة وتحضیر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صحّته،فیما 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مضرّاً بالإنسان نفسیاً أو جسدیا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هو المفروض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Style w:val="FootnoteAnchor"/>
        </w:rPr>
        <w:footnoteReference w:id="703"/>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الإخبار بأحوال الإنسان باعتقاد تأثیر حرکة النجوم فیها،فهو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باطل لاصحّة له،و هذا العمل حرام،فلا یجوز فعله ولا أخذ الأجرة علیه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إذ إنّه یقعد بالإنسان عن السعی و الجدّ والاجتهاد الذی اعتبره الإسلام المعیار الفیصل فی الوصول إلی المنافع واجتناب المضار،فیکون الاعتقاد بالتنجیم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 بأکثر الخلق،فإنّه إذا أُلقی إلیهم أنّ هذا الآثار تحدث عقیب سیر الکواکب وقع فی نفوسهم أنّها المؤثّرة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دون جهدهم الذی علیهم أن یبذلوه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ویدّعی فیه الکشف عن المجهولات بواسطة خطوط تُخطّ علی الرمْل،و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قطعا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إذ إنّ عاقبته ستکون،کما تقدّم فی الفقرة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الإخبار عن المغیبات بزعم أنّه یخبره بها بعض الجان،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التکسّب بها و الرجوع إلی الکاهن وتصدیقه فیما یقوله </w:t>
      </w:r>
      <w:r>
        <w:rPr>
          <w:rStyle w:val="FootnoteAnchor"/>
          <w:rtl w:val="true"/>
        </w:rPr>
        <w:footnoteReference w:id="7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عدّوا أجرة الکاهن من السحت </w:t>
      </w:r>
      <w:r>
        <w:rPr>
          <w:rStyle w:val="FootnoteAnchor"/>
          <w:rtl w:val="true"/>
        </w:rPr>
        <w:footnoteReference w:id="709"/>
      </w:r>
      <w:r>
        <w:rPr>
          <w:rFonts w:ascii="IRNazanin" w:hAnsi="IRNazanin" w:eastAsia="IRNazanin"/>
          <w:color w:val="111111"/>
          <w:sz w:val="28"/>
          <w:sz w:val="28"/>
          <w:szCs w:val="28"/>
          <w:rtl w:val="true"/>
          <w:lang w:bidi="fa-IR"/>
        </w:rPr>
        <w:t>و هو المال المکتسب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 ضمن ذلک تکهُّن أهل الخبرة والاختصاص بأحوال الطقس و الحرکات الجیولوجیة و التوقّعات السیاسیة ونحوها اعتماداً علی مؤشّرات میدانیة</w:t>
      </w:r>
      <w:r>
        <w:rPr>
          <w:rFonts w:eastAsia="IRNazanin" w:cs="IRNazanin"/>
          <w:color w:val="111111"/>
          <w:sz w:val="28"/>
          <w:szCs w:val="28"/>
          <w:rtl w:val="true"/>
          <w:lang w:bidi="fa-IR"/>
        </w:rPr>
        <w:t xml:space="preserve">. </w:t>
      </w:r>
      <w:r>
        <w:rPr>
          <w:rStyle w:val="FootnoteAnchor"/>
          <w:rtl w:val="true"/>
        </w:rPr>
        <w:footnoteReference w:id="710"/>
      </w:r>
      <w:bookmarkStart w:id="635" w:name="pg5204_66214"/>
    </w:p>
    <w:p>
      <w:pPr>
        <w:pStyle w:val="BookText"/>
        <w:rPr/>
      </w:pPr>
      <w:bookmarkEnd w:id="635"/>
      <w:r>
        <w:rPr>
          <w:rFonts w:ascii="IRNazanin" w:hAnsi="IRNazanin" w:eastAsia="IRNazanin"/>
          <w:color w:val="111111"/>
          <w:sz w:val="28"/>
          <w:sz w:val="28"/>
          <w:szCs w:val="28"/>
          <w:rtl w:val="true"/>
          <w:lang w:bidi="fa-IR"/>
        </w:rPr>
        <w:t>ومنها المَنْدَل؛وأصله العود الطَّیب الرائحة،و هو ضربٌ من الکهانة سُمّی به لاستعماله الطِّیب عند تحضیر ما یراد تحضیره،فهو نوعٌ من الإخبار بالمغیبات من غیر الاعتماد علی ما هو حقّ،فیعدّ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عملاً محرّماً وکذا أخذ الأجرة علیه </w:t>
      </w:r>
      <w:r>
        <w:rPr>
          <w:rStyle w:val="FootnoteAnchor"/>
          <w:rtl w:val="true"/>
        </w:rPr>
        <w:footnoteReference w:id="7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یتمّ من خلاله الإخبار عن أحوال الإنسان بواسطة قراءة الکف و الفنجان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القارئ معتقداً بصحّة ما یقوله لاعتقاده بصحّة الوسائل التی یعتمد علیها،فإنّ عمله یکون حراماً وکذا أخذ الأجرة علیه </w:t>
      </w:r>
      <w:r>
        <w:rPr>
          <w:rStyle w:val="FootnoteAnchor"/>
          <w:rtl w:val="true"/>
        </w:rPr>
        <w:footnoteReference w:id="7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إلحاق الناس بعضهم ببعض أو نفی بعضهم عن بعض استناداً إلی علامات خاصّة علی خلاف الموازین الشرعیة فی الإلحاق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إذ هی من الأعمال المحرّمة،وما یتخیل من إثبات نسب أسامة من خلال قول القائف محض اشتباه،فإنّ نسبه کان قد ثبت بالفراش،وما کان سرور النبی صلی الله علیه و آله بذلک إلّا لأجل بیان ردّ طعن المشرکین بنسبه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لأنّ قول القائف حُجّة فی النسب شرعا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أمّا الأعمال التی تتمّ من خلال اتّباع الطرق العلمیة الحدیثة فی تحلیل الجینات الوراثیة ونحوها فغیر خاضع للتحریم</w:t>
      </w:r>
      <w:r>
        <w:rPr>
          <w:rFonts w:eastAsia="IRNazanin" w:cs="IRNazanin"/>
          <w:color w:val="111111"/>
          <w:sz w:val="28"/>
          <w:szCs w:val="28"/>
          <w:rtl w:val="true"/>
          <w:lang w:bidi="fa-IR"/>
        </w:rPr>
        <w:t xml:space="preserve">. </w:t>
      </w:r>
      <w:r>
        <w:rPr>
          <w:rStyle w:val="FootnoteAnchor"/>
          <w:rtl w:val="true"/>
        </w:rPr>
        <w:footnoteReference w:id="715"/>
      </w:r>
    </w:p>
    <w:p>
      <w:pPr>
        <w:pStyle w:val="Heading6"/>
        <w:numPr>
          <w:ilvl w:val="5"/>
          <w:numId w:val="1"/>
        </w:numPr>
        <w:rPr/>
      </w:pPr>
      <w:bookmarkStart w:id="636" w:name="__RefHeading___Toc97526_581953129"/>
      <w:bookmarkStart w:id="637" w:name="_Toc256"/>
      <w:bookmarkEnd w:id="636"/>
      <w:r>
        <w:rPr>
          <w:rtl w:val="true"/>
        </w:rPr>
        <w:t>الرابع</w:t>
      </w:r>
      <w:r>
        <w:rPr>
          <w:rtl w:val="true"/>
        </w:rPr>
        <w:t>:</w:t>
      </w:r>
      <w:r>
        <w:rPr>
          <w:rtl w:val="true"/>
        </w:rPr>
        <w:t>العمل الدعائی</w:t>
      </w:r>
      <w:bookmarkEnd w:id="637"/>
    </w:p>
    <w:p>
      <w:pPr>
        <w:pStyle w:val="BookText"/>
        <w:rPr/>
      </w:pPr>
      <w:r>
        <w:rPr>
          <w:rFonts w:ascii="IRNazanin" w:hAnsi="IRNazanin" w:eastAsia="IRNazanin"/>
          <w:color w:val="111111"/>
          <w:sz w:val="28"/>
          <w:sz w:val="28"/>
          <w:szCs w:val="28"/>
          <w:rtl w:val="true"/>
          <w:lang w:bidi="fa-IR"/>
        </w:rPr>
        <w:t>ویمکن تفریعه إلی عدّة حالات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فبغضّ النظر عن حظرها الذاتی،فإنّ حظر التعامل بها یرتبط فیما لو تمّ التکسّب من خلال إفشاء الأسرار المتعلّقة بالناس أفراداً وجماعات،وذلک بإطلاع الغیر علیها مقابل مبلغ من المال أو منفعة معینة،و هو مشمولٌ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یَغْتَبْ بَعْضُکُمْ بَعْضاً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تجوز إذاعة ما اؤتمن علیه الناقل أو اطّلع علیه بالصدفة من أسرار الغیر حتّی لو لم تکن الإذاعة مضرّة بالأطراف المَعنیین بالسر</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الإذاعة بعنوانها المجرّد محظورةٌ سواء ترتّب علیها ضررٌ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الکذب الذی ثبتت حرمته،ویکثر الابتلاء به حالیاً علی نطاق واسع فی وسائل الإعلام من خلال الطعن بالخصوم،وذلک لتحقیق منافع شخصیة وسیاسیة ونحوها،وینطبق ذلک علی ما حدث فی العصر الإسلامی الأوّل من وضع للحدیث لقاء مبالغ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القرآن الکریم إلی ذلک فی آیات عدیدة،کقوله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یَأْتِینَ بِبُهْتانٍ </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ومع أنّه اختصّ فی الأحادیث فی حدود الانتقاص من العِرض إلّا أنّه بعنوانه العامّ یشمل کلّ افتراء،فهو یعدّ من الأعمال غیر المشمولة لحرّیة التکسّب من خلالها،فإنّه</w:t>
      </w:r>
    </w:p>
    <w:p>
      <w:pPr>
        <w:pStyle w:val="BookText"/>
        <w:rPr/>
      </w:pPr>
      <w:r>
        <w:rPr>
          <w:rFonts w:ascii="IRNazanin" w:hAnsi="IRNazanin" w:eastAsia="IRNazanin"/>
          <w:color w:val="111111"/>
          <w:sz w:val="28"/>
          <w:sz w:val="28"/>
          <w:szCs w:val="28"/>
          <w:rtl w:val="true"/>
          <w:lang w:bidi="fa-IR"/>
        </w:rPr>
        <w:t>یحرّم الکذب،و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بما لیس بواقع،ولا فرق فی الحرمة بین ما یکون فی مقام الجدّ وما یکون فی مقام الهزل</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ومنه البدعة،وهی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العامّ إدخال ما لیس من الدین فیه،أو کما عن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المُحدَث الذی لم یکن علیه الصحابة،والتابعون،ولم یکن ممّا اقتضاه الدلیل الشرعی،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هذا العمل فی ذاته،فإنّه یحرّم أخذ الأجرة علیه </w:t>
      </w:r>
      <w:r>
        <w:rPr>
          <w:rStyle w:val="FootnoteAnchor"/>
          <w:rtl w:val="true"/>
        </w:rPr>
        <w:footnoteReference w:id="7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ذکر نواقص الإنسان ومثالبه شعراً کان أو نثراً،فإنّه</w:t>
      </w:r>
    </w:p>
    <w:p>
      <w:pPr>
        <w:pStyle w:val="BookText"/>
        <w:rPr/>
      </w:pPr>
      <w:r>
        <w:rPr>
          <w:rFonts w:ascii="IRNazanin" w:hAnsi="IRNazanin" w:eastAsia="IRNazanin"/>
          <w:color w:val="111111"/>
          <w:sz w:val="28"/>
          <w:sz w:val="28"/>
          <w:szCs w:val="28"/>
          <w:rtl w:val="true"/>
          <w:lang w:bidi="fa-IR"/>
        </w:rPr>
        <w:t>یحرُم هجاء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یستحسن هجاء مطلق الناس إلّا إذا اقتضته المصلحة العامّة</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یستقبح التصریح به من القول،فیحرّم مع کلّ أحد عدا الزوجة، </w:t>
      </w:r>
      <w:r>
        <w:rPr>
          <w:rStyle w:val="FootnoteAnchor"/>
          <w:rtl w:val="true"/>
        </w:rPr>
        <w:footnoteReference w:id="723"/>
      </w:r>
      <w:r>
        <w:rPr>
          <w:rFonts w:ascii="IRNazanin" w:hAnsi="IRNazanin" w:eastAsia="IRNazanin"/>
          <w:color w:val="111111"/>
          <w:sz w:val="28"/>
          <w:sz w:val="28"/>
          <w:szCs w:val="28"/>
          <w:rtl w:val="true"/>
          <w:lang w:bidi="fa-IR"/>
        </w:rPr>
        <w:t>وبالتالی لا یجوز التکسّب به فی الأعمال التی تتطلّب أن یتکلّم العامل فیها بکلام فاحش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 والاستهزاء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الشتم و السُّخریة من الآباء أو الأعزاء الذین لهم علاقةٌ وثیقةٌ بالإنسان سواء کانوا أقرباء له أم لم یکونوا،أو حتّی من یرتبط بهم فکریاً وعقائدیاً؛کقوله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 </w:t>
      </w:r>
      <w:r>
        <w:rPr>
          <w:rStyle w:val="FootnoteAnchor"/>
          <w:rtl w:val="true"/>
        </w:rPr>
        <w:footnoteReference w:id="72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یَسْخَرْ قَوْمٌ مِنْ</w:t>
      </w:r>
      <w:bookmarkStart w:id="638" w:name="pg5204_66216"/>
    </w:p>
    <w:p>
      <w:pPr>
        <w:pStyle w:val="BookText"/>
        <w:rPr/>
      </w:pPr>
      <w:bookmarkEnd w:id="638"/>
      <w:r>
        <w:rPr>
          <w:rFonts w:ascii="Amiri" w:hAnsi="Amiri" w:eastAsia="Amiri" w:cs="Amiri"/>
          <w:color w:val="111111"/>
          <w:sz w:val="28"/>
          <w:sz w:val="28"/>
          <w:szCs w:val="28"/>
          <w:rtl w:val="true"/>
          <w:lang w:bidi="ar-SA"/>
        </w:rPr>
        <w:t xml:space="preserve">قَوْمٍ عَسی أَنْ یَکُونُوا خَیْراً مِنْهُمْ </w:t>
      </w:r>
      <w:r>
        <w:rPr>
          <w:rStyle w:val="FootnoteAnchor"/>
          <w:rtl w:val="true"/>
        </w:rPr>
        <w:footnoteReference w:id="725"/>
      </w:r>
      <w:r>
        <w:rPr>
          <w:rFonts w:ascii="IRNazanin" w:hAnsi="IRNazanin" w:eastAsia="IRNazanin"/>
          <w:color w:val="111111"/>
          <w:sz w:val="28"/>
          <w:sz w:val="28"/>
          <w:szCs w:val="28"/>
          <w:rtl w:val="true"/>
          <w:lang w:bidi="fa-IR"/>
        </w:rPr>
        <w:t>،فمن غیر المسموح به إسلامیاً ممارسة العمل الذی یتطلّب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السباب و السخریة من أهل الحرمة من المسلمین وغیرهم،وخاصّة ما یؤدّی منه إلی الفرقة أو الفتنة بین الناس،فإن کان الهدف منه ذلک حرُم العمل فی ذاته وحرُم أخذ الأجرة علیه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قد رتّبوا علی السبّ آثاراً هامّةً،منها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قبول شهادة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 مسلم لسقوط العدالة بسبّ المسلم،و إن لم یکن من السلف</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الأعمال المحظورة فی الإسلام؛إذ هو یتعارض و القیام بالقسط الذی انتهجه الإسلام وقنّنه فی کلّ نواحی الحیاة،فلم یجوّز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مدح الظالم و الإشادة به وبظلمه وبکلّ ما یستلزم تقویته فی ظلمه،کمدح أعوانه أو سیاسته أو نظام حکمه</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ولا یختصّ ذلک بالعمل الکلامی فحسب،بل یشمل کلّ عمل یکون بمثابة مدح له،فحظْر مدح الظالم سار فی کلّ نواحی الحیاة إلی درجة سمحوا بالإخلال بالواجب للحؤول دون سماع مدحه،کما هو الأمر فی تجویزهم ترک الاستماع إلی خطبة الجمعة فیما إذا أخذ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مدح الظلمة و الثناء علیهم،فلا بأس بالکلام حینئذ</w:t>
      </w:r>
      <w:r>
        <w:rPr>
          <w:rFonts w:eastAsia="IRNazanin" w:cs="IRNazanin"/>
          <w:color w:val="111111"/>
          <w:sz w:val="28"/>
          <w:szCs w:val="28"/>
          <w:rtl w:val="true"/>
          <w:lang w:bidi="fa-IR"/>
        </w:rPr>
        <w:t xml:space="preserve">. </w:t>
      </w:r>
      <w:r>
        <w:rPr>
          <w:rStyle w:val="FootnoteAnchor"/>
          <w:rtl w:val="true"/>
        </w:rPr>
        <w:footnoteReference w:id="729"/>
      </w:r>
    </w:p>
    <w:p>
      <w:pPr>
        <w:pStyle w:val="Heading6"/>
        <w:numPr>
          <w:ilvl w:val="5"/>
          <w:numId w:val="1"/>
        </w:numPr>
        <w:rPr/>
      </w:pPr>
      <w:bookmarkStart w:id="639" w:name="__RefHeading___Toc97528_581953129"/>
      <w:bookmarkStart w:id="640" w:name="_Toc257"/>
      <w:bookmarkEnd w:id="639"/>
      <w:r>
        <w:rPr>
          <w:rtl w:val="true"/>
        </w:rPr>
        <w:t>الخامس</w:t>
      </w:r>
      <w:r>
        <w:rPr>
          <w:rtl w:val="true"/>
        </w:rPr>
        <w:t>:</w:t>
      </w:r>
      <w:r>
        <w:rPr>
          <w:rtl w:val="true"/>
        </w:rPr>
        <w:t>العمل بالمُسْکِر</w:t>
      </w:r>
      <w:r>
        <w:rPr>
          <w:rtl w:val="true"/>
        </w:rPr>
        <w:t>:</w:t>
      </w:r>
      <w:bookmarkEnd w:id="640"/>
    </w:p>
    <w:p>
      <w:pPr>
        <w:pStyle w:val="BookText"/>
        <w:rPr/>
      </w:pPr>
      <w:r>
        <w:rPr>
          <w:rFonts w:ascii="Amiri" w:hAnsi="Amiri" w:eastAsia="Amiri" w:cs="Amiri"/>
          <w:color w:val="111111"/>
          <w:sz w:val="28"/>
          <w:sz w:val="28"/>
          <w:szCs w:val="28"/>
          <w:rtl w:val="true"/>
          <w:lang w:bidi="ar-SA"/>
        </w:rPr>
        <w:t xml:space="preserve">بکلّ أصنافه،ویشمل الحظر کلّ ما یرتبط به،بیعاً وشراءً ونقلاً وخزناً </w:t>
      </w:r>
      <w:r>
        <w:rPr>
          <w:rStyle w:val="FootnoteAnchor"/>
          <w:rtl w:val="true"/>
        </w:rPr>
        <w:footnoteReference w:id="730"/>
      </w:r>
      <w:r>
        <w:rPr>
          <w:rFonts w:ascii="Amiri" w:hAnsi="Amiri" w:eastAsia="Amiri" w:cs="Amiri"/>
          <w:color w:val="111111"/>
          <w:sz w:val="28"/>
          <w:sz w:val="28"/>
          <w:szCs w:val="28"/>
          <w:rtl w:val="true"/>
          <w:lang w:bidi="ar-SA"/>
        </w:rPr>
        <w:t xml:space="preserve">وتهیئةً وتعبئةً وتجویداً وطهیاً وتقدیماً، </w:t>
      </w:r>
      <w:r>
        <w:rPr>
          <w:rStyle w:val="FootnoteAnchor"/>
          <w:rtl w:val="true"/>
        </w:rPr>
        <w:footnoteReference w:id="731"/>
      </w:r>
      <w:r>
        <w:rPr>
          <w:rFonts w:ascii="IRNazanin" w:hAnsi="IRNazanin" w:eastAsia="IRNazanin"/>
          <w:color w:val="111111"/>
          <w:sz w:val="28"/>
          <w:sz w:val="28"/>
          <w:szCs w:val="28"/>
          <w:rtl w:val="true"/>
          <w:lang w:bidi="fa-IR"/>
        </w:rPr>
        <w:t>و قد مرّ الکلام عنه فی مطلب التصنیع،إلّا أنّ البعض صحّح بیعه إن کان لمستحلّه غیر المسلم کالذمّی</w:t>
      </w:r>
      <w:r>
        <w:rPr>
          <w:rFonts w:eastAsia="IRNazanin" w:cs="IRNazanin"/>
          <w:color w:val="111111"/>
          <w:sz w:val="28"/>
          <w:szCs w:val="28"/>
          <w:rtl w:val="true"/>
          <w:lang w:bidi="fa-IR"/>
        </w:rPr>
        <w:t xml:space="preserve">. </w:t>
      </w:r>
      <w:r>
        <w:rPr>
          <w:rStyle w:val="FootnoteAnchor"/>
          <w:rtl w:val="true"/>
        </w:rPr>
        <w:footnoteReference w:id="732"/>
      </w:r>
    </w:p>
    <w:p>
      <w:pPr>
        <w:pStyle w:val="Heading6"/>
        <w:numPr>
          <w:ilvl w:val="5"/>
          <w:numId w:val="1"/>
        </w:numPr>
        <w:rPr/>
      </w:pPr>
      <w:bookmarkStart w:id="641" w:name="__RefHeading___Toc97530_581953129"/>
      <w:bookmarkStart w:id="642" w:name="_Toc258"/>
      <w:bookmarkEnd w:id="641"/>
      <w:r>
        <w:rPr>
          <w:rtl w:val="true"/>
        </w:rPr>
        <w:t>السادس</w:t>
      </w:r>
      <w:r>
        <w:rPr>
          <w:rtl w:val="true"/>
        </w:rPr>
        <w:t>:</w:t>
      </w:r>
      <w:r>
        <w:rPr>
          <w:rtl w:val="true"/>
        </w:rPr>
        <w:t>العمل بالقمار</w:t>
      </w:r>
      <w:r>
        <w:rPr>
          <w:rtl w:val="true"/>
        </w:rPr>
        <w:t>:</w:t>
      </w:r>
      <w:bookmarkEnd w:id="642"/>
    </w:p>
    <w:p>
      <w:pPr>
        <w:pStyle w:val="BookText"/>
        <w:rPr/>
      </w:pPr>
      <w:r>
        <w:rPr>
          <w:rFonts w:ascii="IRNazanin" w:hAnsi="IRNazanin" w:eastAsia="IRNazanin"/>
          <w:color w:val="111111"/>
          <w:sz w:val="28"/>
          <w:sz w:val="28"/>
          <w:szCs w:val="28"/>
          <w:rtl w:val="true"/>
          <w:lang w:bidi="fa-IR"/>
        </w:rPr>
        <w:t>ویتمثّل التبادل فیه من خلال عملیة المراهنة التی تتمّ فیه،فالقدر المتیقّن من حرمة المقامرة،هو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جری تعاطی المال فیما بین الرابح و الخاسر؛إذ إنّ مفهوم لفظة القمار ینطبق علی ذلک تحدیداً،فقد فُسّر بأنّه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لعب فیه مراهنة </w:t>
      </w:r>
      <w:r>
        <w:rPr>
          <w:rStyle w:val="FootnoteAnchor"/>
          <w:rtl w:val="true"/>
        </w:rPr>
        <w:footnoteReference w:id="733"/>
      </w:r>
      <w:bookmarkStart w:id="643" w:name="pg5204_66217"/>
    </w:p>
    <w:p>
      <w:pPr>
        <w:pStyle w:val="BookText"/>
        <w:rPr/>
      </w:pPr>
      <w:bookmarkEnd w:id="643"/>
      <w:r>
        <w:rPr>
          <w:rFonts w:ascii="IRNazanin" w:hAnsi="IRNazanin" w:eastAsia="IRNazanin"/>
          <w:color w:val="111111"/>
          <w:sz w:val="28"/>
          <w:sz w:val="28"/>
          <w:szCs w:val="28"/>
          <w:rtl w:val="true"/>
          <w:lang w:bidi="fa-IR"/>
        </w:rPr>
        <w:t>ویؤیده ما جاء عن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 یلعبون بالجوز و البیض ویقامرون؟فقال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منه،فإنّه حرام</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 القمار قماراً،لأنّ کلّ واحد من المقامرین ممّن یجوّز أن یذهب ماله إلی صاحبه،ویجوّز أن یستفید مال صاحبه،و هو حرام بالنص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فیکون من غیر المسموح به؛التکسّب الذی یتمّ بالمقامرة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التجارة بما کان مُعدّاً خصّیصاً للمقامرة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یکون المقصود منه غالباً الحرام</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التجسّسی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ممّا ورد تحریمه صریحاً فی القرآن؛وذلک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قد جاءت أحادیث عدّةٌ تشیر إلی ذلک،کالذی جاء</w:t>
      </w:r>
    </w:p>
    <w:p>
      <w:pPr>
        <w:pStyle w:val="BookText"/>
        <w:rPr/>
      </w:pPr>
      <w:r>
        <w:rPr>
          <w:rFonts w:ascii="IRNazanin" w:hAnsi="IRNazanin" w:eastAsia="IRNazanin"/>
          <w:color w:val="111111"/>
          <w:sz w:val="28"/>
          <w:sz w:val="28"/>
          <w:szCs w:val="28"/>
          <w:rtl w:val="true"/>
          <w:lang w:bidi="fa-IR"/>
        </w:rPr>
        <w:t>عن زید بن وهب قال قیل لابن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الولید بن عقبة،تقطّر لحیته خمراً؟قال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نهینا عن التجسّس،فإن یظهر لنا شئ نُقم علیه</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فلا یجوز العمل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التجسّس،علی شؤون أهل الحرمة،ولو کانوا غیر متدینین،من أجل تتبّع ما لا یحبون ظهوره من أمورهم الخاصّة الحسنة و القبیحة،سواء أذاعها المتجسّس بعد ذلک أو لم یذعها</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إلی هنا یتمّ الکلام فی المحظور الذاتی،مع وجود بعض الموارد التی یختلف وقوع الحظر علیها باختلاف الشروط المتوفّرة فیها،والتی سنُرجئ البحث حولها إلی فصل الاستهلاک</w:t>
      </w:r>
      <w:r>
        <w:rPr>
          <w:rFonts w:eastAsia="IRNazanin" w:cs="IRNazanin"/>
          <w:color w:val="111111"/>
          <w:sz w:val="28"/>
          <w:szCs w:val="28"/>
          <w:rtl w:val="true"/>
          <w:lang w:bidi="fa-IR"/>
        </w:rPr>
        <w:t>.</w:t>
      </w:r>
    </w:p>
    <w:p>
      <w:pPr>
        <w:pStyle w:val="Heading6"/>
        <w:numPr>
          <w:ilvl w:val="5"/>
          <w:numId w:val="1"/>
        </w:numPr>
        <w:rPr/>
      </w:pPr>
      <w:bookmarkStart w:id="644" w:name="__RefHeading___Toc97532_581953129"/>
      <w:bookmarkStart w:id="645" w:name="_Toc259"/>
      <w:bookmarkEnd w:id="644"/>
      <w:r>
        <w:rPr>
          <w:rtl w:val="true"/>
        </w:rPr>
        <w:t>ب</w:t>
      </w:r>
      <w:r>
        <w:rPr>
          <w:rtl w:val="true"/>
        </w:rPr>
        <w:t>)</w:t>
      </w:r>
      <w:r>
        <w:rPr>
          <w:rtl w:val="true"/>
        </w:rPr>
        <w:t>المحظور التبعی</w:t>
      </w:r>
      <w:bookmarkEnd w:id="6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الحدیث یدور حول مفردات المحظور الذاتی من الحدّ السادس من الحدود المقیدة</w:t>
      </w:r>
    </w:p>
    <w:p>
      <w:pPr>
        <w:pStyle w:val="BookText"/>
        <w:rPr/>
      </w:pPr>
      <w:r>
        <w:rPr>
          <w:rFonts w:ascii="IRNazanin" w:hAnsi="IRNazanin" w:eastAsia="IRNazanin"/>
          <w:color w:val="111111"/>
          <w:sz w:val="28"/>
          <w:sz w:val="28"/>
          <w:szCs w:val="28"/>
          <w:rtl w:val="true"/>
          <w:lang w:bidi="fa-IR"/>
        </w:rPr>
        <w:t>للعوضین،والذی کان تحت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 محظوراً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نتکلّم عن المحظور التبعی من الحدّ المشار إلیه؛إذ إنّ الحظر هنا لا یرتبط بذات ما تتمّ علیه عملیة التبادل،و إنّما بما تستتبعه من حظر،ویتمثّل ذلک فیما لو تمّ التفاهم بالتعامل علی غایة محظورة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الشارع الإسلامی لم یضغط باتّجاه الکشف عن الغایات المحظورة لیکون رقیباً علی الإنسان فی کلّ ما یتعلّق بشؤونه،فهو یتنافی و الأسس التی یؤمن بها فی کیفیة فرض الالتزام الدینی،حیث إنّه أوکَلَ ذلک إلی نیة المتداولَین نفسیهما،بل إنّه لم یلزِم البائع باجتناب البیع حتّی لو علم باستخدام المشتری المبیع فی عمل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حصر الحظر فی نطاق ما لو تمّ التصریح بالممارسة المحظورة بوضوح فی عقد التداول،فإنّها ستدخل فی تلک الحال فی نطاق المقدّمة الموصلة إلی المحظور،وما تؤدّی إلیه من إشاعة للفساد و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العمل فی ذاته حلالاً وکان یراد به الحرام فإنّه لا یحرُم العمل فیه إذا لم ینصّ عل الغایة المحرّمة فی العقد،فتجمیل المرأة حلال،ولو کان یعلم أنّها ستخرج به متبرّجة؛وعصر العنب أو قطافه حلال و إن کان الأجیر یعلم أنّ المستأجر سیغلی ذلک العصیر خمراً،وهکذا أمثاله من الأعمال التی هی غیر محرّمة بذاتها،ولا هی محرّمة من جهة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کمثل إدخال الخمر فی فمه،وأشباهه،فإذا نصّ علی الغایة المحرّمة 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لقطاف عنبی هذا لصنعه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قطافه علی ذلک الشرط،فإنّه یحرُم حینئذ</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ونزّلوا التوافق علی ذلک من دون التصریح به فی العقد منزلة التصریح به فیه،فإنّ مثل هذا الحظر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أکان تواطؤهما علی ذلک ضمن العقد أم خارجه</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ومع أنّهم حظروا مثل ذلک إلّا أنّهم لم یبطلوا مثل تلک المعاملة من الأساس،بل اقتصروا علی الحکم بفساد ذلک الشرط،فلو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 واشترط الحرام صحّ البیع وفسد الشرط</w:t>
      </w:r>
      <w:r>
        <w:rPr>
          <w:rFonts w:eastAsia="IRNazanin" w:cs="IRNazanin"/>
          <w:color w:val="111111"/>
          <w:sz w:val="28"/>
          <w:szCs w:val="28"/>
          <w:rtl w:val="true"/>
          <w:lang w:bidi="fa-IR"/>
        </w:rPr>
        <w:t xml:space="preserve">. </w:t>
      </w:r>
      <w:r>
        <w:rPr>
          <w:rStyle w:val="FootnoteAnchor"/>
          <w:rtl w:val="true"/>
        </w:rPr>
        <w:footnoteReference w:id="742"/>
      </w:r>
      <w:bookmarkStart w:id="646" w:name="pg5204_66219"/>
    </w:p>
    <w:p>
      <w:pPr>
        <w:pStyle w:val="BookText"/>
        <w:rPr/>
      </w:pPr>
      <w:bookmarkEnd w:id="646"/>
      <w:r>
        <w:rPr>
          <w:rFonts w:ascii="IRNazanin" w:hAnsi="IRNazanin" w:eastAsia="IRNazanin"/>
          <w:color w:val="111111"/>
          <w:sz w:val="28"/>
          <w:sz w:val="28"/>
          <w:szCs w:val="28"/>
          <w:rtl w:val="true"/>
          <w:lang w:bidi="fa-IR"/>
        </w:rPr>
        <w:t>وما ذلک إلّا؛لأنّ الاستفادة من العنب فی المثال المتقدّم لا تقتصر علی الحرام،فبإمکان المشتری أن یستخدمه فی غایة مباحة،فإنّ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العصیر یصلح للأشیاء کلّها جائزة شرعاً،فیکون الفساد إلی اختیاره</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هذا علی خلاف ما إذا انحصر الاستخدام فی الحرام،فإنّ المعاملة تکون باطلةً من الأساس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انحصرت منافع المال فی الحرام أو اشترط الانتفاع بخصوص المحرّم منها،أو أوقع العقد مبنیاً علی ذلک بطلت الإجارة،کما لو آجر الدکان بشرط أن یباع أو یحفظ فیه الخمر،أو آجر الحیوان بشرط أن یحمل الخمر علیه</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فلیس بإمکان المستأجِر هنا التصرّف بالعین المستأجَرة فی غیر ما استأجره لها،فیکون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هذه مرتکباً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الشراء الذی یصبح من خلاله مالکاً مبسوط الید فی التصرّف</w:t>
      </w:r>
      <w:r>
        <w:rPr>
          <w:rFonts w:eastAsia="IRNazanin" w:cs="IRNazanin"/>
          <w:color w:val="111111"/>
          <w:sz w:val="28"/>
          <w:szCs w:val="28"/>
          <w:rtl w:val="true"/>
          <w:lang w:bidi="fa-IR"/>
        </w:rPr>
        <w:t>.</w:t>
      </w:r>
    </w:p>
    <w:p>
      <w:pPr>
        <w:pStyle w:val="Heading5"/>
        <w:numPr>
          <w:ilvl w:val="4"/>
          <w:numId w:val="1"/>
        </w:numPr>
        <w:rPr/>
      </w:pPr>
      <w:bookmarkStart w:id="647" w:name="__RefHeading___Toc97534_581953129"/>
      <w:bookmarkStart w:id="648" w:name="_Toc260"/>
      <w:bookmarkEnd w:id="647"/>
      <w:r>
        <w:rPr>
          <w:rtl w:val="true"/>
        </w:rPr>
        <w:t>تاسعاً</w:t>
      </w:r>
      <w:r>
        <w:rPr>
          <w:rtl w:val="true"/>
        </w:rPr>
        <w:t>:</w:t>
      </w:r>
      <w:r>
        <w:rPr>
          <w:rtl w:val="true"/>
        </w:rPr>
        <w:t>عدم السماح بالعمل فی الإعانة علی المحظور</w:t>
      </w:r>
      <w:bookmarkEnd w:id="648"/>
    </w:p>
    <w:p>
      <w:pPr>
        <w:pStyle w:val="BookText"/>
        <w:rPr/>
      </w:pPr>
      <w:r>
        <w:rPr>
          <w:rFonts w:ascii="Amiri" w:hAnsi="Amiri" w:eastAsia="Amiri" w:cs="Amiri"/>
          <w:color w:val="111111"/>
          <w:sz w:val="28"/>
          <w:sz w:val="28"/>
          <w:szCs w:val="28"/>
          <w:rtl w:val="true"/>
          <w:lang w:bidi="ar-SA"/>
        </w:rPr>
        <w:t>وهی مشمولةٌ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 </w:t>
      </w:r>
      <w:r>
        <w:rPr>
          <w:rStyle w:val="FootnoteAnchor"/>
          <w:rtl w:val="true"/>
        </w:rPr>
        <w:footnoteReference w:id="745"/>
      </w:r>
      <w:r>
        <w:rPr>
          <w:rFonts w:ascii="IRNazanin" w:hAnsi="IRNazanin" w:eastAsia="IRNazanin"/>
          <w:color w:val="111111"/>
          <w:sz w:val="28"/>
          <w:sz w:val="28"/>
          <w:szCs w:val="28"/>
          <w:rtl w:val="true"/>
          <w:lang w:bidi="fa-IR"/>
        </w:rPr>
        <w:t>فیما لو کانت تلک الإعانة بذاتها عملاً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الإعانة إنّما تحرُم إذا کانت سبباً مباشراً ومولّداً للحرام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تساعد مرتکب الحرام مساعدةً مباشرةً فی ارتکابه للحرام،وذلک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کحمل المال الذی اغتصبه،أو الإمساک بالمظلوم الذی سیضربه أو یسجنه،أو نحو ذلک،فإنّه یحرُم العمل عنده حینئذ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أو ما جاء 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السلاح من أهل الفتنة؛لأنّ المعصیة تقوم بعینه فیکون إعانة لهم وتسبّباً،و قد نهینا عن التعاون علی العدوان و المعصیة</w:t>
      </w:r>
      <w:r>
        <w:rPr>
          <w:rFonts w:eastAsia="IRNazanin" w:cs="IRNazanin"/>
          <w:color w:val="111111"/>
          <w:sz w:val="28"/>
          <w:szCs w:val="28"/>
          <w:rtl w:val="true"/>
          <w:lang w:bidi="fa-IR"/>
        </w:rPr>
        <w:t xml:space="preserve">. </w:t>
      </w:r>
      <w:r>
        <w:rPr>
          <w:rStyle w:val="FootnoteAnchor"/>
          <w:rtl w:val="true"/>
        </w:rPr>
        <w:footnoteReference w:id="748"/>
      </w:r>
      <w:bookmarkStart w:id="649" w:name="pg5204_66220"/>
    </w:p>
    <w:p>
      <w:pPr>
        <w:pStyle w:val="Heading5"/>
        <w:numPr>
          <w:ilvl w:val="4"/>
          <w:numId w:val="1"/>
        </w:numPr>
        <w:rPr/>
      </w:pPr>
      <w:bookmarkStart w:id="650" w:name="__RefHeading___Toc97536_581953129"/>
      <w:bookmarkStart w:id="651" w:name="_Toc261"/>
      <w:bookmarkEnd w:id="649"/>
      <w:bookmarkEnd w:id="650"/>
      <w:r>
        <w:rPr>
          <w:rtl w:val="true"/>
        </w:rPr>
        <w:t>عاشراً</w:t>
      </w:r>
      <w:r>
        <w:rPr>
          <w:rtl w:val="true"/>
        </w:rPr>
        <w:t>:</w:t>
      </w:r>
      <w:r>
        <w:rPr>
          <w:rtl w:val="true"/>
        </w:rPr>
        <w:t>عدم السماح باستیفاء ولو جزء من العوضین دون مقابل</w:t>
      </w:r>
      <w:bookmarkEnd w:id="651"/>
    </w:p>
    <w:p>
      <w:pPr>
        <w:pStyle w:val="BookText"/>
        <w:rPr/>
      </w:pPr>
      <w:r>
        <w:rPr>
          <w:rFonts w:ascii="IRNazanin" w:hAnsi="IRNazanin" w:eastAsia="IRNazanin"/>
          <w:color w:val="111111"/>
          <w:sz w:val="28"/>
          <w:sz w:val="28"/>
          <w:szCs w:val="28"/>
          <w:rtl w:val="true"/>
          <w:lang w:bidi="fa-IR"/>
        </w:rPr>
        <w:t>من المعلوم أنّ عملیة التبادل تقتصر علی حالة المعاوضة التی یتمّ فیه تبادل العوض و المعوَّض،فعند انتفاء أحد العوضین تنتفی عملیة التبادل من الأساس،وینطبق ذات الأمر علی کلّ جزء من أجزاء العوضین،فلا یمکن فیها استیفاء جزء من أحدهما دون مقابل؛إذ إنّ العوض و المعوَّض یمثّلان فی حقیقتهما عملاً مختزناً،فإن لم یوجد عوضٌ بأزاء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مقابل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أثار الملکیة و الحیازة دون عمل،والذی تقدّم حظره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تصویر حظر مثل هذه المسألة من خلال تجسّدها فی الحالتین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 بتفاضل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أونقیصة عمّا تمّ التوافق علیه من العوضین،فإذا ما رضی أحد المتعاوضَین بإقالة صاحبه واسترداد عوضه یلزم أن یتمّ ذلک دون مقابل،حیث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تجوز الإقالة بزیادة عن الثمن أو المثمن أو نقصان عنهما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إذ إنّ تلک الزیادة و النقیصة تمثّل فی حقیقتها استیفاءً لجزء من العوض دون أن تتمّ عملیة تبادل فی البین،فإنّ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الإقالة فسخ وفسخ العقد رفعه من الأصل کأن لم یکن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یحتاج إلی کلام فی ثبوت حظره،وعرّفوه لغةً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و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وینقسم اصطلاحاً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یطلق علیه بربا المعاملة،و هو فضل أحد المالین المتجانسین علی الآخر دون أن یقابل ذلک الفضل عوض،ویختصّ ذلک بالمعاملات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القرض،و هو الإقراض باشتراط الزیادة ویختصّ بالقرض،الذی سیأتی الکلام عنه فی فصل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حظره فی حقیقة الأمر إلی الحصول علی فائدة من دون أن یتمّ بذل عمل مقابل ما تمّ استفادته،فهو یفتقد إلی ضابط أساسی من ضوابط الإنتاج ألَا،و هو العمل الذی تحدّثنا عنه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وتتحقّق الزیادة فی القسم الأوّل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العینیة أو الحقیقیة؛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وتتمثّل فی بیع أحد المتجانسین بالآخر نقداً بزیادة من نفس جنسه،ویختصّ ذلک ببیع ما</w:t>
      </w:r>
    </w:p>
    <w:p>
      <w:pPr>
        <w:pStyle w:val="BookText"/>
        <w:rPr/>
      </w:pPr>
      <w:r>
        <w:rPr>
          <w:rFonts w:ascii="IRNazanin" w:hAnsi="IRNazanin" w:eastAsia="IRNazanin"/>
          <w:color w:val="111111"/>
          <w:sz w:val="28"/>
          <w:sz w:val="28"/>
          <w:szCs w:val="28"/>
          <w:rtl w:val="true"/>
          <w:lang w:bidi="fa-IR"/>
        </w:rPr>
        <w:t>یکال أو یوزن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کبیع مائة کیلو من الحنطة بمائة وعشرین منها،أو خمسین کیلو من الحنطة بخمسین کیلو حنطة ودینار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فالعوض و المعوَّض هنا من جنس واحد و هو من الموزون فی الفرض المتقدّم،ویسری الأمر ذاته فی بیعه کیلاً بکیل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یبیعه مُدّین من القمح بمُدّ ونصف منه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والأمر ذاته یجری فی بیعه کیلاً بوزن فیما لو تحقّقت زیادةٌ خارجیةٌ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یبیعه مُدّاً یزن فی بعض البلاد خمسة عشر کیلواً من القمح بعشرین کیلواً منه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هو ما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زیادة عین مال شرطت فی عقد البیع علی المعیار الشرعی،و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الکیل أو الوزن فی الجنس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والمقصود به الجنس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والعبرة فی کونه مکیلاً وموزوناً هو کونه کذلک فعلاً،فیجوز بیع المعدود متفاضلاً،سواء کان بجنسه المعدود أیضاً کبیع بطیخة ببطیختین، </w:t>
      </w:r>
      <w:r>
        <w:rPr>
          <w:rStyle w:val="FootnoteAnchor"/>
          <w:rtl w:val="true"/>
        </w:rPr>
        <w:footnoteReference w:id="755"/>
      </w:r>
      <w:r>
        <w:rPr>
          <w:rFonts w:ascii="IRNazanin" w:hAnsi="IRNazanin" w:eastAsia="IRNazanin"/>
          <w:color w:val="111111"/>
          <w:sz w:val="28"/>
          <w:sz w:val="28"/>
          <w:szCs w:val="28"/>
          <w:rtl w:val="true"/>
          <w:lang w:bidi="fa-IR"/>
        </w:rPr>
        <w:t>أو بجنسه الموزون کبیع الصوف بثیابه بزیادة مع کونهما جنساً واحداً لکون الثیاب من المعدود،وکذا لو کان یباع فی بلد جزافاً ولیس وزناً أو کیلاً فإنّه یصحّ التفاضل فیه،إلّا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مکیلاً أو موزوناً فی غالب البلاد فالأحوط لزوماً أن لا یبُاع متفاضلاً مطلقا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ویشمل ذلک بیع ثمر الشجر بمختلف مراحل نموّه،و هو علی أصوله،بمقدار معلوم من ثمر نفس الشجرة؛إذ</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بیع ثمره علی أصله بثمر من نفس حاصله،کأن یبیعه عنب هذه العریشة بعشرین کیلواً منها؛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یدری أیهما أکثر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أمّا إن کان الثمن من عنب غیرها،فلا مانع منه إلّا النخل،فإنّه لا یسمح ببیع ثمره فی أی مرحلة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بالتمر دون الرطب و البُسر أو غیرهما،سواء من ثمره أم من ثمر غیره</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وینطبق الأمر ذاتُهُ علی بیع سنبل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الحبّ فی السنبل بمثل کیله من الحنطة خرصاً لا یدری أیهما أکثر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أی بیعه بحبّ من نفس الحاصل،و هو یشمل جمیع الحبوب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الحنطة،فإنّه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یجوز بیع سنبل القمح بالقمح،سواء کان من نفس الحاصل أو من قمح غیره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ومنه بیع الذهب و الفضة سواء کانا مسکوکین أم لا،متداولین أم لا،موزونین أم معدودین؛إذ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بیع کلّ بجنسه متفاضلاً فی الوزن سواء اتّفقا فی النوع و الصفة بأن کانا مضروبین دراهم أو دنانیر أو مصوغین أو تبرین جیدین أو ردیئین أو اختلفا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بیعهما بصفتهما الذهبیة و الفضّیة بغضّ النظر عن أی خصوصیة أخری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الذهب بالذهب و الفضّة بالفضّة مع الزیادة</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أمّا بیع أحدهما بالآخر أی الذهب بالفضّة وبالعکس،فإنّه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جائز ثمنین کانا أو مثمنین بعد أن یکون یداً بید کبیع دینار بمائة درهم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إذ یکونا فی هذه الحالة مختلفین فی الجنس،فلا ینطبق علیهما شرط الربا مع افتراض بیعهما نقداً،وعلی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ببیع الذهب بالفضّة وبالعکس نقداً،ولا یعتبر تساویهما فی الوزن</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ویحظر علی هذا الصعید التعامل بالدراهم الفضّیة و الدنانیر الذهبیة المزیفة التی لم یتمّ التسالم علی التعامل بها؛إذ إنّ التعامل بها فی هذه الصورة یعدّ غشّاً موجباً للتفاضل،وعلیه فإن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رائجة فلا یجوز خرجها وإنفاقها و المعاملة بها إلّا بعد إظهار حاله</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والمعیار فی کون الشیئین من جنس واحد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الجنس و الذات عرفا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إن اختلفا فی الصفات کالجودة و الرداءة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بیع کلّ مکیل من ذلک بجنسه متفاضلاً فی الکیل،و إن تساویا فی النوع و الصفة بلا خلاف؛و أما متساویاً فی الکیل متفاضلاً فی النوع و الصفة،فنقول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أنّه یجوز</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فتتحقّق المراباة فی بیع القمح الردئ بالجید بزیادة،وکذا ببیع الأصل بما یتفرّع عنه کالحنطة بالدقیق أو الخبز،إلّا فیما اعتبره العرف مختلفاً کالسمسم بزیته و الورد بمائه،ومنهم مَنْ منع ذلک لانطباق أصل الوزن علیه،فلم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دهن السمسم بالسمسم؛لأنّ ذلک بیع الموزون بالموزون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قد اعتبروا کلّ ما ینضوی تحت اسم واحد من الأشیاء جنساً واحداً،فیکون کلّ صنف من الحبوب جنساً واحداً إلّا الحنطة و الشعیر فهما جنسٌ واحدٌ فی الربا،ومنهم من عدّهما مختلفتین،فجوّز التفاضل فی بیعهما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یداً بید کبیع قفیز حنطة بقفیزی شعیر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وکذا الأسماک و الطیور و اللحوم ما عدا الغنم و الماعز فهما جنسٌ واحدٌ وکذا البقر و الجاموس،ولم یعدّوا الأهلی منها مجانساً للوحشی؛أمّا التمور،فجمیعها جنسٌ واحدٌ لقابلیة إطلاق التمر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الحکمیة أو الاعتباریة وهی فیما لو لم تکن عینیةً کالأجل و الحقوق؛وتتحقّق ببیع أحد المتجانسین بالآخر نسیئةً،أی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الثمن مؤجّلاً،ولیس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کبیع عشرین کیلواً من الحنطة نقداً بعشرین کیلواً من الحنطة نسیئة،و هو حرام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إذ هو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الحلول علی الأجل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هو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النساء،فالأجل هنا یعدّ زیادةً؛لأنّ البائع أعطی ما عنده من حنطة نقداً،ولم یستلم عوضها نقداً؛فیکون هذا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میزة لأحدهما علی الآخر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تجعله رباً محرّما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ومنهم من عدّا ذلک إلی بیع المختلفین فی الجنس من المکیل و الموزون أیضاً،سواء اتّحدا فی المقدار أم اختلفا،ما دام کون البیع نسیئةً بأجل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فیجوز بیع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 ومتفاضلاً بعد أن یکون یداً بید،ولا یجوز نسیئة</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ولا یختصّ ذلک بالمکیل و الموزون هنا،بل هو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غیر المکیلین أو الموزونین عند اتّحاد الجنس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کما فی المعدود،فإنّه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یشکل بیع المتّحدین فی الجنس من المعدود مع الزیادة العینیة نسیئة،کبیع عشرین جوزة بخمس عشرة جوزة لشهر مَثلا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وعلی هذا،فالحظر فی بیع النسیئة یشمل المتّحدین فی الجنس و المختلفین علی السواء،تساویا فی المقدار أو اختلفا،وکذا المعدود مع الزیادة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الذهب بالفضّة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نسیئة فلا یجوز مطلقاً علی الأظهر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کذلک،أی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 الزیادة أو بدونها،و هو شاملٌ بطبیعة الحال لبیع الذهب بالذهب و الفضّة بالفضّة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العین خیر من الدین و المعجّل أکثر قیمة من المؤجّل </w:t>
      </w:r>
      <w:r>
        <w:rPr>
          <w:rStyle w:val="FootnoteAnchor"/>
          <w:rtl w:val="true"/>
        </w:rPr>
        <w:footnoteReference w:id="7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تقدّم حظر بیعهما مع التفاضل نقداً؛إذ إنّهم اشترطوا فی صحّة بیعهما ببعضهما البعض أو بالآخر التقابض قبل التفرّق،أی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إقباض کلّ طرف الطرف الآخر فی محلّ البیع قبل أن یتفرّقا</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أمّا تصوّر الزیادة فی الحقوق ونحوها کالأعمال،فیتمثّل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یبیعه عشرین کیلواً من القمح بعشرین کیلواً منه نقداً مع تعهّده بخیاطة ثوبه مثلاً،أو تعهّده بإعطائه حقّ المرور إلی أرضه المجاورة مَثلا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فتُعدّ خیاطة الثوب وإعطاء حقّ المرور بمثابة الربا؛لکونها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 فی هذا کلّه فاسد لأنّ زیادة منفعة مشروطة فی البیع تکون رباً لأنّها زیادة لا یقابلها عوض فی عقد البیع</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ویشمل هذا الحظر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المکیل بالمکیل و الموزون بالموزون،وکذا المکیل بالموزون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المبیع،ولیس الثمن مؤجّلاً،سواء اتّحدا فی الجنس أم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وینطبق ذلک علی المعدود،فیما لو کان الثمن من جنسه إذا کانت فیه زیادةٌ عینیةٌ خارجیة، </w:t>
      </w:r>
      <w:r>
        <w:rPr>
          <w:rStyle w:val="FootnoteAnchor"/>
          <w:rtl w:val="true"/>
        </w:rPr>
        <w:footnoteReference w:id="783"/>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غیر المکیل و الموزون فی جنسه من الذرعیات و العددیات کالهروی فی الهروی،والمروی فی المروی،والحیوان فی الحیوان</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ویمکن إدراج ما یعرف ببیع السندات،وهی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الصکوک التی تبیعها الدولة بقیمة أقلّ من القیمة الموضوعة لها علی أن تردّ قیمتها الموضوعة بعد مدّة،فلو افترضنا أنّه بیعٌ حقیقی فسیکون،معناه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مال مؤجّل بمال أقلّ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للبنوک التوسّط فی بیع السندات وشرائها،کما لا یجوز لها أخذ العمولة علی ذلک، </w:t>
      </w:r>
      <w:r>
        <w:rPr>
          <w:rStyle w:val="FootnoteAnchor"/>
          <w:rtl w:val="true"/>
        </w:rPr>
        <w:footnoteReference w:id="785"/>
      </w:r>
      <w:r>
        <w:rPr>
          <w:rFonts w:ascii="IRNazanin" w:hAnsi="IRNazanin" w:eastAsia="IRNazanin"/>
          <w:color w:val="111111"/>
          <w:sz w:val="28"/>
          <w:sz w:val="28"/>
          <w:szCs w:val="28"/>
          <w:rtl w:val="true"/>
          <w:lang w:bidi="fa-IR"/>
        </w:rPr>
        <w:t>لتحقّق الزیادة الربویة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فی هذا النطاق حظر بیع المسلَّم فیه من غیر المکیل و الموزون قبل حلول الأجل؛إذ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بیعه من غیر البائع قبل حلول الأجل؛ </w:t>
      </w:r>
      <w:r>
        <w:rPr>
          <w:rStyle w:val="FootnoteAnchor"/>
          <w:rtl w:val="true"/>
        </w:rPr>
        <w:footnoteReference w:id="786"/>
      </w:r>
      <w:r>
        <w:rPr>
          <w:rFonts w:ascii="IRNazanin" w:hAnsi="IRNazanin" w:eastAsia="IRNazanin"/>
          <w:color w:val="111111"/>
          <w:sz w:val="28"/>
          <w:sz w:val="28"/>
          <w:szCs w:val="28"/>
          <w:rtl w:val="true"/>
          <w:lang w:bidi="fa-IR"/>
        </w:rPr>
        <w:t xml:space="preserve">لأنّه مبیع لم یقبض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هذا فیما إذا کان البیع نقداً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نسیئة</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حتّی للبائع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یجوز بیعهما قبل القبض مرابحةً مطلقا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سواء تمّ البیع قبل حلول الأجل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یقتصر حظر ما تقدّم علی البیع،بل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اختصاصه بما کانت المعاوضة فیه بین العینین،سواء کانت بعنوان البیع أو المبادلة أو الصلح </w:t>
      </w:r>
      <w:r>
        <w:rPr>
          <w:rStyle w:val="FootnoteAnchor"/>
          <w:rtl w:val="true"/>
        </w:rPr>
        <w:footnoteReference w:id="79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یتمّ الکلام فی المبحث الرابع المختصّ بحدود الحرّیة فی قطاع الخدمات،وبه یتمّ الکلام فی الفصل الأوّل الذی تطرّقنا فیه لحدود حرّیة الإنتاج</w:t>
      </w:r>
      <w:r>
        <w:rPr>
          <w:rFonts w:eastAsia="IRNazanin" w:cs="IRNazanin"/>
          <w:color w:val="111111"/>
          <w:sz w:val="28"/>
          <w:szCs w:val="28"/>
          <w:rtl w:val="true"/>
          <w:lang w:bidi="fa-IR"/>
        </w:rPr>
        <w:t>.</w:t>
      </w:r>
      <w:bookmarkStart w:id="652" w:name="pg5204_66228"/>
    </w:p>
    <w:p>
      <w:pPr>
        <w:pStyle w:val="Heading2"/>
        <w:numPr>
          <w:ilvl w:val="1"/>
          <w:numId w:val="1"/>
        </w:numPr>
        <w:rPr/>
      </w:pPr>
      <w:bookmarkStart w:id="653" w:name="__RefHeading___Toc97538_581953129"/>
      <w:bookmarkStart w:id="654" w:name="_Toc262"/>
      <w:bookmarkEnd w:id="652"/>
      <w:bookmarkEnd w:id="653"/>
      <w:r>
        <w:rPr>
          <w:rtl w:val="true"/>
        </w:rPr>
        <w:t>الفصل الثانی</w:t>
      </w:r>
      <w:r>
        <w:rPr>
          <w:rtl w:val="true"/>
        </w:rPr>
        <w:t xml:space="preserve">: </w:t>
      </w:r>
      <w:r>
        <w:rPr>
          <w:rtl w:val="true"/>
        </w:rPr>
        <w:t>ضوابط وحدود حرّیة التوزیع</w:t>
      </w:r>
      <w:bookmarkEnd w:id="654"/>
    </w:p>
    <w:p>
      <w:pPr>
        <w:pStyle w:val="Heading3"/>
        <w:numPr>
          <w:ilvl w:val="2"/>
          <w:numId w:val="1"/>
        </w:numPr>
        <w:rPr/>
      </w:pPr>
      <w:bookmarkStart w:id="655" w:name="__RefHeading___Toc97540_581953129"/>
      <w:bookmarkStart w:id="656" w:name="_Toc263"/>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لقد اتّضح من خلال دراستنا لحدود حرّیة الإنتاج أنّ التوزیع فی الإسلام یرتبط ارتباطاً وثیقاً بالإنتاج؛إذ إنّ الإنتاج بحدوده التی یخضع لها؛یعدّ الأساس الأوّل الذی تقوم علیه عملیة التوزیع،حیث إنّ المظهر البارز لعملیة التوزیع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ترتکز علی الإنتاج،فیکون الوجه الآخر لعملیات الإنتاج هو توزّع الثروات المنتَجة علی منتجیها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مع هذا،لیس هو العامل الوحید کما هو علیه فی بعض النظم والاتّجاهات،فقد أقرّ الإسلام آلیات متعدّدةً لعملیة التوزیع تنسجم،وما یتبنّاه من رؤیً وأفکار حول الحیاة و الإنسان و الدور الذی أُنیط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فتقوم تلک الآلیات بدور حیوی ومکمّل للأساس الأوّل کی یتحقّق من خلالهما ما یسعی إلیه الإسلام من تجسید مقولاته الاجتماعیة و السیاسیة و العبادیة،فلا تمثّل تلک الآلیات مجرّد دور هامشی یقتصر فیها علی ما تجود به أیادی بعض السابلة،بل إنّه جعلها وظائف شرعیةً وقانونیةً وأخلاقیةً یتمّ من خلالها سدّ الهوّة و الفجوة التی تتّسع یوماً بعد آخر بین طبقات المجتمع فیما لو أُلقیت الأمور علی عواهنها کما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حاصل فی بعض الأنظمة القدیمة و الحدیثة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یسمح الإسلام بامتلاک الثروات الأساسیة و الثانویة أصالةً وانتقالاً کیفما اتّفق،فالتوزیع فی الإسلام له ضوابط یقوم علیها وحدودٌ لا یمکن تعدّیها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وتقوم هذه الضوابط و الحدود بدور</w:t>
      </w:r>
    </w:p>
    <w:p>
      <w:pPr>
        <w:pStyle w:val="BookText"/>
        <w:rPr/>
      </w:pPr>
      <w:r>
        <w:rPr>
          <w:rFonts w:ascii="IRNazanin" w:hAnsi="IRNazanin" w:eastAsia="IRNazanin"/>
          <w:color w:val="111111"/>
          <w:sz w:val="28"/>
          <w:sz w:val="28"/>
          <w:szCs w:val="28"/>
          <w:rtl w:val="true"/>
          <w:lang w:bidi="fa-IR"/>
        </w:rPr>
        <w:t>بنّاء فی تناغم وانسجام تعالیمه الاقتصادیة الأخری،وذلک حسب ما سبق وأن أشرنا إلیه فی الأسس العامّة؛من أنّ الإسلام کلٌّ واحدٌ مترابطٌ لا یمکن التفکیک بین أجزائه وتفاصیله إذا ما أُرید لتلک التعالیم أن تؤتی أُکلها وتخطو خطوات ثابتةً ورصینةً باتّجاه غایاته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سنحاول أن نفصّله فی الصفحات التالیة،فنقوم ابتداءً بالتطرّق إلی مفهوم التوزیع وضوابطه،لتکون رکیزةً أساسیةً فی الخوض فی مباحث حدود حرّیة التوزیع،والتی ستتضمّن أربعة مباحث،وحسب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و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الحرّیة فی توزیع ما قبل الانتاج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الحرّیة فی توزیع ما بعد الانتاج</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الحرّیة فی إعادة التوزیع</w:t>
      </w:r>
      <w:r>
        <w:rPr>
          <w:rFonts w:eastAsia="IRNazanin" w:cs="IRNazanin"/>
          <w:color w:val="111111"/>
          <w:sz w:val="28"/>
          <w:szCs w:val="28"/>
          <w:rtl w:val="true"/>
          <w:lang w:bidi="fa-IR"/>
        </w:rPr>
        <w:t>.</w:t>
      </w:r>
      <w:bookmarkStart w:id="657" w:name="pg5204_66230"/>
    </w:p>
    <w:p>
      <w:pPr>
        <w:pStyle w:val="Heading3"/>
        <w:numPr>
          <w:ilvl w:val="2"/>
          <w:numId w:val="1"/>
        </w:numPr>
        <w:rPr/>
      </w:pPr>
      <w:bookmarkStart w:id="658" w:name="__RefHeading___Toc97542_581953129"/>
      <w:bookmarkStart w:id="659" w:name="_Toc264"/>
      <w:bookmarkEnd w:id="657"/>
      <w:bookmarkEnd w:id="658"/>
      <w:r>
        <w:rPr>
          <w:rtl w:val="true"/>
        </w:rPr>
        <w:t>المبحث الأوّل</w:t>
      </w:r>
      <w:bookmarkEnd w:id="659"/>
    </w:p>
    <w:p>
      <w:pPr>
        <w:pStyle w:val="Heading4"/>
        <w:numPr>
          <w:ilvl w:val="3"/>
          <w:numId w:val="1"/>
        </w:numPr>
        <w:rPr/>
      </w:pPr>
      <w:bookmarkStart w:id="660" w:name="__RefHeading___Toc97544_581953129"/>
      <w:bookmarkStart w:id="661" w:name="_Toc265"/>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التوزیع؛المفهوم و الضوابط</w:t>
      </w:r>
    </w:p>
    <w:p>
      <w:pPr>
        <w:pStyle w:val="BookText"/>
        <w:rPr/>
      </w:pPr>
      <w:r>
        <w:rPr>
          <w:rFonts w:ascii="IRNazanin" w:hAnsi="IRNazanin" w:eastAsia="IRNazanin"/>
          <w:color w:val="111111"/>
          <w:sz w:val="28"/>
          <w:sz w:val="28"/>
          <w:szCs w:val="28"/>
          <w:rtl w:val="true"/>
          <w:lang w:bidi="fa-IR"/>
        </w:rPr>
        <w:t>وسنحاول فی هذا المبحث التوصّل إلی مفهوم التوزیع حسب الرؤیة الإسلامیة؛وذلک علی ضوء الأسس العامّة التی مرّت علینا فی المدخل من ناحیة،ومجمل الأحکام التی ترتبط به من ناحیة أخری،ومن ثمّ تحدید الضوابط التی تقوم علیها عملیة التوزیع فی الإسلام بالاعتماد علی مفهومه المفترض،وذلک فی مطلبین</w:t>
      </w:r>
      <w:r>
        <w:rPr>
          <w:rFonts w:eastAsia="IRNazanin" w:cs="IRNazanin"/>
          <w:color w:val="111111"/>
          <w:sz w:val="28"/>
          <w:szCs w:val="28"/>
          <w:rtl w:val="true"/>
          <w:lang w:bidi="fa-IR"/>
        </w:rPr>
        <w:t>:</w:t>
      </w:r>
    </w:p>
    <w:p>
      <w:pPr>
        <w:pStyle w:val="Heading4"/>
        <w:numPr>
          <w:ilvl w:val="3"/>
          <w:numId w:val="1"/>
        </w:numPr>
        <w:rPr/>
      </w:pPr>
      <w:bookmarkStart w:id="662" w:name="__RefHeading___Toc97546_581953129"/>
      <w:bookmarkStart w:id="663" w:name="_Toc266"/>
      <w:bookmarkEnd w:id="662"/>
      <w:r>
        <w:rPr>
          <w:rtl w:val="true"/>
        </w:rPr>
        <w:t>المطلب الأوّل</w:t>
      </w:r>
      <w:r>
        <w:rPr>
          <w:rtl w:val="true"/>
        </w:rPr>
        <w:t>:</w:t>
      </w:r>
      <w:r>
        <w:rPr>
          <w:rtl w:val="true"/>
        </w:rPr>
        <w:t>مفهوم التوزیع</w:t>
      </w:r>
      <w:bookmarkEnd w:id="663"/>
    </w:p>
    <w:p>
      <w:pPr>
        <w:pStyle w:val="Heading5"/>
        <w:numPr>
          <w:ilvl w:val="4"/>
          <w:numId w:val="1"/>
        </w:numPr>
        <w:rPr/>
      </w:pPr>
      <w:bookmarkStart w:id="664" w:name="__RefHeading___Toc97548_581953129"/>
      <w:bookmarkStart w:id="665" w:name="_Toc267"/>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ونبحث فیه مفهوم التوزیع لغةً واصطلاحاً ضمن عنوانین</w:t>
      </w:r>
      <w:r>
        <w:rPr>
          <w:rFonts w:eastAsia="IRNazanin" w:cs="IRNazanin"/>
          <w:color w:val="111111"/>
          <w:sz w:val="28"/>
          <w:szCs w:val="28"/>
          <w:rtl w:val="true"/>
          <w:lang w:bidi="fa-IR"/>
        </w:rPr>
        <w:t>:</w:t>
      </w:r>
    </w:p>
    <w:p>
      <w:pPr>
        <w:pStyle w:val="Heading5"/>
        <w:numPr>
          <w:ilvl w:val="4"/>
          <w:numId w:val="1"/>
        </w:numPr>
        <w:rPr/>
      </w:pPr>
      <w:bookmarkStart w:id="666" w:name="__RefHeading___Toc97550_581953129"/>
      <w:bookmarkStart w:id="667" w:name="_Toc268"/>
      <w:bookmarkEnd w:id="666"/>
      <w:r>
        <w:rPr>
          <w:rtl w:val="true"/>
        </w:rPr>
        <w:t>أوّلاً</w:t>
      </w:r>
      <w:r>
        <w:rPr>
          <w:rtl w:val="true"/>
        </w:rPr>
        <w:t>:</w:t>
      </w:r>
      <w:r>
        <w:rPr>
          <w:rtl w:val="true"/>
        </w:rPr>
        <w:t>التوزیع فی اللغة</w:t>
      </w:r>
      <w:bookmarkEnd w:id="667"/>
    </w:p>
    <w:p>
      <w:pPr>
        <w:pStyle w:val="BookText"/>
        <w:rPr/>
      </w:pPr>
      <w:r>
        <w:rPr>
          <w:rFonts w:ascii="IRNazanin" w:hAnsi="IRNazanin" w:eastAsia="IRNazanin"/>
          <w:color w:val="111111"/>
          <w:sz w:val="28"/>
          <w:sz w:val="28"/>
          <w:szCs w:val="28"/>
          <w:rtl w:val="true"/>
          <w:lang w:bidi="fa-IR"/>
        </w:rPr>
        <w:t>اقتصرت لفظة التوزیع علی معنیً واحد فی اللغة،فقد ذکروا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التوزیع القسمة و التفریق،و قد وزّعه،یقال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وزّعنا الجزور فیما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حلق شعره فی الحجّ،ووزّعه بین الناس،أی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فرّقه،وقسّمه بینهم،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توزّعوه فیما بینهم،أی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فتوزّعوها</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اقتسام الشیء أو تقسیمه إلی أجزاء وتفریقه علی أفراد الجماعة،فیکون لکلّ منهم نصیبٌ منه</w:t>
      </w:r>
      <w:r>
        <w:rPr>
          <w:rFonts w:eastAsia="IRNazanin" w:cs="IRNazanin"/>
          <w:color w:val="111111"/>
          <w:sz w:val="28"/>
          <w:szCs w:val="28"/>
          <w:rtl w:val="true"/>
          <w:lang w:bidi="fa-IR"/>
        </w:rPr>
        <w:t>.</w:t>
      </w:r>
      <w:bookmarkStart w:id="668" w:name="pg5204_66231"/>
    </w:p>
    <w:p>
      <w:pPr>
        <w:pStyle w:val="Heading5"/>
        <w:numPr>
          <w:ilvl w:val="4"/>
          <w:numId w:val="1"/>
        </w:numPr>
        <w:rPr/>
      </w:pPr>
      <w:bookmarkStart w:id="669" w:name="__RefHeading___Toc97552_581953129"/>
      <w:bookmarkStart w:id="670" w:name="_Toc269"/>
      <w:bookmarkEnd w:id="668"/>
      <w:bookmarkEnd w:id="669"/>
      <w:r>
        <w:rPr>
          <w:rtl w:val="true"/>
        </w:rPr>
        <w:t>ثانیاً</w:t>
      </w:r>
      <w:r>
        <w:rPr>
          <w:rtl w:val="true"/>
        </w:rPr>
        <w:t>:</w:t>
      </w:r>
      <w:r>
        <w:rPr>
          <w:rtl w:val="true"/>
        </w:rPr>
        <w:t>التوزیع فی الاصطلاح</w:t>
      </w:r>
      <w:bookmarkEnd w:id="670"/>
    </w:p>
    <w:p>
      <w:pPr>
        <w:pStyle w:val="BookText"/>
        <w:rPr/>
      </w:pPr>
      <w:r>
        <w:rPr>
          <w:rFonts w:ascii="IRNazanin" w:hAnsi="IRNazanin" w:eastAsia="IRNazanin"/>
          <w:color w:val="111111"/>
          <w:sz w:val="28"/>
          <w:sz w:val="28"/>
          <w:szCs w:val="28"/>
          <w:rtl w:val="true"/>
          <w:lang w:bidi="fa-IR"/>
        </w:rPr>
        <w:t>لم أجد تعریفاً اصطلاحیاً للتوزیع فیما قرأت وراجعت،إلّا أنّهم تطرّقوا إلی الأسس التی تتمّ علی أساسها عملیة التوزیع،ویمکننا التوصّل إلی تعریف اصطلاحی عامّ للتوزیع یمکن أن یکون صادقاً علی جمیع المدارس الاقتصادیة،وذلک من دون الإشارة إلی متبنّیاتها فی هذا الخصوص،فنقول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عبارة عن عملیة تقسیم الثروات الطبیعیة و المنتَجة علی أفراد مجتمع ما وفقاً للأسس و القیم التی یؤمن بها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إذا أردنا تعریفه حسب الرؤیة الإسلامیة،أی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الغایة المرادة منه إسلامیاً،لا بدّ لنا من الرجوع إلی الأسس العامّة التی،یقوم علیها الاقتصاد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سبق وأن فصّلنا الحدیث عنها فی 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والأخذ بنظر الاعتبار أیضاً بعض الحقائق التی یمکن استشفافها من مجمل أحکام الإسلام الاقتصادیة،حیث یمکن من خلال کلّ ذلک استخلاص المیزان الذی تقوم علی أساسه عملیة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سبق وأن ذکرنا فی الأسس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جعل الأرض وما علیها محلّاً لخلافة الإنسان باعتباره ممثِّلاً للجنس البشری للقیام باستثمارها وإعمارها حسب الصیغ التی أرادها المستخلِف من المساواة و القسط القائم علی أساس أنّ الخلافة تتعلّق بالجنس البشری عامّة،فهی لا تختصّ بإنسان دون إنسان أو فئة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المیزان الابتدائی الذی یتمّ من خلاله اقتسام ثروات الطبیعة هو مقدار السعی و الجهد الذی یبذله فی عملیة الإعمار،وإلّا لا سبیل آخر لتحقّق العدالة فی تقسیم ثرواتها التی من المفترض اشتراک الجمیع فیها،و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فقد جاء فی تفسیر هذه الآیة الکریمة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یملک الإنسان ملکاً یعود إلیه أثره من خیر أو شر أو نفع أو ضرّ حقیقة إلّا ما جدّ فیه من عمل،فله ما قام بفعله بنفسه؛و أمّا ما قام به غیره من عمل،فلا یلحق بالإنسا أثره خیراً أو شرّا</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ولقد ظهر لنا فی فصل الإنتاج أنّ هذا العمل قد اتّخذ 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انتفاعیاً کما فی استخراج وحیازة الثروات العامّة المهیئة طبیعیاً للانتفاع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العمل فیه علی حیازة تلک الثروات للانتفاع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وبُعداً تنمویاً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ذلک العمل التنموی تطویراً للثروة العامّة،کما فی إحیاء الأرض الموات الذی أخرّنا الکلام عنها إلی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من خلال ذلک العمل خلق فرصة جدیدة فی تلک الثروة لم تکن مهیئةً طبیعیاً،أو تطویراً للثروة الخاصّة الذی سنتحدّث عنه فی النقطة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أنّ الإسلام أقرّ مقیاس العمل وقنّنه بشکل متوازن یحفظ من خلاله حقوق الجمیع،فقد أقرّ الآثار المترتّبة علیه،وهی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المرء نتائج عمله فی الطبیعة فیما لو کانت موافقةً للحدود التی أوردناها فی فصل الإنتاج،ولم تشذّ عنها أو تتعدّاها،فهو بهذا قد جعل السعی وبذل الجهد فی إنتاج الثروة الأوّلیة من مصادرها الطبیعیة هو الأساس الأوّل فی توزیع ثروات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مأخوذٌ أیضاً فی تطویر الثروة الخاصّة،وذلک کما هو علیه الحال فی استحقاق وتملّک الثروة العامّة فیکون علی نحوین،النحو الأوّل تنموی،ویتمثّل فی خلق فرصة جدیدة فی تلک الثروة لم تکن موجودةً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یتمّ من خلال عملیات التصنیع و الزراعة ونحوها،والنحو الثانی انتفاعی،ویتمّ بواسطة تبادل تلک الثروة بغیرها من خلال عملیات التداول التی یتمّ الحصول من خلالها علی أرباح أو من خلال السماح للغیر بالاستفادة منها لقاء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فالأساس الذی یبتنی علیه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یقع علی مادّة قد استُحقت أو 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إنتاجها فی مرحلة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یقع علی الثروات العامّة التی مرّ الحدیث عنها فی النقطة السابقة،و إنّما علی الثروة الخاصّة التی نتجت عن استثمار الثروة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جعل الملکیة أساساً آخر یتمّ من خلاله توزیع ما تنامی منها؛علی مالکها،ومن اشترک معه فی تنمیتها کما سیأتی،ولکنّه فی الوقت ذاته أخضع هذه التنمیة لمقیاس العمل أیضاً،ولم یطلق لها العنان فی أن تطال ما تشاء وکیفما اتّفق،و هو ما سنأتی علی إیضاحه من خلال الحدود التی أخضع عملیة التوزیع 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جهة،ومن جهة أخری،فإنّه ربط دیمومة تلک الملکیة بدیمومة حیاة مالکها،</w:t>
      </w:r>
    </w:p>
    <w:p>
      <w:pPr>
        <w:pStyle w:val="BookText"/>
        <w:rPr/>
      </w:pPr>
      <w:r>
        <w:rPr>
          <w:rFonts w:ascii="IRNazanin" w:hAnsi="IRNazanin" w:eastAsia="IRNazanin"/>
          <w:color w:val="111111"/>
          <w:sz w:val="28"/>
          <w:sz w:val="28"/>
          <w:szCs w:val="28"/>
          <w:rtl w:val="true"/>
          <w:lang w:bidi="fa-IR"/>
        </w:rPr>
        <w:t>فإذا ما رحل المالک عن هذه الحیاة وودّعها،فإنّ تلک الملکیة ستتحوّل عنه بشکل طبیعی،ولکن بما أنّه هو الذی بذل الجهد وأنتجها فامتلک نتیجة عمله؛لم یرد الإسلام لتلک الجهود أن تذهب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یفصل بینه وبینها بشکل کامل،و إنّما جعلها ممتدّةً له بشکل غیر مباشر وذلک من خلال إحلاله الامتداد الطبیعی له،وهم ذرّیته محلّه فی استحقاقهم إیاها ضمن حدود تأخذ بنظر الاعتبار حقوقهم جمیعاً وتحفظ التوازن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ذلک یتّضح أنّ الملکیة تُعدّ أساساً من أسس التوزیع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ناحیة 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وتتمثّل باستحقاق نموّها من خلال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وناحیة امتدادیة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أنّها تعود إلی الامتداد الطبیعی للمالک الأصلی فی حال وفاته،فیتمّ توزیع ثروته علی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الأخری التی تلاحَظ فی هذا الخصوص؛هی أنّ الله لم یخلق الناس متکافئین فی القدرة علی استیفاء متطلّبات حیاتهم،فمنهم الضعیف و العاجز ومن تقف ظروفٌ ذاتیة وخارجیةٌ حائلاً دون توفیر حاجاته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یترکهم صرعی للضعف و العجز و الظروف،و إنّما ألقی أمر إمرار معاشهم علی کاهل القادرین بفرض ضرائب فی أموالهم تتناسب ومستوی غناهم من جانب؛وذلک بسبب ثبوت حقّ لهم فی الطبیعة التی تمکّن القادرون من خلال استمثارهم لها من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آخر،فقد أوکل إلی ولی الأمر مهمّة الإشراف علی تلک العملیة،وجبران قصور تلک الضرائب عن توفیر احتیاجاتهم؛وذلک علی أساس ما خوّله الله فیه من ملکیة خصّه بها باعتباره المدبّر و المشرف علی شؤون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 کلّ ذلک علی أساسین،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 الإنسانیة التی تضمن أن یعیش الإنسان کریماً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التوازن الاقتصادی فیما بین أفراد المجتمع المذکور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یَکُونَ دُولَةً بَیْنَ الْأَغْنِیاءِ مِنْکُمْ </w:t>
      </w:r>
      <w:r>
        <w:rPr>
          <w:rStyle w:val="FootnoteAnchor"/>
          <w:rtl w:val="true"/>
        </w:rPr>
        <w:footnoteReference w:id="795"/>
      </w:r>
      <w:r>
        <w:rPr>
          <w:rFonts w:ascii="Amiri" w:hAnsi="Amiri" w:eastAsia="Amiri" w:cs="Amiri"/>
          <w:color w:val="111111"/>
          <w:sz w:val="28"/>
          <w:sz w:val="28"/>
          <w:szCs w:val="28"/>
          <w:rtl w:val="true"/>
          <w:lang w:bidi="ar-SA"/>
        </w:rPr>
        <w:t>وتطرّق إلی أساس الحاجة هذا فی کثیر من آیاته،کقوله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جَعَلَکُمْ مُسْتَخْلَفِینَ فِیهِ ، </w:t>
      </w:r>
      <w:r>
        <w:rPr>
          <w:rStyle w:val="FootnoteAnchor"/>
          <w:rtl w:val="true"/>
        </w:rPr>
        <w:footnoteReference w:id="796"/>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w:t>
      </w:r>
    </w:p>
    <w:p>
      <w:pPr>
        <w:pStyle w:val="BookText"/>
        <w:rPr/>
      </w:pPr>
      <w:r>
        <w:rPr>
          <w:rFonts w:ascii="Amiri" w:hAnsi="Amiri" w:eastAsia="Amiri" w:cs="Amiri"/>
          <w:color w:val="111111"/>
          <w:sz w:val="28"/>
          <w:sz w:val="28"/>
          <w:szCs w:val="28"/>
          <w:rtl w:val="true"/>
          <w:lang w:bidi="ar-SA"/>
        </w:rPr>
        <w:t xml:space="preserve">أَنْ یُؤْتُوا أُولِی الْقُرْبی وَ الْمَساکِینَ وَ الْمُهاجِرِینَ ، </w:t>
      </w:r>
      <w:r>
        <w:rPr>
          <w:rStyle w:val="FootnoteAnchor"/>
          <w:rtl w:val="true"/>
        </w:rPr>
        <w:footnoteReference w:id="797"/>
      </w:r>
      <w:r>
        <w:rPr>
          <w:rFonts w:ascii="Amiri" w:hAnsi="Amiri" w:eastAsia="Amiri" w:cs="Amiri"/>
          <w:color w:val="111111"/>
          <w:sz w:val="28"/>
          <w:sz w:val="28"/>
          <w:szCs w:val="28"/>
          <w:rtl w:val="true"/>
          <w:lang w:bidi="ar-SA"/>
        </w:rPr>
        <w:t>وکذا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 </w:t>
      </w:r>
      <w:r>
        <w:rPr>
          <w:rStyle w:val="FootnoteAnchor"/>
          <w:rtl w:val="true"/>
        </w:rPr>
        <w:footnoteReference w:id="798"/>
      </w:r>
      <w:r>
        <w:rPr>
          <w:rFonts w:ascii="IRNazanin" w:hAnsi="IRNazanin" w:eastAsia="IRNazanin"/>
          <w:color w:val="111111"/>
          <w:sz w:val="28"/>
          <w:sz w:val="28"/>
          <w:szCs w:val="28"/>
          <w:rtl w:val="true"/>
          <w:lang w:bidi="fa-IR"/>
        </w:rPr>
        <w:t>وبذلک یضاف أساسٌ آخر لأسس التوزیع،و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الحاجة،والتی اعتبرها الإسلام حقّاً طبیعیاً کما نوّهنا،ولیس ممنوحاً،کما قد یتبادر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لهذه الحاجة بُعداً آخر،و هو أنّ الإسلام لم یسمح بالسیطرة علی الثروات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مطلق من خلال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سمح بها بمقدار ما یؤمّن حاجة الفرد وذلک لحفظ حقوق الآخرین فیها،کما أشرنا إلی ذلک فی بحث ضوابط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وسمح أیضاً بالسیطرة علی بعض الثروات بمجرّد وضع الید علیها؛وذلک لعدم حاجتها إلی عمل تنموی،کما فی الأرض العامرة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تکون قد اتّضحت الموازین الأساسیة التی تخضع لها عملیة التوزیع إسلامیاً،فإذا ما أردنا تعریف التوزیع إسلامیاً،فینبغی أن تؤخذ جمیع الأمور المتقدّمة فیه،والمتمثّلة بالعمل الأوّلی فی إنتاج الثروة من مصادرها الطبیعیة أوّلاً،والملکیة المتمخّضة عنه و الخاضعة لمقاییس العمل الثانوی الذی یتمّ عن طریقه تنمیة الثروة المنتجة ثانیاً،والحاجة القائمة علی أساس کونها حقّاً طبیعیاً تصبّ فی توفیر الکرامة وحفظ التوازن الاقتصادی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ما تقدّم یمکننا تعریف التوزیع إسلامیاً بالشکل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عملیة تقسیم الثروات العامّة ونتاج الثروات الخاصّة علی الأفراد علی أساس عمل انتفاعی أو تنموی،وتوفیر حاجاتهم بما یحفظ کرامتهم ویعزّز التوازن المعیشی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فأشرنا فی هذا التعریف إلی الأساس الأوّل للتوزیع،و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الأوّلی الذی یترتّب علیه استحقاق الثروة المنتجة من الطبیعة،والذی یشمل فیما لو کان العمل تنمویاً أو انتفاعیاً،والعمل الثانوی القائم علی أساس الملکیة الخاصّة بما یکسب أصحابها حقّاً فی تنمیتها؛وذلک ببُعدیه التنموی والانتفاعی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ویراد بالانتفاعی هنا ممارسة عملیة تداولها أو ممارسة خدمة علیها بأجر،فکلاهما یجلب النفع لصاحبها أو لمن تمّ التداول معه أو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دون أن یکتسب العامل حقّاً فی تلک الثروة باعتبار سبق ملکیة غیره لها،و إنّما له الحقّ فی المشارکة فی نتاجها إن کان مارس عملاً تنمویاً مباشراً علیها،ولا حقّ له سوی الأجرة إن لم یکن کذلک</w:t>
      </w:r>
      <w:r>
        <w:rPr>
          <w:rFonts w:eastAsia="IRNazanin" w:cs="IRNazanin"/>
          <w:color w:val="111111"/>
          <w:sz w:val="28"/>
          <w:szCs w:val="28"/>
          <w:rtl w:val="true"/>
          <w:lang w:bidi="fa-IR"/>
        </w:rPr>
        <w:t>.</w:t>
      </w:r>
      <w:bookmarkStart w:id="671" w:name="pg5204_66235"/>
    </w:p>
    <w:p>
      <w:pPr>
        <w:pStyle w:val="BookText"/>
        <w:rPr/>
      </w:pPr>
      <w:bookmarkEnd w:id="671"/>
      <w:r>
        <w:rPr>
          <w:rFonts w:ascii="IRNazanin" w:hAnsi="IRNazanin" w:eastAsia="IRNazanin"/>
          <w:color w:val="111111"/>
          <w:sz w:val="28"/>
          <w:sz w:val="28"/>
          <w:szCs w:val="28"/>
          <w:rtl w:val="true"/>
          <w:lang w:bidi="fa-IR"/>
        </w:rPr>
        <w:t>وأشرنا کذلک إلی الحاجة التی یتمّ من خلالها توزیع ما یسدّها علی أساس کونها حقّاً ولیس منحة؛إذ إنّ التوزیع لا یقتصر علی توزیع الثروات المنتجة،کما هو الحال فی بعض الأنظمة،و إنّما یشمل توزیع مصادر تلک الثروات،وهی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التی یشترک فیها الجمیع علی حدّ سواء،والتی تعتبر الأساس فی الحصول علی تلک الثروات الخاصّة وکسبها،وتأتی الکرامة و التوازن المعیشی لیخضعا جمیع تلک الأسس إلیهما،و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یلقی فی عهدة الحاکم الشرعی لیعطی مجالاً من حرّیة الحرکة و التصرّف لتنظیم کلّ تلک الأمور بما یعزّزهما ویبعد المجتمع عن العواقب الخطیرة لعدم رعایتهما،ولو علی نطاق محدود</w:t>
      </w:r>
      <w:r>
        <w:rPr>
          <w:rFonts w:eastAsia="IRNazanin" w:cs="IRNazanin"/>
          <w:color w:val="111111"/>
          <w:sz w:val="28"/>
          <w:szCs w:val="28"/>
          <w:rtl w:val="true"/>
          <w:lang w:bidi="fa-IR"/>
        </w:rPr>
        <w:t>.</w:t>
      </w:r>
    </w:p>
    <w:p>
      <w:pPr>
        <w:pStyle w:val="Heading4"/>
        <w:numPr>
          <w:ilvl w:val="3"/>
          <w:numId w:val="1"/>
        </w:numPr>
        <w:rPr/>
      </w:pPr>
      <w:bookmarkStart w:id="672" w:name="__RefHeading___Toc97554_581953129"/>
      <w:bookmarkStart w:id="673" w:name="_Toc270"/>
      <w:bookmarkEnd w:id="672"/>
      <w:r>
        <w:rPr>
          <w:rtl w:val="true"/>
        </w:rPr>
        <w:t>المطلب الثانی</w:t>
      </w:r>
      <w:r>
        <w:rPr>
          <w:rtl w:val="true"/>
        </w:rPr>
        <w:t>:</w:t>
      </w:r>
      <w:r>
        <w:rPr>
          <w:rtl w:val="true"/>
        </w:rPr>
        <w:t>ضوابط التوزیع</w:t>
      </w:r>
      <w:bookmarkEnd w:id="673"/>
    </w:p>
    <w:p>
      <w:pPr>
        <w:pStyle w:val="Heading5"/>
        <w:numPr>
          <w:ilvl w:val="4"/>
          <w:numId w:val="1"/>
        </w:numPr>
        <w:rPr/>
      </w:pPr>
      <w:bookmarkStart w:id="674" w:name="__RefHeading___Toc97556_581953129"/>
      <w:bookmarkStart w:id="675" w:name="_Toc271"/>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وعلی أساس هذا المفهوم الذی توصّلنا إلیه للتوزیع حسب الرؤیة الإسلامیة،سنحاول الخوض فی الضوابط الی تقوم علیها حرّیة التوزیع؛وذلک من خلال إعمال الموازین المتقدّمة و الأحکام التی تتّفق وتنسجم وتلک الموازین وفقاً للترتیب التالی</w:t>
      </w:r>
      <w:r>
        <w:rPr>
          <w:rFonts w:eastAsia="IRNazanin" w:cs="IRNazanin"/>
          <w:color w:val="111111"/>
          <w:sz w:val="28"/>
          <w:szCs w:val="28"/>
          <w:rtl w:val="true"/>
          <w:lang w:bidi="fa-IR"/>
        </w:rPr>
        <w:t>:</w:t>
      </w:r>
    </w:p>
    <w:p>
      <w:pPr>
        <w:pStyle w:val="Heading5"/>
        <w:numPr>
          <w:ilvl w:val="4"/>
          <w:numId w:val="1"/>
        </w:numPr>
        <w:rPr/>
      </w:pPr>
      <w:bookmarkStart w:id="676" w:name="__RefHeading___Toc97558_581953129"/>
      <w:bookmarkStart w:id="677" w:name="_Toc272"/>
      <w:bookmarkEnd w:id="676"/>
      <w:r>
        <w:rPr>
          <w:rtl w:val="true"/>
        </w:rPr>
        <w:t>الضابط الأوّل</w:t>
      </w:r>
      <w:r>
        <w:rPr>
          <w:rtl w:val="true"/>
        </w:rPr>
        <w:t>:</w:t>
      </w:r>
      <w:r>
        <w:rPr>
          <w:rtl w:val="true"/>
        </w:rPr>
        <w:t>قیام توزیع ثروات الطبیعة علی القیام بعمل تنموی أو انتفاعی فعلی</w:t>
      </w:r>
      <w:r>
        <w:rPr>
          <w:rtl w:val="true"/>
        </w:rPr>
        <w:t>.</w:t>
      </w:r>
      <w:bookmarkEnd w:id="677"/>
    </w:p>
    <w:p>
      <w:pPr>
        <w:pStyle w:val="BookText"/>
        <w:rPr/>
      </w:pPr>
      <w:r>
        <w:rPr>
          <w:rFonts w:ascii="IRNazanin" w:hAnsi="IRNazanin" w:eastAsia="IRNazanin"/>
          <w:color w:val="111111"/>
          <w:sz w:val="28"/>
          <w:sz w:val="28"/>
          <w:szCs w:val="28"/>
          <w:rtl w:val="true"/>
          <w:lang w:bidi="fa-IR"/>
        </w:rPr>
        <w:t>ویرتبط هذا الضابط ارتباطاً وثیقاً فی ثبوت الحقّ للجمیع باستثمار ثروات الطبیعة بما یکفل حاجاتهم،حیث 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أساس ذلک الحقّ الذی یشترک فیه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منهم موقفاً نزیهاً ومتعادلاً بتقریره میزاناً عامّاً یخضع الجمیع إلیه،فهو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یحدّ من حرّیة تملک الأفراد لمصادر الإنتاج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من خلال اعتماده أصل العمل الذی یمارسه الأفراد بذواتهم لإیجاد حقّ لهم بالسیطرة علی تلک الثروات،وبما لا یؤدّی إلی تزعزع أصل اشتراک الجمیع فیها،ومن ثمّ التسبّب بالإخلال بالتوازن العام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ثروات الطبیعة تشمل الثروات الخام التی لا یمکن الانتفاع بها إلّا من خلال القیام بعملیة تطویر لها کالأرض الموات،وکذا الثروات المهیئة بطبیعتها للانتفاع بها،فلا تحتاج إلی بذل جهد فی إعدادها للانتفاع إلی القیام بعملیة إحیاء لها،فیقتصر فیها الأمر علی ممارسات بسیطة کالصید و البذر فی الأرض الخصبة ونحوهما،فقد فرّق الإسلام فی کیفیة توزیعهما علی أساس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یسمح بالسیطرة علی الثروات الأوّلیة الخام إلّا من خلال ممارسة عمل تنموی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تطویری وإحیائی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یؤدّی ذلک العمل إلی إمکانیة الانتفاع بها؛إذ إنّها بحسب طبیعتها لا یمکن الانتفاع بها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ویتجلّی هذا الأمر فی الکثیر من الأحکام التی نظّمت تلک العملیة،فلو أخذنا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الإقطاع التی یعدّها البعض لوناً من ألوان السیطرة علی الأرض وملکیتها من دون موازین 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 کونها تطبیقاً لهذا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الإقطاع فی حقیقته لا یمثّل سوی إذناً بالعمل فی تلک الأرض،ولیس استحواذاً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فتُعدّ تلک العملیة إجراءً تنمویاً یخوَّل من خلاله الفرد القیام علی استثمار تلک الأرض بعمل إحیائی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یکتسب بذلک الإقطاع المنظَّم من قِبل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العمل فی تلک الأرض،دون أن یمنحه الإقطاع حقّاً فی ملکیة الأرض،أو أی حقّ آخر فیها،ما لم یعمل،وینفق جهده علی تربتها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فهو یشبه إلی حدّ کبیر عملیة التحجیر التی تُثبت لصاحبها الحقّ فی إحیاء الأرض دون تملّکها،ولهذا حکموا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أقطعَ الإمامُ المواتَ إنساناً فترکه ولم یعمّره لا یتعرّض لها إلی ثلاث سنین،فإذا مضی ثلاث سنین فقد عاد مواتاً،کما کان وله أن یقطعه غیره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فموادّ الطبیعة الخام،والتی تمثّل الأرض الموات أهمّ،وأبرز صورها لا یثبت لأحد الحقّ فیها إلّا من خلال ممارسة عمل إحیائی فعلی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الثروات المهیئة طبیعیاً،فبما أنّها معَدّة للانتفاع،و أنّ الغایة من إیجادها هو استغلالها من قِبل الإنسان لأداء دوره الحیاتی،فقد جُعل مجرّد ممارسة الانتفاع الفعلی بها هو الأساس فی ثبوت الحقّ فیها،فلو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 الفرد أرضاً عامرةً بطبیعتها،فزرعها واستغلّها،کان من حقّه الاحتفاظ بها،ومنع الآخرین من مزاحمته ما دام یمارس انتفاعه بالأرض،ولا یحصل علی حقّ أوسع من ذلک،یخوّله احتکارها،ومنع الآخرین عنها حتّی فی حالة عدم ممارسته للانتفاع </w:t>
      </w:r>
      <w:r>
        <w:rPr>
          <w:rStyle w:val="FootnoteAnchor"/>
          <w:rtl w:val="true"/>
        </w:rPr>
        <w:footnoteReference w:id="802"/>
      </w:r>
      <w:bookmarkStart w:id="678" w:name="pg5204_66237"/>
    </w:p>
    <w:p>
      <w:pPr>
        <w:pStyle w:val="BookText"/>
        <w:rPr/>
      </w:pPr>
      <w:bookmarkEnd w:id="678"/>
      <w:r>
        <w:rPr>
          <w:rFonts w:ascii="IRNazanin" w:hAnsi="IRNazanin" w:eastAsia="IRNazanin"/>
          <w:color w:val="111111"/>
          <w:sz w:val="28"/>
          <w:sz w:val="28"/>
          <w:szCs w:val="28"/>
          <w:rtl w:val="true"/>
          <w:lang w:bidi="fa-IR"/>
        </w:rPr>
        <w:t>و هذا جار فی کلّ ثروة مهیئة بطبیعتها للانتفاع،فعدّوا من ضمن ما لم یدخل فی نطاق الملکیة الفعلیة کلّ ما لم تمارَس علیه عملیة انتفاع،کما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الکلأ،ولو فی أرض مملوکة له،والماء فی نهره أو فی بئره،وبیع الصید و الحطب و الحشیش قبل الإحراز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إذ إنّ المفروض عدم سبق ممارسة عمل انتفاعی فی الموارد المذکورة،وإلّا لکانت محرزةً ومحازةً و الحال أنّها لیست کذلک،فتکون خارجةً عن حرّیة التصرّف فیها بالبیع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ضابط الانتفاع الفعلی هو المقوِّم الوحید لإمکانیة السیطرة علی الثروات العامرة للطبیعة،فتُکسِب تلک الممارسة الفرد الحقّ فی تلک الثروات،ویخضع هذا بطبیعة الحال إلی ما سیأتی من ضوابط،کی تنتظم عملیة الانتفاع تلک وفق ما یؤمّن الحقوق الأساسیة للجمیع</w:t>
      </w:r>
      <w:r>
        <w:rPr>
          <w:rFonts w:eastAsia="IRNazanin" w:cs="IRNazanin"/>
          <w:color w:val="111111"/>
          <w:sz w:val="28"/>
          <w:szCs w:val="28"/>
          <w:rtl w:val="true"/>
          <w:lang w:bidi="fa-IR"/>
        </w:rPr>
        <w:t>.</w:t>
      </w:r>
    </w:p>
    <w:p>
      <w:pPr>
        <w:pStyle w:val="Heading5"/>
        <w:numPr>
          <w:ilvl w:val="4"/>
          <w:numId w:val="1"/>
        </w:numPr>
        <w:rPr/>
      </w:pPr>
      <w:bookmarkStart w:id="679" w:name="__RefHeading___Toc97560_581953129"/>
      <w:bookmarkStart w:id="680" w:name="_Toc273"/>
      <w:bookmarkEnd w:id="679"/>
      <w:r>
        <w:rPr>
          <w:rtl w:val="true"/>
        </w:rPr>
        <w:t>الضابط الثانی</w:t>
      </w:r>
      <w:r>
        <w:rPr>
          <w:rtl w:val="true"/>
        </w:rPr>
        <w:t>:</w:t>
      </w:r>
      <w:r>
        <w:rPr>
          <w:rtl w:val="true"/>
        </w:rPr>
        <w:t>قیام توزیع نتاج الثروات الخاصّة علی أساس العمل المنفَق</w:t>
      </w:r>
      <w:bookmarkEnd w:id="680"/>
    </w:p>
    <w:p>
      <w:pPr>
        <w:pStyle w:val="BookText"/>
        <w:rPr/>
      </w:pPr>
      <w:r>
        <w:rPr>
          <w:rFonts w:ascii="IRNazanin" w:hAnsi="IRNazanin" w:eastAsia="IRNazanin"/>
          <w:color w:val="111111"/>
          <w:sz w:val="28"/>
          <w:sz w:val="28"/>
          <w:szCs w:val="28"/>
          <w:rtl w:val="true"/>
          <w:lang w:bidi="fa-IR"/>
        </w:rPr>
        <w:t>فحسب ما مرّ بنا فی مفهوم التوزیع أنّ الثروات الثانویة التی أُنتجت من ثروات الطبیعة الأوّلیة قد أصبحت حقّاً أو ملکاً لمن قام بإنتاجها مباشرةً،فتکون دائمةً له ما دام یرید هو الاحتفاظ بها،فلا یمکن،والحال هذه أن یزول حقّه فیها أو ملکیته لها،و إن مارس شخصٌ آخر عملاً لاحقاً علیها؛لأنّ ثبوت الحقّ فی الشیء بممارسة عمل علیه یختصّ بالثروات الأوّلیة التی لم تثبت لأحد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توزیعها بأعیانها إذ قد تمّ توزیعها بعملیة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فإجراء عملیة توزیع علیها یقتصر علی ما یتنامی وینتَج من تلک الثروات،ولا یقع علیها بذاتها،وربط الإسلام صحّة وشرعیة توزیع نمائها بمسألة العمل أیضاً،فلم یسمح به من دون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فالمقیاس الأساسی الذی أقام الإسلام نظامه الاقتصادی علیه یسری فی کلّ مفصل من مفاصله وجزء من أجزائه،ولا یشذّ عنه أی صغیرة وکبیرة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فبرّر توزیع النتاج علی عناصر الإنتاج علی أساس العمل هذا دون أی مبرّر آخر،فما لم یقم کلّ عنصر من تلک العناصر بعمل حقیقی،فإنّه سیقصیه عن حقّ المشارکة فی ذلک النتاج،ومیز فی طبیعة ثبوت ذلک الحقّ بین نوعین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مباشرٌ وعملٌ مختزن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یقوم به العامل أو الأجیر أو ما یتمثّل بعملیة التداول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جهده الشخصی الفعلی فیه فهو عملٌ یوجد ویتمّ فی ساعة قیامه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والعمل المختزَن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الذی تمّ إنفاقه فی مرحلة سابقة،ولکنّه تجسّد فی ما تمّ إنتاجه بذلک العمل نحو الماکنة و الدار و الأرض التی تمّ إعدادها للاستثمار،فأصبحت هذه الماکنة تمثّل عملاً سابقاً قد اختُزن فیها</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وعلی أساس هذین النوعین من الأعمال یتمّ توزیع نتاج الثروات الخاصّة،وبما أنّ استحقاق النتاج یرتبط بالعمل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وجّهناه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یجری هنا أیضاً،ولکنّه لیس بتلک الصورة التی سبق الکلام عنها بخصوص العمل فی الطبیعة؛إذ إنّ الکلام هنا یرتکز علی أساس أنّ المادّة التی یقع علیها العمل مستحَقّةٌ أو مملوکةٌ لشخص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انتاجها هی بالذات و إنّما یتمّ إجراء عمل علیها بحسب طبیعتها وبحسب ما یراد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هنا،فإنّ کیفیة توزیع ذلک النتاج بما أنّه یمثّل نتاجاً لشخصین،یرتبط بما یتّفقان علیه،فقد سمح الشارع باقتسامه مع العامل علی نحو الشرکة فیه علی أساس أنّه مارس عملاً مباشراً علیه،فهو یستحقّ بالتالی أن یکون شریکاً فیه بحسب النسبة التی یتمّ التوافق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جعله بالخیار فی القبول بذلک وبین أخذ الأجرة لقاء عمله فحسب،فلربّما لم یتمکّنا من حصد ثمرات عملهما ممّا یؤدّی إلی ذهاب جهود العامل أدراج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الاتّفاق علی المشارکة فی النتاج و الربح له تبعاتٌ یتعین علی العامل الانصیاع لها،وهی عدم حصوله علی شیء ویخرج خالی الوفاض فیما لو لم یتحقّق ذلک النتاج أو الربح الموعود،فطبیعة الشرکة تقتضی ذلک،فهی علی عکس الإجارة،فإنّ للأجیر حقٌّ مضمونٌ سواء نجح المشروع الإنتاجی نجاحاً باهراً أکسب المنتج أضعاف ما یعطیه للأجیر،أم لم ینجح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هنا لا یتحمّل ضمان النقص فی المادّة أو رأس المال،لکون الشرکة هنا لیست شرکةً فی المادّة ورأس المال،بل فی العمل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ویتجلّی هذا الأمر فی أبرز مظاهره فی مشروعَی المزارعة و المضاربة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ذکروا من أنّه یجوز لصاحب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یعطی الأرض غیره ببعض ما یخرج منها،بأن یکون منه الأرض و البذر،ومن المتقبل القیام بها بالزراعة و السقی ومراعاتها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للعامل أو المزارع هنا نسبةٌ من نفس نتاجها لا من شیء آخر،أی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شریکاً للمالک فیه بحسب النسبة التی یتّفقان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العمل التطویری و التنموی؛أمّا بالنسبة إلی العمل التجاری،فإنّهم سمحوا للعامل فی المضاربة بالمشارکة فی الربح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عرّفوا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یقول ربّ المال خذ هذا المال مضاربة علی أنّ ما رزق الله عزّ وجل أو أطعم الله تعالی منه من ربح،فهو بیننا علی کذا من نصف أو ربع أو ثلث أو غیر ذلک من الأجزاء المعلومة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فممارسة عمل تجاری مباشر برأس مال الغیر یخوّل العامل المشارکة فی الربح حسب النسبة التی یحدّداناها،وکما أشرنا آنفا أنّ المشارکة تستدعی عدم کون الربح مضموناً للعامل،کما هو الحال فی المزارعة،فالشرکة ترتبط بذات الربح و الحاصل فإذا لم یحصل منه شیءٌ یکون الحقّ فیه سالباً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العمل المباشر،أمّا بالنسبة إلی العمل المختزَن و المتمثّل بأدوات الإنتاج،فلم یجعل له حقّاً فی النتاج،و إنّما جعل له المکافأة؛لکونه یؤدّی من خلال تجسّده بأداة عملاً غیر مباشر،فهی لا تقوم بعملیة الإنتاج بنفسها،و إنّما من خلال العامل الذی یبذل جهده الفعلی المباشر،فلو دفع المالک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رجل شبکة لیصید بها السمک علی أنّ ما صادتها من شیء فهو بینهما فصاد بها سمکاً کثیراً فجمیع ذلک للذی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الآخذ هو المکتسب دون الآلة فیکون الکسب له و قد استعمل فیه آلة الغیر بشرط العوض لصاحب الآلة،و هو مجهول فیکون له أجر مثله علی الصیاد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فهی تلعب دوراً مساعداً،ولیس أساسیاً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الحقوق تقوم علی أساس العمل،فقد برّر استحقاقها للأجرة بما هی آلةٌ صمّاء؛علی أساس ما یتفتّت ویستهلک منها بالاستخدام،والذی یعبِّر فی الحقیقة عن العمل الذی تمّ إنجازه علیها فی مرحلة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عمل منفصل عن صاحب الأداة،قد تمّ إنجازه وإعداده سابقاً لکی ینفق ویستهلک بعد ذلک فی عملیة الإنتاج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ولأجل هذه الوسطیة و البینیة التی تمثّلها و التی تحول دون قیام صاحبها بعمل مباشر تکون أجیرةً،ولیست شریکةً فی 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تکون قد اتّضحت فکرة التوزیع علی مصادر الإنتاج حسب هذه الرؤیة الإسلامیة،والتی شملت العمل وأدوات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الکلام حول رأس المال،فبما أنّ الإسلام أشاد نظامه الاقتصادی علی أساس العمل الذی مرّت علینا تفاصیله،فلم یسمح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به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العملة و النقد فی مقابل أدوات الإنتاج،ضمان الربح؛لأنّ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خلاف أدوات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تصوّر أن یحدث تفتّتٌ فیه أو استهلاکٌ له فی حال کونه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ضمن المالک ضماناً عقدیاً استعادة رأس ماله فسیعود إلیه،کما هو،ولا یتفتّت منه شیءٌ و إن تغیرت قیمته السوقیة؛لأنّ هذا التغیر لا یرتکز علی العمل،فحتّی لو لم یستخدم المالک ماله فی مثل هکذا عملیة وبقی محافظاً علیه،فإنّ قیمته ستتدنّی حسب الفرض،مع أنّ مسألة تغیر القیمة تنازلیاً هو من الأمور غیر المؤکّدة،فقد یحدث العکس ویکون تصاعدیاً،فهی خاضعةٌ لحرکة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الأساس،فقد وضع الإسلام فسحةً للتنفّس وکسب الأرباح،ویتمثّل ذلک فیما لو استخدم المالک ماله فی عملیة تجاریة غیر مضمونة النتائج،أی أن یکون متحمّلاً ومتعرّضاً للخسارة و النقص الذی قد یحدث فی العملیة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 الحال هذه لا یکون مضموناً وسیکون ذلک مبرّراً للربح؛وذلک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لملکیته للمادّة التی مارسها العامل وربح عن طریق بیعها،فهو نظیر حقّ مالک اللوح فی السریر الذی یصنع من لوحه </w:t>
      </w:r>
      <w:r>
        <w:rPr>
          <w:rStyle w:val="FootnoteAnchor"/>
          <w:rtl w:val="true"/>
        </w:rPr>
        <w:footnoteReference w:id="809"/>
      </w:r>
      <w:bookmarkStart w:id="681" w:name="pg5204_66241"/>
    </w:p>
    <w:p>
      <w:pPr>
        <w:pStyle w:val="BookText"/>
        <w:rPr/>
      </w:pPr>
      <w:bookmarkEnd w:id="681"/>
      <w:r>
        <w:rPr>
          <w:rFonts w:ascii="IRNazanin" w:hAnsi="IRNazanin" w:eastAsia="IRNazanin"/>
          <w:color w:val="111111"/>
          <w:sz w:val="28"/>
          <w:sz w:val="28"/>
          <w:szCs w:val="28"/>
          <w:rtl w:val="true"/>
          <w:lang w:bidi="fa-IR"/>
        </w:rPr>
        <w:t>فهو فی الحقیقة یعدّ ممارسةً لعمل انتفاعی أو استثماری بواسطة رأس المال الذی یملکه،فیدخل ذلک فی نطاق تِجارَةً عَنْ تَراضٍ الذی سبق الحدیث عنه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یسمح الإسلام لرأس المال بالربح إلّا من خلال مشارکته فی عملیة تجاریة غیر مضمونة النتائج عقدیاً وذلک بتعریضه للخسارة،کما هو الحال فی المضاربة،وبذلک تخرج الفائدة الربویة القرضیة عن هذا النطاق المسموح به لکون القرض مضموناً،ویخرج کذلک أمثال الکسب القائم علی المقامرة؛لکونه قائماً علی أساس المخاطرة بالمال،ولیس علی أساس عمل انتفاعی أو استثماری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تعبِّر عن عمل اقتصادی حقیقی،فلا تدخل فی إطار العمل الانتاجی،فیکون مشمولاً لقو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Heading5"/>
        <w:numPr>
          <w:ilvl w:val="4"/>
          <w:numId w:val="1"/>
        </w:numPr>
        <w:rPr/>
      </w:pPr>
      <w:bookmarkStart w:id="682" w:name="__RefHeading___Toc97562_581953129"/>
      <w:bookmarkStart w:id="683" w:name="_Toc274"/>
      <w:bookmarkEnd w:id="682"/>
      <w:r>
        <w:rPr>
          <w:rtl w:val="true"/>
        </w:rPr>
        <w:t>الضابط الثالث</w:t>
      </w:r>
      <w:r>
        <w:rPr>
          <w:rtl w:val="true"/>
        </w:rPr>
        <w:t>:</w:t>
      </w:r>
      <w:r>
        <w:rPr>
          <w:rtl w:val="true"/>
        </w:rPr>
        <w:t>استلزام حقّ الجماعة فی الثروات العامّه لضمان عیش المحتاجین</w:t>
      </w:r>
      <w:bookmarkEnd w:id="683"/>
    </w:p>
    <w:p>
      <w:pPr>
        <w:pStyle w:val="BookText"/>
        <w:rPr/>
      </w:pPr>
      <w:r>
        <w:rPr>
          <w:rFonts w:ascii="Amiri" w:hAnsi="Amiri" w:eastAsia="Amiri" w:cs="Amiri"/>
          <w:color w:val="111111"/>
          <w:sz w:val="28"/>
          <w:sz w:val="28"/>
          <w:szCs w:val="28"/>
          <w:rtl w:val="true"/>
          <w:lang w:bidi="ar-SA"/>
        </w:rPr>
        <w:t>فمثلما أعطی الإسلام دوراً أساسیاً للعمل فی توزیع ثروات الطبیعة العامّة ونتاج الثروات المنتَجة الخاصّة،فقد أعطی للحاجة أیضاً دوراً أساسیاً فی توزیع بعض نتاج تلک الثروات؛وذلک علی أساس أنّ الطبیعة هی ملکٌ للجمیع،و هو 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 </w:t>
      </w:r>
      <w:r>
        <w:rPr>
          <w:rStyle w:val="FootnoteAnchor"/>
          <w:rtl w:val="true"/>
        </w:rPr>
        <w:footnoteReference w:id="811"/>
      </w:r>
      <w:r>
        <w:rPr>
          <w:rFonts w:ascii="IRNazanin" w:hAnsi="IRNazanin" w:eastAsia="IRNazanin"/>
          <w:color w:val="111111"/>
          <w:sz w:val="28"/>
          <w:sz w:val="28"/>
          <w:szCs w:val="28"/>
          <w:rtl w:val="true"/>
          <w:lang w:bidi="fa-IR"/>
        </w:rPr>
        <w:t>بناءً علی الخلافة العامّة التی ألبس عباءتها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فیما سبق مسألة تفاوت الناس فی القدرات الذاتیة و التی علی أساسها یتمّ تعویض غیر القادرین جسدیاً علی ممارسة الانتفاع بالطبیعة بما تجود به،وذلک من خلال فرض حصّة ثابتة فی أموال القادرین الذین استطاعوا تسخیرها و الحصول علی ما لذّ وطاب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بأنّ هذه المسألة تحتاج إلی نوع من الإشراف و التوجیه و التنظیم بما یکفل حقّهم ذاک،و قد أوکل مهمّة ذلک إلی الدولة الممثَّلة بالحاکم الشرعی وذلک من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لتلک الحصّة من أصحابها،کما فی عملیة استیفاء الزکاة و الخمس لتوزیعها علی المستحقّین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جعله متصرّفاً فی الأموال العامّة من أراض وغیرها بما یعینه علی تأدیة مهامّه الوظیفیة باعتباره حاکماً عامّاً،وبما یقوم به من إنفاق بعض تلک الأموال</w:t>
      </w:r>
      <w:bookmarkStart w:id="684" w:name="pg5204_66242"/>
    </w:p>
    <w:p>
      <w:pPr>
        <w:pStyle w:val="BookText"/>
        <w:rPr/>
      </w:pPr>
      <w:bookmarkEnd w:id="684"/>
      <w:r>
        <w:rPr>
          <w:rFonts w:ascii="IRNazanin" w:hAnsi="IRNazanin" w:eastAsia="IRNazanin"/>
          <w:color w:val="111111"/>
          <w:sz w:val="28"/>
          <w:sz w:val="28"/>
          <w:szCs w:val="28"/>
          <w:rtl w:val="true"/>
          <w:lang w:bidi="fa-IR"/>
        </w:rPr>
        <w:t>والثروات علی سدّ عوز الفقراء و المحتاجین کما جاء فی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وارث من لا وارث له،ویعول من لا حیلة له</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وللحاجة هذه بُعدٌ آخر سبق،وأن تطرّقنا إلیه فی ضوابط الانتاج،والذی یعبِّر عن البُعد الإثرائی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ویصبّ فی نتیجته فی البُعد الذی نتحدّث عنه وأعنی البُعد الفقْری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بأنّ الإنتاج یرتبط ارتباطاً وثیقاً بالتوزیع من حیث قیام عملیة التوزیع علی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فإحیاء الأرض المیتة،واستنباط عین الماء،واقتطاع الخشب،واستخراج المعادن،کلّها عملیات 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نفس الوقت تؤدّی إلی تطبیق القواعد العامّة للتوزیع علی الثروات المنتجة</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وعلی هذا الأساس،لم یسمح للأفراد باستغلال واستثمار موارد الطبیعة إلّا بمقدار الحاجة و التی أتینا علی ذکر النصوص المشیرة إلی ذلک فی فصل الإنتاج؛إذ إنّ ذلک ممّا یؤثّر فی البُعد الفقری من حیث عدم استفراد واستئثار طبقة خاصّة بتلک الموارد،ممّا یؤدّی إلی إثرائها علی حساب باقی أفراد الجماعة البشریة واتّساع نطاق الحاجة و العوز 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وبهذا،یکون الإسلام و من خلال جعله الطبیعة حقّاً للجمیع من دون استثناء،قد قضی علی الحاجة فی مهدها،وذلک عن طریق عدم سماحه باستثمارها بما یتجاوز علی حقوق الآخرین فیها،وفرضه ضرائب علی المستثمرین لتعویض من لم یستطع استغلالها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فالحاجة عنده ذات بُعد إنسانی تشمل کلّ بنی البشر ولا تفرّق بین أتباع المذاهب و الأدیان فی تأمین حاجاتهم المعاشیة،بما أنّهم أعضاءٌ ینتمون إلی الأسرة البشریة الواحدة التی تشترک فی العیش فی هذه الطبیعة،و هو ما یعبِّر عنه بأسمی صورة ما جاء عن علی علیه السلام الحاکم الفعلی حینها،من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شیخ مکفوف کبیر یسأل،فقال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استعملتموه حتّی إذا کبر وعجز منعتموه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علیه من بیت المال</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685" w:name="__RefHeading___Toc97564_581953129"/>
      <w:bookmarkStart w:id="686" w:name="_Toc275"/>
      <w:bookmarkEnd w:id="685"/>
      <w:r>
        <w:rPr>
          <w:rtl w:val="true"/>
        </w:rPr>
        <w:t>الضابط الرابع</w:t>
      </w:r>
      <w:r>
        <w:rPr>
          <w:rtl w:val="true"/>
        </w:rPr>
        <w:t>:</w:t>
      </w:r>
      <w:r>
        <w:rPr>
          <w:rtl w:val="true"/>
        </w:rPr>
        <w:t>خضوع التوزیع لسلطة الحاکم للحفاظ علی توازن المجتمع وکرامته</w:t>
      </w:r>
      <w:bookmarkEnd w:id="6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سبق وأن تطرّقنا فی الأساس الثانی من الأسس العامّة فی مدخل هذا البحث إلی مسألة</w:t>
      </w:r>
    </w:p>
    <w:p>
      <w:pPr>
        <w:pStyle w:val="BookText"/>
        <w:rPr/>
      </w:pPr>
      <w:r>
        <w:rPr>
          <w:rFonts w:ascii="IRNazanin" w:hAnsi="IRNazanin" w:eastAsia="IRNazanin"/>
          <w:color w:val="111111"/>
          <w:sz w:val="28"/>
          <w:sz w:val="28"/>
          <w:szCs w:val="28"/>
          <w:rtl w:val="true"/>
          <w:lang w:bidi="fa-IR"/>
        </w:rPr>
        <w:t>الخلافة وقسّمناها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أفراد المجتمع الإنسانی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خلافة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بمن یعینه الله للإشراف علی جریان خلافة أولئک الأفراد،وسوقهم باتّجاه الغایات التی أرادها وفقاً للتعالیم التی وضعها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الأساس،فقد أعطی التشریع الإسلامی سلطات وصلاحیات واسعةً للخلیفة الخاصّ لتأمین تطبیق الحدّ الأعلی من تلک التعالیم بما یحول دون تخلّف المجتمع الإنسانی عن الأهداف التی وجِد من أجلها،و هو ما یحفظ فی ذات الوقت مصالح أفراده قاطبةً،وتطبیق أساس القیام بالقسط علی أفضل نحو،والذی یؤدّی بدوره إلی تأمین کرامتهم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الإسلام جعل من العمل أساساً للحقوق وتملّک الثروات وتنمیتها،ویکون بذلک قد سمح بظهور التفاوت المعیشی بین أفراد المجتمع،وذلک من خلال تفاوت قابلیاتهم البدنیة و الفکریة و النفسیة،إلّا أنّه ومن خلال جعله الطبیعة حقّاً یشترک فیه الجمیع،وعدم سماحه بانتزاع حقّ أی فرد منها مهما کانت میوله واتّجاهه،ومن خلال وضعه آلیات عملیة لتأمین ذلک الحقّ،فقد خطی خطوةً واسعةً باتّجاه تضییق نطاق ذلک التفاوت بنسبة معتدّ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خلق الإنسان و الذی،یعلم ما توسوس به نفسه،لم یترک الأمر لذلک الإنسان کی یجری ما کلّفه به من دون وازع ولا رقیب،ومع أنّه اعتمد اعتماداً أساسیاً علی الوازع الذاتی،إلّا أنّ تنظیم الأمور وتنسیقها یتطلّب أن یکون هناک مشرفٌ یتمتّع بصلاحیات إجراء ذلک النظام المترابط و المتشابک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أثبتت الحقائق الخارجیة مدی الجشع و الشره الذی یمتاز به بعض الناس إلی درجة لم یتورّعوا فی تحویل المجتمع الإنسانی إلی مجتمع الغاب،حتّی وصل ببعضهم الأمر إلی محاولة إسقاط طبیعة المجتمع الحیوانی علی المجتمع الإنسانی من خلال إقرار نظریات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البقاء،أو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 ونهایة التاریخ التی تنطوی علی شعور وقّاد بالتفوّق وتبریر التجاوز علی حقوق الآخرین وتذویبهم سیاسیاً وثقافیاً واقتصادیاً واجتماعیاً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یعنی إیجاد التوازن المعیشی بین أفراد المجتمع غمط حقّ من سعی بعرق جبینه وضمن الحدود المشروعة،فکسب ما من شأنه أن یجعله ثریاً؛إذ إنّ التوازن المقصود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التوازن بین أفراد المجتمع فی المعیشة،لا فی مستوی الدخل؛والتوازن فی</w:t>
      </w:r>
    </w:p>
    <w:p>
      <w:pPr>
        <w:pStyle w:val="BookText"/>
        <w:rPr/>
      </w:pPr>
      <w:r>
        <w:rPr>
          <w:rFonts w:ascii="IRNazanin" w:hAnsi="IRNazanin" w:eastAsia="IRNazanin"/>
          <w:color w:val="111111"/>
          <w:sz w:val="28"/>
          <w:sz w:val="28"/>
          <w:szCs w:val="28"/>
          <w:rtl w:val="true"/>
          <w:lang w:bidi="fa-IR"/>
        </w:rPr>
        <w:t>مستوی المعیشة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 موجوداً لدی أفراد المجتمع ومتداولاً بینهم،إلی درجة تتیح لکلّ فرد العیش فی المستوی العام</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هو ما کُلّف الحاکم الشرعی بتحقیقه علی کافّة المستویات،ومن ضمنها المستوی التداولی المشار إلیه فی الفقرة الآنفة،فقد أُلزم بمحاربة اکتناز المال واحتکار السلع من دون محاباة ومواربة؛إذ إنّ ذلک یمثّل بُعداً آخر من أبعاد إحلال التوازن المعیشی فیما بین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فالحقوق الشرعیة التی وضعها الله تعالی علی کاهل الأغنیاء،والأموال العامّة التی جعلها تحت تصرّف الإمام؛إنّما أُقرّت ووضِعت لأجل إغناء الفقراء والارتفاع بهم إلی مستوی یقارب مستوی عیش الأغنیاء من دون منّ ولا أذیً؛إذ هی تمثّل نصیبهم الذی جعله الله لهم ممّا جادت به یمینه التی لا تُفرّق بین أسود وأبیض،و هو ما یقوم الإمام بتحقیقه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یدع فقیراً إلّا أعطاه حقّه من الصدقات حتّی یغنیه وعیاله،و إن احتاج بعض المسلمین،ولیس فی بیت المال من الصدقات شئ أعطی الإمام ما یحتاجون إلیه من بیت مال الخراج،ولا یکون ذلک دیناً علی بیت مال الصدقة لما بینا أنّ الخراج وما فی معناه یصرف إلی حاجة المسلمین،بخلاف ما إذا احتاج الإمام إلی إعطاء المقاتلة،ولا مال فی بیت مال الخراج صرف ذلک من بیت مال الصدقة،وکان دیناً علی بیت مال الخراج؛لأنّ الصدقة حقّ الفقراء و المساکین</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فالفقراء و المعوزون إضافةً إلی اختصاصهم بالضرائب الشرعیة وعدم مشارکة غیرهم لهم فیها،فإنّ لهم نصیبٌ أیضاً من الأموال العامّة الممثّلة بالخراج،و هو ما یؤدّی إلی استغنائهم وتأمین العیش اللائق بهم کخلفاء لله،و هو 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 کرامتهم وإنسانیتهم؛إذ لا یکونوا فی حاجة حینئذ إلی مدّ ید العون و العوز إلی غیرهم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نکون قد انتهینا من ذکر الضوابط التی تخضع لها حرّیة التوزیع،و هو ما یفسح الطریق إلینا معبّداً للسیر و التوقّف فی محطّات الحدود التفصیلیة التی تخضع لها تلک العملیة</w:t>
      </w:r>
      <w:r>
        <w:rPr>
          <w:rFonts w:eastAsia="IRNazanin" w:cs="IRNazanin"/>
          <w:color w:val="111111"/>
          <w:sz w:val="28"/>
          <w:szCs w:val="28"/>
          <w:rtl w:val="true"/>
          <w:lang w:bidi="fa-IR"/>
        </w:rPr>
        <w:t>.</w:t>
      </w:r>
      <w:bookmarkStart w:id="687" w:name="pg5204_66246"/>
    </w:p>
    <w:p>
      <w:pPr>
        <w:pStyle w:val="Heading3"/>
        <w:numPr>
          <w:ilvl w:val="2"/>
          <w:numId w:val="1"/>
        </w:numPr>
        <w:rPr/>
      </w:pPr>
      <w:bookmarkStart w:id="688" w:name="__RefHeading___Toc97566_581953129"/>
      <w:bookmarkStart w:id="689" w:name="_Toc276"/>
      <w:bookmarkEnd w:id="687"/>
      <w:bookmarkEnd w:id="688"/>
      <w:r>
        <w:rPr>
          <w:rtl w:val="true"/>
        </w:rPr>
        <w:t>المبحث الثانی</w:t>
      </w:r>
      <w:bookmarkEnd w:id="689"/>
    </w:p>
    <w:p>
      <w:pPr>
        <w:pStyle w:val="Heading4"/>
        <w:numPr>
          <w:ilvl w:val="3"/>
          <w:numId w:val="1"/>
        </w:numPr>
        <w:rPr/>
      </w:pPr>
      <w:bookmarkStart w:id="690" w:name="__RefHeading___Toc97568_581953129"/>
      <w:bookmarkStart w:id="691" w:name="_Toc277"/>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حدود الحرّیة فی توزیع ما قبل الإنتاج</w:t>
      </w:r>
    </w:p>
    <w:p>
      <w:pPr>
        <w:pStyle w:val="BookText"/>
        <w:rPr/>
      </w:pPr>
      <w:r>
        <w:rPr>
          <w:rFonts w:ascii="IRNazanin" w:hAnsi="IRNazanin" w:eastAsia="IRNazanin"/>
          <w:color w:val="111111"/>
          <w:sz w:val="28"/>
          <w:sz w:val="28"/>
          <w:szCs w:val="28"/>
          <w:rtl w:val="true"/>
          <w:lang w:bidi="fa-IR"/>
        </w:rPr>
        <w:t>لا یبدو للوهلة الأولی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قبل الإنتاج،فی محلّه فی مباحث التوزیع؛إذ لا یمکن تصوّر حصول عملیة توزیع من دون ممارسة عمل إنتاجی،وذلک حسب الضوابط التی تقدّمنا بها فی فصل الإنتاج،حیث اتّضح فیها أنّ العمل و العمل المباشر،لا غیر هو اللاعب الأوحد فی ترتیب آثار الإنتاج کالحقّ و الملکیة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وأن ألمحنا إلیه فی الفصل الآنف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ثروات طبیعیة،وهی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الأرض،لا یمکن أن تخضع بذاتها لعملیة إنتاجیة،و إنّما یتمّ ممارسة العملیة الإنتاجیة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باقی الثروات کالمعادن و المیاه و الحیوان و النبات،فهی تخضع بذاتها للعملیات الإنتاجیة،فیکون توزیعها وثبوت ملکیتها مترتّباً علی إنتاجها المتمثّل بعملیات الاستخراج و الحیازة المباشرین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هذا الفارق بالذات أخّرنا الحدیث عنها إلی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توزیعها وثبوت الحقّ فیها وتملّکها لا یعتمد علی الإنتاج،بل لأنّها لا تخضع مباشرةً للتوزیع،بل یکون توزیعها متوقّفاً علی ممارسة عملیات إنتاجیة لأشیاء أُخر غیرها،فیکون توزیعها بشکل غیر مباشر،ولیس مباشراً کما فی غیرها إذ؛</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 الذی یحصل علیه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نتیجة الإحیاء ومعلول له،فیبقی حقّه ما دامت العلّة باقیة و الأرض عامرة،فإذا زالت معالم الحیاة عن الأرض سقط حقّه،لزوال العلّة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فیکون هذا التقسیم هو الأکثر مناسبةً بخصوص الموارد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مرّ علینا فی فصل الإنتاج کان شاملاً لما یخضع لعملیات إنتاجیة مباشرة ویتمّ الاستحواذ علیه مباشرةً،و هو یختلف وحالة الأرض التی تکون تابعةً لما یجری من عملیات إنتاجیة لموادّ أخری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أنّهم قد ذکروا بأنّ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إحیاء الأرض المیتة،واستنباط عین الماء واقتطاع الخشب،واستخراج المعادن،کلّها عملیات إنتاج،وهی فی نفس الوقت تؤدّی إلی تطبیق القواعد العامّة للتوزیع علی الثروات المنتجة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فتکون عملیة توزیعها مترتّبةً علی إنتاجها،لکنّ إدراجهم الأرض ضمن مبحث توزیع ما قبل الإنتاج هو لأجل اشتراکها مع الأُخریات فی کونها طبیعیة؛إذ إنّ القول بصدق وقوع الإنتاج علی الأرض کإحیاء الأرض المیتة،هو ممّا لا یمکن الالتزام به؛لأنّ ذلک لیس عملیة إنتاج لرقعة أرض و إنّما إنتاجٌ للزرع و الحیوان و الموادّ التی یمکن انتزاعها منها،فتکون الأرض محیاةً بالزرع المنتَج و الحیوان المتولِّد و المعدن المستخرَج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فالمعیار الذی دعانا إلی عدم إیراد الأرض فی فصل الإنتاج،هو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الإنتاجیة،ولیس الطبیعیة،فما دامت لا تخضع بذاتها لعملیة إنتاجیة،فهی تنضوی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التوزیع،لا الإنتاج؛إذ إنّ توزیعها یکون تابعاً لما ینتج فیها،ولیس إنتاجها هی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یقوّی ما ذهبنا إلیه هو الحکم بعدم خضوع الأراضی للملکیة الحقیقیة،وذلک بناءً علی آراء کثیرة ذهبت إلی أنّ الأراضی بجمیع أقسامها تعتبر ملکاً للدولة،حیث إنّ ما أقرّ الإسلام ملکیته من بعض أقسامها کالأرض التی أسلم أهلها علیها طوعاً،إنّما هی ملکیةٌ متزلزلةٌ تتوقّف علی الاستمرار فی إحیائها فیعود إلی نفس حکم ما عداها،کما سیأتی الکلام عنه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خلاف موارد الطبیعة الأخری کالماء و المعدن و الطیر التی تخضع لملکیة من قاموا بإنتاجها،فالأرض تبقی ساحةً ومیداناً للتنافس فی ممارسة عملیات الإنتاج علیها،وفی ذلک فوائد جمّةٌ أهمّها عدم إخضاعها للتعطیل والاحتکار،ومساهمة ذلک بالتالی فی الحدّ من تراجع العملیة التنمویة،و هذا یعدّ مؤیداً آخر علی ما سبق،وأن أشرنا إلیه من أنّ أحکام الإسلام الاقتصادیة ذات طبیعة تنمویة</w:t>
      </w:r>
      <w:r>
        <w:rPr>
          <w:rFonts w:eastAsia="IRNazanin" w:cs="IRNazanin"/>
          <w:color w:val="111111"/>
          <w:sz w:val="28"/>
          <w:szCs w:val="28"/>
          <w:rtl w:val="true"/>
          <w:lang w:bidi="fa-IR"/>
        </w:rPr>
        <w:t>.</w:t>
      </w:r>
      <w:bookmarkStart w:id="692" w:name="pg5204_66248"/>
    </w:p>
    <w:p>
      <w:pPr>
        <w:pStyle w:val="BookText"/>
        <w:rPr/>
      </w:pPr>
      <w:bookmarkEnd w:id="692"/>
      <w:r>
        <w:rPr>
          <w:rFonts w:ascii="IRNazanin" w:hAnsi="IRNazanin" w:eastAsia="IRNazanin"/>
          <w:color w:val="111111"/>
          <w:sz w:val="28"/>
          <w:sz w:val="28"/>
          <w:szCs w:val="28"/>
          <w:rtl w:val="true"/>
          <w:lang w:bidi="fa-IR"/>
        </w:rPr>
        <w:t>وعلی ضوء ذلک،سیترکّز بحثنا الأساسی هنا علی الحدود التی تخضع لها عملیة توزیع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الأراضی من الثروات الطبیعیة کالمعادن و النبات،والحیوان و المیاه،فقد تکلّمنا فی الحقیقة عن عملیة توزیعها من خلال کلامنا عن الحدود الواجب مراعاتها فی حرّیة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عملیات الإنتاج تُعدّ تطبیقاً للقواعد العامّة للتوزیع کما مرّ فی الاقتباس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ولکنّنا مع هذا سنشیر بصورة إجمالیة إلی عملیة توزیعها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سینقسم کلامنا فی هذا المبحث إلی مطلبین یختصّ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بالأرض باعتبارها ثروةً ثابتةً،والتی لم نبحثها فی فصل الإنتاج وأرجأنا بحثها إلی هذا الفصل نظراً لما بیناه حولها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بالثروة المنقولة التی تتمثّل بما عدا الأرض من المیاه و النبات و الحیوان و المعادن ظاهرةً وباطنة</w:t>
      </w:r>
      <w:r>
        <w:rPr>
          <w:rFonts w:eastAsia="IRNazanin" w:cs="IRNazanin"/>
          <w:color w:val="111111"/>
          <w:sz w:val="28"/>
          <w:szCs w:val="28"/>
          <w:rtl w:val="true"/>
          <w:lang w:bidi="fa-IR"/>
        </w:rPr>
        <w:t>.</w:t>
      </w:r>
    </w:p>
    <w:p>
      <w:pPr>
        <w:pStyle w:val="Heading4"/>
        <w:numPr>
          <w:ilvl w:val="3"/>
          <w:numId w:val="1"/>
        </w:numPr>
        <w:rPr/>
      </w:pPr>
      <w:bookmarkStart w:id="693" w:name="__RefHeading___Toc97570_581953129"/>
      <w:bookmarkStart w:id="694" w:name="_Toc278"/>
      <w:bookmarkEnd w:id="693"/>
      <w:r>
        <w:rPr>
          <w:rtl w:val="true"/>
        </w:rPr>
        <w:t>المطلب الأوّل</w:t>
      </w:r>
      <w:r>
        <w:rPr>
          <w:rtl w:val="true"/>
        </w:rPr>
        <w:t>:</w:t>
      </w:r>
      <w:r>
        <w:rPr>
          <w:rtl w:val="true"/>
        </w:rPr>
        <w:t>حدود الحرّیة فی توزیع الأراضی</w:t>
      </w:r>
      <w:bookmarkEnd w:id="694"/>
    </w:p>
    <w:p>
      <w:pPr>
        <w:pStyle w:val="Heading5"/>
        <w:numPr>
          <w:ilvl w:val="4"/>
          <w:numId w:val="1"/>
        </w:numPr>
        <w:rPr/>
      </w:pPr>
      <w:bookmarkStart w:id="695" w:name="__RefHeading___Toc97572_581953129"/>
      <w:bookmarkStart w:id="696" w:name="_Toc279"/>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 xml:space="preserve">إنّ الأرض باعتبارها ثروةً ثابتةً،وکونها البسیطة التی لا یمکن للإنسان العیش من دونها؛إذ إنّ جمیع ما یحتاجه من الأشیاء علی اختلافها هی ممّا ذرأه الله فیها، </w:t>
      </w:r>
      <w:r>
        <w:rPr>
          <w:rStyle w:val="FootnoteAnchor"/>
          <w:rtl w:val="true"/>
        </w:rPr>
        <w:footnoteReference w:id="819"/>
      </w:r>
      <w:r>
        <w:rPr>
          <w:rFonts w:ascii="IRNazanin" w:hAnsi="IRNazanin" w:eastAsia="IRNazanin"/>
          <w:color w:val="111111"/>
          <w:sz w:val="28"/>
          <w:sz w:val="28"/>
          <w:szCs w:val="28"/>
          <w:rtl w:val="true"/>
          <w:lang w:bidi="fa-IR"/>
        </w:rPr>
        <w:t xml:space="preserve">وجعلها له مهداً </w:t>
      </w:r>
      <w:r>
        <w:rPr>
          <w:rStyle w:val="FootnoteAnchor"/>
          <w:rtl w:val="true"/>
        </w:rPr>
        <w:footnoteReference w:id="820"/>
      </w:r>
      <w:r>
        <w:rPr>
          <w:rFonts w:ascii="IRNazanin" w:hAnsi="IRNazanin" w:eastAsia="IRNazanin"/>
          <w:color w:val="111111"/>
          <w:sz w:val="28"/>
          <w:sz w:val="28"/>
          <w:szCs w:val="28"/>
          <w:rtl w:val="true"/>
          <w:lang w:bidi="fa-IR"/>
        </w:rPr>
        <w:t xml:space="preserve">یترعرع ویشیخ ویدفن فیها،بل إنّها المادّة الأوّلیة التی أنشأه منها واستعمره فیها؛ </w:t>
      </w:r>
      <w:r>
        <w:rPr>
          <w:rStyle w:val="FootnoteAnchor"/>
          <w:rtl w:val="true"/>
        </w:rPr>
        <w:footnoteReference w:id="821"/>
      </w:r>
      <w:r>
        <w:rPr>
          <w:rFonts w:ascii="IRNazanin" w:hAnsi="IRNazanin" w:eastAsia="IRNazanin"/>
          <w:color w:val="111111"/>
          <w:sz w:val="28"/>
          <w:sz w:val="28"/>
          <w:szCs w:val="28"/>
          <w:rtl w:val="true"/>
          <w:lang w:bidi="fa-IR"/>
        </w:rPr>
        <w:t>قد حظیت بأهمّیة حیاتیة بالغة،هذا إضافة إلی أهمّیتها الاقتصادیة و السیاسیة التی تجذّرت وقویت علی مدی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الکلام عن توزیع الأرض هو کلامٌ بالغ الخطورة،حیث سیتقرّر من خلاله کیفیة عیش الإنسان حاضراً ومستقبلاً؛ولهذا فقد أولی الإسلام الأرض عنایةً خاصّةً،وأمعن فی الاهتمام بأمر کیفیة وطبیعة ثبوت الحقّ فیها،وأطلق لأجل ذلک ید خلیفته الخاصّ فی التصرّف فیها،وفی ما یتعلّق بها،کما سیأتی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فی سابق عهدها،کما هی علیه الآن،فقد حدثت تطوّراتٌ کثیرةٌ بخصوص السیطرة والاستحواذ علیها وتملّکها،وذلک حسب الحقب التاریخیة و الحضارات التی استوطنتها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جاء الإسلام وأطلق أحکامه بخصوصها،فإنّ تلک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غیرها 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ناظرةً إلی مجمل الحیاة البشریة حاضراً ومستقبلاً،ومنسجمةً مع الواقع،وآخذةً بنظر الاعتبار الغایة التی أُرید لها أن تتحقّق من خلال رسالته التی بعثها إلی الإنسان،والتی تمثّلت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هنا،فقد تمّ تقسیم الأراضی حسب الواقع و الطریقة التی حکم بها الإسلام المناطق التی سیطر علیها من جهة،وحسب الطبیعة التی تمیزت بها تلک الأراضی من جهة أخری،وأعطی خلیفته الخاصّ صلاحیة تنسیق وتنظیم عملیات الانتفاع بها واستثمارها بما یراه مناسباً من جهة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هذا،فقد قُسّمت الأراضی سیاسیاً </w:t>
      </w:r>
      <w:r>
        <w:rPr>
          <w:rStyle w:val="FootnoteAnchor"/>
          <w:rtl w:val="true"/>
        </w:rPr>
        <w:footnoteReference w:id="822"/>
      </w:r>
      <w:r>
        <w:rPr>
          <w:rFonts w:ascii="IRNazanin" w:hAnsi="IRNazanin" w:eastAsia="IRNazanin"/>
          <w:color w:val="111111"/>
          <w:sz w:val="28"/>
          <w:sz w:val="28"/>
          <w:szCs w:val="28"/>
          <w:rtl w:val="true"/>
          <w:lang w:bidi="fa-IR"/>
        </w:rPr>
        <w:t>حسب العناوین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المسلمة بالفتح،وهی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فتحها المسلمون بالقوّة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المسلمة بالدعوة،وهی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أسلم أهلها علیها طوعاً بلا حرب،ولا 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الصلح،وهی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استسلم أهلها للمسلمین دون أن یسلموا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الفیء،وهی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بادر أصحابها فی تسلیمها إلی النبی صلی الله علیه و آله من دون قتال ولا حتّی 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وتنقسم جمیع تلک الأراضی طبیعیاً إلی الأنواع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العامرة ذاتیاً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العامرة بشریاً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وتختلف کیفیة توزیع تلک الأراضی وفقاً لاختلاف عنوانها السیاسی و الطبیعی،وسنأتی علی بیان الحدود التی تخضع لها حرّیة توزیعها بحسب عنوانها الطبیعی،مع أنّ الأحکام الناظرة إلی عنوانها الطبیعی مأخوذٌ فیها عنوانها السیاسی أیضاً</w:t>
      </w:r>
      <w:r>
        <w:rPr>
          <w:rFonts w:eastAsia="IRNazanin" w:cs="IRNazanin"/>
          <w:color w:val="111111"/>
          <w:sz w:val="28"/>
          <w:szCs w:val="28"/>
          <w:rtl w:val="true"/>
          <w:lang w:bidi="fa-IR"/>
        </w:rPr>
        <w:t>.</w:t>
      </w:r>
      <w:bookmarkStart w:id="697" w:name="pg5204_66250"/>
    </w:p>
    <w:p>
      <w:pPr>
        <w:pStyle w:val="Heading5"/>
        <w:numPr>
          <w:ilvl w:val="4"/>
          <w:numId w:val="1"/>
        </w:numPr>
        <w:rPr/>
      </w:pPr>
      <w:bookmarkStart w:id="698" w:name="__RefHeading___Toc97574_581953129"/>
      <w:bookmarkStart w:id="699" w:name="_Toc280"/>
      <w:bookmarkEnd w:id="697"/>
      <w:bookmarkEnd w:id="698"/>
      <w:r>
        <w:rPr>
          <w:rtl w:val="true"/>
        </w:rPr>
        <w:t>أوّلاً</w:t>
      </w:r>
      <w:r>
        <w:rPr>
          <w:rtl w:val="true"/>
        </w:rPr>
        <w:t>:</w:t>
      </w:r>
      <w:r>
        <w:rPr>
          <w:rtl w:val="true"/>
        </w:rPr>
        <w:t>الأرض الموات</w:t>
      </w:r>
      <w:bookmarkEnd w:id="699"/>
    </w:p>
    <w:p>
      <w:pPr>
        <w:pStyle w:val="Heading6"/>
        <w:numPr>
          <w:ilvl w:val="5"/>
          <w:numId w:val="1"/>
        </w:numPr>
        <w:rPr/>
      </w:pPr>
      <w:bookmarkStart w:id="700" w:name="__RefHeading___Toc97576_581953129"/>
      <w:bookmarkStart w:id="701" w:name="_Toc281"/>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و قد عُرّفت بأنّها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الأرض المتروکة التی لا ینتفع بها انتفاعاً معتدّاً به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مقابل العامرة طبیعیاً و العامرة بشریاً،أو أنّها أرضٌ خارج البلد غیر مملوکة أو مستحَقّة لأحد لا ینتفع بها انتفاعاً شخصیاً بأی نحو من أنحاء الانتفاع،أو یوجد فیها ما لا یمکن أن یستغنی عنه المسلمون کالمعادن</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فالتعریف الأخیر یبین أنّ ما ینتفع به لا یقتصر علی ما هو موجودٌ علی ظاهرها،و إنّما یشمل کلّ ما هو موجودٌ علیها وفیها،ولا تقتصر عملیة الانتفاع علی شکل معین دون غیره،بل تشمل أی شکل یمکن أن یتحقّق به،وسبق لنا أن بینا فی فصل الإنتاج أنّ الأرض الموات المقصودة تشمل الموات بالأصالة،وبالعرض فیأتی هنا ما کنّا قد فصّلناه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نتطرّق إلی هذه الأرض،فإنّنا سنقتصر بطبیعة الحال علی أمر حدود حرّیة توزیعها وسنتجنّب الخوض فی النقاط التی تتعلّق بحدود حرّیة استغلالها إنتاجیاً،فهی مذکورةٌ فی فصل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سنتطرّق إلی عملیة الاستثمار التی تُثبّت للمستثمر حقّاً أساسیاً بالأصالة فیها،و هذا یستدعی الابتعاد عمّا کان قد استُحق منها؛وعلی هذا فإنّ الحدود التی تخضع لها حرّیة توزیع الأرض الموات تتمثّل بما یأتی</w:t>
      </w:r>
      <w:r>
        <w:rPr>
          <w:rFonts w:eastAsia="IRNazanin" w:cs="IRNazanin"/>
          <w:color w:val="111111"/>
          <w:sz w:val="28"/>
          <w:szCs w:val="28"/>
          <w:rtl w:val="true"/>
          <w:lang w:bidi="fa-IR"/>
        </w:rPr>
        <w:t>:</w:t>
      </w:r>
    </w:p>
    <w:p>
      <w:pPr>
        <w:pStyle w:val="Heading6"/>
        <w:numPr>
          <w:ilvl w:val="5"/>
          <w:numId w:val="1"/>
        </w:numPr>
        <w:rPr/>
      </w:pPr>
      <w:bookmarkStart w:id="702" w:name="__RefHeading___Toc97578_581953129"/>
      <w:bookmarkStart w:id="703" w:name="_Toc282"/>
      <w:bookmarkEnd w:id="702"/>
      <w:r>
        <w:rPr>
          <w:rtl w:val="true"/>
        </w:rPr>
        <w:t>أ</w:t>
      </w:r>
      <w:r>
        <w:rPr>
          <w:rtl w:val="true"/>
        </w:rPr>
        <w:t>)</w:t>
      </w:r>
      <w:r>
        <w:rPr>
          <w:rtl w:val="true"/>
        </w:rPr>
        <w:t>عدم السماح بالتصرّف فیها إلّا بإذن الحاکم الشرعی</w:t>
      </w:r>
      <w:bookmarkEnd w:id="703"/>
    </w:p>
    <w:p>
      <w:pPr>
        <w:pStyle w:val="BookText"/>
        <w:rPr/>
      </w:pPr>
      <w:r>
        <w:rPr>
          <w:rFonts w:ascii="IRNazanin" w:hAnsi="IRNazanin" w:eastAsia="IRNazanin"/>
          <w:color w:val="111111"/>
          <w:sz w:val="28"/>
          <w:sz w:val="28"/>
          <w:szCs w:val="28"/>
          <w:rtl w:val="true"/>
          <w:lang w:bidi="fa-IR"/>
        </w:rPr>
        <w:t>فمع أنّهم قد اتّفقوا علی أنّ الأرض الموات خاضعةٌ لتصرّف الإمام،من باب ولایته علیها باعتبار منصبه الشرعی و السیاسی،فهی فی الحقیقة ملکٌ للدولة،إلّا أن البعض نزّلها منزلة الثروات الطبیعیة الموجودة فیها فی جواز التصرّف فیها من دون استئذان الإمام،وذلک من خلال القیام بعملیة إحیائها؛إذ إنّ ملک الدولة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نوع من الملکیة لا یتنافی مع کونه مباحاً لکلّ إنسان تحقّق منه القیام بما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ضرورة لمراجعة الحاکم واستئذانه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إلّا أنّ هذا لا یتّفق وملکیة الدولة لها،فالملکیة تستدعی انحصار التصرّف بالمالک إلّا إذا سمح هو بالتصرّف؛إذ إنّها تختلف و الثروات المنقولة الموجودة فیها،فلو جاز القول بعدم تنافی حرّیة التصرّف فی تلک الثروات بالانتفاع مع کونها مُلکاً للدولة،فإنّ الأمر یختلف هنا من ناحیة أنّها ثروةٌ ثابتةٌ تتطلّب استئذان الدولة لتتمکّن الدولة من أداء وظیفتها فی تنظیم وتنسیق ذلک التصرّف بما یضمن التوازن المعیشی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مضافاً إلی الله تعالی و الرسول صلی الله علیه و آله فالتدبیر فیه إلی الإمام،فلا یستبدّ أحد به بغیر إذن الإمام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أمّا لو سلّمنا بحرّیة الأفراد فی ممارسة الإحیاء فیها،کما یستدعیه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میتةً،فهی له</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فإنّ ذلک لا یعنی ثبوت الحقّ له بتملّکها،کما قد یفهم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أولویته من غیره بالانتفاع بها ما دام الإحیاء قائماً،و هو ما یشیر إلیه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أعمر أرضاً لیست لأحد فهو أحقّ</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ففهموا من مجمل الأحادیث أنّ هذا الحقّ هو حقّ أولویة،لا حقّ ملکیة؛ولذلک حکموا فیمن أحیی أرضاً فخربت،فأحیاها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الثانی أحقّ بها لأنّ الأوّل ملک استغلالها،لا رقبتها فإذا ترکها کان الثاتی أحقّ بها</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وممّا یؤید ذلک هو إنّ الذین قالوا بالملکیة قد منعوا من إحیائها بطروء عنوان ثانوی علیها،فیما لو کان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خلاف بعض المصالح العامّة،فنهی عنه ولی المسلمین</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فلا بدّ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استئذان الحاکم الشرعی فی التصرّف فیها واستثمارها لکون ملکیتها الأصلیة ثابتةً للدولة أوّلاً،ولثبوت صلاحیته فی الإشراف علی توزیعها لمراعاة التوازن المعیشی بین أفراد المجتمع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إضافةً إلی أنّه لو</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یشترط فیه إذن الإمام أدّی إلی امتداد المنازعة و الخصومة بینهم فیها</w:t>
      </w:r>
      <w:r>
        <w:rPr>
          <w:rFonts w:eastAsia="IRNazanin" w:cs="IRNazanin"/>
          <w:color w:val="111111"/>
          <w:sz w:val="28"/>
          <w:szCs w:val="28"/>
          <w:rtl w:val="true"/>
          <w:lang w:bidi="fa-IR"/>
        </w:rPr>
        <w:t xml:space="preserve">. </w:t>
      </w:r>
      <w:r>
        <w:rPr>
          <w:rStyle w:val="FootnoteAnchor"/>
          <w:rtl w:val="true"/>
        </w:rPr>
        <w:footnoteReference w:id="831"/>
      </w:r>
      <w:bookmarkStart w:id="704" w:name="pg5204_66252"/>
    </w:p>
    <w:p>
      <w:pPr>
        <w:pStyle w:val="Heading6"/>
        <w:numPr>
          <w:ilvl w:val="5"/>
          <w:numId w:val="1"/>
        </w:numPr>
        <w:rPr/>
      </w:pPr>
      <w:bookmarkStart w:id="705" w:name="__RefHeading___Toc97580_581953129"/>
      <w:bookmarkStart w:id="706" w:name="_Toc283"/>
      <w:bookmarkEnd w:id="704"/>
      <w:bookmarkEnd w:id="705"/>
      <w:r>
        <w:rPr>
          <w:rtl w:val="true"/>
        </w:rPr>
        <w:t>ب</w:t>
      </w:r>
      <w:r>
        <w:rPr>
          <w:rtl w:val="true"/>
        </w:rPr>
        <w:t>)</w:t>
      </w:r>
      <w:r>
        <w:rPr>
          <w:rtl w:val="true"/>
        </w:rPr>
        <w:t>عدم السماح بالتصرّف فیها إلّا بممارسة عمل إحیائی مستمرّ علیها</w:t>
      </w:r>
      <w:bookmarkEnd w:id="706"/>
    </w:p>
    <w:p>
      <w:pPr>
        <w:pStyle w:val="BookText"/>
        <w:rPr/>
      </w:pPr>
      <w:r>
        <w:rPr>
          <w:rFonts w:ascii="IRNazanin" w:hAnsi="IRNazanin" w:eastAsia="IRNazanin"/>
          <w:color w:val="111111"/>
          <w:sz w:val="28"/>
          <w:sz w:val="28"/>
          <w:szCs w:val="28"/>
          <w:rtl w:val="true"/>
          <w:lang w:bidi="fa-IR"/>
        </w:rPr>
        <w:t>و قد مرّ علینا کیف أنّ ثبوت الحقّ فیها یرتبط بعملیة إحیائها بما أنّها أرضٌ میتة،فلا یثبت إی حقّ فی الاختصاص بها من دون ممارسة فعلیة لعملیة الإحیاء،وحتّی أنّ الذین قالوا بثبوت الملکیة فیها،ولیس حقّ الاختصاص،فإنّهم أوقفوا ذلک علی ممارسة عملیة إحیاء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من الإحیاء الذی یثبت به حقّ الاختصاص فی الأرض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المتحقِّق،لا مجرّد المباشرة فیه،فلا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صدق إحیاء الموات من العمل فیها إلی حدّ یصدق علیها أحد العناوین العامرة کالدار و البستان،والمزرعة و الحظیرة،والبئر و القناة،والنهر وما شاکل ذلک</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مع ملاحظة أنّ عملیة الإحیاء قد تتطلّب مقدّمات تمهّد لها،و هو ما یطلق علیه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التحجیر،ولا توجد کیفیةٌ خاصّةٌ للتحجیر،فهو یرتبط بطبیعة الاستثمار الذی یراد منها،فیکفی فی تحقّق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دلّ علی إرادة الإحیاء من الأعمال المتجسّدة فی مظهر مادّی،وذلک مثل تسویرها بشریط ونحوه،أو وضع حدید أو أحجار علی جوانبها أو علی زوایاها الأربعة،أو حفر رکائز فیها،أو تمهید أرضها وتنقیتها من الصخور،أو غیر ذلک من الأمور التی یفهم منها الناظر إلیها أنّ هذه الأرض محجّرة ومرغوبة من قِبل من یرید إحیاءها</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ومع هذا،فإنّ عملیة التحجیر بذاتها لا تکفی لثبوت الحقّ فی الأرض المیتة،فهی کما قلنا مجرّد مقدّمة للإحیاء،ولیست هی بذاتها عملیة الإحیاء،ومن أجل عدم استغلال التحجیر للسیطرة العشوائیة علی الأراضی،فقد وضعوا قیوداً علی ذلک،فلا یعدّ التحجیر فاعلاً ومؤثّراً فی إجراء عملیة إحیاء فعلی،ولیس له أی اعتبار ما لم تتوفّر فی المحجِّر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الإحیاء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یتمکّن من إحیاء ما حجّره لمانع من الموانع،کالفقر أو العجز عن تهیئة الأسباب المتوقّف علیها الإحیاء جاز لغیره إحیاؤه</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فمن المفروض أنّ الغایة من التحجیر هو کونه مقدّمةً للإحیاء،فإذا انتفت القدرة علی الإحیاء،ولو استمراراً،فلا أثر للمقدّمة حینئذ،فیتعامل معها کأنّها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قادراً فطرأ العجز لمرض أو فقر أو غیرهما لم یثبت له حق</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والأمر یجری کذلک فی المقدار الزائد علی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لا أثر لتحجیره فی المقدار الزائد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ومنهم من ذهب إلی سرایة عدم ترتیب الأثر فی تحجیر المقدار الزائد إلی عدم ترتیب الأثر علی جمیع ما حجّر،فلو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زائداً علی ما یقدر علی إحیائه،لا أثر لتحجیره بالإضافة إلی المقدار الزائد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ومع انتفاء القدرة علی الإحیاء یزول أی حقّ للمحجِّر فی نقلها إلی غیره بإی نحو من أنحاء المعاملات؛لأنّ ذلک متوقّفٌ علی ثبوت الحقّ فیها من خلال عملیة الإحیاء لا غیر،فإذا لم یکن هنالک إحیاءٌ فلا أثر لتحجیره ذاک،وبالتالی لا أثر لنقلها إلی غیره بالمعاملة،فلو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الموات من کان عاجزاً عن إحیائها لیس له نقلها إلی غیره بصلح أو هبة أو بیع أو نحو ذلک</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کسابقه فی عدم صدق الإحیاء وعدم إمکان ترتیب الأثر فیما لو لم یمارس المحجِّر عملاّ إحیائیاً فعلیاً،وبطبیعة الحال فإنّ الشروع بالعمل یحتاج إلی وقت؛وذلک لتهیئة أسباب العمل بنحو لا یصدُق علیه أنّه إهمالٌ وتعطیل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حدّدوا أقصی مدّة للشروع بالعمل 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أمسکها ثلاث سنین،ولم یعمّرها دلّ علی أنّه لا یرید عمارتها،بل تعطیلها فبطل حقّه وتعود إلی حالها مواتاً،وکان للإمام أن یعطیها غیره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هذا إذا کان له عذرٌ یحول دون شروعه أو استمراره بالإحیاء؛لأنّ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التحجیر لا یعتبر سبباً للحقّ الخاص،بوصفه عملیة مستقلّة منفصلة،و إنّما یعتبر کذلک بوصفه شروعاً فی الإحیاء،وبدایة لعملیة عمران الأرض وإحیائها</w:t>
      </w:r>
      <w:r>
        <w:rPr>
          <w:rFonts w:eastAsia="IRNazanin" w:cs="IRNazanin"/>
          <w:color w:val="111111"/>
          <w:sz w:val="28"/>
          <w:szCs w:val="28"/>
          <w:rtl w:val="true"/>
          <w:lang w:bidi="fa-IR"/>
        </w:rPr>
        <w:t xml:space="preserve">. </w:t>
      </w:r>
      <w:r>
        <w:rPr>
          <w:rStyle w:val="FootnoteAnchor"/>
          <w:rtl w:val="true"/>
        </w:rPr>
        <w:footnoteReference w:id="840"/>
      </w:r>
      <w:bookmarkStart w:id="707" w:name="pg5204_66254"/>
    </w:p>
    <w:p>
      <w:pPr>
        <w:pStyle w:val="Heading6"/>
        <w:numPr>
          <w:ilvl w:val="5"/>
          <w:numId w:val="1"/>
        </w:numPr>
        <w:rPr/>
      </w:pPr>
      <w:bookmarkStart w:id="708" w:name="__RefHeading___Toc97582_581953129"/>
      <w:bookmarkStart w:id="709" w:name="_Toc284"/>
      <w:bookmarkEnd w:id="707"/>
      <w:bookmarkEnd w:id="708"/>
      <w:r>
        <w:rPr>
          <w:rtl w:val="true"/>
        </w:rPr>
        <w:t>ج</w:t>
      </w:r>
      <w:r>
        <w:rPr>
          <w:rtl w:val="true"/>
        </w:rPr>
        <w:t>)</w:t>
      </w:r>
      <w:r>
        <w:rPr>
          <w:rtl w:val="true"/>
        </w:rPr>
        <w:t>عدم السماح بالتصرّف فیها إلّا بممارسة الإحیاء مباشرةً دون وسیط‌</w:t>
      </w:r>
      <w:bookmarkEnd w:id="709"/>
    </w:p>
    <w:p>
      <w:pPr>
        <w:pStyle w:val="BookText"/>
        <w:rPr/>
      </w:pPr>
      <w:r>
        <w:rPr>
          <w:rFonts w:ascii="IRNazanin" w:hAnsi="IRNazanin" w:eastAsia="IRNazanin"/>
          <w:color w:val="111111"/>
          <w:sz w:val="28"/>
          <w:sz w:val="28"/>
          <w:szCs w:val="28"/>
          <w:rtl w:val="true"/>
          <w:lang w:bidi="fa-IR"/>
        </w:rPr>
        <w:t>لقد سبق،وأن تطرّقنا لموضوع المباشرة فی عملیة الإنتاج لترتیب الأثر علیه،و یجری هنا الموضوع بطبیعة الحال،و هذا ما یستبطنه الضابط الأوّل من ضوابط التوزیع الذی ذکرنا فیه لزوم کون العملیة التنمویة التی یتمّ علی أساسها التوزیع عملیةً فعلیة،والفعلیة هنا مأخوذةٌ من جانبین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کونها عملاً حقیقیاً ملموساً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الأرض یتعلّق بمن مارس عملیة الإحیاء بنفسه،لا عن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البعض قد ذهب إلی عدم لزوم المباشرة فی الإحیاء فی ثبوت الحقّ فی الأرض،فلم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التحجیر أو الإحیاء قیام المکلّف نفسه به وتحقّقه من قِبله مباشرة،بل یجوز له أن یوکّل أو یستأجر من یحجّر له مکاناً،ویکون الحقّ الناتج من عملهما لصاحب العمل الذی هو الموکِّل و المستأجِر،لا الوکیل و الأجیر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إلّا أنّ ذلک مخالفٌ للضوابط التی ذکرناها فی التوزیع و الإنتاج معاً،وعلی الخصوص فی عملیة الإحیاء التی تعتبر عملاً تنمویاً تکون ثمراته لمن قام به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الاستشهاد له بما جاء فی مسألة الحیازة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صحّة الوکالة فی الأمور التکوینیة تحتاج إلی دلیل خاصّ،و هو لیس موجوداً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 الإجارة إنّما یقتضی تملّک المستأجِر لحیازة الأجیر،بما هی عمل من أعماله،لا لموضوع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 المحازة</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فإنّ الموکِّل و المستأجِر یملک الحیازة نفسها،لا الأثر المترتّب علیها و هو المحاز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الأخذ بنظر الاعتبار أنّنا نتحدّث عن ثبوت الحقّ فی الأرض،لا عن النتاج الذی قد یکون لغیر المباشر باعتبار ملکیته لأصل مادّته حسب ما تطرّقنا إلیه فی الضابط الثالث من ضوابط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قضیة المباشرة هنا ترتبط بعملیة الإحیاء ذاتها ولا تشمل التحجیر؛لأنّه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عملیةً مستقلّةً،و إنّما مقدّمةً للإحیاء،وبالتالی فلا مانع من قیام شخص بتحجیر أرض لشخص آخر،فلا یعتبر فیه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بالمباشرة،بل یجوز أن یکون بالتوکیل والاستئجار،وعلیه فالحقّ الحاصل بسبب عملهما للموکِّل و المستأجِر لا للوکیل و الأجیر </w:t>
      </w:r>
      <w:r>
        <w:rPr>
          <w:rStyle w:val="FootnoteAnchor"/>
          <w:rtl w:val="true"/>
        </w:rPr>
        <w:footnoteReference w:id="843"/>
      </w:r>
      <w:bookmarkStart w:id="710" w:name="pg5204_66255"/>
    </w:p>
    <w:p>
      <w:pPr>
        <w:pStyle w:val="Heading6"/>
        <w:numPr>
          <w:ilvl w:val="5"/>
          <w:numId w:val="1"/>
        </w:numPr>
        <w:rPr/>
      </w:pPr>
      <w:bookmarkStart w:id="711" w:name="__RefHeading___Toc97584_581953129"/>
      <w:bookmarkStart w:id="712" w:name="_Toc285"/>
      <w:bookmarkEnd w:id="710"/>
      <w:bookmarkEnd w:id="711"/>
      <w:r>
        <w:rPr>
          <w:rtl w:val="true"/>
        </w:rPr>
        <w:t>د</w:t>
      </w:r>
      <w:r>
        <w:rPr>
          <w:rtl w:val="true"/>
        </w:rPr>
        <w:t>)</w:t>
      </w:r>
      <w:r>
        <w:rPr>
          <w:rtl w:val="true"/>
        </w:rPr>
        <w:t>عدم السماح بمزاحمة السابق فیما أحیاه أو حجّره</w:t>
      </w:r>
      <w:bookmarkEnd w:id="712"/>
    </w:p>
    <w:p>
      <w:pPr>
        <w:pStyle w:val="BookText"/>
        <w:rPr/>
      </w:pPr>
      <w:r>
        <w:rPr>
          <w:rFonts w:ascii="IRNazanin" w:hAnsi="IRNazanin" w:eastAsia="IRNazanin"/>
          <w:color w:val="111111"/>
          <w:sz w:val="28"/>
          <w:sz w:val="28"/>
          <w:szCs w:val="28"/>
          <w:rtl w:val="true"/>
          <w:lang w:bidi="fa-IR"/>
        </w:rPr>
        <w:t>و هذا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حقّ السبق علی القول بعدم لزوم استئذان الحاکم الشرعی،وعلی عدم التجاوز علی ما صدر فیه الإذن من الحاکم الشرعی،علی القول بلزوم الاستئذان؛ولذا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حصول الأولویة بالإحیاء أن لا یسبق إلیه سابق بالتحجیر وإلّا لزم الاستئذان منه</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التحجیر بحدّ ذاته یکون مانعاً عن مزاحمة الغیر للمحجِّر فیه،فإذا کان التحجیر کذلک،فإنّ الإحیاء أولی بالمنع من المزاحمة فیه،فإذا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أحیی أرضاً للدولة وعمّرها،کان له الحقّ فیها،الذی یخوّله الانتفاع بها،ویمنع الآخرین من مزاحمته فیها</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فهذه عملیةٌ طبیعیةٌ لتنظیم الأمور ومراعاة حقوق الجمیع علی حدّ سواء،والذی جُعل العمل المباشر معیاراً ومیزاناً لذلک،کی تتحقّق العدالة بین الجمیع فی استثمار الأرض،کما هو الحال فی بقیة ثروات الطبیعة،کما مرّ علینا فی الإنتاج</w:t>
      </w:r>
      <w:r>
        <w:rPr>
          <w:rFonts w:eastAsia="IRNazanin" w:cs="IRNazanin"/>
          <w:color w:val="111111"/>
          <w:sz w:val="28"/>
          <w:szCs w:val="28"/>
          <w:rtl w:val="true"/>
          <w:lang w:bidi="fa-IR"/>
        </w:rPr>
        <w:t>.</w:t>
      </w:r>
    </w:p>
    <w:p>
      <w:pPr>
        <w:pStyle w:val="Heading5"/>
        <w:numPr>
          <w:ilvl w:val="4"/>
          <w:numId w:val="1"/>
        </w:numPr>
        <w:rPr/>
      </w:pPr>
      <w:bookmarkStart w:id="713" w:name="__RefHeading___Toc97586_581953129"/>
      <w:bookmarkStart w:id="714" w:name="_Toc286"/>
      <w:bookmarkEnd w:id="713"/>
      <w:r>
        <w:rPr>
          <w:rtl w:val="true"/>
        </w:rPr>
        <w:t>ثانیاً</w:t>
      </w:r>
      <w:r>
        <w:rPr>
          <w:rtl w:val="true"/>
        </w:rPr>
        <w:t>:</w:t>
      </w:r>
      <w:r>
        <w:rPr>
          <w:rtl w:val="true"/>
        </w:rPr>
        <w:t>الأرض العامرة طبیعیاً</w:t>
      </w:r>
      <w:bookmarkEnd w:id="714"/>
    </w:p>
    <w:p>
      <w:pPr>
        <w:pStyle w:val="BookText"/>
        <w:rPr/>
      </w:pPr>
      <w:r>
        <w:rPr>
          <w:rFonts w:ascii="IRNazanin" w:hAnsi="IRNazanin" w:eastAsia="IRNazanin"/>
          <w:color w:val="111111"/>
          <w:sz w:val="28"/>
          <w:sz w:val="28"/>
          <w:szCs w:val="28"/>
          <w:rtl w:val="true"/>
          <w:lang w:bidi="fa-IR"/>
        </w:rPr>
        <w:t>وهی الأرض التی تتضمّن مظاهر العمران،بحیث لا تحتاج إلی جهد فی الاستفادة منها،کالأرض ذات الأشجار النابتة فیها طبیعیاً،وهی الغابات،والأراضی التی لا تحوی أشجاراً و إنّما میاهً وخضرةً بصورة طبیعیة من غیر دخل للإنسان فی إیجادها،و هذه الأرض لا تخضع لمسألة کونها مفتوحةً بالقوّة أم لا،فهی کالأرض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معدودة من الأنفال التی تملکها الدولة</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فهی تخضع لنفس الحدود التی تخضع لها الأرض الموات بما هی ملکٌ للدولة،من عدم السماح بالتصرّف فیها إلّا بإذن الحاکم الشرعی،ومن قال بعدم لزوم الاستئذان أعطی للدولة الحقّ فی فرض الاستئذان </w:t>
      </w:r>
      <w:r>
        <w:rPr>
          <w:rStyle w:val="FootnoteAnchor"/>
          <w:rtl w:val="true"/>
        </w:rPr>
        <w:footnoteReference w:id="847"/>
      </w:r>
      <w:r>
        <w:rPr>
          <w:rFonts w:ascii="IRNazanin" w:hAnsi="IRNazanin" w:eastAsia="IRNazanin"/>
          <w:color w:val="111111"/>
          <w:sz w:val="28"/>
          <w:sz w:val="28"/>
          <w:szCs w:val="28"/>
          <w:rtl w:val="true"/>
          <w:lang w:bidi="fa-IR"/>
        </w:rPr>
        <w:t>الذی أصبح من المسلّمات الموضوعیة فی وقتنا الراهن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فی عدم السماح للّاحق بالانتفاع فیها بما یزاحم السابق، </w:t>
      </w:r>
      <w:r>
        <w:rPr>
          <w:rStyle w:val="FootnoteAnchor"/>
          <w:rtl w:val="true"/>
        </w:rPr>
        <w:footnoteReference w:id="848"/>
      </w:r>
      <w:r>
        <w:rPr>
          <w:rFonts w:ascii="IRNazanin" w:hAnsi="IRNazanin" w:eastAsia="IRNazanin"/>
          <w:color w:val="111111"/>
          <w:sz w:val="28"/>
          <w:sz w:val="28"/>
          <w:szCs w:val="28"/>
          <w:rtl w:val="true"/>
          <w:lang w:bidi="fa-IR"/>
        </w:rPr>
        <w:t>لکون ذلک یتحدّد علی</w:t>
      </w:r>
      <w:bookmarkStart w:id="715" w:name="pg5204_66256"/>
    </w:p>
    <w:p>
      <w:pPr>
        <w:pStyle w:val="BookText"/>
        <w:rPr/>
      </w:pPr>
      <w:bookmarkEnd w:id="715"/>
      <w:r>
        <w:rPr>
          <w:rFonts w:ascii="IRNazanin" w:hAnsi="IRNazanin" w:eastAsia="IRNazanin"/>
          <w:color w:val="111111"/>
          <w:sz w:val="28"/>
          <w:sz w:val="28"/>
          <w:szCs w:val="28"/>
          <w:rtl w:val="true"/>
          <w:lang w:bidi="fa-IR"/>
        </w:rPr>
        <w:t>أساس سبق الإذن إلی الأوّل،وکذا سبقه فی الانتفاع،بناءً علی ممارسته الانتفاع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 العامرة بذاتها تتّفق و الأرض الموات فی الحدود التی تخضع لها حرّیة التصرّف فیها،ولکن بمقتضی کونها عامرةً بالأصل،فلا یحتاج صحّة التصرّف فیها إلّا إلی ممارسة الانتفاع فیها فعلیاً وبشکل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فبما أنّها لیست بحاجة إلی عمل إحیائی مضن کما فی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سبیل إلی اکتساب الفرد حقّاً فیها بسبب الإحیاء؛لأنّها عامرة وحیة بطبیعتها،و إنّما یباح للأفراد الانتفاع بتلک الأرض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فلا یثبت فیها إلّا حقّ الأولویة من حیث الانتفاع بها،فإذا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حازها أحد کان أولی بها من غیره ما لم یمنع عنه مانع شرعی</w:t>
      </w:r>
      <w:r>
        <w:rPr>
          <w:rFonts w:eastAsia="IRNazanin" w:cs="IRNazanin"/>
          <w:color w:val="111111"/>
          <w:sz w:val="28"/>
          <w:szCs w:val="28"/>
          <w:rtl w:val="true"/>
          <w:lang w:bidi="fa-IR"/>
        </w:rPr>
        <w:t xml:space="preserve">. </w:t>
      </w:r>
      <w:r>
        <w:rPr>
          <w:rStyle w:val="FootnoteAnchor"/>
          <w:rtl w:val="true"/>
        </w:rPr>
        <w:footnoteReference w:id="850"/>
      </w:r>
    </w:p>
    <w:p>
      <w:pPr>
        <w:pStyle w:val="Heading5"/>
        <w:numPr>
          <w:ilvl w:val="4"/>
          <w:numId w:val="1"/>
        </w:numPr>
        <w:rPr/>
      </w:pPr>
      <w:bookmarkStart w:id="716" w:name="__RefHeading___Toc97588_581953129"/>
      <w:bookmarkStart w:id="717" w:name="_Toc287"/>
      <w:bookmarkEnd w:id="716"/>
      <w:r>
        <w:rPr>
          <w:rtl w:val="true"/>
        </w:rPr>
        <w:t>ثالثاً</w:t>
      </w:r>
      <w:r>
        <w:rPr>
          <w:rtl w:val="true"/>
        </w:rPr>
        <w:t>:</w:t>
      </w:r>
      <w:r>
        <w:rPr>
          <w:rtl w:val="true"/>
        </w:rPr>
        <w:t>الأرض العامرة بشریاً</w:t>
      </w:r>
      <w:bookmarkEnd w:id="717"/>
    </w:p>
    <w:p>
      <w:pPr>
        <w:pStyle w:val="BookText"/>
        <w:rPr/>
      </w:pPr>
      <w:r>
        <w:rPr>
          <w:rFonts w:ascii="IRNazanin" w:hAnsi="IRNazanin" w:eastAsia="IRNazanin"/>
          <w:color w:val="111111"/>
          <w:sz w:val="28"/>
          <w:sz w:val="28"/>
          <w:szCs w:val="28"/>
          <w:rtl w:val="true"/>
          <w:lang w:bidi="fa-IR"/>
        </w:rPr>
        <w:t>وهی التی عمرت من خلال إحیاء الإنسان لها لا کونها عامرةً بذاتها،ویطلق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الخراجیة،</w:t>
      </w:r>
    </w:p>
    <w:p>
      <w:pPr>
        <w:pStyle w:val="BookText"/>
        <w:rPr/>
      </w:pPr>
      <w:r>
        <w:rPr>
          <w:rFonts w:ascii="IRNazanin" w:hAnsi="IRNazanin" w:eastAsia="IRNazanin"/>
          <w:color w:val="111111"/>
          <w:sz w:val="28"/>
          <w:sz w:val="28"/>
          <w:szCs w:val="28"/>
          <w:rtl w:val="true"/>
          <w:lang w:bidi="fa-IR"/>
        </w:rPr>
        <w:t>وتختلف مسألة توزیعها عن سابقتیها،وذلک بحسب طبیعة وکیفیة ضمّها إلی حوزة الإسلام،فالموات و العامرة طبیعیاً حکمهما واحدٌ،و إن اختلفت کیفیة ضمّهما إلی الإسلام،وعلی هذا فالأرض العامرة بشریاً تنقسم إلی الأقسام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بالحرب و القوّة،وبما أنّها عامرةٌ بشریاً،فهی تختلف عن سابقتها العامرة طبیعیاً فی ثبوت ید علیها،والتی یثبت من خلالها حقّ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هی تحت یده ما دام قائماً بعمارتها مؤدّیاً لخراجها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إذ إنّها،وکما فی سابقتیها لا تُملک،لکنّها تختلف عنهما بکون ملکیتها عامّةً ولیست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ملک للمسلمین من وجِد ومن یوجد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فهی ملکٌ لهم علی طول امتدادهم التاریخی؛ولهذا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یسمح للفرد بتملّک رقبة الأرض ملکیةً خاصّة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إلّا أنّها کسابقتیها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 جواز التصرّف فیها إلّا بإذن الحاکم الشرعی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لکونها عامّةً،ولیست لمسلم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لما فیه من فائدة خضوع توزیع هذه الأراضی لنظر الحاکم وتخطیطه</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أمّا الأرض الموات و العامرة طبیعیاً من أرض الفتح،فهما تخضعان لنفس الحدود التی جاءت حولهما من کونهما ملکاً للدولة،ولا یسمح بالتصرّف فیهما إلّا بصدور الإذن بذلک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المسلمة بالدعوة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الأرض التی أسلم أهلها طوعاً من غیر قتال،وتبقی علی ملکیتها لأهلها؛</w:t>
      </w:r>
    </w:p>
    <w:p>
      <w:pPr>
        <w:pStyle w:val="BookText"/>
        <w:rPr/>
      </w:pPr>
      <w:r>
        <w:rPr>
          <w:rFonts w:ascii="IRNazanin" w:hAnsi="IRNazanin" w:eastAsia="IRNazanin"/>
          <w:color w:val="111111"/>
          <w:sz w:val="28"/>
          <w:sz w:val="28"/>
          <w:szCs w:val="28"/>
          <w:rtl w:val="true"/>
          <w:lang w:bidi="fa-IR"/>
        </w:rPr>
        <w:t xml:space="preserve">لأنّ الإسلام یمنح المسلم علی أرضه وماله طوعاً،جمیع الحقوق التی کان یتمتّع بها فی الأرض و المال قبل إسلامه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فتکون ملکیتها ملکیةً خاصّة،فتکون علی خلاف الأراضی الأخری التی مرّ ذکرها،إلّا أنّه رغم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یمنحها بشکل مطلق،و إنّما حدّدها باستمرار هؤلاء الأفراد فی استثمار أراضیهم</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فتعود الحدود التی تخضع لها فی النتیجة إلی ما جاء فی الضوابط من استمرار ممارسة عمل تنموی فعلی علیها،إلّا أنّها تختلف فی نوعیة ثبوت الحقّ فیها و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الأرض العامرة بشریاً منها،أمّا الموات و العامرة ذاتیاً منها،فإنّها تخضع لنفس حدودیهما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استسلم أهلها للمسلمین من دون أن یسلموا وصالحوهم علی الدخول فی سلطانهم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العامر من هذه الأرض یرجع إلی ما اتُّفق علیه فی بنود الصلح</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اتُّفق علی أنّها لأهلها تکون ملکیتها خاصّةً کالأرض السابقة،و إذا اتُّفق علی أنّها للأُمّة تکون کالمفتوحة عنوةً مُلکاً لعامّة المسلمین،و إذا اتُّفق علی أنّها للدولة یجری</w:t>
      </w:r>
    </w:p>
    <w:p>
      <w:pPr>
        <w:pStyle w:val="BookText"/>
        <w:rPr/>
      </w:pPr>
      <w:r>
        <w:rPr>
          <w:rFonts w:ascii="IRNazanin" w:hAnsi="IRNazanin" w:eastAsia="IRNazanin"/>
          <w:color w:val="111111"/>
          <w:sz w:val="28"/>
          <w:sz w:val="28"/>
          <w:szCs w:val="28"/>
          <w:rtl w:val="true"/>
          <w:lang w:bidi="fa-IR"/>
        </w:rPr>
        <w:t>علیها کالموات و العامرة طبیعیاً ملک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العامر بشریاً منها،فهی تخضع لنفس الحدود التی خضعت لها الموات و العامرة طبیعیاً،فتکونا مُلکاً للدولة وتخضعان لحدودها</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الفیء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الأرض التی سلّمها أهلها للدولة الإسلامیة طواعیةً من دون قتال وانجلوا عنها،و قد قرّرت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 </w:t>
      </w:r>
      <w:r>
        <w:rPr>
          <w:rStyle w:val="FootnoteAnchor"/>
          <w:rtl w:val="true"/>
        </w:rPr>
        <w:footnoteReference w:id="860"/>
      </w:r>
      <w:r>
        <w:rPr>
          <w:rFonts w:ascii="IRNazanin" w:hAnsi="IRNazanin" w:eastAsia="IRNazanin"/>
          <w:color w:val="111111"/>
          <w:sz w:val="28"/>
          <w:sz w:val="28"/>
          <w:szCs w:val="28"/>
          <w:rtl w:val="true"/>
          <w:lang w:bidi="fa-IR"/>
        </w:rPr>
        <w:t>بکونها للنبی صلی الله علیه و آله،واختُلف فی أنّ ذلک باعتبار عنوانه الشخصی أو القانونی،وعلی أی حال،فإنّ هذه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تختصّ بها الدولة،أو النبی صلی الله علیه و آله أو الإمام بتعبیر آخر</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فتنطبق علیها ملکیة الدولة،وتخضع بهذا لذات الحدود المرتبطة بأراضی الدولة علی اختلافها و التی تقدّمت تفصیلاتها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بأنّ الأراضی علی الإطلاق تکون مُلکاً للدولة من حیث المبدأ،فما کان منها غیر خاضع لملکیة الدولة،فإنّه یعود فی الحقیقة إلی ملکیتها وذلک من خلال لزوم استئذان الحاکم فی التصرّف فیها ابتداءً کالعامرة بشریاً المفتوحة عنوةً،أو استمراراً کالعامرة بشریاً التی أسلم أهلها علیها طوعاً،لیبقی المیزان الحقیقی هو القیام بعمل تنموی أو انتفاعی فیها،و هو ما ینسجم و الروح التنمویة لأحکام الإسلام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هذا المیزان الواضح یزول الالتباس الحاصل حول حقیقة الإقطاع و الحمی،فقد سبق وأن تحدّثنا حول حقیقة الإقطاع وذلک فی الضابط الأوّل من ضوابط التوزیع،وظهر أنّه مجرّد السماح للشخص بحقّ العمل فی تلک الأرض وبالمقدار الذی یستطیعه،دون أن یمنحه الإقطاع حقّاً فی ملکیة الأرض،أو أی حقّ آخر فیها،ما لم یعمل،وینفق جهده علی تربتها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فإقطاع الإمام منجم الذهب لشخص،معناه السماح له بإحیاء ذلک المنجم،واستخراج المادّة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لا یجوز للإمام اقطاع الفرد ما یزید علی طاقته،ویعجز عن استثماره </w:t>
      </w:r>
      <w:r>
        <w:rPr>
          <w:rStyle w:val="FootnoteAnchor"/>
          <w:rtl w:val="true"/>
        </w:rPr>
        <w:footnoteReference w:id="862"/>
      </w:r>
      <w:bookmarkStart w:id="718" w:name="pg5204_66259"/>
    </w:p>
    <w:p>
      <w:pPr>
        <w:pStyle w:val="BookText"/>
        <w:rPr/>
      </w:pPr>
      <w:bookmarkEnd w:id="718"/>
      <w:r>
        <w:rPr>
          <w:rFonts w:ascii="IRNazanin" w:hAnsi="IRNazanin" w:eastAsia="IRNazanin"/>
          <w:color w:val="111111"/>
          <w:sz w:val="28"/>
          <w:sz w:val="28"/>
          <w:szCs w:val="28"/>
          <w:rtl w:val="true"/>
          <w:lang w:bidi="fa-IR"/>
        </w:rPr>
        <w:t>فهو علی نسق عملیة التحجیر التی تقدّم الکلام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الحمی،فهو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بعض الأفراد لمساحات من الأرض بالسیطرة علیها وحمایتهم لها من انتفاع الآخرین بها،فإنّ عدم السماح به علی ضوء ما تقدّم من الضوابط و الحدود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الحقّ الخاصّ فیه یقوم علی السیطرة،لا علی أساس العمل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تخصیص الحاکم الشرعی أراض معینة لمصالح عامّة،فیصبّ هذا النوع من الحمی فی تنظیم استغلال تلک الأراضی،و هو من صلب صلاحیات الحاکم من جهة،حیث یختصّ به دون غیره،کما فی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حمی إلّا لله ولرسوله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وکونه تخصیصاً للعامّة لا للخاصّة من جهة أخری،فتبقی الأرض مُلکاً للعامّة ولا تکون للخاصّة؛إذ إنّ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یحمِ لنفسه،و إنّما حمی النقیع بالنون لإبل الصدقة ونعم الجزیة وخیل المجاهدین فی سبیل الله</w:t>
      </w:r>
      <w:r>
        <w:rPr>
          <w:rFonts w:eastAsia="IRNazanin" w:cs="IRNazanin"/>
          <w:color w:val="111111"/>
          <w:sz w:val="28"/>
          <w:szCs w:val="28"/>
          <w:rtl w:val="true"/>
          <w:lang w:bidi="fa-IR"/>
        </w:rPr>
        <w:t xml:space="preserve">. </w:t>
      </w:r>
      <w:r>
        <w:rPr>
          <w:rStyle w:val="FootnoteAnchor"/>
          <w:rtl w:val="true"/>
        </w:rPr>
        <w:footnoteReference w:id="865"/>
      </w:r>
    </w:p>
    <w:p>
      <w:pPr>
        <w:pStyle w:val="Heading4"/>
        <w:numPr>
          <w:ilvl w:val="3"/>
          <w:numId w:val="1"/>
        </w:numPr>
        <w:rPr/>
      </w:pPr>
      <w:bookmarkStart w:id="719" w:name="__RefHeading___Toc97590_581953129"/>
      <w:bookmarkStart w:id="720" w:name="_Toc288"/>
      <w:bookmarkEnd w:id="719"/>
      <w:r>
        <w:rPr>
          <w:rtl w:val="true"/>
        </w:rPr>
        <w:t>المطلب الثانی</w:t>
      </w:r>
      <w:r>
        <w:rPr>
          <w:rtl w:val="true"/>
        </w:rPr>
        <w:t>:</w:t>
      </w:r>
      <w:r>
        <w:rPr>
          <w:rtl w:val="true"/>
        </w:rPr>
        <w:t>حدود الحرّیة فی توزیع الثروات المنقولة</w:t>
      </w:r>
      <w:bookmarkEnd w:id="720"/>
    </w:p>
    <w:p>
      <w:pPr>
        <w:pStyle w:val="Heading5"/>
        <w:numPr>
          <w:ilvl w:val="4"/>
          <w:numId w:val="1"/>
        </w:numPr>
        <w:rPr/>
      </w:pPr>
      <w:bookmarkStart w:id="721" w:name="__RefHeading___Toc97592_581953129"/>
      <w:bookmarkStart w:id="722" w:name="_Toc289"/>
      <w:bookmarkEnd w:id="721"/>
      <w:r>
        <w:rPr>
          <w:rtl w:val="true"/>
        </w:rPr>
        <w:t>اشارة</w:t>
      </w:r>
      <w:bookmarkEnd w:id="722"/>
    </w:p>
    <w:p>
      <w:pPr>
        <w:pStyle w:val="BookText"/>
        <w:rPr/>
      </w:pPr>
      <w:r>
        <w:rPr>
          <w:rFonts w:ascii="IRNazanin" w:hAnsi="IRNazanin" w:eastAsia="IRNazanin"/>
          <w:color w:val="111111"/>
          <w:sz w:val="28"/>
          <w:sz w:val="28"/>
          <w:szCs w:val="28"/>
          <w:rtl w:val="true"/>
          <w:lang w:bidi="fa-IR"/>
        </w:rPr>
        <w:t>وتشمل الثروات المنقولة حسب ما ذکرنا المعادن الظاهرة و الباطنة،وکذلک باقی الثروات المتحرّکة کالمیاه و النبات،والحیوان وما إلیها،فقد اعتبروا هذه الثروات المنقولة من المشترکات العامّة،إلّا أنّ المعادن منها مع کونها کذلک إلّا أنّها فی ذات الوقت تُعدّ من الأنفال فتجری علیها ملکیة الدولة لا الملکیة العامّة؛ولأجل ذلک سنقسّم بحثنا هنا إلی قسمین یتعلّق الأوّل بالمعادن،والثانی ببقیة الثروات</w:t>
      </w:r>
      <w:r>
        <w:rPr>
          <w:rFonts w:eastAsia="IRNazanin" w:cs="IRNazanin"/>
          <w:color w:val="111111"/>
          <w:sz w:val="28"/>
          <w:szCs w:val="28"/>
          <w:rtl w:val="true"/>
          <w:lang w:bidi="fa-IR"/>
        </w:rPr>
        <w:t>:</w:t>
      </w:r>
    </w:p>
    <w:p>
      <w:pPr>
        <w:pStyle w:val="Heading5"/>
        <w:numPr>
          <w:ilvl w:val="4"/>
          <w:numId w:val="1"/>
        </w:numPr>
        <w:rPr/>
      </w:pPr>
      <w:bookmarkStart w:id="723" w:name="__RefHeading___Toc97594_581953129"/>
      <w:bookmarkStart w:id="724" w:name="_Toc290"/>
      <w:bookmarkEnd w:id="723"/>
      <w:r>
        <w:rPr>
          <w:rtl w:val="true"/>
        </w:rPr>
        <w:t>أوّلاً</w:t>
      </w:r>
      <w:r>
        <w:rPr>
          <w:rtl w:val="true"/>
        </w:rPr>
        <w:t>:</w:t>
      </w:r>
      <w:r>
        <w:rPr>
          <w:rtl w:val="true"/>
        </w:rPr>
        <w:t>المعادن</w:t>
      </w:r>
      <w:bookmarkEnd w:id="724"/>
    </w:p>
    <w:p>
      <w:pPr>
        <w:pStyle w:val="Heading6"/>
        <w:numPr>
          <w:ilvl w:val="5"/>
          <w:numId w:val="1"/>
        </w:numPr>
        <w:rPr/>
      </w:pPr>
      <w:bookmarkStart w:id="725" w:name="__RefHeading___Toc97596_581953129"/>
      <w:bookmarkStart w:id="726" w:name="_Toc291"/>
      <w:bookmarkEnd w:id="725"/>
      <w:r>
        <w:rPr>
          <w:rtl w:val="true"/>
        </w:rPr>
        <w:t>اشارة</w:t>
      </w:r>
      <w:bookmarkEnd w:id="7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وتنقسم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الکلام عنها فی فصل الانتاج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الباطنة و المعادن الظاهرة ولکلّ منها خصوصیتها التی سنبینها کالتالی</w:t>
      </w:r>
      <w:r>
        <w:rPr>
          <w:rFonts w:eastAsia="IRNazanin" w:cs="IRNazanin"/>
          <w:color w:val="111111"/>
          <w:sz w:val="28"/>
          <w:szCs w:val="28"/>
          <w:rtl w:val="true"/>
          <w:lang w:bidi="fa-IR"/>
        </w:rPr>
        <w:t>:</w:t>
      </w:r>
      <w:bookmarkStart w:id="727" w:name="pg5204_66260"/>
    </w:p>
    <w:p>
      <w:pPr>
        <w:pStyle w:val="Heading6"/>
        <w:numPr>
          <w:ilvl w:val="5"/>
          <w:numId w:val="1"/>
        </w:numPr>
        <w:rPr/>
      </w:pPr>
      <w:bookmarkStart w:id="728" w:name="__RefHeading___Toc97598_581953129"/>
      <w:bookmarkStart w:id="729" w:name="_Toc292"/>
      <w:bookmarkEnd w:id="727"/>
      <w:bookmarkEnd w:id="728"/>
      <w:r>
        <w:rPr>
          <w:rtl w:val="true"/>
        </w:rPr>
        <w:t>أ</w:t>
      </w:r>
      <w:r>
        <w:rPr>
          <w:rtl w:val="true"/>
        </w:rPr>
        <w:t>)</w:t>
      </w:r>
      <w:r>
        <w:rPr>
          <w:rtl w:val="true"/>
        </w:rPr>
        <w:t>المعادن الباطنة</w:t>
      </w:r>
      <w:r>
        <w:rPr>
          <w:rtl w:val="true"/>
        </w:rPr>
        <w:t>:</w:t>
      </w:r>
      <w:bookmarkEnd w:id="729"/>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تعریفها فی فصل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البعیدة عن سطح الأرض أو القریبة منه،ولکنّها تحتاج إلی جهد فی تحصیلها أو فی تطویرها،وهی بهذا تکون علی عکس المعادن الظاهرة کالملح التی لا تحتاج إلی مثل هکذا جهد بوجودها علی سطح الأرض أو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وتدخل هذه المعادن تحت تصرّف الحاکم الشرعی؛إذ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المعدن کلّه معدود من الأنفال التی تختصّ بالدولة بملکیتها له والاهتمام به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قد تقدّمت الحدود الواجب مراعاتها فی إنتاج مثل هذه المعادن فی بحث الإنتاج،والتی تُعدّ بحدّ ذاتها أسلوباً وحدوداً لتوزیعها،ویعدّ استئذان الحاکم الشرعی فی استخراجها وحیازتها من أهمّ تلک الحدود باعتبار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مَلک الأرض مطلقاً،بجمیع أجزائها،و هذا من أجزائها</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هو بهذا یقتصر علی تملّک ما استُخرج فعلیاً ولا یتعدّی لما سواه،و هو یستدعی أیضاً عدم التجاوز علی القدر الذی سمح به الحاکم،ویستلزم اشتراک الجمیع فی حقّ الاستفادة من ثروات الطبیعة وتنظیم عملیة الاستفادة تلک؛عدم مزاحمة اللّاحق للسابق فیما قام به من عمل لتملّکه،وعدم منع السابق للّاحق،کذلک فیما لا یؤثّر علی ما یقوم به من عملیة الحیازة،وکذا تطلّبه عدم التجاوز علی الحریم الخاصّ للأفراد و العامّ للمجتمع و الأملاک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الکلام عن جمیع ذلک فی مطلب الاستخراج من مبحث حدود الحرّیة فی الإنتاج الصناعی</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ولکنّ النقطة التی لا بدّ من الإشارة إلیها هنا هی أنّ هذه المعادن باعتبارها مُلکاً للدولة لا تقتصر ملکیتها لها علی وجودها فی أراضی الدولة،بل إنّها تشمل کلّ أرض مواتاً کانت أو عامرةً وبجمیع أقسامهما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فملکیة الأرض التی أسلم علیها أهلها طوعاً لا یستلزم بالضرورة ملکیتهم للمعادن الباطنة فیها؛لأنّ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حقن الدم و المال بالإسلام،لا یشرّع ملکیة جدیدة،و إنّما یحفظ للشخص بسبب دخوله فی الإسلام،ما کان یملکه من أموال قبل ذلک،ولیست المناجم من تلک الأموال لیملکها بالإسلام</w:t>
      </w:r>
      <w:r>
        <w:rPr>
          <w:rFonts w:eastAsia="IRNazanin" w:cs="IRNazanin"/>
          <w:color w:val="111111"/>
          <w:sz w:val="28"/>
          <w:szCs w:val="28"/>
          <w:rtl w:val="true"/>
          <w:lang w:bidi="fa-IR"/>
        </w:rPr>
        <w:t xml:space="preserve">. </w:t>
      </w:r>
      <w:r>
        <w:rPr>
          <w:rStyle w:val="FootnoteAnchor"/>
          <w:rtl w:val="true"/>
        </w:rPr>
        <w:footnoteReference w:id="869"/>
      </w:r>
      <w:bookmarkStart w:id="730" w:name="pg5204_66261"/>
    </w:p>
    <w:p>
      <w:pPr>
        <w:pStyle w:val="BookText"/>
        <w:rPr/>
      </w:pPr>
      <w:bookmarkEnd w:id="730"/>
      <w:r>
        <w:rPr>
          <w:rFonts w:ascii="IRNazanin" w:hAnsi="IRNazanin" w:eastAsia="IRNazanin"/>
          <w:color w:val="111111"/>
          <w:sz w:val="28"/>
          <w:sz w:val="28"/>
          <w:szCs w:val="28"/>
          <w:rtl w:val="true"/>
          <w:lang w:bidi="fa-IR"/>
        </w:rPr>
        <w:t>وبطبیعة الحال هو أنّنا عندما نتکلّم عن حدود توزیعها بالاستخراج،فإنّما نتکلّم عن ذلک بالعنوان الابتدائی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عملیة حیازتها تجوز ابتداءً وبتلک الحدود و الشروط وبغض النظر عن جمیع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نلاحظ فی ذلک ما یقرّره الحاکم و إن کنّا تکلّمنا عن لزوم استئذانه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سبق وأن لاحظنا أنّ أغلب الأحکام الاقتصادیة فی الإسلام تخضع فی النتیجة إلی ما یتّخذه الحاکم الشرعی من قرارات وما یراه من مصالح عامّة تضمن حقوق المجتمع علی حدّ سواء،هذا إضافة إلی أنّه یعتبر المالک الأصلی لهذه المعادن،فیتّخذ من القرارات ما یراه مناساً فی السماح بتملّکها ملکیةً خاصّةً أم لا</w:t>
      </w:r>
      <w:r>
        <w:rPr>
          <w:rFonts w:eastAsia="IRNazanin" w:cs="IRNazanin"/>
          <w:color w:val="111111"/>
          <w:sz w:val="28"/>
          <w:szCs w:val="28"/>
          <w:rtl w:val="true"/>
          <w:lang w:bidi="fa-IR"/>
        </w:rPr>
        <w:t>.</w:t>
      </w:r>
    </w:p>
    <w:p>
      <w:pPr>
        <w:pStyle w:val="Heading6"/>
        <w:numPr>
          <w:ilvl w:val="5"/>
          <w:numId w:val="1"/>
        </w:numPr>
        <w:rPr/>
      </w:pPr>
      <w:bookmarkStart w:id="731" w:name="__RefHeading___Toc97600_581953129"/>
      <w:bookmarkStart w:id="732" w:name="_Toc293"/>
      <w:bookmarkEnd w:id="731"/>
      <w:r>
        <w:rPr>
          <w:rtl w:val="true"/>
        </w:rPr>
        <w:t>ب</w:t>
      </w:r>
      <w:r>
        <w:rPr>
          <w:rtl w:val="true"/>
        </w:rPr>
        <w:t>)</w:t>
      </w:r>
      <w:r>
        <w:rPr>
          <w:rtl w:val="true"/>
        </w:rPr>
        <w:t>المعادن الظاهرة</w:t>
      </w:r>
      <w:r>
        <w:rPr>
          <w:rtl w:val="true"/>
        </w:rPr>
        <w:t>:</w:t>
      </w:r>
      <w:bookmarkEnd w:id="732"/>
    </w:p>
    <w:p>
      <w:pPr>
        <w:pStyle w:val="BookText"/>
        <w:rPr/>
      </w:pPr>
      <w:r>
        <w:rPr>
          <w:rFonts w:ascii="IRNazanin" w:hAnsi="IRNazanin" w:eastAsia="IRNazanin"/>
          <w:color w:val="111111"/>
          <w:sz w:val="28"/>
          <w:sz w:val="28"/>
          <w:szCs w:val="28"/>
          <w:rtl w:val="true"/>
          <w:lang w:bidi="fa-IR"/>
        </w:rPr>
        <w:t>وهی التی لا تحتاج إلی بذل جهد معتدّ به للانتفاع بها حیازةً وتطویراً لوجودها علی سطح الأرض أو قریباً منه،فهی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المباحات لعامّة الناس،مسلمهم وکافرهم،رغم کونها من الأنفال،فمن أخذ شیئاً وحازه ونقله عن محلّه فهو له لا ینازعه فیه غیره</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هذا باعتبارها من المشترکات العامّة التی یتساوی الناس فی حقّ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ولخصوصیتها کثروة مهمّة،فللحاکم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یستثمرها بقدر ما توفّره الشروط المادّیة للإنتاج والاستخراج،من إمکانات،ویضع ثمارها فی خدمة الناس</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علی اعتبار أنّها خاضعةٌ لملکیة الدولة و إن کانت من المباحات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 أنّ له الحقّ فی المنع من استثمارها استثماراً خاصّاً فی الحالات الاستثنائیة،ولا فرق فی حکمها ذاک ما کان موجوداً منها فی أرض موات أو عامرة بجمیع أقسامهما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 من حیث المبدأ</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یسمح فی المواد المعدنیة التی تقع قریباً من سطح الأرض بتملّکها،وهی فی مکانها ملکیةً خاصّة،و إنّما یأذن لکلّ فرد أن یمتلک الکمیة التی یأخذها ویحوزها من تلک المواد،علی أن لا تتجاوز الکمیة حدّاً معقولاً،ولا تبلغ الدرجة التی یصبح استیلاء الفرد علیها وحیازته لها سبباً للضرر الاجتماعی،والضیق علی الآخرین</w:t>
      </w:r>
      <w:r>
        <w:rPr>
          <w:rFonts w:eastAsia="IRNazanin" w:cs="IRNazanin"/>
          <w:color w:val="111111"/>
          <w:sz w:val="28"/>
          <w:szCs w:val="28"/>
          <w:rtl w:val="true"/>
          <w:lang w:bidi="fa-IR"/>
        </w:rPr>
        <w:t xml:space="preserve">. </w:t>
      </w:r>
      <w:r>
        <w:rPr>
          <w:rStyle w:val="FootnoteAnchor"/>
          <w:rtl w:val="true"/>
        </w:rPr>
        <w:footnoteReference w:id="872"/>
      </w:r>
      <w:bookmarkStart w:id="733" w:name="pg5204_66262"/>
    </w:p>
    <w:p>
      <w:pPr>
        <w:pStyle w:val="BookText"/>
        <w:rPr/>
      </w:pPr>
      <w:bookmarkEnd w:id="733"/>
      <w:r>
        <w:rPr>
          <w:rFonts w:ascii="IRNazanin" w:hAnsi="IRNazanin" w:eastAsia="IRNazanin"/>
          <w:color w:val="111111"/>
          <w:sz w:val="28"/>
          <w:sz w:val="28"/>
          <w:szCs w:val="28"/>
          <w:rtl w:val="true"/>
          <w:lang w:bidi="fa-IR"/>
        </w:rPr>
        <w:t>فإذا رأی الحاکم الشرعی غیر ذلک ممّا یصبّ فی المصلحة العامّة،وإیجاد التوازن المعیشی،فهو ولیها و القائم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عن الحدود التی تخضع لها عملیة تملّکها وحیازتها فی مطلب الاستخراج،مع کونها تُعدّ حدوداً للإنتاج؛إذ إنّ التوزیع مترتّب علی الإنتاج المتقوّم بالعمل المباشر،لا غیر</w:t>
      </w:r>
      <w:r>
        <w:rPr>
          <w:rFonts w:eastAsia="IRNazanin" w:cs="IRNazanin"/>
          <w:color w:val="111111"/>
          <w:sz w:val="28"/>
          <w:szCs w:val="28"/>
          <w:rtl w:val="true"/>
          <w:lang w:bidi="fa-IR"/>
        </w:rPr>
        <w:t>.</w:t>
      </w:r>
    </w:p>
    <w:p>
      <w:pPr>
        <w:pStyle w:val="Heading5"/>
        <w:numPr>
          <w:ilvl w:val="4"/>
          <w:numId w:val="1"/>
        </w:numPr>
        <w:rPr/>
      </w:pPr>
      <w:bookmarkStart w:id="734" w:name="__RefHeading___Toc97602_581953129"/>
      <w:bookmarkStart w:id="735" w:name="_Toc294"/>
      <w:bookmarkEnd w:id="734"/>
      <w:r>
        <w:rPr>
          <w:rtl w:val="true"/>
        </w:rPr>
        <w:t>ثانیاً</w:t>
      </w:r>
      <w:r>
        <w:rPr>
          <w:rtl w:val="true"/>
        </w:rPr>
        <w:t>:</w:t>
      </w:r>
      <w:r>
        <w:rPr>
          <w:rtl w:val="true"/>
        </w:rPr>
        <w:t>باقی الثروات</w:t>
      </w:r>
      <w:bookmarkEnd w:id="735"/>
    </w:p>
    <w:p>
      <w:pPr>
        <w:pStyle w:val="BookText"/>
        <w:rPr/>
      </w:pPr>
      <w:r>
        <w:rPr>
          <w:rFonts w:ascii="IRNazanin" w:hAnsi="IRNazanin" w:eastAsia="IRNazanin"/>
          <w:color w:val="111111"/>
          <w:sz w:val="28"/>
          <w:sz w:val="28"/>
          <w:szCs w:val="28"/>
          <w:rtl w:val="true"/>
          <w:lang w:bidi="fa-IR"/>
        </w:rPr>
        <w:t>والتی تشمل المیاه و النباتات الطبیعیة و الحیوانات السارحة فی الطبیعة التی لم تسبق علیها ملکیة أحد،فهی تُعدّ من المباحات العامّة التی یستطیع أی شخص کان أن یمارس عملیة تملّکها،وذلک ضمن الحدود التی تخضع لها عملیة إنتاجها المتمثّلة بالحیازة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سبق الکلام مفصّلاً عن عملیة إنتاجها و التی تترتّب علیها مسألة توزیعها ممّا أشرنا إلیه کثیراً،و قد جاءت تلک الحدود المختصّة بالمیاه و النبات و الحیوان،لتبین أنّها تخضع لممارسة عمل انتفاعی علیها باعتبار أنّها لیست کالأرض التی تحتاج إلی عمل تنموی إحیائی،فلا یمکن حیازتها وتملّکها إلّا من خلال ذلک العمل الذی یلزم أن یکون انتفاعیاً،هذا إضافةً إلی مراعاة حقوق الآخرین فی کیفیة حیازتها بما لا یلحق ضررّاً بهم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نکون قد أتممنا الکلام فی مبحث حدود حرّیة توزیع ما قبل الانتاج،والذی اختصّ بثروات الطبیعة أراضی ومعادن ومیاه،و نباتات وحیوانات</w:t>
      </w:r>
      <w:r>
        <w:rPr>
          <w:rFonts w:eastAsia="IRNazanin" w:cs="IRNazanin"/>
          <w:color w:val="111111"/>
          <w:sz w:val="28"/>
          <w:szCs w:val="28"/>
          <w:rtl w:val="true"/>
          <w:lang w:bidi="fa-IR"/>
        </w:rPr>
        <w:t>.</w:t>
      </w:r>
      <w:bookmarkStart w:id="736" w:name="pg5204_66264"/>
    </w:p>
    <w:p>
      <w:pPr>
        <w:pStyle w:val="Heading3"/>
        <w:numPr>
          <w:ilvl w:val="2"/>
          <w:numId w:val="1"/>
        </w:numPr>
        <w:rPr/>
      </w:pPr>
      <w:bookmarkStart w:id="737" w:name="__RefHeading___Toc97604_581953129"/>
      <w:bookmarkStart w:id="738" w:name="_Toc295"/>
      <w:bookmarkEnd w:id="736"/>
      <w:bookmarkEnd w:id="737"/>
      <w:r>
        <w:rPr>
          <w:rtl w:val="true"/>
        </w:rPr>
        <w:t>المبحث الثالث</w:t>
      </w:r>
      <w:bookmarkEnd w:id="738"/>
    </w:p>
    <w:p>
      <w:pPr>
        <w:pStyle w:val="Heading4"/>
        <w:numPr>
          <w:ilvl w:val="3"/>
          <w:numId w:val="1"/>
        </w:numPr>
        <w:rPr/>
      </w:pPr>
      <w:bookmarkStart w:id="739" w:name="__RefHeading___Toc97606_581953129"/>
      <w:bookmarkStart w:id="740" w:name="_Toc296"/>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حدود الحرّیة فی توزیع ما بعد الإنتاج</w:t>
      </w:r>
    </w:p>
    <w:p>
      <w:pPr>
        <w:pStyle w:val="BookText"/>
        <w:rPr/>
      </w:pPr>
      <w:r>
        <w:rPr>
          <w:rFonts w:ascii="IRNazanin" w:hAnsi="IRNazanin" w:eastAsia="IRNazanin"/>
          <w:color w:val="111111"/>
          <w:sz w:val="28"/>
          <w:sz w:val="28"/>
          <w:szCs w:val="28"/>
          <w:rtl w:val="true"/>
          <w:lang w:bidi="fa-IR"/>
        </w:rPr>
        <w:t>کنّا إلی الآن نتکلّم فی حدود حرّیة توزیع ما قبل الإنتاج،وقلنا إنّ ذلک یرتبط بالثروات الأوّلیة المبثوثة فی الطبیعة قبل أن تطالها ید الإنسان؛أمّا الآن،فإنّ کلامنا سیرتبط بالثروات الثانویة التی أنتجها الإنسان من خلال استثماره لتلک الثروات الأوّلیة،أی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الثروات التی وقعت فی یده بعد أن تمّ إنتاجها فی عمل سابق؛إمّا من خلال حیازتها للانتفاع بها أو ممارسته عملاً إحیائیاً علیها أدّی إلی إنتاجها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قد تحدّثنا عن ذلک فی الضابط الثانی من ضوابط التوزیع،والذی اتّضح من خلاله أنّ توزیع ما بعد الإنتاج یقوم علی أساس العمل المنفَق لا غیر،و هذا العمل المنفَق؛إمّا أن یکون عملاً مباشراً کعمل الأجیر وعملیات التداول من خلال رأس المال و السلع،أو عملاً مختزَناً،و هو الذی یتمثّل بأدوات الإنتاج،وکذا ما یمکن الانتفاع به بأنواع الانتفاعات کالدار ونحوها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بالتالی یقع علی العناصر التی ساهمت فیه،والتی تتمثّل بالعمل ذاته،وبالأداة التی یتمّ استخدامها فی ذلک العمل،وبالمادّة التی وقع علیها العمل ورأس المال،و هو ما تمّ تحصیله من خلال الإنتاج أجرةً أو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فنخلص من ذلک إلی أنّ ما یرتبط بموضوع بحثنا هنا یتمثّل بالعناصر المتقدّمة،والتی سنتطرّق إلی الحدود التی تخضع لها حرّیة توزیع النتاج علیها فی هذا المبحث؛ولأجل أن یکون البحث أکثر وضوحاً فسنتجنّب ذکر تلک الحدود بشکل عشوائی،ونحاول أن نبحث کلّ عنصر من تلک العناصر علی حِدة</w:t>
      </w:r>
      <w:r>
        <w:rPr>
          <w:rFonts w:eastAsia="IRNazanin" w:cs="IRNazanin"/>
          <w:color w:val="111111"/>
          <w:sz w:val="28"/>
          <w:szCs w:val="28"/>
          <w:rtl w:val="true"/>
          <w:lang w:bidi="fa-IR"/>
        </w:rPr>
        <w:t>:</w:t>
      </w:r>
      <w:bookmarkStart w:id="741" w:name="pg5204_66265"/>
    </w:p>
    <w:p>
      <w:pPr>
        <w:pStyle w:val="Heading4"/>
        <w:numPr>
          <w:ilvl w:val="3"/>
          <w:numId w:val="1"/>
        </w:numPr>
        <w:rPr/>
      </w:pPr>
      <w:bookmarkStart w:id="742" w:name="__RefHeading___Toc97608_581953129"/>
      <w:bookmarkStart w:id="743" w:name="_Toc297"/>
      <w:bookmarkEnd w:id="741"/>
      <w:bookmarkEnd w:id="742"/>
      <w:r>
        <w:rPr>
          <w:rtl w:val="true"/>
        </w:rPr>
        <w:t>أوّلاً</w:t>
      </w:r>
      <w:r>
        <w:rPr>
          <w:rtl w:val="true"/>
        </w:rPr>
        <w:t>:</w:t>
      </w:r>
      <w:r>
        <w:rPr>
          <w:rtl w:val="true"/>
        </w:rPr>
        <w:t>مادّة الإنتاج</w:t>
      </w:r>
      <w:bookmarkEnd w:id="743"/>
    </w:p>
    <w:p>
      <w:pPr>
        <w:pStyle w:val="BookText"/>
        <w:rPr/>
      </w:pPr>
      <w:r>
        <w:rPr>
          <w:rFonts w:ascii="IRNazanin" w:hAnsi="IRNazanin" w:eastAsia="IRNazanin"/>
          <w:color w:val="111111"/>
          <w:sz w:val="28"/>
          <w:sz w:val="28"/>
          <w:szCs w:val="28"/>
          <w:rtl w:val="true"/>
          <w:lang w:bidi="fa-IR"/>
        </w:rPr>
        <w:t>إنّ المقصود بالمادّة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 إنتاجه بالإنتاج الأوّلی،فما نقصده من المادّة هو الشیء الذی یمکن تنمیته وتکثیره ذاتیاً عن طریق العملیات التطویریة أو قیمةً بواسطة العملیات التداولیة،فهو یشمل جمیع الأشیاء التی تمّ إنتاجها،والتی قلنا إنّ ملکیتها قد تعلّقت بشخص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کلّ ما یعرض علی هذه المادّة من نماء وزیادة یتعلّق بمالکها،ولیس لأی شخص آخر الحقّ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یسمح لشخص آخر أن یحصل علی ملکیة جدیدة فی المادّة و إن منحها بعمله قیمةً جدیدة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وطبعاً عندما نقرّر ذلک لا نقصد انطباق ذلک علی أدوات الإنتاج من ناحیة ما تساهم فیه من تنمیة وتطویر،حیث إنّها لا تنمو وتتطوّر بذاتها و إنّما استُخدمت فی تطویر وتنمیة غیرها،و هو ما سنتطرّق إلیه فی فقرة أدوات الإنتاج،ولکنّه ینطبق علیها من ناحیة کونها منتَجةً بإنتاج سابق،فهی متعلّقةٌ بمنتجها،فهی تعتبر علی هذا الأساس سلعةً یمکن تداولها بیعاً وشراءً وتنمیة قیمتها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أُرید تنمیة المادّة الإنتاجیة من دون عملیة إنتاجیة حقیقیة،کما یجری فی عملیة الإقراض المأخوذ علیها زیادة،فإنّه لا یسمح لها بذلک؛إذ إنّه سیکون مخالفاً لضابط أساسی من ضوابط التوزیع،و هو قیامه علی العمل الفعلی،وعلی هذا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علی المقرض أخذ شیء زیادة علی القرض؛فإنّه لا فرق أن تکون الزیادة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تکون منفعة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فإذا اتّضح هذا نقول؛بإنّه لا یسمح بخروج نفس النماء الذی یعرض علی المادّة الإنتاجیة،تطویراً وتداولاً،عن ملکیة مالک تلک المادّة بممارسة 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ظهر بطلان العقد فی مجال التداول،فإنّ الربح الذی یحصل فیه یکون للمالک أیضاً،کما فی عقد المضاربة الذی یختصّ من بین جمیع البیوع بصحّة مشارکة العامل للمالک فی الربح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حصل الربح کان شریکه فی الربح و إذا فسد العقد کانت إجارة فاسدة حتّی یکون للمضارب أجر مثل عمله </w:t>
      </w:r>
      <w:r>
        <w:rPr>
          <w:rStyle w:val="FootnoteAnchor"/>
          <w:rtl w:val="true"/>
        </w:rPr>
        <w:footnoteReference w:id="875"/>
      </w:r>
      <w:bookmarkStart w:id="744" w:name="pg5204_66266"/>
    </w:p>
    <w:p>
      <w:pPr>
        <w:pStyle w:val="BookText"/>
        <w:rPr/>
      </w:pPr>
      <w:bookmarkEnd w:id="744"/>
      <w:r>
        <w:rPr>
          <w:rFonts w:ascii="IRNazanin" w:hAnsi="IRNazanin" w:eastAsia="IRNazanin"/>
          <w:color w:val="111111"/>
          <w:sz w:val="28"/>
          <w:sz w:val="28"/>
          <w:szCs w:val="28"/>
          <w:rtl w:val="true"/>
          <w:lang w:bidi="fa-IR"/>
        </w:rPr>
        <w:t>ففی حالة ظهور بطلان العقد یکون الربح بکامله للمالک،فهو رجوعٌ إلی الأصل المتمثّل بثبوت الربح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مجال التطویر،کما فی المزارعة علی سبیل المثال،یکون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الزرع الموجود لصاحب البذر،فإن کان البذر للمالک فعلیه أجرة مثل عمل العامل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فمع أنّ العامل قد کان عمل علی البذر،إلّا أنّ ملکیة الزرع الذی هو نماء البذر تکون لمالک البذر،لا للزارع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تتدخّل إی عوامل أخری کذلک فی فصل هذا النماء عن مالک مادّته،ففی نفس الحالة المتقدّمة لو کان البذر من العامل لا من صاحب الأرض،فعند بطلان عقد المزارعة،یکون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الخارج کلّه للزارع لأنّه نماء بذره وعلیه أجر مثل نصف الأرض لصاحبه؛لأنّه استوفی منفعة نصیبه من الأرض بعقد فاسد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فلا یحدث أی حقّ لصاحب الأرض فی الزرع من خلال مساهمة أرضه فی إنتاجه،ففی کلتا الحالتین لاحظنا أنّ الزرع یکون مملوکاً لصاحب البذر سواء کان صاحب الأرض أو الزارع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البذر هو الذی یکوّن المادّة الأساسیة للزرع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والتطویر الذی نتکلّم عنه یقتصر علی المادّة الخام،ولا یجعله شاملاً لرأس المال،فرأس المال تقتصر عملیة تنمیته علی العملیات التجاریة؛أمّا أن نعتبر رأس المال کالمادّة الخام فی عملیة التطویر فیسمح أن یکون له حقّاً فی النتاج فهذا ما سیجئ الکلام حوله فی فقرة رأس المال</w:t>
      </w:r>
      <w:r>
        <w:rPr>
          <w:rFonts w:eastAsia="IRNazanin" w:cs="IRNazanin"/>
          <w:color w:val="111111"/>
          <w:sz w:val="28"/>
          <w:szCs w:val="28"/>
          <w:rtl w:val="true"/>
          <w:lang w:bidi="fa-IR"/>
        </w:rPr>
        <w:t>.</w:t>
      </w:r>
    </w:p>
    <w:p>
      <w:pPr>
        <w:pStyle w:val="Heading4"/>
        <w:numPr>
          <w:ilvl w:val="3"/>
          <w:numId w:val="1"/>
        </w:numPr>
        <w:rPr/>
      </w:pPr>
      <w:bookmarkStart w:id="745" w:name="__RefHeading___Toc97610_581953129"/>
      <w:bookmarkStart w:id="746" w:name="_Toc298"/>
      <w:bookmarkEnd w:id="745"/>
      <w:r>
        <w:rPr>
          <w:rtl w:val="true"/>
        </w:rPr>
        <w:t>ثانیاً</w:t>
      </w:r>
      <w:r>
        <w:rPr>
          <w:rtl w:val="true"/>
        </w:rPr>
        <w:t>:</w:t>
      </w:r>
      <w:r>
        <w:rPr>
          <w:rtl w:val="true"/>
        </w:rPr>
        <w:t>العمل</w:t>
      </w:r>
      <w:bookmarkEnd w:id="746"/>
    </w:p>
    <w:p>
      <w:pPr>
        <w:pStyle w:val="BookText"/>
        <w:rPr/>
      </w:pPr>
      <w:r>
        <w:rPr>
          <w:rFonts w:ascii="IRNazanin" w:hAnsi="IRNazanin" w:eastAsia="IRNazanin"/>
          <w:color w:val="111111"/>
          <w:sz w:val="28"/>
          <w:sz w:val="28"/>
          <w:szCs w:val="28"/>
          <w:rtl w:val="true"/>
          <w:lang w:bidi="fa-IR"/>
        </w:rPr>
        <w:t>ویلعب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 مهمّاً وأساسیاً فی عملیة التوزیع،فهو فی الإنتاج الأوّلی الذی یمارَس علی الطبیعة یستأثر بجمیع ما یناله من دون مشارکة أحد للعامل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نحن فیه من وقوعه علی ما ثبتت ملکیته فی مرحلة سابقة،فما ینتجه عمل المالک الواقع علی ما یملکه یختصّ بالمالک کما مرّ فی الفقرة السابقة؛أما العمل الصادر من غیر المالک علی ما یملکه،فقد سمح الإسلام بنوعین من المکافأة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فنوعٌ منه سمح بأن تکون مکافأته الأجرة،کالأعمال العادّیة التی غالباً ما تکون خدمیةً</w:t>
      </w:r>
    </w:p>
    <w:p>
      <w:pPr>
        <w:pStyle w:val="BookText"/>
        <w:rPr/>
      </w:pPr>
      <w:r>
        <w:rPr>
          <w:rFonts w:ascii="IRNazanin" w:hAnsi="IRNazanin" w:eastAsia="IRNazanin"/>
          <w:color w:val="111111"/>
          <w:sz w:val="28"/>
          <w:sz w:val="28"/>
          <w:szCs w:val="28"/>
          <w:rtl w:val="true"/>
          <w:lang w:bidi="fa-IR"/>
        </w:rPr>
        <w:t>ولا یراد منها الاستثمار،کما إذا دفع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سلعة إلی غیره،لیعمل فیها عملاً،فإن کان ممّن عادته أن یستأجر لذلک العمل کالغسّال و القصّار،فله أجرة مثل عمله،و إن لم تکن له عادّة،وکان العمل ممّا له أجرة،فله المطالبة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فالغسالة و القصارة و الحمل،وأضرابها لا تقوم بتطویر المادّة وتنمیتها بشکل یحوّلها إلی شیء مغایر،وذلک علی اعتبار عدم وجود نتاج من الأساس،فهی تستحقّ الأجرة؛أمّا العمل التطویری،کما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 إلی حداد حدیداً لیعمل له إناءً معلوماً بأجر معلوم أو جلداً إلی خفّاف لیعمل له خفّاً معلوماً بأجر معلوم فذلک جائز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فهو سمح بأن تکون مکافأته الأجرة ولکنّه سمح فیه بنوع آخر من المکافأة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یسمح للعامل و الأجیر تقاضی أجرةً معلومة المقدار لقاء عمله سواء کان تطویریاً أو غیر تطویری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والمکافأة الأخری التی سمح بها للعامل فی العمل التطویری و التنموی تتمثّل بمشارکته المالک فی نتاج مادّته،ولیس نفس المادّة،ولکن لیس علی سبیل التعیین،فسماحه هذا قائمٌ علی أساس المخاطرة،والتی تعبّر عن حالة واقعیة تتمثّل بتحمّل العامل نتائج الفشل الذی قد یتعرّض له ذلک العمل،وفی حالة عدم قبوله بتحمّل ذلک،فلا یستحقّ حینها إلّا الأجرة،و هذا العمل یشمل الأعمال التطویریة کالزراعة و الصناعة،أو الأعمال التجاریة بما تؤدّی إلیه من تنامی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فالأعمال التطویریة تشمل الزراعة،وذلک من خلال عقد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 الکلام عنه ملیاً فی فصل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وقلنا فیه إنّ المزارع و المالک یشترکان بنتاج ذلک الزرع نفسه،ولیس من غیره حسب النسبة الکسریة التی اتّفقا علیها،ولیس مقداراً معلوماً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تکون من جمیع أجزاء ذلک الزرع؛وعلی هذا فیلزم أن تکون الحصّة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جزءاً شائعاً من الجملة حتّی لو شرط لأحدهما ققزاناً معلومة لا یصحّ العقد</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أنّه عملٌ تطویری فإنّ حقّ العامل یتعلّق بنفس ما أنتجه و الشامل لجمیع أجزائه</w:t>
      </w:r>
    </w:p>
    <w:p>
      <w:pPr>
        <w:pStyle w:val="BookText"/>
        <w:rPr/>
      </w:pPr>
      <w:r>
        <w:rPr>
          <w:rFonts w:ascii="IRNazanin" w:hAnsi="IRNazanin" w:eastAsia="IRNazanin"/>
          <w:color w:val="111111"/>
          <w:sz w:val="28"/>
          <w:sz w:val="28"/>
          <w:szCs w:val="28"/>
          <w:rtl w:val="true"/>
          <w:lang w:bidi="fa-IR"/>
        </w:rPr>
        <w:t>المتردّد بین الزیادة و النقصان،لا بمقدار معین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المشارکة فی الربح فیها یقوم علی أساس مخاطرة العامل به فیما لو فشلت المزارعة فی نتائجها،وإلّا لا معنی لأن یکون شریکاً علی أن یربح فقط،ولا یتحمّل الخسارة،و هو ما تشیر إلیه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 الأرض بالثلث أو بالربع فأقبّلها بالنصف؟قال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فأتقبّلها بألف درهم وأقبّلها بألفین؟قال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الأوّل،ولم یجزِ الثانی؟قال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مضمون وذلک غیر مضمون</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فإنّ الاتّفاق علی مقدار معین من المال یعدّ ضماناً للربح و هو ما یخالف طبیعة الشرکة فیه،والکلام نفسه یجری فی المساقاة،فلا یسمح للعامل فی المزارعة و المساقاة بالمطالبة بتعویض فی حال فشل المشروع الزراعی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الصناعة،فهو یتمثّل فی الجعالة،وهی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یجعل للعامل علی عمله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فتختلف عن الأجارة فی کونها غیر مُلزِمة للعامل بإتیان متعلّقها،فیمکن من خلالها إشراک العامل فی الربح،فیسمح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لتاجر الأخشاب مثلاً أن یعلن استعداده لمنح أی شخص یصنع سریراً من تلک الأخشاب نصف قیمة السریر،فتصبح مکافأة العامل بموجب ذلک مرتبطة بمصیر العملیة التی یمارسها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هو ممّا یجعل الجاعل و العامل غیر مخیرین بالتراجع بحُجّة أنّها جعالة،فالجاعل إنّما یصحّ له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الرجوع بالاتّفاق مع العامل،وإلّا أشکل الرجوع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أمّا العامل فإنّه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ترک العمل موجباً للإضرار بالجاعل أو بمن یکون العمل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إتمام العمل حینئذ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فلا یسمح للعامل فی الجعالة التی یکون فیها شریکاً فی الربح بترک العمل فی حال الإضرار بالمالک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 توزیع النتاج فی تلک الأعمال التطویریة بحسب ما یتّفق علیه ویرتضیه کلٌّ من المالک و العامل،فیکون العامل شریکاً للمالک فی النتاج علی أن یکون ذلک بمقدار ما ینتَج من ذلک العمل؛أمّا فی ما لم ینتَج،فلا یسمح له بالمطالبة بشیء 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وینطبق ذات الأمر فی الأعمال التجاریة،وذلک من خلال عملیة المضاربة التی تتمّ بین صاحب رأس المال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یتحقّق معنی المضاربة إلّا بالشراء و البیع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فقضیة المضاربة تقتصر علی المتاجرة برأس المال بیعاً وشراءً مالاً کان أو عروضاً،و إن لم یجزها البعض فی العروض</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ولا تتعدّی إلی غیرها من الأعمال،فإن کانت عروضاً ممّا یصحّ تطویرها،فیمکن إجراء الصیغ المتقدّمة علیها،و إن کانت مالاً،فلا یصحّ فیه إلّا المضاربة،کما سیأتی فی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بیانها فی الضابط الثانی من ضوابط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العامل للمالک فی الربح بنسبة کسریة أو مئویة معلومة،فیکون للمالک النسبة المتّفق علیها من الربح فی حال حصوله،وسبب السماح له به مع أنّه جاء من خلال رأس المال،هو عدم ضمانه ذلک الربح ولا رأس المال،فتنطبق علیها حالة المخاطرة التی یصحّ فیها الحصول علی الربح،فإنّ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المال،إنّما یستحقّ الربح؛لأنّه نماء ماله لا بالشرط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أمّا العامل،فإنّه یکون مخاطراً بعمله أیضاً؛إذ إنّه سیخرج خاسراً جهوده فی حالة عدم حصول ربح،و هو ما یبرّر مشارکته فی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ربح المال نال کلّ منهما نصیبه منه،و إن لم یربح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أو لم یخسر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المالک بماله أو بما بقی منه دون أن ینال العامل شیء من تلک الخسارة،ودون أن یکون له شیء عوض ما بذله من جهد ضائع</w:t>
      </w:r>
      <w:r>
        <w:rPr>
          <w:rFonts w:eastAsia="IRNazanin" w:cs="IRNazanin"/>
          <w:color w:val="111111"/>
          <w:sz w:val="28"/>
          <w:szCs w:val="28"/>
          <w:rtl w:val="true"/>
          <w:lang w:bidi="fa-IR"/>
        </w:rPr>
        <w:t xml:space="preserve">. </w:t>
      </w:r>
      <w:r>
        <w:rPr>
          <w:rStyle w:val="FootnoteAnchor"/>
          <w:rtl w:val="true"/>
        </w:rPr>
        <w:footnoteReference w:id="89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ذلک أنّ توزیع النتاج علی العمل یرتبط بنوعیة العمل الممارَس علی المادّة المملوکة،وکذا بالاتّفاق الذی یتمّ فیما بین العامل و المالک فیما لوکان العمل تنمویاً أو</w:t>
      </w:r>
      <w:bookmarkStart w:id="747" w:name="pg5204_66270"/>
    </w:p>
    <w:p>
      <w:pPr>
        <w:pStyle w:val="BookText"/>
        <w:rPr/>
      </w:pPr>
      <w:bookmarkEnd w:id="747"/>
      <w:r>
        <w:rPr>
          <w:rFonts w:ascii="IRNazanin" w:hAnsi="IRNazanin" w:eastAsia="IRNazanin"/>
          <w:color w:val="111111"/>
          <w:sz w:val="28"/>
          <w:sz w:val="28"/>
          <w:szCs w:val="28"/>
          <w:rtl w:val="true"/>
          <w:lang w:bidi="fa-IR"/>
        </w:rPr>
        <w:t>تطویراً،فالأصل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العامل سوی الأجرة فی جمیع الأعمال،وله المشارکة فی النتاج أو الربح فی الأعمال التطویریة و التنمویة علی أساس ما یقوم به من عمل مباشر یتسبّب فی نموّها بشرط عدم استحقاقه شیئاً فی حال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ضابطنا الذی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الکسب،و هو العمل،فإنّه لا یسمح لمن استؤجر لأداء عمل ما أن یقوم بدوره باستئجار آخر لیقوم به بأقلّ ممّا استأجره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إذا کان الأوّل قد اشتغل فیه،ولو شیئاً قلیلاً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وینطبق الأمر ذاته علی العین المستأجرة،فیما لو أراد المستأجِر إیجارها،فإنّه لا یسمح له بأخذ الزیادة إذا لم یکن مارس عملاً علیها،فإذا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أصلح فی البیت شیئاً أو طین البیت أو جصّص أو زاد فیه لوحاً فالفضل حلال؛لأنّ الزیادة بمقابلة ما زاد من عنده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فضابط العمل ینطبق علی مورد الإجارة سواء کان عیناً أو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تقدّم کان یرتبط بالقیود التی یخضع لها التوزیع بالنسبة إلی العامل الذی یعمل علی مادّة مملوکة لشخص آخر؛أمّا دخل العمل بالنسبة إلی المالک،فإنّه یتّضح من خلال عدم سماحهم بالربح للمالک فیما لو اشتری شیئاً وأراد بیعه قبل أن یقبضه،فمع أنّ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یملک الحنطة بعد العقد و إن لم یقبضها،ولکنّه بالرغم من ذلک لا یسمح له بالاتّجار بها،والحصول علی ربح ما لم یقبض المال،حرصاً علی ربط الأرباح التجاریة بعمل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وعلی هذا،فلا یسمح بالکسب ما لم یقم علی عمل سواء کان للمالک أو العامل</w:t>
      </w:r>
      <w:r>
        <w:rPr>
          <w:rFonts w:eastAsia="IRNazanin" w:cs="IRNazanin"/>
          <w:color w:val="111111"/>
          <w:sz w:val="28"/>
          <w:szCs w:val="28"/>
          <w:rtl w:val="true"/>
          <w:lang w:bidi="fa-IR"/>
        </w:rPr>
        <w:t>.</w:t>
      </w:r>
    </w:p>
    <w:p>
      <w:pPr>
        <w:pStyle w:val="Heading4"/>
        <w:numPr>
          <w:ilvl w:val="3"/>
          <w:numId w:val="1"/>
        </w:numPr>
        <w:rPr/>
      </w:pPr>
      <w:bookmarkStart w:id="748" w:name="__RefHeading___Toc97612_581953129"/>
      <w:bookmarkStart w:id="749" w:name="_Toc299"/>
      <w:bookmarkEnd w:id="748"/>
      <w:r>
        <w:rPr>
          <w:rtl w:val="true"/>
        </w:rPr>
        <w:t>ثالثاً</w:t>
      </w:r>
      <w:r>
        <w:rPr>
          <w:rtl w:val="true"/>
        </w:rPr>
        <w:t>:</w:t>
      </w:r>
      <w:r>
        <w:rPr>
          <w:rtl w:val="true"/>
        </w:rPr>
        <w:t>أدوات الإنتاج</w:t>
      </w:r>
      <w:bookmarkEnd w:id="7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إدوات الإنتاج،فإنّ عملیة توزیع النتاج التی ساهمت فی إیجاده،فإنّه یخضع لما ذکرناه فی الضابط الثانی الذی قسّمنا العمل فیه إلی عمل مباشر فعلی وعمل مختزَن،وألحقناها بالمختزَن منه،والذی لم یسمح له إلّا بالأجرة دون المشارکة فی النتاج،علی أساس أنّ النتاج یختصّ بمن مارس عملاً مباشراً علیه،وهی قد اقتصر دورها علی المساهمة و المساعدة،و أنّ الأجرة التی تستحقّها مرتکزةٌ علی العمل أیضاً؛وذلک لکونها</w:t>
      </w:r>
    </w:p>
    <w:p>
      <w:pPr>
        <w:pStyle w:val="BookText"/>
        <w:rPr/>
      </w:pPr>
      <w:r>
        <w:rPr>
          <w:rFonts w:ascii="IRNazanin" w:hAnsi="IRNazanin" w:eastAsia="IRNazanin"/>
          <w:color w:val="111111"/>
          <w:sz w:val="28"/>
          <w:sz w:val="28"/>
          <w:szCs w:val="28"/>
          <w:rtl w:val="true"/>
          <w:lang w:bidi="fa-IR"/>
        </w:rPr>
        <w:t>متولّدةً من عمل سابق،و هو الذی عبّرنا عنه مارس عملاً مباشراً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قد اقتصر دورها علی المساهمة و المساعدة،و أنّ الأجرة التی تستحقّها مرتکزةٌ علی العمل أیضاً؛وذلک لکونها متولّدةً من عمل سابق و هو الذی عبّرنا عنه بالمختزَن،فتجیء الأجرة مقابل ما یتفتّت منها،والذی هو بمثابة استهلاک لذلک العمل المختزَن،والأداة هنا لا تقتصر علی الماکنة وشبهها بل هی تشمل الدور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فالأداة لا یمکنها أن تشترک فی ثمرات الإنتاج الأوّلی من الطبیعة،فهی تختصّ بمن قام بذلک الإنتاج بنفسه،و إن تمّ بواسطة آلة الغیر،کما سبق وأن أوردنا النصوص الدالّة علیه فی هذا الفصل و الفصل الذی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یمکنها أن تشترک فی النتاج الثانوی المتأتّی من العمل علی مادّة مملوکة علی نحو المضاربة؛لأنّ المضاربة مختصّةٌ بالعمل التجاری،ولیس الإنتاجی،کما سبق وأن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ناحیة ثالثة فإنّ عملها یعدّ عملاً ثانویاً ولیس أوّلیاً مباشراً،والأصل هو أنّ النتاج لمن أنتجه بالعمل الأوّلی المباشر؛وعلی هذا لا یبقی لها سوی المکافأة علی ما قامت به من دور وما تفتّت واستُهلک منها،فلا یسمح لأدوات الإنتاج إلّا بالمکافأة علی ما ساهمت فیه من 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بدّ لنا من وقفة کنّا قد وعدنا بها،و هی فی خصوص الأرض ودورها فی المزارعة وبالتالی عملیة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سمح البعض بإجراء صیغة المزارعة،و إن اقتصر المالک علی تقدیم الأرض من دون البذر،فالمهمّ عندهم فیها مشارکة المالک بالأرض و المزارع بالعمل؛أمّا البذور و المؤنة،فإنّها تتحدّد من 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ما علیهما من المصارف،کالبذر ونحوه بأن یجعل علی أحدهما أو کلیهما</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فیکون للأرض نصیبٌ من النتاج،و إن لم یقدّم المالک بذراً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ذهب الفریق الآخر إلی عدم ثبوت حقّ لها فی النتاج من دون تقدیم المالک البذر مع الأرض،فجواز المزارعة قائمٌ علی أساس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یعطی الأرض غیره ببعض ما یخرج منها،بأن یکون منه الأرض و البذر،ومن المتقبّل القیام بها بالزراعة،والسقی ومراعاتها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فیکون ثبوت الحقّ لصاحب الأرض فی النتاج من خلال البذر،ولیس الأرض،وعلی هذا الأساس فعلی الرأی الثانی لا تستحقّ الأرض إلّا الإجرة إن أشرکها المالک فی الإنتاج من دون تقدیم البذر؛لأنّ النماء یکون لصاحب المادّة،وصاحب الأرض لم یمارس عملاً،وعمله المختزَن فی الأرض یستحقّ علیه الأجرة،لا غیر،وممّا یؤید هذا الرأی هو أنّ أصحاب الرأی الأوّل أفتوا بعدم جواز إجارة الأرض بعوض من حاصلها بأی شکل کان،فلا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إجارة الأرض للزرع بما یحصل منها کحنطة أو شعیر مقداراً معیناً،کما لا تجوز إجارتها بالحصّة من زرعها مشاعة ربعاً أو نصفاً،ولا تجوز أیضاً إجارتها بالحنطة أو الشعیر أو غیرهما من الحبوب فی الذمة مشروطاً بأن تدفع من حاصلها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فهل أنّ مجرّد تغییر العنوان من الإجارة إلی المزارعة یسمح للأرض بأن تکون لها حصّةٌ من النتاج من دون تقدیم البذر؟ومن صحّح أن یکون للأرض فی المزارعة حصّةٌ مشاعةٌ من النتاج،إنّما صحّح ذلک علی أساس أنّ المزارعة هی بمعنی الإجارة،فالحصّة التی تکون لها هی فی الحقیقة أجرة،ولکنّ هذه الأجرة تکون من نفس الحاصل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تکون الأجرة من نفس الحاصل و أنّ الحاصل هو مختصٌّ فی الحقیقة بمن یملک البذر،فإن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ربّ الأرض فالعامل یملک منفعة نفسه من رب الأرض بعوض و هو نماء بذره،و إن کان البذر من قِبل العامل فربّ الأرض یملک منفعة أرضه من العامل بعوض هو نماء بذره فکانت المزارعة استئجاراً إمّا للعامل؛و إمّا للأرض لکن ببعض الخارج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ویتّضح بذلک أرجحیة الرأی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بشرطیة تقدیم المالک البذر،مع الأرض فی صحّة استحقاقه نصیباً مشاعاً من النتاج،وعلی الخصوص لو أخذنا بنظر الاعتبار تفسیر البعض للمخابرة المنهی عنها بدفع الشخص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أرضاً بیضاء علی أن یزرعها المدفوعة إلیه فما أخرج الله منها من شیء فله جزء معلوم فهذه المخابرة التی نهی عنها رسول الله صلی الله علیه و آله </w:t>
      </w:r>
      <w:r>
        <w:rPr>
          <w:rStyle w:val="FootnoteAnchor"/>
          <w:rtl w:val="true"/>
        </w:rPr>
        <w:footnoteReference w:id="89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ینسجم،وما قدّمناه من ضوابط فی خصوص أنّ السماح بالمشارکة فی النتاج تقتصر علی مالک مادّة الإنتاج،ومن شارک فیه بعمل حیوی،وعلی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یسمح لأدوات الإنتاج ومن ضمنها الأرض إلّا بالمکافأة بالأجرة،ولا یسمح لها بالمشارکة فی النتاج</w:t>
      </w:r>
      <w:r>
        <w:rPr>
          <w:rFonts w:eastAsia="IRNazanin" w:cs="IRNazanin"/>
          <w:color w:val="111111"/>
          <w:sz w:val="28"/>
          <w:szCs w:val="28"/>
          <w:rtl w:val="true"/>
          <w:lang w:bidi="fa-IR"/>
        </w:rPr>
        <w:t>.</w:t>
      </w:r>
      <w:bookmarkStart w:id="750" w:name="pg5204_66273"/>
    </w:p>
    <w:p>
      <w:pPr>
        <w:pStyle w:val="BookText"/>
        <w:rPr/>
      </w:pPr>
      <w:bookmarkEnd w:id="750"/>
      <w:r>
        <w:rPr>
          <w:rFonts w:ascii="IRNazanin" w:hAnsi="IRNazanin" w:eastAsia="IRNazanin"/>
          <w:color w:val="111111"/>
          <w:sz w:val="28"/>
          <w:sz w:val="28"/>
          <w:szCs w:val="28"/>
          <w:rtl w:val="true"/>
          <w:lang w:bidi="fa-IR"/>
        </w:rPr>
        <w:t>ویمکننا تخریج المسألة فیما لو صحّ الرأی الأوّل،بأن نقول بإنّ الأرض هنا لا تستحقّ المشارکة فی النتاج باعتبارها وسیلة إنتاج،بل لما تقوم به من دور حیوی فی إنتاج الزرع،فهی الحاضنة و الأرضیة له،فلا یمکن حصول إنتاج زراعی من دونها،فکأنّ الأرض و البذر یتفاعلان معاً لإنتاج الزرع،فهی لیست وسیلة إنتاج،و إنّما هی کالبذر فی عدم إمکان حدوث إنتاج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فتخرج بذلک عن کونها أداة إنتاج،وینتفی بذلک الإشکال علی المبنی العامّ من عدم استحقاق أدوات الإنتاج إلّا الأجرة؛إذ إنّها هنا لیست أداة إنتاج</w:t>
      </w:r>
      <w:r>
        <w:rPr>
          <w:rFonts w:eastAsia="IRNazanin" w:cs="IRNazanin"/>
          <w:color w:val="111111"/>
          <w:sz w:val="28"/>
          <w:szCs w:val="28"/>
          <w:rtl w:val="true"/>
          <w:lang w:bidi="fa-IR"/>
        </w:rPr>
        <w:t>.</w:t>
      </w:r>
    </w:p>
    <w:p>
      <w:pPr>
        <w:pStyle w:val="Heading4"/>
        <w:numPr>
          <w:ilvl w:val="3"/>
          <w:numId w:val="1"/>
        </w:numPr>
        <w:rPr/>
      </w:pPr>
      <w:bookmarkStart w:id="751" w:name="__RefHeading___Toc97614_581953129"/>
      <w:bookmarkStart w:id="752" w:name="_Toc300"/>
      <w:bookmarkEnd w:id="751"/>
      <w:r>
        <w:rPr>
          <w:rtl w:val="true"/>
        </w:rPr>
        <w:t>رابعاً</w:t>
      </w:r>
      <w:r>
        <w:rPr>
          <w:rtl w:val="true"/>
        </w:rPr>
        <w:t>:</w:t>
      </w:r>
      <w:r>
        <w:rPr>
          <w:rtl w:val="true"/>
        </w:rPr>
        <w:t>رأس المال</w:t>
      </w:r>
      <w:bookmarkEnd w:id="752"/>
    </w:p>
    <w:p>
      <w:pPr>
        <w:pStyle w:val="BookText"/>
        <w:rPr/>
      </w:pPr>
      <w:r>
        <w:rPr>
          <w:rFonts w:ascii="IRNazanin" w:hAnsi="IRNazanin" w:eastAsia="IRNazanin"/>
          <w:color w:val="111111"/>
          <w:sz w:val="28"/>
          <w:sz w:val="28"/>
          <w:szCs w:val="28"/>
          <w:rtl w:val="true"/>
          <w:lang w:bidi="fa-IR"/>
        </w:rPr>
        <w:t>لقد اتّضح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دمنا نتحدّث عن حدود الحرّیة فی توزیع ما بعد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به کلّ عنصر من عناصر الإنتاج،والتی شملت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الإنتاج،والعمل وأدوات الإنتاج،ولم یبقَ لدینا من تلک العناصر سوی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نقصده برأس المال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العملة و النقود فی مقابل السلع بضاعةً کانت أو أداةً أو عقاراً أو مرکباً ونحوها،فإنّ کلّ ذلک قد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p>
    <w:p>
      <w:pPr>
        <w:pStyle w:val="BookText"/>
        <w:rPr/>
      </w:pPr>
      <w:r>
        <w:rPr>
          <w:rFonts w:ascii="IRNazanin" w:hAnsi="IRNazanin" w:eastAsia="IRNazanin"/>
          <w:color w:val="111111"/>
          <w:sz w:val="28"/>
          <w:sz w:val="28"/>
          <w:szCs w:val="28"/>
          <w:rtl w:val="true"/>
          <w:lang w:bidi="fa-IR"/>
        </w:rPr>
        <w:t>فقد تعرّفنا علی ما تختصّ به فی التوزیع،وبقی الکلام حول رأس المال النقدی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فرأس المال 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خلاف ما تقدّم من عناصر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یسمح له بجنی شیء من النتاج بعنوانه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أنّه رأس مال 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خلال استثمار المالک له بشراء موادّ وأدوات وما إلیها للقیام بعملیة الإنتاج وذلک وفقاً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بعنوان أنّه رأس مال نقدی،فلا یسمح له بشیء من ذلک إلّا باستثماره فی عملیة تجاریة فیما لو قام المالک بنفسه بذلک،أو اتّفق مع شخص آخر علیها کما فی المضاربة،و هو ما تقدّم الکلام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فرأس المال النقدی غیر مسموح له أن یقوم بتقاضی الأجور،کما هو الحال فی أدوات الإنتاج،وغیر مسموح له المشارکة فی النتاج الزراعی و الصناعی بعنوانه النقدی،والباب الوحید الذی بقی مشرعاً بوجهه هو المشارکة فی أرباح التجارة من خلال عملیة المضاربة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یتمّ تسلیمه لشخص لیعمل به فی المجال الزراعی و التجاری و الخدمی،فإنّه یعدّ فی هذه الحالة قرضاً لم یسمح الإسلام بتقاضی أی شیء علیه عیناً کان أو منفعة،و هو ما</w:t>
      </w:r>
    </w:p>
    <w:p>
      <w:pPr>
        <w:pStyle w:val="BookText"/>
        <w:rPr/>
      </w:pPr>
      <w:r>
        <w:rPr>
          <w:rFonts w:ascii="Amiri" w:hAnsi="Amiri" w:eastAsia="Amiri" w:cs="Amiri"/>
          <w:color w:val="111111"/>
          <w:sz w:val="28"/>
          <w:sz w:val="28"/>
          <w:szCs w:val="28"/>
          <w:rtl w:val="true"/>
          <w:lang w:bidi="ar-SA"/>
        </w:rPr>
        <w:t>یطلق علیه شرعیاً الربا،الذی جاءت کثیر من الآیات علی ذکره وتحریمه،کما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فما دام النقد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لصاحب النقد أن یقرض نقده بفائدة،أی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 للعامل لیتاجر به ویتقاضی من العامل أجراً علی ذلک؛لأنّ الأجر یتمتّع بمیزة الضمان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قد مرّ علینا فی فقرة مادّة الإنتاج عدم السماح بذلک فی غیر النقد،فهو یعدّ من الربا المحظور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والزیادة غیر المسموح بأخذها علی القرض لا تقتصر علی أن تکون نقوداً،فلا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حرمة اشتراط الزیادة بین أن تکون الزیادة عینیة،کما إذا قرضه عشرة دراهم علی أن یؤدّی اثنی عشر،أو عملاً کخیاطة ثوب له،أو منفعةً أو انتفاعاً کالانتفاع بالعین المرهونة عنده أو صفة مثل أن یقرضه دراهم فضیة مکسورة علی أن یؤدّیها صحیحة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هذا ناشئٌ بطبیعة الحال من میزة الضمان التی تقدّم ذکرها،حیث إنّ القرض سیعود سالماً معافی کما هو لصاحبه،فلا ینطبق علیه ما انطبق علی أدوات الإنتاج من التفتّت والاستهلاک الذی یعرض علیها،والذی علی أساسه استحقّت الأجر،لأنّه یمثّل فی الحقیقة عملاً مختزَناً قد تمّ إنفاقه فی مرحلة سابقة،کما وضّحنا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للمال النقدی صیغةٌ غیر المضاربة للحصول علی الربح؛وذلک لکونها غیر مضمونة،فهو سیکون عندها متحمّلاً لعبء الخسارة فیما لو حدثت،وهی قائمةٌ علی رکیزة العمل المباشر و الفعلی الذی یستحقّ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الحالة الوحیدة التی ینطبق علیها مفهوم المخاطرة؛إذ إنّ المخاطرة تمثّل الإقدام علی عملیة تُحتمل فیها الخسارة الفعلیة؛أمّا مجرّد الخوف من حدوث خسارة،والذی یعبِّر عن حالة نفسیة ولیست مادّیةً خارجیة،فهو موجودٌ فی مختلف الحالات و العملیات ولا یقتصر علی حالة الإقراض المضمونة،فلا یعدّ مخاطرةً فعلیةً،کما نحن فیه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النظام الذی قدّمناه ینسجم تمام الانسجام مع الاقتصاد التنموی،حیث یؤدّی إلی</w:t>
      </w:r>
    </w:p>
    <w:p>
      <w:pPr>
        <w:pStyle w:val="BookText"/>
        <w:rPr/>
      </w:pPr>
      <w:r>
        <w:rPr>
          <w:rFonts w:ascii="IRNazanin" w:hAnsi="IRNazanin" w:eastAsia="IRNazanin"/>
          <w:color w:val="111111"/>
          <w:sz w:val="28"/>
          <w:sz w:val="28"/>
          <w:szCs w:val="28"/>
          <w:rtl w:val="true"/>
          <w:lang w:bidi="fa-IR"/>
        </w:rPr>
        <w:t>استخدام المال النقدی فی المشاریع العملیة التی تدرّ نتاجاً یسدّ حاجات المجتمع من جهة،وربحاً یسدّ حاجة صاحبه من جهة أخری،ویسدّ الطریق کذلک علی عملیات اللصوصیة المتمثّلة بسرقة جهود الآخرین عن طریق استغلال المال بالکیفیة التی لا تقتصر علی سرقة الجهود،بل سلب حرّیات عامّة الناس عن طریق التحکّم بمفاصل الحیاة الاقتصادیة للمجتمع؛وذلک من خلال تنامی ذلک المال بالدرجة التی تجعله تنّیناً یلتهم کلّ ما یعرض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جاء الإسلام لیقف بوجهه ویوجّهه الوجهة الصحیحة التی تخدم العملیة التنمویة من جهة،والعدالة الاجتماعیة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فقد قام بتحریم الاکتناز،فهو لم یقتصر علی عدم السماح باستغلال المجتمع بواسطة المال الربوی،بل لم یسمح بذلک من خلال عدم سماحه بادّخاره وحرمان المجتمع من دوره التنموی،فقال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واتّضح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لم یسمح بحصول المال النقدی علی أرباح إلّا من خلال عملیة غیر مضمونة الربح من جهة،ولم یسمح بتعطیل المال النقدی عن القیام بدوره فی تقدّم العملیة التنمویة باستثماره فی أعمال إنتاجیة تقوم علی أساس العمل من جهة أخری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کلامنا فی المبحث الثالث من مباحث حدود الحرّیة التی یسمح بها فی توزیع ما بعد الإنتاج</w:t>
      </w:r>
      <w:r>
        <w:rPr>
          <w:rFonts w:eastAsia="IRNazanin" w:cs="IRNazanin"/>
          <w:color w:val="111111"/>
          <w:sz w:val="28"/>
          <w:szCs w:val="28"/>
          <w:rtl w:val="true"/>
          <w:lang w:bidi="fa-IR"/>
        </w:rPr>
        <w:t>.</w:t>
      </w:r>
      <w:bookmarkStart w:id="753" w:name="pg5204_66276"/>
    </w:p>
    <w:p>
      <w:pPr>
        <w:pStyle w:val="Heading3"/>
        <w:numPr>
          <w:ilvl w:val="2"/>
          <w:numId w:val="1"/>
        </w:numPr>
        <w:rPr/>
      </w:pPr>
      <w:bookmarkStart w:id="754" w:name="__RefHeading___Toc97616_581953129"/>
      <w:bookmarkStart w:id="755" w:name="_Toc301"/>
      <w:bookmarkEnd w:id="753"/>
      <w:bookmarkEnd w:id="754"/>
      <w:r>
        <w:rPr>
          <w:rtl w:val="true"/>
        </w:rPr>
        <w:t>المبحث الرابع</w:t>
      </w:r>
      <w:bookmarkEnd w:id="755"/>
    </w:p>
    <w:p>
      <w:pPr>
        <w:pStyle w:val="Heading4"/>
        <w:numPr>
          <w:ilvl w:val="3"/>
          <w:numId w:val="1"/>
        </w:numPr>
        <w:rPr/>
      </w:pPr>
      <w:bookmarkStart w:id="756" w:name="__RefHeading___Toc97618_581953129"/>
      <w:bookmarkStart w:id="757" w:name="_Toc302"/>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حدود الحرّیة فی إعادة التوزیع</w:t>
      </w:r>
    </w:p>
    <w:p>
      <w:pPr>
        <w:pStyle w:val="BookText"/>
        <w:rPr/>
      </w:pPr>
      <w:r>
        <w:rPr>
          <w:rFonts w:ascii="IRNazanin" w:hAnsi="IRNazanin" w:eastAsia="IRNazanin"/>
          <w:color w:val="111111"/>
          <w:sz w:val="28"/>
          <w:sz w:val="28"/>
          <w:szCs w:val="28"/>
          <w:rtl w:val="true"/>
          <w:lang w:bidi="fa-IR"/>
        </w:rPr>
        <w:t>لقد اتّضح من خلال طریقنا الذی سلکناه حتّی الآن،بأنّ الناس کلّ الناس سواسیةٌ فی ثبوت الحقّ لهم فی الانتفاع بثروات الطبیعة واستثمارها؛وذلک باعتبارهم خلفاء لله فی القیام بإعمار الأرض وتطویرها عن طریق استغلال خیراتها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ما أوصله إلیهم من تعالیم بواسطة خلیفته الخاصّ،والذی جعله راعیاً ومشرفاً علی تلک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وعرفنا أیضاً أنّ الإسلام یفرّق بین نوعین من الثروات،فهناک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ثرواتٌ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الثروات الأمّ،وهی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یشترک جمیع الناس فی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ثرواتٌ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ولیدةٌ ناتجةٌ عن ممارسة عمل علی تلک الثروات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اتّخذ الإسلام أسلوبین لإعادة توزیع الثروات المنتجة سواء کانت أوّلیةً أو ثانویة،وهما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 الفردی و التوزیع الجماعی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فالتوزیع الفردی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یتمثّل بإعاة التوزیع علی الأفراد بما هم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والتوزیع الجماعی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یتمثّل بالتوزیع علی مجموع أفراد المجتمع وفق ما یتطلّبه ذلک المجموع من حاجات تنظّم حیاته وتؤمّن تقدّمه واستقراره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لکلّ من التوزیعین مصادره وموارده التی تموّنه وتغذّیه،والتی تنسجم مع عنوانیهما الفردی و الجماعی،فربط إعادة التوزیع الفردی بالملکیات الخاصّة،والجماعی</w:t>
      </w:r>
    </w:p>
    <w:p>
      <w:pPr>
        <w:pStyle w:val="BookText"/>
        <w:rPr/>
      </w:pPr>
      <w:r>
        <w:rPr>
          <w:rFonts w:ascii="IRNazanin" w:hAnsi="IRNazanin" w:eastAsia="IRNazanin"/>
          <w:color w:val="111111"/>
          <w:sz w:val="28"/>
          <w:sz w:val="28"/>
          <w:szCs w:val="28"/>
          <w:rtl w:val="true"/>
          <w:lang w:bidi="fa-IR"/>
        </w:rPr>
        <w:t>بالملکیات العامّة،حیث فرض ضرائب علی النتاج الفردی متمثّلةً بالخمس و الزکاة،وکذا فرض انتقال الثروة الخاصّة إلی ورثة مالکها عند وفاته وفق نظام یحفظ حقوقهم بحسب نسبة قرابتهم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المستوی الجماعی،فقد جعل الملکیة العامّة رافده ومغذّیه؛إذ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ولی الأمر استثمارها للمساهمة فی إشباع حاجات الأمّة وتحقیق مصالحها العامّة التی ترتبط بها ککلّ نحو إنشاء المستشفیات وتوفیر وتهیئة مستلزمات التعلیم،وغیر ذلک</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ویتمّ ذلک عن طریق إعادة توزیعها بما یضمن مصالح المجتمع ککلّ،وعن طریق فرضه ضریبةً علی الأرض ونتاجها؛و هو ما یطلق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ملکیة الدولة التی جعلها ظهیراً وعوناً علی سدّ نقص وعجز الملکیتین الآنفتین فی حال عدم استیعابهما لجمیع الحاجات؛أضف إلی ذلک ما یقرّره الحاکم الشرعی فی الظروف الاستثنائیة لحفظ التوازن المعیشی،حیث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لا یتمکّن بعض الأفراد من إشباع حاجاتهم عن طریق الملکیة الخاصّة فیمنی هؤلاء بالحرمان،ویختلّ التوازن العامّ،وهنا یضع الإسلام الشکل الثالث للملکیة،ملکیة الدولة،لیقوم ولی الأمر بحفظ التوازن العامّ</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فمع أنّ الإسلام فرض نظام الضرائب المالیة لأجل سدّ حاجة المحتاجین،إلّا أنّه إذا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ذلک شیء ولم یکتفوا به،کان علی الوالی أن یموّنهم من عنده بقدر سعتهم حتّی یستغنوا</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وترتکز عملیة إعادة التوزیع علی ما قدّمناه من أصل أنّ الناس سواسیةٌ فی ثبوت الحقّ لهم فی ثروات الطبیعة،والذی یستوجب توفیر حاجاتهم منها باعتبارها من الأمور التی لا یمکن فصل الإنسان عنها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یجب أن یتمّ توزیع المصادر الطبیعیة للإنتاج بشکل یکفل إشباع تلک الحاجات و المیول،ضمن إطار إنسانی یتیح للانسان أن ینمّی وجوده وإنسانیته داخل الإطار العام</w:t>
      </w:r>
      <w:r>
        <w:rPr>
          <w:rFonts w:eastAsia="IRNazanin" w:cs="IRNazanin"/>
          <w:color w:val="111111"/>
          <w:sz w:val="28"/>
          <w:szCs w:val="28"/>
          <w:rtl w:val="true"/>
          <w:lang w:bidi="fa-IR"/>
        </w:rPr>
        <w:t xml:space="preserve">. </w:t>
      </w:r>
      <w:r>
        <w:rPr>
          <w:rStyle w:val="FootnoteAnchor"/>
          <w:rtl w:val="true"/>
        </w:rPr>
        <w:footnoteReference w:id="906"/>
      </w:r>
      <w:bookmarkStart w:id="758" w:name="pg5204_66278"/>
    </w:p>
    <w:p>
      <w:pPr>
        <w:pStyle w:val="BookText"/>
        <w:rPr/>
      </w:pPr>
      <w:bookmarkEnd w:id="758"/>
      <w:r>
        <w:rPr>
          <w:rFonts w:ascii="IRNazanin" w:hAnsi="IRNazanin" w:eastAsia="IRNazanin"/>
          <w:color w:val="111111"/>
          <w:sz w:val="28"/>
          <w:sz w:val="28"/>
          <w:szCs w:val="28"/>
          <w:rtl w:val="true"/>
          <w:lang w:bidi="fa-IR"/>
        </w:rPr>
        <w:t>هذا من جانب،ومن جانب آخر،فإنّ الضابط الأساسی الذی تتحدّد من خلاله عملیة إعادة التوزیع هو إیصال المجتمع إلی حالة من التوازن المعیشی لا یدع معها مجالاً للفقر و العوز أن یجد طریقاً إلی أی فرد من أفراده،والذی یتطلّب تدخّل الحاکم الشرعی عند کلّ ضرورة لتنظیمه وإقراره و الإشراف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ترک الأمور للأفراد أنفسهم لتحقیق هذه الدرجة من التوازن یعدّ من الأمور الشاقّة و العسیرة التی لا یمکن لهم تحقیقها،ولأجل هذا،فقد منح الإسلام الخلیفة الخاصّ المتمثّل بالحاکم الشرعی صلاحیة تنفیذ وإجراء تلک السیاسة،ومکّنه من أدوات مادّیة وسلطات تشریعیة،إضافةً إلی ما فرضه تشریعیاً علی الأفراد المتمکّنین من حقوق مالیة علی الأرباح التی کسبوها من الطبیعة علی اعتبار عدم اختصاصهم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 من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ذکرنا من الأسالیب التی یتمّ من خلالها إعادة التوزیع،سنخوض فی الحدود التی تخضع لها الحرّیة فیه طبقاً لذینک الأسلوبین،وذلک ضمن مطلبین</w:t>
      </w:r>
      <w:r>
        <w:rPr>
          <w:rFonts w:eastAsia="IRNazanin" w:cs="IRNazanin"/>
          <w:color w:val="111111"/>
          <w:sz w:val="28"/>
          <w:szCs w:val="28"/>
          <w:rtl w:val="true"/>
          <w:lang w:bidi="fa-IR"/>
        </w:rPr>
        <w:t>:</w:t>
      </w:r>
    </w:p>
    <w:p>
      <w:pPr>
        <w:pStyle w:val="Heading4"/>
        <w:numPr>
          <w:ilvl w:val="3"/>
          <w:numId w:val="1"/>
        </w:numPr>
        <w:rPr/>
      </w:pPr>
      <w:bookmarkStart w:id="759" w:name="__RefHeading___Toc97620_581953129"/>
      <w:bookmarkStart w:id="760" w:name="_Toc303"/>
      <w:bookmarkEnd w:id="759"/>
      <w:r>
        <w:rPr>
          <w:rtl w:val="true"/>
        </w:rPr>
        <w:t>المطلب الأوّل</w:t>
      </w:r>
      <w:r>
        <w:rPr>
          <w:rtl w:val="true"/>
        </w:rPr>
        <w:t>:</w:t>
      </w:r>
      <w:r>
        <w:rPr>
          <w:rtl w:val="true"/>
        </w:rPr>
        <w:t>حدود الحرّیة فی إعادة التوزیع علی المستوی الفردی</w:t>
      </w:r>
      <w:bookmarkEnd w:id="760"/>
    </w:p>
    <w:p>
      <w:pPr>
        <w:pStyle w:val="Heading5"/>
        <w:numPr>
          <w:ilvl w:val="4"/>
          <w:numId w:val="1"/>
        </w:numPr>
        <w:rPr/>
      </w:pPr>
      <w:bookmarkStart w:id="761" w:name="__RefHeading___Toc97622_581953129"/>
      <w:bookmarkStart w:id="762" w:name="_Toc304"/>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ویتمّ تطبیق عملیة إعادة التوزیع علی المستوی الفردی من خلال فریضتی الزکاة و الخمس اللتین تُفرضان علی الأموال الخاصّة للأفراد سواء تمّ تحصیلها بالإنتاج الأوّلی أو الثانوی،وکذا من خلال الکفّارات فی نطاق أضیق،فیتمّ توزیع ما تقدّم علی الأفراد بما هم أفرادٌ فی نطاق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یشمل کافّة أفراد المجتمع بحسب الموارد التی تخضع لها عملیة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المیراث لیختلف عنها من حیث أنّه حقٌّ،فیتمّ توزیعه علی الأفراد فی نطاق ضیق،ولیس علی نطاق عامّ،فیختصّ بالأفراد الذین تربطهم بالمتوفّی حالة قرابة نسبیة أو سببیة؛وذلک بحسب الحدود المقرّرة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وسنقوم ببحث الموضوع بحسب نوعیة تلک الفرائض و الحقوق،ومع أنّ ضریبتی الخمس و الزکاة تکادان تشترکان فی الحدود التی تخضعان لها إلّا أنّ الخمس یختلف من حیث أنّه أضیق نطاقاً من الزکاة؛وبذلک سنبتدأ ببحث توزیع الزکاة،ثمّ الخمس،ثمّ الکفارات،ثمّ المیراث وذلک بشیء من الإیجاز</w:t>
      </w:r>
      <w:r>
        <w:rPr>
          <w:rFonts w:eastAsia="IRNazanin" w:cs="IRNazanin"/>
          <w:color w:val="111111"/>
          <w:sz w:val="28"/>
          <w:szCs w:val="28"/>
          <w:rtl w:val="true"/>
          <w:lang w:bidi="fa-IR"/>
        </w:rPr>
        <w:t>:</w:t>
      </w:r>
    </w:p>
    <w:p>
      <w:pPr>
        <w:pStyle w:val="Heading5"/>
        <w:numPr>
          <w:ilvl w:val="4"/>
          <w:numId w:val="1"/>
        </w:numPr>
        <w:rPr/>
      </w:pPr>
      <w:bookmarkStart w:id="763" w:name="__RefHeading___Toc97624_581953129"/>
      <w:bookmarkStart w:id="764" w:name="_Toc305"/>
      <w:bookmarkEnd w:id="763"/>
      <w:r>
        <w:rPr>
          <w:rtl w:val="true"/>
        </w:rPr>
        <w:t>أوّلاً</w:t>
      </w:r>
      <w:r>
        <w:rPr>
          <w:rtl w:val="true"/>
        </w:rPr>
        <w:t>:</w:t>
      </w:r>
      <w:r>
        <w:rPr>
          <w:rtl w:val="true"/>
        </w:rPr>
        <w:t>الزکاة</w:t>
      </w:r>
      <w:bookmarkEnd w:id="764"/>
    </w:p>
    <w:p>
      <w:pPr>
        <w:pStyle w:val="Heading6"/>
        <w:numPr>
          <w:ilvl w:val="5"/>
          <w:numId w:val="1"/>
        </w:numPr>
        <w:rPr/>
      </w:pPr>
      <w:bookmarkStart w:id="765" w:name="__RefHeading___Toc97626_581953129"/>
      <w:bookmarkStart w:id="766" w:name="_Toc306"/>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وتتعلّق فریضة الزکاة بثلاثة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تشمل الإبل و البقر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تشمل القمح و الشعیر و التمر و الزبیب وألحق بها البعض سائر الحبوب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الذهب و الفضة المسکوکین بسکّة المعاملة،وألحق البعض بهما الأوراق النقدیة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الوجوب فی أموال التجارة تعلّق بالمعنی و هو المالیة و القیمة و هذه الأموال کلّها فی هذا المعنی جنس واحد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فتجب الزکاة فی ما تقدّم ضمن شروط تختلف باختلاف النوع الذی وجبت فیه،إلّا أنّها تشترک فی لزوم بلوغها النصاب الذی یختلف مقداره بحسب نوع ما وجبت فیه،ومرور الحول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عند نفس المالک،إلّا فی الغلّات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من حین نضوج الثمرة،واشترطوا فی الأنعام إضافةً إلی ذلک أن تکون سائمةً غیر معلوفة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توفیر علفها من قِبل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تکون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تُستخدم فی العمل کالفلاحة و الحمل وما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النقدین،فقد اشترطوا فیهما إضافةً إلی الشرطین الرئیسیین،أن یکونا مسکوکین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عُملتین،لا مجرّد کونهما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تمّ فرض نوع آخر من الزکاة سُمّی بزکاة الفطرة،وهی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تجب عند انتهاء شهر رمضان من کلّ عام عن کلّ فرد من الأفراد کبیراً کان أو صغیراً إذا کان مُعالاً من قِبل فرد آخر،وهی بطبیعة الحال مفروضةٌ علی الغنی دون الفقیر الذی لا یملک قوت سنته؛إذ إنّها موضوعةٌ علی الأغنیاء مواساةً للفقراء فی أعیاد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الحال،فإنّ ما ذکرناه عن الزکاة یخضع لاختلافات تفصیلیة کثیرة بین الفقهاء،وکذا لاختلاف فی تحقّق وجوبها فی بعض الموارد المذکور تعلّقها بها؛إلّا أنّنا ذکرنا عامّة ما أدخله الفقهاء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بما یکسبه الأفراد من ثروات طبیعیة وأموال،و قد حدّد الشارع الإسلامی مصرفها بجمیع المحتاجین من أفراد المجتمع بما هم أفراد،وکذلک لمن یعمل علیها،و هو الأمر الذی جاءت الآیة الکریمة لتحدّده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وبالإضافة إلی الشروط المفروضة التی ذکرناها و التی ترتبط بهذه الضریبة،فإنّ هناک شروطاً أخری یلزم إحرازها فی من تجب علیه لیکتمل حقّ استیفائها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قد قام بتقنین جمیع أجزاء العملیات الاقتصادیة ولم یقتصر علی السطح الظاهری لها،بل امتدّ إلی کلّ مفاصلها وجذورها،فإنّه فرض إذا ما أراد استیفاء هذه 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تتوفّر فیمن تُستوفی منه أن یکون بالغاً عاقلاً حرّاً مسلماً 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وجوبها العقل و البلوغ و الإسلام و الحرّیة</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ممتلکاً للإرادة و العقل اللازم للتصرّف،أی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أداء هذا الحقّ نابعاً من ذات الإنسان؛لأنّه مرتبطٌ بما جناه من خلال جهوده الخاصّة،فلا بدّ أن یکون علی بینة ودرایة ووعی فی ما هو مقدِم علیه،هذا بالنسبة إلی الشروط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الخارجیة،فأن یکون متمکّناً من التصرّف فیما تعلّقت به الضریبة</w:t>
      </w:r>
    </w:p>
    <w:p>
      <w:pPr>
        <w:pStyle w:val="BookText"/>
        <w:rPr/>
      </w:pPr>
      <w:r>
        <w:rPr>
          <w:rFonts w:ascii="IRNazanin" w:hAnsi="IRNazanin" w:eastAsia="IRNazanin"/>
          <w:color w:val="111111"/>
          <w:sz w:val="28"/>
          <w:sz w:val="28"/>
          <w:szCs w:val="28"/>
          <w:rtl w:val="true"/>
          <w:lang w:bidi="fa-IR"/>
        </w:rPr>
        <w:t xml:space="preserve">فلا زکاة علی من لم یتمکّن منها فی ماله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إذ إنّ ذلک من الشروط الموضوعیة التی لا یمکن أن تؤدّی الضریبة من دونه،وإضافةً إلی ما تقدّم فقد جُعلت هذه الضریبة فعلاً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یجعلها الإنسان خالصةً لله،ولذلک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 قصد القربة فی أداء الزکاة حین تسلیمها إلی المستحقّ أو الحاکم الشرعی أو العامل المنصوب من قِبله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هذا ممّا یدعو المکلَّف إلی الالتزام الجادّ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وللأهمّیة التی تحضی به هذه الضریبة،فقد جعلها الشارع الإسلامی من الأمور العبادیة التی اشترط فیها قصد التقرّب إلی الله عند استخراجها وأدائها،فلا یکفی فی صحّة أدائها من دون قصد القربة،و هو ما یؤدّی بطبیعة الحال إلی حرص المسلم علی الالتزام بأدائها علی أفضل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یحول بطبیعة الحال دون قیام الدولة باتّخاذ الطرق اللازمة لجبایتها وتوزیعها بحسب المقرّرات الموضوعة من قِبل الشارع،وذلک للقیام بدورها فی ردم الهوّة فیما بین الفقراء و الأغنیاء و الوصول بالمجتمع إلی التوازن المعیشی المرتجی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مرّ ذکره فی هذه الفقرة یمثّل فکرةً مقتضبةً جدّاً عن تلک الضریبة المفروضة علی</w:t>
      </w:r>
      <w:bookmarkStart w:id="767" w:name="pg5204_66281"/>
    </w:p>
    <w:p>
      <w:pPr>
        <w:pStyle w:val="BookText"/>
        <w:rPr/>
      </w:pPr>
      <w:bookmarkEnd w:id="767"/>
      <w:r>
        <w:rPr>
          <w:rFonts w:ascii="IRNazanin" w:hAnsi="IRNazanin" w:eastAsia="IRNazanin"/>
          <w:color w:val="111111"/>
          <w:sz w:val="28"/>
          <w:sz w:val="28"/>
          <w:szCs w:val="28"/>
          <w:rtl w:val="true"/>
          <w:lang w:bidi="fa-IR"/>
        </w:rPr>
        <w:t>الثروات الخاصّة و الحقوق المتعلّقة بها و الموارد التی یتمّ صرفها وإنفاقها علیها،والشروط التی تخضع لها عملیة استیفائها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الحدود المأخوذة فی إعادة توزیعها،فیمکن بیانها کالتالی</w:t>
      </w:r>
      <w:r>
        <w:rPr>
          <w:rFonts w:eastAsia="IRNazanin" w:cs="IRNazanin"/>
          <w:color w:val="111111"/>
          <w:sz w:val="28"/>
          <w:szCs w:val="28"/>
          <w:rtl w:val="true"/>
          <w:lang w:bidi="fa-IR"/>
        </w:rPr>
        <w:t>:</w:t>
      </w:r>
    </w:p>
    <w:p>
      <w:pPr>
        <w:pStyle w:val="Heading6"/>
        <w:numPr>
          <w:ilvl w:val="5"/>
          <w:numId w:val="1"/>
        </w:numPr>
        <w:rPr/>
      </w:pPr>
      <w:bookmarkStart w:id="768" w:name="__RefHeading___Toc97628_581953129"/>
      <w:bookmarkStart w:id="769" w:name="_Toc307"/>
      <w:bookmarkEnd w:id="768"/>
      <w:r>
        <w:rPr>
          <w:rtl w:val="true"/>
        </w:rPr>
        <w:t>[</w:t>
      </w:r>
      <w:r>
        <w:rPr>
          <w:rtl w:val="true"/>
        </w:rPr>
        <w:t>الحدود المأخوذة فی إعادة توزیعها</w:t>
      </w:r>
      <w:r>
        <w:rPr>
          <w:rtl w:val="true"/>
        </w:rPr>
        <w:t>]</w:t>
      </w:r>
      <w:bookmarkEnd w:id="769"/>
    </w:p>
    <w:p>
      <w:pPr>
        <w:pStyle w:val="Heading6"/>
        <w:numPr>
          <w:ilvl w:val="5"/>
          <w:numId w:val="1"/>
        </w:numPr>
        <w:rPr/>
      </w:pPr>
      <w:bookmarkStart w:id="770" w:name="__RefHeading___Toc97630_581953129"/>
      <w:bookmarkStart w:id="771" w:name="_Toc308"/>
      <w:bookmarkEnd w:id="770"/>
      <w:r>
        <w:rPr>
          <w:rtl w:val="true"/>
        </w:rPr>
        <w:t>أ</w:t>
      </w:r>
      <w:r>
        <w:rPr>
          <w:rtl w:val="true"/>
        </w:rPr>
        <w:t>)</w:t>
      </w:r>
      <w:r>
        <w:rPr>
          <w:rtl w:val="true"/>
        </w:rPr>
        <w:t>عدم السماح بتوزیعها من دون مراجعة الحاکم الشرعی</w:t>
      </w:r>
      <w:bookmarkEnd w:id="771"/>
    </w:p>
    <w:p>
      <w:pPr>
        <w:pStyle w:val="BookText"/>
        <w:rPr/>
      </w:pPr>
      <w:r>
        <w:rPr>
          <w:rFonts w:ascii="IRNazanin" w:hAnsi="IRNazanin" w:eastAsia="IRNazanin"/>
          <w:color w:val="111111"/>
          <w:sz w:val="28"/>
          <w:sz w:val="28"/>
          <w:szCs w:val="28"/>
          <w:rtl w:val="true"/>
          <w:lang w:bidi="fa-IR"/>
        </w:rPr>
        <w:t>لقد ذکرنا مراراً أنّ الحاکم الشرعی یمثّل الحجر الأساس فی عملیة التوزیع،بل فی العملیة الاقتصادیة برمّتها،وذلک لإیکال مهمّة إقرار التوازن المعیشی للمجتمع فی عهدته،ومن هنا،فإنّ توزیع ضریبة الزکاة یتمّ تحت إشرافه من حیث الأساس،إلّا أنّه سُمح بالمبادرة بتوزیعها بشکل شخصی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الظاهر من حیث الأساس هو أنّ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 الأخذ للآیة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 </w:t>
      </w:r>
      <w:r>
        <w:rPr>
          <w:rStyle w:val="FootnoteAnchor"/>
          <w:rtl w:val="true"/>
        </w:rPr>
        <w:footnoteReference w:id="912"/>
      </w:r>
      <w:r>
        <w:rPr>
          <w:rFonts w:ascii="IRNazanin" w:hAnsi="IRNazanin" w:eastAsia="IRNazanin"/>
          <w:color w:val="111111"/>
          <w:sz w:val="28"/>
          <w:sz w:val="28"/>
          <w:szCs w:val="28"/>
          <w:rtl w:val="true"/>
          <w:lang w:bidi="fa-IR"/>
        </w:rPr>
        <w:t xml:space="preserve">ولجعله للعاملین علیها حقّاً،فلو لم یکن للإمام مطالبتهم لم یکن له وجه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إلّا أنّ ذلک متوقّفٌ علی توفّر شروط الأخذ من حضور المصدِّق و إظهار مال الصدقة ونحو ذلک،وتتوقّف هذه بدورها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الحمایة من الإمام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ولو توفّرت تلک الحمایة فإنّه کثیراً ما یعرض حرجٌ فی أدائها واستیفائها وکذا إضرارٌ بالمال وبأربابه؛ولأجل ذلک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 الأداء إلی أربابها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ویبقی الأصل علی حاله 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 علی وجه الإیجاب،بأن کان هناک ما یقتضی وجوب صرفها فیه وجب</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فیتّضح من خلال ذلک أنّ الأساس المعتبر هو إشراف الحاکم الشرعی علی عملیة التوزیع؛إمّا بالدفع إلیه مباشرةً أو استئذانه فی موارد صرفها،إلّا ما تفرضه الظروف الخاصّة أو العامّة کلٌّ بحسب مورده</w:t>
      </w:r>
      <w:r>
        <w:rPr>
          <w:rFonts w:eastAsia="IRNazanin" w:cs="IRNazanin"/>
          <w:color w:val="111111"/>
          <w:sz w:val="28"/>
          <w:szCs w:val="28"/>
          <w:rtl w:val="true"/>
          <w:lang w:bidi="fa-IR"/>
        </w:rPr>
        <w:t>.</w:t>
      </w:r>
      <w:bookmarkStart w:id="772" w:name="pg5204_66282"/>
    </w:p>
    <w:p>
      <w:pPr>
        <w:pStyle w:val="Heading6"/>
        <w:numPr>
          <w:ilvl w:val="5"/>
          <w:numId w:val="1"/>
        </w:numPr>
        <w:rPr/>
      </w:pPr>
      <w:bookmarkStart w:id="773" w:name="__RefHeading___Toc97632_581953129"/>
      <w:bookmarkStart w:id="774" w:name="_Toc309"/>
      <w:bookmarkEnd w:id="772"/>
      <w:bookmarkEnd w:id="773"/>
      <w:r>
        <w:rPr>
          <w:rtl w:val="true"/>
        </w:rPr>
        <w:t>ب</w:t>
      </w:r>
      <w:r>
        <w:rPr>
          <w:rtl w:val="true"/>
        </w:rPr>
        <w:t>)</w:t>
      </w:r>
      <w:r>
        <w:rPr>
          <w:rtl w:val="true"/>
        </w:rPr>
        <w:t>عدم السماح بتوزیعها علی القادر علی العمل بما یناسبه مع توفّر أسبابه</w:t>
      </w:r>
      <w:bookmarkEnd w:id="774"/>
    </w:p>
    <w:p>
      <w:pPr>
        <w:pStyle w:val="BookText"/>
        <w:rPr/>
      </w:pPr>
      <w:r>
        <w:rPr>
          <w:rFonts w:ascii="IRNazanin" w:hAnsi="IRNazanin" w:eastAsia="IRNazanin"/>
          <w:color w:val="111111"/>
          <w:sz w:val="28"/>
          <w:sz w:val="28"/>
          <w:szCs w:val="28"/>
          <w:rtl w:val="true"/>
          <w:lang w:bidi="fa-IR"/>
        </w:rPr>
        <w:t>إذ إنّ هذه الضریبة خاصّةٌ بمن کان محتاجاً من خلال عجزه الذاتی الذی لا یسمح له بالعمل،أو الظرفی الذی یحول بینه وبین التکسّب،وعلی هذا فمن لم ینطبق علیه مثل هذا العجز فإنّه غیر مشمول بها،فإذا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قادراً علی الاکتساب وترکه تکاسلاً،فالظاهر عدم جواز أخذه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ومثل ذلک فیما لو کان مالکاً لمؤنته بالقوّة کما لو کان ممارساً لعمل فعلی،فحینئذ لا یسمح له باستیفائها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قادر بصحّته واکتسابه علی قوت الیوم فکأنّه مالک له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أمّا مع عجزه الظرفی،فإنّه 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فترة التعلّم أو البحث عن عمل حتّی یجد ما یکفی</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وبناءً علی أساس الکرامة الذاتیة التی یتمتّع بها الإنسان و التی تکلّمنا عنها مفصّلاً فی الأسس العامّة التی جاءت فی المدخل،فقد لوحظ فی القدرة علی العمل التی تستوجب عدم السماح بأخذ المؤنة من الضرائب أن یکون ذلک العمل مناسباً لشأن الإنسان الاجتماعی،فیکون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علی التکسّب من مهنة لا تناسب شأنه الاجتماعی ومقامه بین الناس بحکم غیر القادر</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فیستحقّ حینها الضریبة إلی أن یجد عملاً یناسب شأنه ذاک</w:t>
      </w:r>
      <w:r>
        <w:rPr>
          <w:rFonts w:eastAsia="IRNazanin" w:cs="IRNazanin"/>
          <w:color w:val="111111"/>
          <w:sz w:val="28"/>
          <w:szCs w:val="28"/>
          <w:rtl w:val="true"/>
          <w:lang w:bidi="fa-IR"/>
        </w:rPr>
        <w:t>.</w:t>
      </w:r>
    </w:p>
    <w:p>
      <w:pPr>
        <w:pStyle w:val="Heading6"/>
        <w:numPr>
          <w:ilvl w:val="5"/>
          <w:numId w:val="1"/>
        </w:numPr>
        <w:rPr/>
      </w:pPr>
      <w:bookmarkStart w:id="775" w:name="__RefHeading___Toc97634_581953129"/>
      <w:bookmarkStart w:id="776" w:name="_Toc310"/>
      <w:bookmarkEnd w:id="775"/>
      <w:r>
        <w:rPr>
          <w:rtl w:val="true"/>
        </w:rPr>
        <w:t>ج</w:t>
      </w:r>
      <w:r>
        <w:rPr>
          <w:rtl w:val="true"/>
        </w:rPr>
        <w:t>)</w:t>
      </w:r>
      <w:r>
        <w:rPr>
          <w:rtl w:val="true"/>
        </w:rPr>
        <w:t>عدم السماح بتوزیعها علی من کانت نفقته واجبةً علی غیره بمقدار وجوبها</w:t>
      </w:r>
      <w:bookmarkEnd w:id="776"/>
    </w:p>
    <w:p>
      <w:pPr>
        <w:pStyle w:val="BookText"/>
        <w:rPr/>
      </w:pPr>
      <w:r>
        <w:rPr>
          <w:rFonts w:ascii="IRNazanin" w:hAnsi="IRNazanin" w:eastAsia="IRNazanin"/>
          <w:color w:val="111111"/>
          <w:sz w:val="28"/>
          <w:sz w:val="28"/>
          <w:szCs w:val="28"/>
          <w:rtl w:val="true"/>
          <w:lang w:bidi="fa-IR"/>
        </w:rPr>
        <w:t>فالإسلام قد فرض علی الإنسان أن یقوم بالإنفاق علی من یعولهم فی حاجاتهم الشخصیة المباشرة،و هو یشمل الأولاد و الآباء ذکوراً وإناثاً وکذا الزوجة،ولأجل هذا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إعطاؤهم منها للإنفاق،ویجوز إعطاؤهم منها لحاجة لا تجب علیه؛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صرفاً إلی نفسه من وجه وعلی هذا یخرج الدفع إلی الوالدین،و إن علوا و المولودین و إن سفلوا؛لأنّ أحدهما ینتفع بمال الآخر </w:t>
      </w:r>
      <w:r>
        <w:rPr>
          <w:rStyle w:val="FootnoteAnchor"/>
          <w:rtl w:val="true"/>
        </w:rPr>
        <w:footnoteReference w:id="922"/>
      </w:r>
      <w:bookmarkStart w:id="777" w:name="pg5204_66283"/>
    </w:p>
    <w:p>
      <w:pPr>
        <w:pStyle w:val="BookText"/>
        <w:rPr/>
      </w:pPr>
      <w:bookmarkEnd w:id="777"/>
      <w:r>
        <w:rPr>
          <w:rFonts w:ascii="IRNazanin" w:hAnsi="IRNazanin" w:eastAsia="IRNazanin"/>
          <w:color w:val="111111"/>
          <w:sz w:val="28"/>
          <w:sz w:val="28"/>
          <w:szCs w:val="28"/>
          <w:rtl w:val="true"/>
          <w:lang w:bidi="fa-IR"/>
        </w:rPr>
        <w:t>هذا فی خصوص ما یتوجّب علیه من النفقة فیما یرتبط بحاجاتهم الأساسیة المختصّة بهم،أمّا فی غیر ذلک،فإنّه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إعطاؤهم منها لحاجة لا تجب علیه،کما إذا کان للوالد أو للولد زوجة یجب نفقتها علیه،أو کان علیه دین یجب وفاؤه،أو عمل یجب أداؤه بإجارة وکان موقوفاً علی المال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والکثیر من الأمور التی قد تکون خارج قدرة الإنسان لتطلّبها إنفاقاً دائماً ممّا لا حیلة للإنسان بها،ولا یمکن عدّها من النفقة الواجبة،فإن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علیه النفقة لزمانته إن لم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نفقتهم جاز،و إن کان یحتسب لا یجوز؛لأنّ هذا أداء الواجب عن واجب آخر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فالإنسان فی حال وجوب نفقته علی غیره وکان ذلک الغیر متمکّناً من توفیرها،فإنّ حاجته التی هی المعیار فی السماح له بالأخذ من ضریبة الزکاة تکون منتفیةً عندئذ،ولکنّ هذا الانتفاء یکون محدّداً بالحدود التی یتمکّن فیها من توفیر تلک النفقة</w:t>
      </w:r>
      <w:r>
        <w:rPr>
          <w:rFonts w:eastAsia="IRNazanin" w:cs="IRNazanin"/>
          <w:color w:val="111111"/>
          <w:sz w:val="28"/>
          <w:szCs w:val="28"/>
          <w:rtl w:val="true"/>
          <w:lang w:bidi="fa-IR"/>
        </w:rPr>
        <w:t>.</w:t>
      </w:r>
    </w:p>
    <w:p>
      <w:pPr>
        <w:pStyle w:val="Heading6"/>
        <w:numPr>
          <w:ilvl w:val="5"/>
          <w:numId w:val="1"/>
        </w:numPr>
        <w:rPr/>
      </w:pPr>
      <w:bookmarkStart w:id="778" w:name="__RefHeading___Toc97636_581953129"/>
      <w:bookmarkStart w:id="779" w:name="_Toc311"/>
      <w:bookmarkEnd w:id="778"/>
      <w:r>
        <w:rPr>
          <w:rtl w:val="true"/>
        </w:rPr>
        <w:t>د</w:t>
      </w:r>
      <w:r>
        <w:rPr>
          <w:rtl w:val="true"/>
        </w:rPr>
        <w:t>)</w:t>
      </w:r>
      <w:r>
        <w:rPr>
          <w:rtl w:val="true"/>
        </w:rPr>
        <w:t>عدم السماح بتوزیع سهم الفقیر علی غیر المسلم</w:t>
      </w:r>
      <w:bookmarkEnd w:id="779"/>
    </w:p>
    <w:p>
      <w:pPr>
        <w:pStyle w:val="BookText"/>
        <w:rPr/>
      </w:pPr>
      <w:r>
        <w:rPr>
          <w:rFonts w:ascii="IRNazanin" w:hAnsi="IRNazanin" w:eastAsia="IRNazanin"/>
          <w:color w:val="111111"/>
          <w:sz w:val="28"/>
          <w:sz w:val="28"/>
          <w:szCs w:val="28"/>
          <w:rtl w:val="true"/>
          <w:lang w:bidi="fa-IR"/>
        </w:rPr>
        <w:t>یستفاد من النصوص الفقهیة أنّ سهم الفقراء وبحکمه المساکین یختصّ بالفقیر المسلم ولا یشمل غیر المسلم،فذکروا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مستحقّ الزکاة من الفقراء و المساکین خاصّة أن یکون مسلماً</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فلا یشمل غیر المسلم و إن کان ذمّیاً یعیش فی کنف المسلمین،کما یلاحَظ فی الاستدلال علی رجوع مصرف العشر إلی مصرف الزکاة من اختصاصه بالمسلم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مصرفه مصرف الزکاة کما قدّمناه،فلا یدفع إلی ذمّی،والصرف فی الکلّ إلی فقراء المسلمین أحبّ</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إذ إنّ الزکاة تؤخذ فعلاً من المسلم،و إن کان البعض سرّی وجوبها إلی غیره،ثمّ إنّ الذمّی ممّا یجوز دفع الزکاة إلیه،ولکن لا بعنوان کونه فقیراً أو مسکیناً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بعناوین أخری</w:t>
      </w:r>
      <w:r>
        <w:rPr>
          <w:rFonts w:eastAsia="IRNazanin" w:cs="IRNazanin"/>
          <w:color w:val="111111"/>
          <w:sz w:val="28"/>
          <w:szCs w:val="28"/>
          <w:rtl w:val="true"/>
          <w:lang w:bidi="fa-IR"/>
        </w:rPr>
        <w:t>:</w:t>
      </w:r>
      <w:bookmarkStart w:id="780" w:name="pg5204_66284"/>
    </w:p>
    <w:p>
      <w:pPr>
        <w:pStyle w:val="BookText"/>
        <w:rPr/>
      </w:pPr>
      <w:bookmarkEnd w:id="780"/>
      <w:r>
        <w:rPr>
          <w:rFonts w:ascii="IRNazanin" w:hAnsi="IRNazanin" w:eastAsia="IRNazanin"/>
          <w:color w:val="111111"/>
          <w:sz w:val="28"/>
          <w:sz w:val="28"/>
          <w:szCs w:val="28"/>
          <w:rtl w:val="true"/>
          <w:lang w:bidi="fa-IR"/>
        </w:rPr>
        <w:t xml:space="preserve">کالغارم وابن السبیل و العبید و العاملین علیها،فلا یشترط فیهم الإسلام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 هذا لا یعدّ تعدیاً عن الأصل فی استحقاق الجمیع و إن کانوا غیر مسلمین لتأمین احتیاجاتهم باعتبار ثبوت حقّهم بالتساوی فی ثروات الطبیعة؛إذ إنّ الإسلام ضمن حقوق الفقراء منهم من موارد أخری،فضمان الدولة لعیش الطبقة الفقیرة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یختصّ بالمسلم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فالذمّی الذی یعیش فی کنف الدولة الإسلامیة إذا کبر وعجز عن الکسب،کانت نفقته من بیت المال</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فعدم السماح فی توزیع الزکاة علی غیر المسلم مختصٌّ بإعطائه من الزکاة بعنوانه فقیراً ومسکیناً،ولا یشمل العناوین الأخری،أو الموارد الأخری غیر الزکاة</w:t>
      </w:r>
      <w:r>
        <w:rPr>
          <w:rFonts w:eastAsia="IRNazanin" w:cs="IRNazanin"/>
          <w:color w:val="111111"/>
          <w:sz w:val="28"/>
          <w:szCs w:val="28"/>
          <w:rtl w:val="true"/>
          <w:lang w:bidi="fa-IR"/>
        </w:rPr>
        <w:t>.</w:t>
      </w:r>
    </w:p>
    <w:p>
      <w:pPr>
        <w:pStyle w:val="Heading6"/>
        <w:numPr>
          <w:ilvl w:val="5"/>
          <w:numId w:val="1"/>
        </w:numPr>
        <w:rPr/>
      </w:pPr>
      <w:bookmarkStart w:id="781" w:name="__RefHeading___Toc97638_581953129"/>
      <w:bookmarkStart w:id="782" w:name="_Toc312"/>
      <w:bookmarkEnd w:id="781"/>
      <w:r>
        <w:rPr>
          <w:rtl w:val="true"/>
        </w:rPr>
        <w:t>ه</w:t>
      </w:r>
      <w:r>
        <w:rPr>
          <w:rtl w:val="true"/>
        </w:rPr>
        <w:t>)</w:t>
      </w:r>
      <w:r>
        <w:rPr>
          <w:rtl w:val="true"/>
        </w:rPr>
        <w:t>عدم السماح بتوزیع سهم الفقیر علی من ینفقها فی عمل عبثی ضار</w:t>
      </w:r>
      <w:bookmarkEnd w:id="782"/>
    </w:p>
    <w:p>
      <w:pPr>
        <w:pStyle w:val="BookText"/>
        <w:rPr/>
      </w:pPr>
      <w:r>
        <w:rPr>
          <w:rFonts w:ascii="IRNazanin" w:hAnsi="IRNazanin" w:eastAsia="IRNazanin"/>
          <w:color w:val="111111"/>
          <w:sz w:val="28"/>
          <w:sz w:val="28"/>
          <w:szCs w:val="28"/>
          <w:rtl w:val="true"/>
          <w:lang w:bidi="fa-IR"/>
        </w:rPr>
        <w:t>فقد مرّ علینا فی فصل الإنتاج الممارسات التی حظرها الإسلام وحظر العمل بها،وذلک لأجل أنّها أعمالٌ عبثیةٌ لا طائل منها من جهة،وضارّةٌ فی ذات الوقت سواء بالشخص الممارس لها أو بغیره؛وعلی هذا،فهی لا تُعدّ من الأعمال التنمویة التی تقوم بتفعیل العملیة الاقتصادیة،بل هی علی العکس من ذلک؛إذ تؤدّی إلی تعطیل الطاقات وهدر الثروات،کما فی لعب القمار وشرب الخمر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المقصود من تلک الضرائب،هو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الحاجات الأساسیة للأفراد و الوصول بهم إلی مستویً متوازن مع غیرهم،فمن غیر المعقول وغیر المناسب أن یتمّ صرف تلک الضرائب فی أعمال تلعب دوراً معاکساً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فقد اشتُرط فی الفقیر و المسکین اللذین یستحقّان تلک الضریبة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یعلم أنّه سوف یصرف مال الزکاة فی لعب القمار وشرب الخمر ونحوها من المعاصی</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أو أنّه کان قد صرفه فی تلک الموارد کما فی المدین الذی یستحقّ من سهم الغارمین،فیکون‌مستحقّاً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بشرط أن لا یکون الدین مصروفاً فی المعصیة </w:t>
      </w:r>
      <w:r>
        <w:rPr>
          <w:rStyle w:val="FootnoteAnchor"/>
          <w:rtl w:val="true"/>
        </w:rPr>
        <w:footnoteReference w:id="930"/>
      </w:r>
      <w:bookmarkStart w:id="783" w:name="pg5204_66285"/>
    </w:p>
    <w:p>
      <w:pPr>
        <w:pStyle w:val="BookText"/>
        <w:rPr/>
      </w:pPr>
      <w:bookmarkEnd w:id="783"/>
      <w:r>
        <w:rPr>
          <w:rFonts w:ascii="IRNazanin" w:hAnsi="IRNazanin" w:eastAsia="IRNazanin"/>
          <w:color w:val="111111"/>
          <w:sz w:val="28"/>
          <w:sz w:val="28"/>
          <w:szCs w:val="28"/>
          <w:rtl w:val="true"/>
          <w:lang w:bidi="fa-IR"/>
        </w:rPr>
        <w:t>أو ابن السبیل بشرط أن لا یکون سفره سفر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 ینسجم تمام الانسجام مع الحدّ السابق؛إذ إنّ سهم الفقیر مختصٌّ بالمسلم الذی یفترض فیه أن لا تصدر منه مثل تلک الأفعال،أمّا غیر المسلم الذی ربّما لا یکون ملتزماً بمثل هذا الالتزام بحسب کونه غیر مسلم،فإنّه وکما ذکرنا لا یکون مشمولاً بسهم الفقراء خاصّة،ولکنّه مشمولٌ بعنوان آخر غیر الفقیر کما فی فی الکفّار،فإنّها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تُعطی الرؤساء من أهل الحرب إذا کانت لهم غلبة یخاف علی المسلمین من شرّهم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فإنّهم یستحقّون من سهم المؤلّفة قلوبهم،أو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العبید ولو کانوا غیر مسلمین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فیستحقّون من سهم الرقاب</w:t>
      </w:r>
      <w:r>
        <w:rPr>
          <w:rFonts w:eastAsia="IRNazanin" w:cs="IRNazanin"/>
          <w:color w:val="111111"/>
          <w:sz w:val="28"/>
          <w:szCs w:val="28"/>
          <w:rtl w:val="true"/>
          <w:lang w:bidi="fa-IR"/>
        </w:rPr>
        <w:t>.</w:t>
      </w:r>
    </w:p>
    <w:p>
      <w:pPr>
        <w:pStyle w:val="Heading6"/>
        <w:numPr>
          <w:ilvl w:val="5"/>
          <w:numId w:val="1"/>
        </w:numPr>
        <w:rPr/>
      </w:pPr>
      <w:bookmarkStart w:id="784" w:name="__RefHeading___Toc97640_581953129"/>
      <w:bookmarkStart w:id="785" w:name="_Toc313"/>
      <w:bookmarkEnd w:id="784"/>
      <w:r>
        <w:rPr>
          <w:rtl w:val="true"/>
        </w:rPr>
        <w:t>و</w:t>
      </w:r>
      <w:r>
        <w:rPr>
          <w:rtl w:val="true"/>
        </w:rPr>
        <w:t>)</w:t>
      </w:r>
      <w:r>
        <w:rPr>
          <w:rtl w:val="true"/>
        </w:rPr>
        <w:t>عدم السماح بإعطاء المستحقّ أکثر من مؤنته</w:t>
      </w:r>
      <w:bookmarkEnd w:id="785"/>
    </w:p>
    <w:p>
      <w:pPr>
        <w:pStyle w:val="BookText"/>
        <w:rPr/>
      </w:pPr>
      <w:r>
        <w:rPr>
          <w:rFonts w:ascii="IRNazanin" w:hAnsi="IRNazanin" w:eastAsia="IRNazanin"/>
          <w:color w:val="111111"/>
          <w:sz w:val="28"/>
          <w:sz w:val="28"/>
          <w:szCs w:val="28"/>
          <w:rtl w:val="true"/>
          <w:lang w:bidi="fa-IR"/>
        </w:rPr>
        <w:t>لقد اختُلف فی المقدار الأقصی الذی یسمح بإعطائه لمستحق الزکاة،والاختلاف ناشئٌ من الاختلاف فی کون المؤنة مختصّةً بالیوم أو الشهر أو السنة،و أنّ المراد من الغنی هو غنی الیوم أو الشهر أو السنة،إلّا أنّ الأقرب هو أنّ المراد بهما مؤنة سنة وغنی سنة،فالغنی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یحرُم به أخذ الصدقة وقبولها،فهو الذی تجب به صدقة الفطر و الأضحیة،و هو أن یملک من الأموال التی لا تجب فیها الزکاة ما یفضل عن حاجته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ومعنی ذلک أنّه إذا کانت لدیه أقلّ من مؤنة سنة یجوز له الأخذ؛لأنّ صدقة الفطر لا تجب فیمن لا یملک قوت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ناحیة،ومن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الراجح أن یکون دفع الزکاة إلی المستحقّین علی منوال استیفائها من أربابها فهی تستوفی لکلّ سنة،لا لکلّ یوم أو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 الفقیر بأنّه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یملک مؤنة سنته اللائقة بحاله له ولعیاله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فإطلاق المؤنة و الغنی یکون المقصود منهما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لسنة ولیس لیوم أو شهر،فإذا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 رأس مال،لا یکفی ربحه لمؤنة السنة جاز له أخذ الزکاة</w:t>
      </w:r>
      <w:r>
        <w:rPr>
          <w:rFonts w:eastAsia="IRNazanin" w:cs="IRNazanin"/>
          <w:color w:val="111111"/>
          <w:sz w:val="28"/>
          <w:szCs w:val="28"/>
          <w:rtl w:val="true"/>
          <w:lang w:bidi="fa-IR"/>
        </w:rPr>
        <w:t xml:space="preserve">. </w:t>
      </w:r>
      <w:r>
        <w:rPr>
          <w:rStyle w:val="FootnoteAnchor"/>
          <w:rtl w:val="true"/>
        </w:rPr>
        <w:footnoteReference w:id="935"/>
      </w:r>
      <w:bookmarkStart w:id="786" w:name="pg5204_66286"/>
    </w:p>
    <w:p>
      <w:pPr>
        <w:pStyle w:val="BookText"/>
        <w:rPr/>
      </w:pPr>
      <w:bookmarkEnd w:id="786"/>
      <w:r>
        <w:rPr>
          <w:rFonts w:ascii="IRNazanin" w:hAnsi="IRNazanin" w:eastAsia="IRNazanin"/>
          <w:color w:val="111111"/>
          <w:sz w:val="28"/>
          <w:sz w:val="28"/>
          <w:szCs w:val="28"/>
          <w:rtl w:val="true"/>
          <w:lang w:bidi="fa-IR"/>
        </w:rPr>
        <w:t>ولا یمنع من استحقاقه الزکاة إذا کان یمتلک المقوّمات الأساسیة للحیاة ممّا لا یمکن الاستغناء عنه کالدار ووسیلة النقل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هذه الأشیاء من الحوائج اللازمة التی لا بدّ للإنسان منها،فکان وجودها وعدمها سواء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أمّا بقیة المستحقّین،فإنّهم یعطَون بمقدار ما یرفع حاجتهم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فیجوز إعطاء ابن السبیل ما یکفل عودته إلی بلده بالنحو المتعارف من أجرة الطریق ونفقته الشخصیة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أمّا العاملون علیها،فإنّه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یعطیهم الإمام کفایتهم منها</w:t>
      </w:r>
      <w:r>
        <w:rPr>
          <w:rFonts w:eastAsia="IRNazanin" w:cs="IRNazanin"/>
          <w:color w:val="111111"/>
          <w:sz w:val="28"/>
          <w:szCs w:val="28"/>
          <w:rtl w:val="true"/>
          <w:lang w:bidi="fa-IR"/>
        </w:rPr>
        <w:t xml:space="preserve">. </w:t>
      </w:r>
      <w:r>
        <w:rPr>
          <w:rStyle w:val="FootnoteAnchor"/>
          <w:rtl w:val="true"/>
        </w:rPr>
        <w:footnoteReference w:id="938"/>
      </w:r>
    </w:p>
    <w:p>
      <w:pPr>
        <w:pStyle w:val="Heading6"/>
        <w:numPr>
          <w:ilvl w:val="5"/>
          <w:numId w:val="1"/>
        </w:numPr>
        <w:rPr/>
      </w:pPr>
      <w:bookmarkStart w:id="787" w:name="__RefHeading___Toc97642_581953129"/>
      <w:bookmarkStart w:id="788" w:name="_Toc314"/>
      <w:bookmarkEnd w:id="787"/>
      <w:r>
        <w:rPr>
          <w:rtl w:val="true"/>
        </w:rPr>
        <w:t>ز</w:t>
      </w:r>
      <w:r>
        <w:rPr>
          <w:rtl w:val="true"/>
        </w:rPr>
        <w:t>)</w:t>
      </w:r>
      <w:r>
        <w:rPr>
          <w:rtl w:val="true"/>
        </w:rPr>
        <w:t>عدم السماح بإعطاء الهاشمی من زکاة غیر الهاشمی</w:t>
      </w:r>
      <w:bookmarkEnd w:id="788"/>
    </w:p>
    <w:p>
      <w:pPr>
        <w:pStyle w:val="BookText"/>
        <w:rPr/>
      </w:pPr>
      <w:r>
        <w:rPr>
          <w:rFonts w:ascii="IRNazanin" w:hAnsi="IRNazanin" w:eastAsia="IRNazanin"/>
          <w:color w:val="111111"/>
          <w:sz w:val="28"/>
          <w:sz w:val="28"/>
          <w:szCs w:val="28"/>
          <w:rtl w:val="true"/>
          <w:lang w:bidi="fa-IR"/>
        </w:rPr>
        <w:t>لقد ثبت الإجماع علی عدم السماح بإعطاء الهاشمی شیئاً من الصدقة،فاشترطوا فی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یکون من بنی هاشم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والمقصود 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المال وزکاة الفطرة کذلک،أی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ویختصّ هذا الحکم بزکاة المال وزکاة الفطرة،فلا یحرُم علی الهاشمی أخذ الصدقة المستحبّة من غیر الهاشمی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وسُرّی هذا الحکم إلی من کان من موالیهم وذلک بخصوص الزکاة،فأضافوا إلی شروط المستحقّین لها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 من موالیهم</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إلّا أنّ هذا الحکم یرتبط بحظر صدقة غیر الهاشمی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صدقة الهاشمی،فیسمح لهم بها،وعلی هذا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للهاشمی أن یأخذ زکاة الهاشمی </w:t>
      </w:r>
      <w:r>
        <w:rPr>
          <w:rStyle w:val="FootnoteAnchor"/>
          <w:rtl w:val="true"/>
        </w:rPr>
        <w:footnoteReference w:id="942"/>
      </w:r>
      <w:bookmarkStart w:id="789" w:name="pg5204_66287"/>
    </w:p>
    <w:p>
      <w:pPr>
        <w:pStyle w:val="BookText"/>
        <w:rPr/>
      </w:pPr>
      <w:bookmarkEnd w:id="789"/>
      <w:r>
        <w:rPr>
          <w:rFonts w:ascii="IRNazanin" w:hAnsi="IRNazanin" w:eastAsia="IRNazanin"/>
          <w:color w:val="111111"/>
          <w:sz w:val="28"/>
          <w:sz w:val="28"/>
          <w:szCs w:val="28"/>
          <w:rtl w:val="true"/>
          <w:lang w:bidi="fa-IR"/>
        </w:rPr>
        <w:t>وذلک للتعلیل الوارد من کراهة الله غسالة أیدی الناس لهم،وذلک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تشریفاً لهم واکراماً وتعظیماً لرسول الله صلی الله علیه و آله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فما کان من صدقة منهم لا ینطبق علیه أنّه من أیدی الناس،فلا یکون وسخاً فیجوز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عدم السماح بإعطاء صدقة غیر الهاشمی للهاشمی،وشمول الحکم لموالیهم أیضاً؛أمّا صدقة الهاشمی،فلا مانع من تمتّعهم بها وأخذهم لها بحسب المقرّرات المفروضة فی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ینتهی الکلام فی الحدود التی تخضع لها عملیة إعادة توزیع الزکاة</w:t>
      </w:r>
      <w:r>
        <w:rPr>
          <w:rFonts w:eastAsia="IRNazanin" w:cs="IRNazanin"/>
          <w:color w:val="111111"/>
          <w:sz w:val="28"/>
          <w:szCs w:val="28"/>
          <w:rtl w:val="true"/>
          <w:lang w:bidi="fa-IR"/>
        </w:rPr>
        <w:t>.</w:t>
      </w:r>
    </w:p>
    <w:p>
      <w:pPr>
        <w:pStyle w:val="Heading5"/>
        <w:numPr>
          <w:ilvl w:val="4"/>
          <w:numId w:val="1"/>
        </w:numPr>
        <w:rPr/>
      </w:pPr>
      <w:bookmarkStart w:id="790" w:name="__RefHeading___Toc97644_581953129"/>
      <w:bookmarkStart w:id="791" w:name="_Toc315"/>
      <w:bookmarkEnd w:id="790"/>
      <w:r>
        <w:rPr>
          <w:rtl w:val="true"/>
        </w:rPr>
        <w:t>ثانیاً</w:t>
      </w:r>
      <w:r>
        <w:rPr>
          <w:rtl w:val="true"/>
        </w:rPr>
        <w:t>:</w:t>
      </w:r>
      <w:r>
        <w:rPr>
          <w:rtl w:val="true"/>
        </w:rPr>
        <w:t>الخمس</w:t>
      </w:r>
      <w:bookmarkEnd w:id="791"/>
    </w:p>
    <w:p>
      <w:pPr>
        <w:pStyle w:val="BookText"/>
        <w:rPr/>
      </w:pPr>
      <w:r>
        <w:rPr>
          <w:rFonts w:ascii="IRNazanin" w:hAnsi="IRNazanin" w:eastAsia="IRNazanin"/>
          <w:color w:val="111111"/>
          <w:sz w:val="28"/>
          <w:sz w:val="28"/>
          <w:szCs w:val="28"/>
          <w:rtl w:val="true"/>
          <w:lang w:bidi="fa-IR"/>
        </w:rPr>
        <w:t>أمّا الخمس،فهو یتعلّق بعدّة موارد،وهی المعدن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استُخرج منه،والکنز،والخارج من الماء بالغوص ممّا له قیمةٌ کالجواهر،والغنیمة،والمال المختلط بالحرام،والفائض عن المؤنة من أرباح المکاسب باحتسابه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واشترطوا فی الثلاثة الأولی بلوغها النصاب کلٌّ بحسب حاله فی وجوب الخمس فیها دون الثلاثة الأخیرة،فیجب فیها مهما کان مقدارها ضئیلاً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شروط وجوب الخمس فیما تقدّم وجب إخراجه،و هو ما یساوی خُمس المال الذی وجب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بطبیعة الحال کما الزکاة یخضع لاختلافات تفصیلیة کثیرة بین الفقهاء،وکذا لاختلاف فی تحقّق وجوبه فی بعض الموارد إلّا أنّنا ذکرنا عامّة ما أدخله الفقهاء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أُشیر إلیه فی القرآن الکریم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ومع أنّ الخمس یماثل الزکاة فی تعلّق مصرفه وتوزیعه بالمحتاجین،إلّا أنّ الخمس أخصّ من الزکاة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الإمامیة إلی أنّ مصرفه یتعلّق ببنی هاشم خاصّةً دون غیرهم،وذلک علی خلاف الزکاة التی لا یسمح للهاشمی بتوفیر حاجاته منها؛إذ إنّ أحد شروط مستحقّها عدم کونه</w:t>
      </w:r>
    </w:p>
    <w:p>
      <w:pPr>
        <w:pStyle w:val="BookText"/>
        <w:rPr/>
      </w:pPr>
      <w:r>
        <w:rPr>
          <w:rFonts w:ascii="IRNazanin" w:hAnsi="IRNazanin" w:eastAsia="IRNazanin"/>
          <w:color w:val="111111"/>
          <w:sz w:val="28"/>
          <w:sz w:val="28"/>
          <w:szCs w:val="28"/>
          <w:rtl w:val="true"/>
          <w:lang w:bidi="fa-IR"/>
        </w:rPr>
        <w:t>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ما یبین سبب قول البعض بانتفاء استحقاقهم الخمس،فقد جوّزوا لهم أخذ الزکاة لا من باب جوازها لهم بالأصل،و إنّما من باب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عوضها و هو خمس الخمس لم یصل إلیهم لأهمال الناس أمر الغنائم وإیصالها إلی مستحقّها،و إذا لم یصل إلیهم العوض عادوا إلی المعوّض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ولکنّ الإهمال لا یسقط الحکم،فالذی دعاهم إلی الإسهام لهم من الزکاة هو تعویضهم عن خمسهم المهمل بحسب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غیر المعقول أن لا یستحقّوا شیئاً لا من الخمس ولا من الزکاة،مع أنّهم و الناس سواءٌ فی الإنسانیة و الحاجات التی تعتریهم،فحظر الزکاة علیهم یبقی علی حاله،وإیجاب الخمس لهم یدوم 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من حکم بعدم ثبوته لهم بعد وفاة النبی صلی الله علیه و آله فهو؛إمّا لم ینفهِ بشکل مطلق فقال بإمکان ثبوته للفقراء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کان هذا السهم عوضاً من حرمة الصدقة فینبغی أن یستحقّه من یستحقّ الصدقة لولا قرابة رسول الله صلی الله علیه و آله وهم الفقراء دون الأغنیاء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أو أنّه حکم به علی نحو الجواز لا الوجوب،فأجازه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إنّه یجوز صرف بعض الخمس إلیهم،و إنّما ننکر وجوب الصرف إلیهم بسبب القرابة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هو المطلوب؛إذ إنّه فی أدنی الأحوال یسمح بالصرف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المتقدّم یرتبط بحکم صرف القسم المختصّ بالفقراء الذی یشمل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أیتامهم ومساکینهم وأبناء سبیلهم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أمّا القسم الذی یختصّ بمنصب الإمام،فیکون له باعتبار منصبه فلا یرِد علیه شیءٌ ممّا تقدّم،فهو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یعطی للرسول أو الإمام بصفته العادیة الشخصیة،بل بما له من موقع ومسؤولیة تستلزم أن یکون لها مخصّصات یستعین بها فی تدبیر شؤون المنصب وإدارة الدولة </w:t>
      </w:r>
      <w:r>
        <w:rPr>
          <w:rStyle w:val="FootnoteAnchor"/>
          <w:rtl w:val="true"/>
        </w:rPr>
        <w:footnoteReference w:id="9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ویشترک الخمس مع الزکاة فی الشروط اللازم توفّرها فیمن تجب علیه من البلوغ و العقل و الحرّیة و الإسلام،ویختلف عنها فی عدم اشتراط التمکّن من التصرّف فیما یملکه،فإنّ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 الذی لا یمکن الوصول إلیه الآن ویرجی الوصول إلیه فیما بعد،ونحو ذلک،یجب فیه الخمس،ولکن لا یجب تخمیسه فی خال غیبته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وبما أنّ موارد صرف الخمس أخصّ منها فی الزکاة و أنّ نصفه یختصّ بالإمام،ولأجل ما ذکرناه بخصوص إشراف الحاکم علی عملیة استیفاء وتوزیع الضرائب فی بحث الزکاة،فإنّه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یستقلّ من علیه الخمس بالدفع إلی المستحقّ من سهم السادة،ولا یصرفه فی مصارف سهم الإمام من دون مراجعة الحاکم الشرعی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ومن حکم بجواز ذلک فقد ندب إلی الدفع إلیه مقدّماً علی استئذانه، </w:t>
      </w:r>
      <w:r>
        <w:rPr>
          <w:rStyle w:val="FootnoteAnchor"/>
          <w:rtl w:val="true"/>
        </w:rPr>
        <w:footnoteReference w:id="952"/>
      </w:r>
      <w:r>
        <w:rPr>
          <w:rFonts w:ascii="IRNazanin" w:hAnsi="IRNazanin" w:eastAsia="IRNazanin"/>
          <w:color w:val="111111"/>
          <w:sz w:val="28"/>
          <w:sz w:val="28"/>
          <w:szCs w:val="28"/>
          <w:rtl w:val="true"/>
          <w:lang w:bidi="fa-IR"/>
        </w:rPr>
        <w:t>وألزم بخصوص السهم العائد للإمام بالرجوع إلی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بالدفع إلیه أو الاستئذان منه</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أمّا بقیة الشروط المأخوذة فیه،فهی کالتی فی الزکاة فی عدم السماح بإعطاء من کانت نفقته واجبةً علی غیره،فیشترط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یکون المستحق واجب النفقة علی المعطی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أو عدم السماح بإعطاء الفقیر أکثر من مؤنة سنته،فإنّه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یعطی الفقیر أکثر من مؤنة سنته</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وکذا عدم السماح به لمن ینفقه فی عمل عبثی ضار،حیث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إعطاؤه لمن یصرفه فی الحرام بل الأحوط اعتبار أن لا یکون فی الدفع إلیه إعانة علی الإثم وإغراء بالقبیح و إن لم یکن یصرفه فی الحرام کما أنّ الأحوط عدم إعطائه لتارک الصلاة أو شارب الخمر أو المتجاهر بالفسق</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أمّا بالنسبة إلی نوعیة الفقیر،فهو من هذا الجانب واضحٌ تمام الوضوح علی اعتبار اختصاصه ببنی هاشم دون غیرهم،وهم أخصّ من المسلم فتخصّص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السهام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بالفقراء وأبناء السبیل و الأیتام من بنی هاشم</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الخاصّ بالإمام،فهو یختلف عن القسم المختصّ بالفقراء؛إذ إنّ صرفه یرتبط</w:t>
      </w:r>
      <w:bookmarkStart w:id="792" w:name="pg5204_66290"/>
    </w:p>
    <w:p>
      <w:pPr>
        <w:pStyle w:val="BookText"/>
        <w:rPr/>
      </w:pPr>
      <w:bookmarkEnd w:id="792"/>
      <w:r>
        <w:rPr>
          <w:rFonts w:ascii="IRNazanin" w:hAnsi="IRNazanin" w:eastAsia="IRNazanin"/>
          <w:color w:val="111111"/>
          <w:sz w:val="28"/>
          <w:sz w:val="28"/>
          <w:szCs w:val="28"/>
          <w:rtl w:val="true"/>
          <w:lang w:bidi="fa-IR"/>
        </w:rPr>
        <w:t>بعموم مصالح الإسلام و المسلمین،و إن تداخل مع صرف بعضه فی مساعدة الضعفاء و الفقراء،فیلزم صرفه فیما یرتبط بحرکة الإسلام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ما فیه نشر لتعالیم الإسلام وترسیخها،بما فی ذلک حمایة الإسلام وأوطانه من الاعتداء</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وکذا فی ما یرتبط بتحسین أوضاع المسلمین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المشاریع الحیویة للمسلمین من مدارس ومستشفیات ومعاهد علمیة ومشاریع اقتصادیة ضروریة</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ومن هنا فلا یسمح بصرفه فی أمور لا ترتبط بهذین المحورین الحیویین،وذلک علی اعتبار أنّه لیس حقّاً شخصیاً للإمام،و إنّما باعتبار مسؤولیته فی تدبیر شؤون الدولة،کما سبق ذکره</w:t>
      </w:r>
      <w:r>
        <w:rPr>
          <w:rFonts w:eastAsia="IRNazanin" w:cs="IRNazanin"/>
          <w:color w:val="111111"/>
          <w:sz w:val="28"/>
          <w:szCs w:val="28"/>
          <w:rtl w:val="true"/>
          <w:lang w:bidi="fa-IR"/>
        </w:rPr>
        <w:t>.</w:t>
      </w:r>
    </w:p>
    <w:p>
      <w:pPr>
        <w:pStyle w:val="Heading5"/>
        <w:numPr>
          <w:ilvl w:val="4"/>
          <w:numId w:val="1"/>
        </w:numPr>
        <w:rPr/>
      </w:pPr>
      <w:bookmarkStart w:id="793" w:name="__RefHeading___Toc97646_581953129"/>
      <w:bookmarkStart w:id="794" w:name="_Toc316"/>
      <w:bookmarkEnd w:id="793"/>
      <w:r>
        <w:rPr>
          <w:rtl w:val="true"/>
        </w:rPr>
        <w:t>ثالثاً</w:t>
      </w:r>
      <w:r>
        <w:rPr>
          <w:rtl w:val="true"/>
        </w:rPr>
        <w:t>:</w:t>
      </w:r>
      <w:r>
        <w:rPr>
          <w:rtl w:val="true"/>
        </w:rPr>
        <w:t>الکفّارات</w:t>
      </w:r>
      <w:bookmarkEnd w:id="794"/>
    </w:p>
    <w:p>
      <w:pPr>
        <w:pStyle w:val="BookText"/>
        <w:rPr/>
      </w:pPr>
      <w:r>
        <w:rPr>
          <w:rFonts w:ascii="IRNazanin" w:hAnsi="IRNazanin" w:eastAsia="IRNazanin"/>
          <w:color w:val="111111"/>
          <w:sz w:val="28"/>
          <w:sz w:val="28"/>
          <w:szCs w:val="28"/>
          <w:rtl w:val="true"/>
          <w:lang w:bidi="fa-IR"/>
        </w:rPr>
        <w:t>ما تقدّم ذکره فی هذا المبحث کان یرتبط بالحدود التی یخضع لها توزیع ضریبتی الخمس و الزکاة و التی اختصّتا بالمجال الفردی،وکنّا قد ذکرنا وجود ما یشبه الضریبة،وهی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الکفّارات التی یتعلّق توزیعها بالأفراد کذلک،مع أنّها لیست بذلک المستوی الواسع الذی شملهما الخمس و الزکاة،وتعبِّر الکفّارات فی أحد جوانبها عن غرامة مادّیة جرّاء ترک عبادة معینة أو الإقدام علی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الغایة الأساسیة للکفارات ترتبط بإعادة الفرد إلی جادّة الالتزام الدینی وتنفیذ ما أراده الله منه فعلاً أو ترکاً علی نحو اللزوم،إلّا أنّها تمثّل فی بعض جوانبها و المرتبط بالغرامة المادّیة فعلاً اقتصادیاً ذا أهمّیة معتدّ بها،والذی ینعکس فی عملیة إطعام المساکین کما فی قتل العمد وإفطار قضاء شهر رمضان،وفی کفّارة الظهار وقتل الخطأ عند العجز عن الصیام،وعلی نحو التخییر فی کفّارة الإفطار و الحنث بالعهد وکفّارة الإیلاء وکفّارة حنث الیمین و النذر وبعض کفّارات الحج ککفّارة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یشترطوا شیئاً بخصوص الإطعام سوی إطعام العدد الواجب إطعامه بحسب نوع الکفّارة،وتسلیم المقدار المفروض من الطعام للمسکین سواء کان کبیراً أو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لو تمّت دعوتهم إلی الطعام فلم یسمحوا للفقیر بتناول أکثر من مقدار حاجته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شبع قام عنه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ولم یسمحوا کذلک بإعطاء فرد واحد أمداداً متعدّدةً أو إشباعه مرّات متکرّرة،حیث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التکرار مطلقا بأن یشبع واحداً مرّات متعدّدة أو یدفع إلیه أمداداً متعدّدة من کفارة واحدة إلّا إذا تعذّر استیفاء تمام العدد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وکما لا یسمح بالتکرار لا یسمح بالتبعیض فیعطی فی الکفّارة الواحدة أقلّ من المقدار المعین للفرد الواحد 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أطعم ستین مسکیناً کلّ مسکین صاعاً من حنطة عن ظهارین لم یجز إلّا عن أحدهما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ویتمثّل الجانب الاقتصادی فیها أیضاً بعملیة الإکساء الذی یجب علی وجه التخییر بینه وبین العتق و الإطعام فی کفّارة الیمین و النذر و الإیلاء،واشترطوا فی الکسوة أن تکون بثوب،وأن یکون ساتراً لما یتعارف ستره من بدن الرجل أو المرأة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فأدنی الکسوة ثوب واحد جامع لکلّ مسکین قمیص أو رداء أو کساء أو ملحفة أو جبة أو قباء أو ازار کبیر،و هو الذی یستر البدن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وأن یکون سلیماً،وأنّه لا یکفی مجرّد تسلیم القماش فلابدّ أن یکون مخیطاً،وأن یکون ملائماً لجنس الفقیر،وأنّه کما فی الإطعام لم یسمحوا بإعطاء الفرد الواحد أکثر من ثوب واحد 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تمام العدد کسا الموجود وانتظر الباقی ولا یجزئ التکرار علی الموجود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ویمکن أن یکون الجانب الاقتصادی شاملاً لعملیة تحریر العبید من أسر العبودیة،کما فی خصال کفّارة الإفطار فی شهر رمضان أو کفّارة القتل أو إفساد الاعتکاف أو فی بعض موارد حنث الیمین،مع أنّها تُعدّ فی الوقت الحاضر سالبةً بانتفاء موضوعها تقریباً،و هذا ممّا یعکس اهتمام الإسلام بحرّیة الإنسان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فالکفّارات تمثّل إحدی الحالات التی یمکن من خلالها ملاحظة الترابط بین الأحکام‌المرتبطة بالعبادات و المجال الاقتصادی،حیث وظّف الشارع بعضها لتقویة اللحمة الاجتماعیة وإعادة توزیع الدخل بما یساهم فی تطبیق التوازن المعیشی بین أفرادالمجتمع</w:t>
      </w:r>
      <w:r>
        <w:rPr>
          <w:rFonts w:eastAsia="IRNazanin" w:cs="IRNazanin"/>
          <w:color w:val="111111"/>
          <w:sz w:val="28"/>
          <w:szCs w:val="28"/>
          <w:rtl w:val="true"/>
          <w:lang w:bidi="fa-IR"/>
        </w:rPr>
        <w:t>.</w:t>
      </w:r>
      <w:bookmarkStart w:id="795" w:name="pg5204_66292"/>
    </w:p>
    <w:p>
      <w:pPr>
        <w:pStyle w:val="Heading5"/>
        <w:numPr>
          <w:ilvl w:val="4"/>
          <w:numId w:val="1"/>
        </w:numPr>
        <w:rPr/>
      </w:pPr>
      <w:bookmarkStart w:id="796" w:name="__RefHeading___Toc97648_581953129"/>
      <w:bookmarkStart w:id="797" w:name="_Toc317"/>
      <w:bookmarkEnd w:id="795"/>
      <w:bookmarkEnd w:id="796"/>
      <w:r>
        <w:rPr>
          <w:rtl w:val="true"/>
        </w:rPr>
        <w:t>رابعاً</w:t>
      </w:r>
      <w:r>
        <w:rPr>
          <w:rtl w:val="true"/>
        </w:rPr>
        <w:t>:</w:t>
      </w:r>
      <w:r>
        <w:rPr>
          <w:rtl w:val="true"/>
        </w:rPr>
        <w:t>المیراث</w:t>
      </w:r>
      <w:bookmarkEnd w:id="797"/>
    </w:p>
    <w:p>
      <w:pPr>
        <w:pStyle w:val="Heading6"/>
        <w:numPr>
          <w:ilvl w:val="5"/>
          <w:numId w:val="1"/>
        </w:numPr>
        <w:rPr/>
      </w:pPr>
      <w:bookmarkStart w:id="798" w:name="__RefHeading___Toc97650_581953129"/>
      <w:bookmarkStart w:id="799" w:name="_Toc318"/>
      <w:bookmarkEnd w:id="798"/>
      <w:r>
        <w:rPr>
          <w:rtl w:val="true"/>
        </w:rPr>
        <w:t>اشارة</w:t>
      </w:r>
      <w:bookmarkEnd w:id="799"/>
    </w:p>
    <w:p>
      <w:pPr>
        <w:pStyle w:val="BookText"/>
        <w:rPr/>
      </w:pPr>
      <w:r>
        <w:rPr>
          <w:rFonts w:ascii="IRNazanin" w:hAnsi="IRNazanin" w:eastAsia="IRNazanin"/>
          <w:color w:val="111111"/>
          <w:sz w:val="28"/>
          <w:sz w:val="28"/>
          <w:szCs w:val="28"/>
          <w:rtl w:val="true"/>
          <w:lang w:bidi="fa-IR"/>
        </w:rPr>
        <w:t>وإضافةً إلی ما تقدّم فإنّ الأموال الخاصّة تخضع مرّةً أخری لإعادة التوزیع وذلک عند وفاة المالک،ففی تلک الحالة ینتقل المال إلی امتداده الطبیعی المتمثّل بورثته النَّسبیین بحسب طبقات الأرث وکذا إلی ورثته السببیین،و قد قسّموا طبقات الإرث بالنسب إلی ثلاث طبقات،حیث تکون الأولویة فی المیراث للطبقة الأولی ولا تتعدّی إلی الأدنی إلّا مع فقد الطبقة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وفصّلوا هذه الطبقات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الأولی وتشمل الأبوین المباشرین وحدهما مع الأولاد وأولادهم و إن نزلوا ذکوراً وإناثاً؛الطبقة الثانیة تشمل الأجداد و الجدّات و إن علوا مع الأخوة و الأخوات و إن نزلوا؛الطبقة الثالثة تشمل الأعمام و العمّات و الأخوال و الخالات و إن علوا وأولادهم 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الوارث بالسبب،فإنّه یشمل بالزوجیة الزوج و الزوجة،وبالولاء ضامن الجریرة و الإمام أو بیت المال بحسب الأولویة </w:t>
      </w:r>
      <w:r>
        <w:rPr>
          <w:rStyle w:val="FootnoteAnchor"/>
          <w:rtl w:val="true"/>
        </w:rPr>
        <w:footnoteReference w:id="965"/>
      </w:r>
      <w:r>
        <w:rPr>
          <w:rFonts w:ascii="IRNazanin" w:hAnsi="IRNazanin" w:eastAsia="IRNazanin"/>
          <w:color w:val="111111"/>
          <w:sz w:val="28"/>
          <w:sz w:val="28"/>
          <w:szCs w:val="28"/>
          <w:rtl w:val="true"/>
          <w:lang w:bidi="fa-IR"/>
        </w:rPr>
        <w:t>وبغیرهما الموصی له فی بعض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وللإرث أحکامٌ مفصّلةٌ بحسب الموارد التی یتواجد فیها الورثة النَّسبیین و السببیین وبحسب طبقتهم وقرابتهم أو اتّصالهم بالمیت سببیاً،وفی کونهم أصحاب فروض أم مجرّد أرحام وما إلی ذلک،ونحن بدورنا سنتطرّق إلی أمّهات المسائل فیما یرتبط بموضوعنا من الحدود التی یخضع لها استحقاق المیراث وتوزیعه،والتی یمکن إیرادها باقتضاب حسب النحو التالی</w:t>
      </w:r>
      <w:r>
        <w:rPr>
          <w:rFonts w:eastAsia="IRNazanin" w:cs="IRNazanin"/>
          <w:color w:val="111111"/>
          <w:sz w:val="28"/>
          <w:szCs w:val="28"/>
          <w:rtl w:val="true"/>
          <w:lang w:bidi="fa-IR"/>
        </w:rPr>
        <w:t>:</w:t>
      </w:r>
    </w:p>
    <w:p>
      <w:pPr>
        <w:pStyle w:val="Heading6"/>
        <w:numPr>
          <w:ilvl w:val="5"/>
          <w:numId w:val="1"/>
        </w:numPr>
        <w:rPr/>
      </w:pPr>
      <w:bookmarkStart w:id="800" w:name="__RefHeading___Toc97652_581953129"/>
      <w:bookmarkStart w:id="801" w:name="_Toc319"/>
      <w:bookmarkEnd w:id="800"/>
      <w:r>
        <w:rPr>
          <w:rtl w:val="true"/>
        </w:rPr>
        <w:t>[</w:t>
      </w:r>
      <w:r>
        <w:rPr>
          <w:rtl w:val="true"/>
        </w:rPr>
        <w:t>أمّهات المسائل فیما یرتبط بموضوع المیراث</w:t>
      </w:r>
      <w:r>
        <w:rPr>
          <w:rtl w:val="true"/>
        </w:rPr>
        <w:t>]</w:t>
      </w:r>
      <w:bookmarkEnd w:id="801"/>
    </w:p>
    <w:p>
      <w:pPr>
        <w:pStyle w:val="Heading6"/>
        <w:numPr>
          <w:ilvl w:val="5"/>
          <w:numId w:val="1"/>
        </w:numPr>
        <w:rPr/>
      </w:pPr>
      <w:bookmarkStart w:id="802" w:name="__RefHeading___Toc97654_581953129"/>
      <w:bookmarkStart w:id="803" w:name="_Toc320"/>
      <w:bookmarkEnd w:id="802"/>
      <w:r>
        <w:rPr>
          <w:rtl w:val="true"/>
        </w:rPr>
        <w:t>أ</w:t>
      </w:r>
      <w:r>
        <w:rPr>
          <w:rtl w:val="true"/>
        </w:rPr>
        <w:t>)</w:t>
      </w:r>
      <w:r>
        <w:rPr>
          <w:rtl w:val="true"/>
        </w:rPr>
        <w:t>عدم السماح بإرث من لم یکن وارثاً نَسبیاً أو سببیاً</w:t>
      </w:r>
      <w:bookmarkEnd w:id="803"/>
    </w:p>
    <w:p>
      <w:pPr>
        <w:pStyle w:val="BookText"/>
        <w:rPr/>
      </w:pPr>
      <w:r>
        <w:rPr>
          <w:rFonts w:ascii="Amiri" w:hAnsi="Amiri" w:eastAsia="Amiri" w:cs="Amiri"/>
          <w:color w:val="111111"/>
          <w:sz w:val="28"/>
          <w:sz w:val="28"/>
          <w:szCs w:val="28"/>
          <w:rtl w:val="true"/>
          <w:lang w:bidi="ar-SA"/>
        </w:rPr>
        <w:t>فالإرث محصورٌ فیمن یتّصل بالمیت نَسبیاً أو سببیاً،ومن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یرث شخص ما غیره إلّا إذا اتّصل به بنسب أو سبب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وهم المذکورون فیما تقدّم</w:t>
      </w:r>
      <w:r>
        <w:rPr>
          <w:rFonts w:eastAsia="IRNazanin" w:cs="IRNazanin"/>
          <w:color w:val="111111"/>
          <w:sz w:val="28"/>
          <w:szCs w:val="28"/>
          <w:rtl w:val="true"/>
          <w:lang w:bidi="fa-IR"/>
        </w:rPr>
        <w:t>.</w:t>
      </w:r>
    </w:p>
    <w:p>
      <w:pPr>
        <w:pStyle w:val="Heading6"/>
        <w:numPr>
          <w:ilvl w:val="5"/>
          <w:numId w:val="1"/>
        </w:numPr>
        <w:rPr/>
      </w:pPr>
      <w:bookmarkStart w:id="804" w:name="__RefHeading___Toc97656_581953129"/>
      <w:bookmarkStart w:id="805" w:name="_Toc321"/>
      <w:bookmarkEnd w:id="804"/>
      <w:r>
        <w:rPr>
          <w:rtl w:val="true"/>
        </w:rPr>
        <w:t>ب</w:t>
      </w:r>
      <w:r>
        <w:rPr>
          <w:rtl w:val="true"/>
        </w:rPr>
        <w:t>)</w:t>
      </w:r>
      <w:r>
        <w:rPr>
          <w:rtl w:val="true"/>
        </w:rPr>
        <w:t>عدم السماح بالإرث بالقرابة إلّا بالولادة من نکاح شرعی</w:t>
      </w:r>
      <w:bookmarkEnd w:id="8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فالوارث المسموح له بالإرث هو ما کان مولوداً بولادة شرعیة،وهی القائمة علی زواج تمّ وفقاً للضوابط الشرعیة لا من زنی أو سفاح،وعلی هذا</w:t>
      </w:r>
      <w:r>
        <w:rPr>
          <w:rFonts w:eastAsia="IRNazanin" w:cs="IRNazanin"/>
          <w:color w:val="111111"/>
          <w:sz w:val="28"/>
          <w:szCs w:val="28"/>
          <w:rtl w:val="true"/>
          <w:lang w:bidi="fa-IR"/>
        </w:rPr>
        <w:t>:</w:t>
      </w:r>
      <w:bookmarkStart w:id="806" w:name="pg5204_66293"/>
    </w:p>
    <w:p>
      <w:pPr>
        <w:pStyle w:val="BookText"/>
        <w:rPr/>
      </w:pPr>
      <w:bookmarkEnd w:id="806"/>
      <w:r>
        <w:rPr>
          <w:rFonts w:ascii="IRNazanin" w:hAnsi="IRNazanin" w:eastAsia="IRNazanin"/>
          <w:color w:val="111111"/>
          <w:sz w:val="28"/>
          <w:sz w:val="28"/>
          <w:szCs w:val="28"/>
          <w:rtl w:val="true"/>
          <w:lang w:bidi="fa-IR"/>
        </w:rPr>
        <w:t xml:space="preserve">لا توارث بین ولد الزنی وبین أبیه الزانی،ومن یتقرّب به،فلا یرثهم کما لا یرثونه </w:t>
      </w:r>
      <w:r>
        <w:rPr>
          <w:rStyle w:val="FootnoteAnchor"/>
          <w:rtl w:val="true"/>
        </w:rPr>
        <w:footnoteReference w:id="967"/>
      </w:r>
      <w:r>
        <w:rPr>
          <w:rFonts w:ascii="IRNazanin" w:hAnsi="IRNazanin" w:eastAsia="IRNazanin"/>
          <w:color w:val="111111"/>
          <w:sz w:val="28"/>
          <w:sz w:val="28"/>
          <w:szCs w:val="28"/>
          <w:rtl w:val="true"/>
          <w:lang w:bidi="fa-IR"/>
        </w:rPr>
        <w:t>وفی عدم إرث أمه الزانیة ومن یتقرّب بها إشکال</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وحکم ولد اللعان الذی انتفی منه أبوه حکم ولد الزنی،فیکون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الملاعنة وولد الزنا فی حکم المیراث بمنزلة ولد رشیدة لیس له أب،ولا قرابة أب فلا یرث هذا الولد من الأب وقرابته،ولا یرث الأب،ولا قرابته من هذا الولد</w:t>
      </w:r>
      <w:r>
        <w:rPr>
          <w:rFonts w:eastAsia="IRNazanin" w:cs="IRNazanin"/>
          <w:color w:val="111111"/>
          <w:sz w:val="28"/>
          <w:szCs w:val="28"/>
          <w:rtl w:val="true"/>
          <w:lang w:bidi="fa-IR"/>
        </w:rPr>
        <w:t xml:space="preserve">. </w:t>
      </w:r>
      <w:r>
        <w:rPr>
          <w:rStyle w:val="FootnoteAnchor"/>
          <w:rtl w:val="true"/>
        </w:rPr>
        <w:footnoteReference w:id="969"/>
      </w:r>
    </w:p>
    <w:p>
      <w:pPr>
        <w:pStyle w:val="Heading6"/>
        <w:numPr>
          <w:ilvl w:val="5"/>
          <w:numId w:val="1"/>
        </w:numPr>
        <w:rPr/>
      </w:pPr>
      <w:bookmarkStart w:id="807" w:name="__RefHeading___Toc97658_581953129"/>
      <w:bookmarkStart w:id="808" w:name="_Toc322"/>
      <w:bookmarkEnd w:id="807"/>
      <w:r>
        <w:rPr>
          <w:rtl w:val="true"/>
        </w:rPr>
        <w:t>ج</w:t>
      </w:r>
      <w:r>
        <w:rPr>
          <w:rtl w:val="true"/>
        </w:rPr>
        <w:t>)</w:t>
      </w:r>
      <w:r>
        <w:rPr>
          <w:rtl w:val="true"/>
        </w:rPr>
        <w:t>عدم السماح بإرث غیر المسلم للمسلم</w:t>
      </w:r>
      <w:bookmarkEnd w:id="808"/>
    </w:p>
    <w:p>
      <w:pPr>
        <w:pStyle w:val="BookText"/>
        <w:rPr/>
      </w:pPr>
      <w:r>
        <w:rPr>
          <w:rFonts w:ascii="IRNazanin" w:hAnsi="IRNazanin" w:eastAsia="IRNazanin"/>
          <w:color w:val="111111"/>
          <w:sz w:val="28"/>
          <w:sz w:val="28"/>
          <w:szCs w:val="28"/>
          <w:rtl w:val="true"/>
          <w:lang w:bidi="fa-IR"/>
        </w:rPr>
        <w:t>فالکافر لا یرث المسلم سواء اتّصل به بنَسب أو سبب،فإنّه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یرث الکافر من المسلم و إن قرب ولا فرق فی الکافر بین الأصلی ذمیاً کان أو حربیاً وبین المرتد فطریاً کان أو مِلیا</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أمّا المسلم فإنّه یرث الکافر و المرتد المتّصل معه بنَسب،إلّا أنّ الحنفیة ذهبوا إلی عدم توارثهما مطلقاً،ونزّلوا المرتد منزلة الکافر إلّا بخصوص ما کسبه حال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یرث أحداً ولا یرثه أحد ممّا اکتسبه فی ردته،بخلاف کسب إسلامه فإنّه یرثه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لاستناده إلی ما قبلها فهو إرث مسلم من مثله</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ونزّلوا منزلتهما من أقاما فی دارین متعادیتین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یستحلّ کلّ منهم قتال الآخر،فهاتان الداران مختلفتان فتنقطع باختلافهما الوراثة لأنّها تُبتنی علی العصمة و الولایة؛وأّمّا إذا کان بینهما تناصر وتعاون علی أعدائهما کانت الدار واحدة و الوراثة ثابتة</w:t>
      </w:r>
      <w:r>
        <w:rPr>
          <w:rFonts w:eastAsia="IRNazanin" w:cs="IRNazanin"/>
          <w:color w:val="111111"/>
          <w:sz w:val="28"/>
          <w:szCs w:val="28"/>
          <w:rtl w:val="true"/>
          <w:lang w:bidi="fa-IR"/>
        </w:rPr>
        <w:t xml:space="preserve">. </w:t>
      </w:r>
      <w:r>
        <w:rPr>
          <w:rStyle w:val="FootnoteAnchor"/>
          <w:rtl w:val="true"/>
        </w:rPr>
        <w:footnoteReference w:id="972"/>
      </w:r>
    </w:p>
    <w:p>
      <w:pPr>
        <w:pStyle w:val="Heading6"/>
        <w:numPr>
          <w:ilvl w:val="5"/>
          <w:numId w:val="1"/>
        </w:numPr>
        <w:rPr/>
      </w:pPr>
      <w:bookmarkStart w:id="809" w:name="__RefHeading___Toc97660_581953129"/>
      <w:bookmarkStart w:id="810" w:name="_Toc323"/>
      <w:bookmarkEnd w:id="809"/>
      <w:r>
        <w:rPr>
          <w:rtl w:val="true"/>
        </w:rPr>
        <w:t>د</w:t>
      </w:r>
      <w:r>
        <w:rPr>
          <w:rtl w:val="true"/>
        </w:rPr>
        <w:t>)</w:t>
      </w:r>
      <w:r>
        <w:rPr>
          <w:rtl w:val="true"/>
        </w:rPr>
        <w:t>عدم السماح بإرث الوارث إلّا عند تحقّق حیاته وموت المورِّث فی ذات الوقت</w:t>
      </w:r>
      <w:bookmarkEnd w:id="810"/>
    </w:p>
    <w:p>
      <w:pPr>
        <w:pStyle w:val="BookText"/>
        <w:rPr/>
      </w:pPr>
      <w:r>
        <w:rPr>
          <w:rFonts w:ascii="IRNazanin" w:hAnsi="IRNazanin" w:eastAsia="IRNazanin"/>
          <w:color w:val="111111"/>
          <w:sz w:val="28"/>
          <w:sz w:val="28"/>
          <w:szCs w:val="28"/>
          <w:rtl w:val="true"/>
          <w:lang w:bidi="fa-IR"/>
        </w:rPr>
        <w:t>فمن دون أن تتحقّق حیاة الوارث ولو للحظة عند موت المورِّث لا یستحقّ معه من الإرث شیئاً،و هذا الأمر ینطبق علیهما سواء تحقّق حقیقةً أو حکماً،فیلزم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 مورِّث حقیقةً،أو حکماً کمفقود،أو تقدیراً کجنین فیه غرّة،ووجود وارثه عند موته حیاً حقیقةً،أو تقدیراً کالحمل </w:t>
      </w:r>
      <w:r>
        <w:rPr>
          <w:rStyle w:val="FootnoteAnchor"/>
          <w:rtl w:val="true"/>
        </w:rPr>
        <w:footnoteReference w:id="973"/>
      </w:r>
      <w:bookmarkStart w:id="811" w:name="pg5204_66294"/>
    </w:p>
    <w:p>
      <w:pPr>
        <w:pStyle w:val="BookText"/>
        <w:rPr/>
      </w:pPr>
      <w:bookmarkEnd w:id="811"/>
      <w:r>
        <w:rPr>
          <w:rFonts w:ascii="Amiri" w:hAnsi="Amiri" w:eastAsia="Amiri" w:cs="Amiri"/>
          <w:color w:val="111111"/>
          <w:sz w:val="28"/>
          <w:sz w:val="28"/>
          <w:szCs w:val="28"/>
          <w:rtl w:val="true"/>
          <w:lang w:bidi="ar-SA"/>
        </w:rPr>
        <w:t>وفی حکم موت المورِّث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الارتداد عن فطرة،فإنّه یجوز لورثة المرتد اقتسام ترکته حال حیاته،وبمجرّد ثبوت ارتداده</w:t>
      </w:r>
      <w:r>
        <w:rPr>
          <w:rFonts w:eastAsia="IRNazanin" w:cs="IRNazanin"/>
          <w:color w:val="111111"/>
          <w:sz w:val="28"/>
          <w:szCs w:val="28"/>
          <w:rtl w:val="true"/>
          <w:lang w:bidi="fa-IR"/>
        </w:rPr>
        <w:t xml:space="preserve">. </w:t>
      </w:r>
      <w:r>
        <w:rPr>
          <w:rStyle w:val="FootnoteAnchor"/>
          <w:rtl w:val="true"/>
        </w:rPr>
        <w:footnoteReference w:id="974"/>
      </w:r>
    </w:p>
    <w:p>
      <w:pPr>
        <w:pStyle w:val="Heading6"/>
        <w:numPr>
          <w:ilvl w:val="5"/>
          <w:numId w:val="1"/>
        </w:numPr>
        <w:rPr/>
      </w:pPr>
      <w:bookmarkStart w:id="812" w:name="__RefHeading___Toc97662_581953129"/>
      <w:bookmarkStart w:id="813" w:name="_Toc324"/>
      <w:bookmarkEnd w:id="812"/>
      <w:r>
        <w:rPr>
          <w:rtl w:val="true"/>
        </w:rPr>
        <w:t>ه</w:t>
      </w:r>
      <w:r>
        <w:rPr>
          <w:rtl w:val="true"/>
        </w:rPr>
        <w:t>)</w:t>
      </w:r>
      <w:r>
        <w:rPr>
          <w:rtl w:val="true"/>
        </w:rPr>
        <w:t>عدم السماح بإرث القاتل لمن قتله عمداً</w:t>
      </w:r>
      <w:bookmarkEnd w:id="813"/>
    </w:p>
    <w:p>
      <w:pPr>
        <w:pStyle w:val="BookText"/>
        <w:rPr/>
      </w:pPr>
      <w:r>
        <w:rPr>
          <w:rFonts w:ascii="IRNazanin" w:hAnsi="IRNazanin" w:eastAsia="IRNazanin"/>
          <w:color w:val="111111"/>
          <w:sz w:val="28"/>
          <w:sz w:val="28"/>
          <w:szCs w:val="28"/>
          <w:rtl w:val="true"/>
          <w:lang w:bidi="fa-IR"/>
        </w:rPr>
        <w:t>فالقتل عن سابق إصرار یعدّ مانعاً من موانع الإرث،فلا یسمح للقاتل أن یرث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إذاکان القتل عمداً وظلماً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مباشرةً أو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یکون بالتسبیب،کما لو ألقاه فی مسبَعة فافترسه السبع،أو حبسه فی مکان زمناً طویلاً بلا قوت فمات جوعاً أو عطشاً،أو نحو ذلک</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أمّا لو کان لسبب آخرکما لو کان خطأً،أو بإجراء حقّ فإنّه لا یکون مانعاً من وراثة القاتل للمقتول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أخرج روشناً أو حفر بئراً أو وضع حجراً فی الطریق فقتل مورِّثه،أو أقاد دابةً‌أو ساقها فوطئته،أو قتله قصاصاً أو رجماً أو دفعاً عن نفسه،أو وجِد مورِّثه قتیلاً فی داره</w:t>
      </w:r>
      <w:r>
        <w:rPr>
          <w:rFonts w:eastAsia="IRNazanin" w:cs="IRNazanin"/>
          <w:color w:val="111111"/>
          <w:sz w:val="28"/>
          <w:szCs w:val="28"/>
          <w:rtl w:val="true"/>
          <w:lang w:bidi="fa-IR"/>
        </w:rPr>
        <w:t xml:space="preserve">. </w:t>
      </w:r>
      <w:r>
        <w:rPr>
          <w:rStyle w:val="FootnoteAnchor"/>
          <w:rtl w:val="true"/>
        </w:rPr>
        <w:footnoteReference w:id="977"/>
      </w:r>
    </w:p>
    <w:p>
      <w:pPr>
        <w:pStyle w:val="Heading6"/>
        <w:numPr>
          <w:ilvl w:val="5"/>
          <w:numId w:val="1"/>
        </w:numPr>
        <w:rPr/>
      </w:pPr>
      <w:bookmarkStart w:id="814" w:name="__RefHeading___Toc97664_581953129"/>
      <w:bookmarkStart w:id="815" w:name="_Toc325"/>
      <w:bookmarkEnd w:id="814"/>
      <w:r>
        <w:rPr>
          <w:rtl w:val="true"/>
        </w:rPr>
        <w:t>و</w:t>
      </w:r>
      <w:r>
        <w:rPr>
          <w:rtl w:val="true"/>
        </w:rPr>
        <w:t>:</w:t>
      </w:r>
      <w:r>
        <w:rPr>
          <w:rtl w:val="true"/>
        </w:rPr>
        <w:t>عدم السماح بتوارث الزوجین إلّا بنکاح دائم</w:t>
      </w:r>
      <w:bookmarkEnd w:id="815"/>
    </w:p>
    <w:p>
      <w:pPr>
        <w:pStyle w:val="BookText"/>
        <w:rPr/>
      </w:pPr>
      <w:r>
        <w:rPr>
          <w:rFonts w:ascii="IRNazanin" w:hAnsi="IRNazanin" w:eastAsia="IRNazanin"/>
          <w:color w:val="111111"/>
          <w:sz w:val="28"/>
          <w:sz w:val="28"/>
          <w:szCs w:val="28"/>
          <w:rtl w:val="true"/>
          <w:lang w:bidi="fa-IR"/>
        </w:rPr>
        <w:t>فما لم یکن الزواج زواجاً دائماً،فإنّه من غیر المسموح به أن یرث الزوج زوجته وبالعکس،فإنّه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التوارث بین الزوجین دوام العقد،فلا میراث بینهما فی الانقطاع</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أمّا فی غیر ذلک فلا یثبت التوارث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کنکاح المتعة و المؤقّت و إن جهلت المدّة أو طالت فی الأصح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ولا یشترط فی الزواج الدائم أن یکون قد تمّ فیه الدخول أو الخلوة؛کی یثبت التوارث بین الزوجین،فإنّه یصحّ ولو کان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وط‌ء ولا خلوة إجماعا </w:t>
      </w:r>
      <w:r>
        <w:rPr>
          <w:rStyle w:val="FootnoteAnchor"/>
          <w:rtl w:val="true"/>
        </w:rPr>
        <w:footnoteReference w:id="980"/>
      </w:r>
      <w:bookmarkStart w:id="816" w:name="pg5204_66295"/>
    </w:p>
    <w:p>
      <w:pPr>
        <w:pStyle w:val="BookText"/>
        <w:rPr/>
      </w:pPr>
      <w:bookmarkEnd w:id="816"/>
      <w:r>
        <w:rPr>
          <w:rFonts w:ascii="IRNazanin" w:hAnsi="IRNazanin" w:eastAsia="IRNazanin"/>
          <w:color w:val="111111"/>
          <w:sz w:val="28"/>
          <w:sz w:val="28"/>
          <w:szCs w:val="28"/>
          <w:rtl w:val="true"/>
          <w:lang w:bidi="fa-IR"/>
        </w:rPr>
        <w:t>کما لا یشترط کونهما زوجین فعلاً،بل یکفی فی الإرث أن یکون أحدهما بحکم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لوکانت الزوجة فی عدّة طلاق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کانت زوجته المعتدّة منه قد ماتت فی العدّة قبل تبین حاله ثمّ تبینت حیاته </w:t>
      </w:r>
      <w:r>
        <w:rPr>
          <w:rStyle w:val="FootnoteAnchor"/>
          <w:rtl w:val="true"/>
        </w:rPr>
        <w:footnoteReference w:id="981"/>
      </w:r>
    </w:p>
    <w:p>
      <w:pPr>
        <w:pStyle w:val="Heading6"/>
        <w:numPr>
          <w:ilvl w:val="5"/>
          <w:numId w:val="1"/>
        </w:numPr>
        <w:rPr/>
      </w:pPr>
      <w:bookmarkStart w:id="817" w:name="__RefHeading___Toc97666_581953129"/>
      <w:bookmarkStart w:id="818" w:name="_Toc326"/>
      <w:bookmarkEnd w:id="817"/>
      <w:r>
        <w:rPr>
          <w:rtl w:val="true"/>
        </w:rPr>
        <w:t>ز</w:t>
      </w:r>
      <w:r>
        <w:rPr>
          <w:rtl w:val="true"/>
        </w:rPr>
        <w:t>)</w:t>
      </w:r>
      <w:r>
        <w:rPr>
          <w:rtl w:val="true"/>
        </w:rPr>
        <w:t>عدم السماح بتوارث غیر الزوجین سببیاً إلّا بفقد الوارث النَّسبی</w:t>
      </w:r>
      <w:bookmarkEnd w:id="818"/>
    </w:p>
    <w:p>
      <w:pPr>
        <w:pStyle w:val="BookText"/>
        <w:rPr/>
      </w:pPr>
      <w:r>
        <w:rPr>
          <w:rFonts w:ascii="IRNazanin" w:hAnsi="IRNazanin" w:eastAsia="IRNazanin"/>
          <w:color w:val="111111"/>
          <w:sz w:val="28"/>
          <w:sz w:val="28"/>
          <w:szCs w:val="28"/>
          <w:rtl w:val="true"/>
          <w:lang w:bidi="fa-IR"/>
        </w:rPr>
        <w:t>فالإرث مأخوذٌ فیه النَّسب من حیث الأصل،فلا تصل النوبة إلی السببی إلّا بفقد النَّسبی،فیشترط فی الإرث بالسبب فی غیر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ضامن الجریرة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وارث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مات الإنسان الذی لیس له قرابة ترث،ورثه ضامن الجریرة إن وجد،وإلّا ورثه الإمام</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فما دام الوارث النَّسبی موجوداً،فلا تصل النوبة إلی من یرث بالسبب من غیر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الموالاة آخر الورثة مؤخّر عن ذوی الأرحام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ذووا الأرحام یقدّم مولی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 موالاة المیت 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مولای ترثنی إذا متّ وتعقل عنّی إذا جنیت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بل إنّ صحّة مثل هکذا عقد متوقّفٌ علی عدم وجود وارث نَسبی،إذ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یصحّ العقد المذکور إلّا إذا کان المضمون لا وارث له من النَّسب</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وعلی هذا فلا یسمح بالإرث للوارث السببی عدا الزوجین إلّا مع عدم وجود الوارث النَّسبی</w:t>
      </w:r>
      <w:r>
        <w:rPr>
          <w:rFonts w:eastAsia="IRNazanin" w:cs="IRNazanin"/>
          <w:color w:val="111111"/>
          <w:sz w:val="28"/>
          <w:szCs w:val="28"/>
          <w:rtl w:val="true"/>
          <w:lang w:bidi="fa-IR"/>
        </w:rPr>
        <w:t>.</w:t>
      </w:r>
    </w:p>
    <w:p>
      <w:pPr>
        <w:pStyle w:val="Heading6"/>
        <w:numPr>
          <w:ilvl w:val="5"/>
          <w:numId w:val="1"/>
        </w:numPr>
        <w:rPr/>
      </w:pPr>
      <w:bookmarkStart w:id="819" w:name="__RefHeading___Toc97668_581953129"/>
      <w:bookmarkStart w:id="820" w:name="_Toc327"/>
      <w:bookmarkEnd w:id="819"/>
      <w:r>
        <w:rPr>
          <w:rtl w:val="true"/>
        </w:rPr>
        <w:t>ح</w:t>
      </w:r>
      <w:r>
        <w:rPr>
          <w:rtl w:val="true"/>
        </w:rPr>
        <w:t>)</w:t>
      </w:r>
      <w:r>
        <w:rPr>
          <w:rtl w:val="true"/>
        </w:rPr>
        <w:t>عدم السماح بتوارث الزوجین بوقوع زواجهما فی مرض الموت للزوج إذا مات قبل الدخول</w:t>
      </w:r>
      <w:bookmarkEnd w:id="820"/>
    </w:p>
    <w:p>
      <w:pPr>
        <w:pStyle w:val="BookText"/>
        <w:rPr/>
      </w:pPr>
      <w:r>
        <w:rPr>
          <w:rFonts w:ascii="IRNazanin" w:hAnsi="IRNazanin" w:eastAsia="IRNazanin"/>
          <w:color w:val="111111"/>
          <w:sz w:val="28"/>
          <w:sz w:val="28"/>
          <w:szCs w:val="28"/>
          <w:rtl w:val="true"/>
          <w:lang w:bidi="fa-IR"/>
        </w:rPr>
        <w:t>فمع زواج المریض وموته فی ذلک المرض دون أن یدخل بزوجته لا یثبت بینهما توارث،فإذا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المریض ولم یدخل بزوجته ولم یبرأ من مرضه حتّی مات،حکم ببطلان الزواج،ولم یکن بینهما توارث</w:t>
      </w:r>
      <w:r>
        <w:rPr>
          <w:rFonts w:eastAsia="IRNazanin" w:cs="IRNazanin"/>
          <w:color w:val="111111"/>
          <w:sz w:val="28"/>
          <w:szCs w:val="28"/>
          <w:rtl w:val="true"/>
          <w:lang w:bidi="fa-IR"/>
        </w:rPr>
        <w:t xml:space="preserve">. </w:t>
      </w:r>
      <w:r>
        <w:rPr>
          <w:rStyle w:val="FootnoteAnchor"/>
          <w:rtl w:val="true"/>
        </w:rPr>
        <w:footnoteReference w:id="98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یسمح علی هذا الأساس بتوارث الزوجین فی حال حدوث زواجهما أثناء مرض الزوج إذا مات قبل دخوله بها</w:t>
      </w:r>
      <w:r>
        <w:rPr>
          <w:rFonts w:eastAsia="IRNazanin" w:cs="IRNazanin"/>
          <w:color w:val="111111"/>
          <w:sz w:val="28"/>
          <w:szCs w:val="28"/>
          <w:rtl w:val="true"/>
          <w:lang w:bidi="fa-IR"/>
        </w:rPr>
        <w:t>.</w:t>
      </w:r>
      <w:bookmarkStart w:id="821" w:name="pg5204_66296"/>
    </w:p>
    <w:p>
      <w:pPr>
        <w:pStyle w:val="Heading6"/>
        <w:numPr>
          <w:ilvl w:val="5"/>
          <w:numId w:val="1"/>
        </w:numPr>
        <w:rPr/>
      </w:pPr>
      <w:bookmarkStart w:id="822" w:name="__RefHeading___Toc97670_581953129"/>
      <w:bookmarkStart w:id="823" w:name="_Toc328"/>
      <w:bookmarkEnd w:id="821"/>
      <w:bookmarkEnd w:id="822"/>
      <w:r>
        <w:rPr>
          <w:rtl w:val="true"/>
        </w:rPr>
        <w:t>ط</w:t>
      </w:r>
      <w:r>
        <w:rPr>
          <w:rtl w:val="true"/>
        </w:rPr>
        <w:t>)</w:t>
      </w:r>
      <w:r>
        <w:rPr>
          <w:rtl w:val="true"/>
        </w:rPr>
        <w:t>عدم السماح بإرث مطلّقة المریض إلّا بموته بذلک المرض فی سنته ولم یکن برضاها ولم تتزوج</w:t>
      </w:r>
      <w:bookmarkEnd w:id="823"/>
    </w:p>
    <w:p>
      <w:pPr>
        <w:pStyle w:val="BookText"/>
        <w:rPr/>
      </w:pPr>
      <w:r>
        <w:rPr>
          <w:rFonts w:ascii="IRNazanin" w:hAnsi="IRNazanin" w:eastAsia="IRNazanin"/>
          <w:color w:val="111111"/>
          <w:sz w:val="28"/>
          <w:sz w:val="28"/>
          <w:szCs w:val="28"/>
          <w:rtl w:val="true"/>
          <w:lang w:bidi="fa-IR"/>
        </w:rPr>
        <w:t>فصحّة إرث الزوجة لمطلّقها أثناء مرضه متوقّفٌ علی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موته قبل انتهاء السنة من حین الطلاق،ولم یبرأ من مرضه الذی طلّق فیه،ولم یکن الطلاق بسؤالها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فمع فقد أی شرط من هذه الشروط لا یسمح لها بأن ترثه،فلو مات بعد السنة ولو بلحظة أو کان قد برئ من مرضه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لا بدّ أن یکون المرض الذی طلّقها فیه مرض الموت،فإذا صحّ تبین أنّه لم یکن مرض الموت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أو کان طلاقها بسؤالها ورضاها کما 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اختلعت منه أو اختارت نفسها ولو ببلوغ وعتق وجبّ وعنّة لم ترث لرضاها</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وکذا الأمر فی زواجها من غیره،فیشترط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تتزوج المرأة بغیره إلی موته أثناء السنة،وإلّا فالأظهر عدم ثبوت الإرث</w:t>
      </w:r>
      <w:r>
        <w:rPr>
          <w:rFonts w:eastAsia="IRNazanin" w:cs="IRNazanin"/>
          <w:color w:val="111111"/>
          <w:sz w:val="28"/>
          <w:szCs w:val="28"/>
          <w:rtl w:val="true"/>
          <w:lang w:bidi="fa-IR"/>
        </w:rPr>
        <w:t xml:space="preserve">. </w:t>
      </w:r>
      <w:r>
        <w:rPr>
          <w:rStyle w:val="FootnoteAnchor"/>
          <w:rtl w:val="true"/>
        </w:rPr>
        <w:footnoteReference w:id="990"/>
      </w:r>
    </w:p>
    <w:p>
      <w:pPr>
        <w:pStyle w:val="Heading6"/>
        <w:numPr>
          <w:ilvl w:val="5"/>
          <w:numId w:val="1"/>
        </w:numPr>
        <w:rPr/>
      </w:pPr>
      <w:bookmarkStart w:id="824" w:name="__RefHeading___Toc97672_581953129"/>
      <w:bookmarkStart w:id="825" w:name="_Toc329"/>
      <w:bookmarkEnd w:id="824"/>
      <w:r>
        <w:rPr>
          <w:rtl w:val="true"/>
        </w:rPr>
        <w:t>ی</w:t>
      </w:r>
      <w:r>
        <w:rPr>
          <w:rtl w:val="true"/>
        </w:rPr>
        <w:t>)</w:t>
      </w:r>
      <w:r>
        <w:rPr>
          <w:rtl w:val="true"/>
        </w:rPr>
        <w:t>عدم السماح بتنفیذ وصیة المریض مرض الموت بأکثر من الثلث إلّا برضی الورثة</w:t>
      </w:r>
      <w:bookmarkEnd w:id="825"/>
    </w:p>
    <w:p>
      <w:pPr>
        <w:pStyle w:val="BookText"/>
        <w:rPr/>
      </w:pPr>
      <w:r>
        <w:rPr>
          <w:rFonts w:ascii="IRNazanin" w:hAnsi="IRNazanin" w:eastAsia="IRNazanin"/>
          <w:color w:val="111111"/>
          <w:sz w:val="28"/>
          <w:sz w:val="28"/>
          <w:szCs w:val="28"/>
          <w:rtl w:val="true"/>
          <w:lang w:bidi="fa-IR"/>
        </w:rPr>
        <w:t>سبق وأن تطرّقنا إلی موضوع الوصیة فی مرض الموت فی الفصل السابق فی مبحث حدود الحرّیة فی قطاع الخدمات عند کلامنا عن الحدود الشخصیة اللازمة مراعاتها فی نفوذ تصرّف المالک،وقلنا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للمیت حقّ التصرّف بالوصیة بالثلث من ماله،و قد أجازوا تصرّفاته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زاد علیه،فهو بحاجة إلی إجازة الورثة علی اعتبار أنّ الأمر یمسّهم بما أنّه مریضٌ مرض الموت؛فتصرّفاته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نافذة بمقدار الثلث،فإذا زادت یتوقّف صحّتها ونفوذها فی الزائد علی إمضاء الورثة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ولو کانت هذه الوصیة لبعض الورثة أنفسهم،فإنّ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 بما زاد علی الثلث و الوصیة للوارث إنّما تمتنع بقوله لحق الورثة</w:t>
      </w:r>
      <w:r>
        <w:rPr>
          <w:rFonts w:eastAsia="IRNazanin" w:cs="IRNazanin"/>
          <w:color w:val="111111"/>
          <w:sz w:val="28"/>
          <w:szCs w:val="28"/>
          <w:rtl w:val="true"/>
          <w:lang w:bidi="fa-IR"/>
        </w:rPr>
        <w:t xml:space="preserve">. </w:t>
      </w:r>
      <w:r>
        <w:rPr>
          <w:rStyle w:val="FootnoteAnchor"/>
          <w:rtl w:val="true"/>
        </w:rPr>
        <w:footnoteReference w:id="992"/>
      </w:r>
      <w:bookmarkStart w:id="826" w:name="pg5204_66297"/>
    </w:p>
    <w:p>
      <w:pPr>
        <w:pStyle w:val="BookText"/>
        <w:rPr/>
      </w:pPr>
      <w:bookmarkEnd w:id="826"/>
      <w:r>
        <w:rPr>
          <w:rFonts w:ascii="IRNazanin" w:hAnsi="IRNazanin" w:eastAsia="IRNazanin"/>
          <w:color w:val="111111"/>
          <w:sz w:val="28"/>
          <w:sz w:val="28"/>
          <w:szCs w:val="28"/>
          <w:rtl w:val="true"/>
          <w:lang w:bidi="fa-IR"/>
        </w:rPr>
        <w:t>فالورثة سواء کانوا ممّن ینتسب إلیهم أو ینتسبون إلیه یعدّون جذره وفرعه،فیکون لهم الحقّ وافراً،کما له علیهم فی عودة میراثه لهم،إلّا أنّ ذلک یختصّ بمرض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 ذلک فی حالة حیاته الطبیعیة فله الوصیة بما شاء من أموال،إلّا أنّ الإسلام حبّذ عدم الإقدام علی ما من شأنه حرمان الورثة من میراثه،و إن کان له الحقّ فی ذلک باعتباره فی کامل الصحّة و العقل ومسلّطٌ علی ماله؛إذ إنّ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نظام الإرث وأراح المکلّف من مسؤولیة توزیعها،لأنّه أعدل منه وأعرف‌بالحاجات</w:t>
      </w:r>
      <w:r>
        <w:rPr>
          <w:rFonts w:eastAsia="IRNazanin" w:cs="IRNazanin"/>
          <w:color w:val="111111"/>
          <w:sz w:val="28"/>
          <w:szCs w:val="28"/>
          <w:rtl w:val="true"/>
          <w:lang w:bidi="fa-IR"/>
        </w:rPr>
        <w:t xml:space="preserve">. </w:t>
      </w:r>
      <w:r>
        <w:rPr>
          <w:rStyle w:val="FootnoteAnchor"/>
          <w:rtl w:val="true"/>
        </w:rPr>
        <w:footnoteReference w:id="993"/>
      </w:r>
    </w:p>
    <w:p>
      <w:pPr>
        <w:pStyle w:val="Heading6"/>
        <w:numPr>
          <w:ilvl w:val="5"/>
          <w:numId w:val="1"/>
        </w:numPr>
        <w:rPr/>
      </w:pPr>
      <w:bookmarkStart w:id="827" w:name="__RefHeading___Toc97674_581953129"/>
      <w:bookmarkStart w:id="828" w:name="_Toc330"/>
      <w:bookmarkEnd w:id="827"/>
      <w:r>
        <w:rPr>
          <w:rtl w:val="true"/>
        </w:rPr>
        <w:t>ک</w:t>
      </w:r>
      <w:r>
        <w:rPr>
          <w:rtl w:val="true"/>
        </w:rPr>
        <w:t>)</w:t>
      </w:r>
      <w:r>
        <w:rPr>
          <w:rtl w:val="true"/>
        </w:rPr>
        <w:t>عدم السماح بإرث الإمام إلّا بفقد الوارث النَّسبی وضامن الجریرة و الزوج و الموصی له</w:t>
      </w:r>
      <w:bookmarkEnd w:id="828"/>
    </w:p>
    <w:p>
      <w:pPr>
        <w:pStyle w:val="BookText"/>
        <w:rPr/>
      </w:pPr>
      <w:r>
        <w:rPr>
          <w:rFonts w:ascii="IRNazanin" w:hAnsi="IRNazanin" w:eastAsia="IRNazanin"/>
          <w:color w:val="111111"/>
          <w:sz w:val="28"/>
          <w:sz w:val="28"/>
          <w:szCs w:val="28"/>
          <w:rtl w:val="true"/>
          <w:lang w:bidi="fa-IR"/>
        </w:rPr>
        <w:t>فمع عدم وجود وارث نَسبی لا تصل النوبة إلی الإمام أو بیت المال إلّا مع عدم وجود ضامن جریرة أو زوج أو موصی له،فإذا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یترک الزوج وارثاً ذا نَسب أو سبب إلّا الإمام فلزوجته الربع فرضاً،وهل یردّ علیها الباقی مطلقاً أو إذا کان الإمام غائباً أو لا یردّ علیها بل یکون الباقی للإمام أقواها الأخیر</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أمّا بالنسبة إلی الزوجة،فإنّها لو ماتت ولم تخلّف وارثاً نَسبیاً أو سببیاً ما عدا زوجها إلّا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فالنصف لزوجها بالفرض و النصف الآخر یردّ علیه علی الأقوی</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إلّا أنّ البعض علی الرغم من أنّه لم یسمح بردّ الفائض علی الزوجین فی تلک الحال إلّا أنّه استثنی ذلک فی حال عدم وجود حاکم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والفتوی الیوم علی الردّ علی الزوجین عند عدم المستحقّ لعدم بیت المال؛إذ الظلمة لا یصرفونه إلی مصرفه</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أی أنّه حکم بالفائض للإمام من حیث الأصل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حقیقته عن التعبیر بالإمام؛إذ إنّ إرث الإمام لا یعنی إرثه شخصیاً،و إنّما باعتباره حاکماً یقوم بإنفاق تلک الأموال فی الجهات التی یراها مناسبة،وعلی الخصوص الفقراء</w:t>
      </w:r>
      <w:r>
        <w:rPr>
          <w:rFonts w:eastAsia="IRNazanin" w:cs="IRNazanin"/>
          <w:color w:val="111111"/>
          <w:sz w:val="28"/>
          <w:szCs w:val="28"/>
          <w:rtl w:val="true"/>
          <w:lang w:bidi="fa-IR"/>
        </w:rPr>
        <w:t>.</w:t>
      </w:r>
      <w:bookmarkStart w:id="829" w:name="pg5204_66298"/>
    </w:p>
    <w:p>
      <w:pPr>
        <w:pStyle w:val="BookText"/>
        <w:rPr/>
      </w:pPr>
      <w:bookmarkEnd w:id="829"/>
      <w:r>
        <w:rPr>
          <w:rFonts w:ascii="Amiri" w:hAnsi="Amiri" w:eastAsia="Amiri" w:cs="Amiri"/>
          <w:color w:val="111111"/>
          <w:sz w:val="28"/>
          <w:sz w:val="28"/>
          <w:szCs w:val="28"/>
          <w:rtl w:val="true"/>
          <w:lang w:bidi="ar-SA"/>
        </w:rPr>
        <w:t>أمّا مع الوصیة 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أوصی من لا وارث له إلّا الإمام بجمیع ماله إلی الفقراء وأبناء السبیل،أو فی وجوه الخیر و القربات و الطاعات نفذت وصیته،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موصی له بالزائد یوضع کلّ الترکة فی بیت المال</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قد مرّ علینا تقدّم ضامن الجریرة علی الإمام فی الإرث مع عدم وجود وارث نَسبی</w:t>
      </w:r>
      <w:r>
        <w:rPr>
          <w:rFonts w:eastAsia="IRNazanin" w:cs="IRNazanin"/>
          <w:color w:val="111111"/>
          <w:sz w:val="28"/>
          <w:szCs w:val="28"/>
          <w:rtl w:val="true"/>
          <w:lang w:bidi="fa-IR"/>
        </w:rPr>
        <w:t>.</w:t>
      </w:r>
    </w:p>
    <w:p>
      <w:pPr>
        <w:pStyle w:val="Heading6"/>
        <w:numPr>
          <w:ilvl w:val="5"/>
          <w:numId w:val="1"/>
        </w:numPr>
        <w:rPr/>
      </w:pPr>
      <w:bookmarkStart w:id="830" w:name="__RefHeading___Toc97676_581953129"/>
      <w:bookmarkStart w:id="831" w:name="_Toc331"/>
      <w:bookmarkEnd w:id="830"/>
      <w:r>
        <w:rPr>
          <w:rtl w:val="true"/>
        </w:rPr>
        <w:t>ل</w:t>
      </w:r>
      <w:r>
        <w:rPr>
          <w:rtl w:val="true"/>
        </w:rPr>
        <w:t>)</w:t>
      </w:r>
      <w:r>
        <w:rPr>
          <w:rtl w:val="true"/>
        </w:rPr>
        <w:t>عدم السماح بإرث الأبعد مع وجود الأقرب</w:t>
      </w:r>
      <w:bookmarkEnd w:id="831"/>
    </w:p>
    <w:p>
      <w:pPr>
        <w:pStyle w:val="BookText"/>
        <w:rPr/>
      </w:pPr>
      <w:r>
        <w:rPr>
          <w:rFonts w:ascii="IRNazanin" w:hAnsi="IRNazanin" w:eastAsia="IRNazanin"/>
          <w:color w:val="111111"/>
          <w:sz w:val="28"/>
          <w:sz w:val="28"/>
          <w:szCs w:val="28"/>
          <w:rtl w:val="true"/>
          <w:lang w:bidi="fa-IR"/>
        </w:rPr>
        <w:t>فتکون الأولویة بالمیراث حسب الأقربیة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فیقدّم جزؤه کالابن وابنه علی أصله کالأب وأبیه،ویقدّم أصله علی جزء أبیه کالأخوة لغیر أو وأبنائهم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فیقدّم الابن علی ابنه و الأب علی أبیه و الأخ علی ابنه لقرب الدرجة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ویکون بحسب الطبقات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فالآباء و الأبناء یحجبون الأجداد و الإخوة،ثمّ الإخوة وأولادهم و الأجداد یحجبون الأعمام و الأخوال،وهکذا</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ما مرّ ذکره من حدود یمثّل أمّهات الحدود التی لا یسمح بتجاوزها فی توزیع المیراث،ولا یمکننا التطرّق إلی الحدود التفصیلیة الکثیرة فی هذا المجال؛إذ إنّها من الکثرة بحیث یتطلّب إیرادها إیراد أغلب مسائل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ویساهم نهج الإسلام هذا فی توزیع المیراث فی إقرار حالة التوازن المعیشی علی المستوی الضیق،فهو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خلاف غیره من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یسمح بحصر الورثة بوارث واحد فیما لو کان معه غیره،ممّا یؤدّی إلی تمرکز الثروة بید أناس معدودین،والذی لم یسمح به 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تأمین عیش ورثة المیت الذین غالباً ما یکون مسؤولاً عن الإنفاق علیهم وعدم ترکهم تتخطّفهم ید القدر ویتلاعب بهم ضغط الحاجة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وإضافةً إلی ما تمّ ذکره بخصوص موارد إعادة التوزیع علی المستوی الفردی،</w:t>
      </w:r>
      <w:bookmarkStart w:id="832" w:name="pg5204_66299"/>
    </w:p>
    <w:p>
      <w:pPr>
        <w:pStyle w:val="BookText"/>
        <w:rPr/>
      </w:pPr>
      <w:bookmarkEnd w:id="832"/>
      <w:r>
        <w:rPr>
          <w:rFonts w:ascii="IRNazanin" w:hAnsi="IRNazanin" w:eastAsia="IRNazanin"/>
          <w:color w:val="111111"/>
          <w:sz w:val="28"/>
          <w:sz w:val="28"/>
          <w:szCs w:val="28"/>
          <w:rtl w:val="true"/>
          <w:lang w:bidi="fa-IR"/>
        </w:rPr>
        <w:t>فهناک موارد أخری لم نأتِ علی ذکرها؛إذ إنّها لا تعبِّر عن حالة إلزامیة،و إنّما طوعیة حثّ علیها الإسلام لتساهم فی إیصال المجتمع إلی حالة التوازن الاقتصادی المطلوب،کما فی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الإحسان المتمثلة بالوقف،والسکنی و العمری و الصدقة و الإطعام وما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هناک حالات أخری لا تعبِّر عن حالة إلزامیة أوّلیة،و إنّما تبعیة،کما فی النذور التی تتبتدئ طوعیةً لیتحوّل بعضها إلزامیاً،هذا فیما لو کان المنذور یرتبط بحالة إنفاقیة</w:t>
      </w:r>
      <w:r>
        <w:rPr>
          <w:rFonts w:eastAsia="IRNazanin" w:cs="IRNazanin"/>
          <w:color w:val="111111"/>
          <w:sz w:val="28"/>
          <w:szCs w:val="28"/>
          <w:rtl w:val="true"/>
          <w:lang w:bidi="fa-IR"/>
        </w:rPr>
        <w:t>.</w:t>
      </w:r>
    </w:p>
    <w:p>
      <w:pPr>
        <w:pStyle w:val="Heading4"/>
        <w:numPr>
          <w:ilvl w:val="3"/>
          <w:numId w:val="1"/>
        </w:numPr>
        <w:rPr/>
      </w:pPr>
      <w:bookmarkStart w:id="833" w:name="__RefHeading___Toc97678_581953129"/>
      <w:bookmarkStart w:id="834" w:name="_Toc332"/>
      <w:bookmarkEnd w:id="833"/>
      <w:r>
        <w:rPr>
          <w:rtl w:val="true"/>
        </w:rPr>
        <w:t>المطلب الثانی</w:t>
      </w:r>
      <w:r>
        <w:rPr>
          <w:rtl w:val="true"/>
        </w:rPr>
        <w:t>:</w:t>
      </w:r>
      <w:r>
        <w:rPr>
          <w:rtl w:val="true"/>
        </w:rPr>
        <w:t>حدود الحرّیة فی إعادة التوزیع علی المستوی الجماعی</w:t>
      </w:r>
      <w:bookmarkEnd w:id="834"/>
    </w:p>
    <w:p>
      <w:pPr>
        <w:pStyle w:val="Heading5"/>
        <w:numPr>
          <w:ilvl w:val="4"/>
          <w:numId w:val="1"/>
        </w:numPr>
        <w:rPr/>
      </w:pPr>
      <w:bookmarkStart w:id="835" w:name="__RefHeading___Toc97680_581953129"/>
      <w:bookmarkStart w:id="836" w:name="_Toc333"/>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لقد سبق وأن ذکرنا أنّ الإسلام اتّبع أسلوبین للمشارکة فی إعادة التوزیع،وهما الأسلوب الفردی و الجماعی،و قد تقدّم الکلام عن الحدود التی تخضع لها حرّیة إعادة التوزیع علی المستوی الفردی،وبقی الکلام عنها علی المستوی الجماعی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وتتفرّق موارد إعادة التوزیع علی المستوی الجماعی إلی مناح عدّة،تکاد تشترک جمیعها فی کون منبعها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العامّة،وملکیة الدولة،والتی لا تخضع للملکیة الفردیة أساساً،فیکون نتاجها مشترکاً بین عموم الأمّة بحسب المصارف التی یراها الحاکم الشرعی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و الفیء،وسهم الإمام من الخمس وترکة،من لا وارث له،وکذا الجزیة وما صولح علیه اللتین لم یعدّ لهما وجودٌ واقعی؛من تلک الموارد التی یتمّ إعادة توزیعها علی مجموع الأمّة بما هی أمّة،ولا ینافی توزیع بعضها علی الأفراد فی ذلک؛إذ إنّه یوزّع علیهم بما یضمن مصالح الأمّة جمعاء،فتوزیع هذه الموارد یرتبط بالإمام،وفیما یراه مناسباً لإقرار حالة التوازن المعیشی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تخضع تلک الموارد لحدود معینة فی مجال إعادة توزیعها إلّا ما یرتبط بمراعاة الصالح العامّ،و هو ما یحدّده الحاکم الشرعی،و قد تقدّم فی بحث الخمس مصرف السهم المتعلّق بالإمام،وقلنا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یسمح بصرفه فی أمور لا ترتبط بحمایة الدین وترسیخه وترویجه،وما لا یرتبط بتحسین أوضاع المسلمین العامّة من مشاریع خدمیة واقتصادیة وعلمیة عامّة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الموارد،فهی تصبّ فی ذات الاتّجاه ویمکننا التطرّق إلیها بالشکل الموجز التالی</w:t>
      </w:r>
      <w:r>
        <w:rPr>
          <w:rFonts w:eastAsia="IRNazanin" w:cs="IRNazanin"/>
          <w:color w:val="111111"/>
          <w:sz w:val="28"/>
          <w:szCs w:val="28"/>
          <w:rtl w:val="true"/>
          <w:lang w:bidi="fa-IR"/>
        </w:rPr>
        <w:t>:</w:t>
      </w:r>
    </w:p>
    <w:p>
      <w:pPr>
        <w:pStyle w:val="Heading5"/>
        <w:numPr>
          <w:ilvl w:val="4"/>
          <w:numId w:val="1"/>
        </w:numPr>
        <w:rPr/>
      </w:pPr>
      <w:bookmarkStart w:id="837" w:name="__RefHeading___Toc97682_581953129"/>
      <w:bookmarkStart w:id="838" w:name="_Toc334"/>
      <w:bookmarkEnd w:id="837"/>
      <w:r>
        <w:rPr>
          <w:rtl w:val="true"/>
        </w:rPr>
        <w:t>أوّلاً</w:t>
      </w:r>
      <w:r>
        <w:rPr>
          <w:rtl w:val="true"/>
        </w:rPr>
        <w:t>:</w:t>
      </w:r>
      <w:r>
        <w:rPr>
          <w:rtl w:val="true"/>
        </w:rPr>
        <w:t>الخراج</w:t>
      </w:r>
      <w:bookmarkEnd w:id="83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ضریبةٌ خاصّةٌ مفروضةٌ علی الانتفاع بالأرض،فممّا تقدّم رأَینا أنّ الأرض بعنوانها</w:t>
      </w:r>
      <w:bookmarkStart w:id="839" w:name="pg5204_66300"/>
    </w:p>
    <w:p>
      <w:pPr>
        <w:pStyle w:val="BookText"/>
        <w:rPr/>
      </w:pPr>
      <w:bookmarkEnd w:id="839"/>
      <w:r>
        <w:rPr>
          <w:rFonts w:ascii="IRNazanin" w:hAnsi="IRNazanin" w:eastAsia="IRNazanin"/>
          <w:color w:val="111111"/>
          <w:sz w:val="28"/>
          <w:sz w:val="28"/>
          <w:szCs w:val="28"/>
          <w:rtl w:val="true"/>
          <w:lang w:bidi="fa-IR"/>
        </w:rPr>
        <w:t>الأوّلی خاضعةٌ لملکیة الدولة،هذا مع ما دخل علیها من عناوین سیاسیة جعلت قسماً منها یتعلّق بمجموع الأمّة،کما فی الأرض العامرة بشریاً،بمعنی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ملکیتهم تعلّقت بالخراج لا برقبة الأرض،وهی لأجل ذلک سمّیت أرض الخراج،وخراجها یقدّر بحسب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یصالحهم الوالی علی قدر طاقتهم من الخراج النصف أو الثلث أو الثلثان،وعلی قدر ما یکون لهم صالحاً ولا یضرّ بهم</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ولا یختصّ الخراج بالأرض الخراجیة؛إذ إنّ للحاکم أن یفرض الطسق علی الأرض الموات،أی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 و التی تکون بمثابة خراج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للإمام طسقها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مع أنّ البعض قصر ذلک علی ما سقته الأنهار الخراجیة،فإن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لها نهراً من بعض الأنهار الخراجیة،فهی خراجیة لأنّ الخراج لا یوظّف علی المسلم إلّا بالتزامه،فإذا ساق إلی أرضه ماء الخراج،فهو ملتزم للخراج فیلزمه</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فبما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الأمّة هی التی تملک الخراج،لأنّها ما دامت تملک رقبة الأرض،فمن الطبیعی أن تملک منافعها وخراجها أیضا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فهو خاصٌّ بهم لا یسمح بإنفاقه فی موارد لا ترتبط بمصالح الأمّة،فیصرف فی الأمور التی ترتبط بهم 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نوائب المسلمین ومنها إعطاء المقاتلة کفایتهم وکفایة عیالهم؛لأنّهم فرّغوا أنفسهم للجهاد ودفع شرّ المشرکین عن المسلمین فیعطون الکفایة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النوع إیجاد الکراع و الأسلحة وسد الثغور وإصلاح القناطر و الجسور وسدّ البثق وکری الأنهار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أرزاق القضاة و المفتین و المحتسبین و المعلّمین،وکلّ من فرّغ نفسه لعمل من أعمال المسلمین علی وجه الحسبة فکفایته فی هذا النوع من المال</w:t>
      </w:r>
      <w:r>
        <w:rPr>
          <w:rFonts w:eastAsia="IRNazanin" w:cs="IRNazanin"/>
          <w:color w:val="111111"/>
          <w:sz w:val="28"/>
          <w:szCs w:val="28"/>
          <w:rtl w:val="true"/>
          <w:lang w:bidi="fa-IR"/>
        </w:rPr>
        <w:t xml:space="preserve">. </w:t>
      </w:r>
      <w:r>
        <w:rPr>
          <w:rStyle w:val="FootnoteAnchor"/>
          <w:rtl w:val="true"/>
        </w:rPr>
        <w:footnoteReference w:id="1005"/>
      </w:r>
    </w:p>
    <w:p>
      <w:pPr>
        <w:pStyle w:val="Heading5"/>
        <w:numPr>
          <w:ilvl w:val="4"/>
          <w:numId w:val="1"/>
        </w:numPr>
        <w:rPr/>
      </w:pPr>
      <w:bookmarkStart w:id="840" w:name="__RefHeading___Toc97684_581953129"/>
      <w:bookmarkStart w:id="841" w:name="_Toc335"/>
      <w:bookmarkEnd w:id="840"/>
      <w:r>
        <w:rPr>
          <w:rtl w:val="true"/>
        </w:rPr>
        <w:t>ثانیاً</w:t>
      </w:r>
      <w:r>
        <w:rPr>
          <w:rtl w:val="true"/>
        </w:rPr>
        <w:t>:</w:t>
      </w:r>
      <w:r>
        <w:rPr>
          <w:rtl w:val="true"/>
        </w:rPr>
        <w:t>الفیء</w:t>
      </w:r>
      <w:bookmarkEnd w:id="8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خاصٌّ بالنبی صلی الله علیه و آله،فقد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w:t>
      </w:r>
      <w:bookmarkStart w:id="842" w:name="pg5204_66301"/>
    </w:p>
    <w:p>
      <w:pPr>
        <w:pStyle w:val="BookText"/>
        <w:rPr/>
      </w:pPr>
      <w:bookmarkEnd w:id="842"/>
      <w:r>
        <w:rPr>
          <w:rFonts w:ascii="Amiri" w:hAnsi="Amiri" w:eastAsia="Amiri" w:cs="Amiri"/>
          <w:color w:val="111111"/>
          <w:sz w:val="28"/>
          <w:sz w:val="28"/>
          <w:szCs w:val="28"/>
          <w:rtl w:val="true"/>
          <w:lang w:bidi="ar-SA"/>
        </w:rPr>
        <w:t xml:space="preserve">فَلِلّهِ وَ لِلرَّسُولِ وَ لِذِی الْقُرْبی وَ الْیَتامی وَ الْمَساکِینِ وَ ابْنِ السَّبِیلِ کَیْ لا یَکُونَ دُولَةً بَیْنَ الْأَغْنِیاءِ مِنْکُمْ ، </w:t>
      </w:r>
      <w:r>
        <w:rPr>
          <w:rStyle w:val="FootnoteAnchor"/>
          <w:rtl w:val="true"/>
        </w:rPr>
        <w:footnoteReference w:id="1006"/>
      </w:r>
      <w:r>
        <w:rPr>
          <w:rFonts w:ascii="IRNazanin" w:hAnsi="IRNazanin" w:eastAsia="IRNazanin"/>
          <w:color w:val="111111"/>
          <w:sz w:val="28"/>
          <w:sz w:val="28"/>
          <w:szCs w:val="28"/>
          <w:rtl w:val="true"/>
          <w:lang w:bidi="fa-IR"/>
        </w:rPr>
        <w:t>فبما أنّ هذه الآیة ربطت مصرف الفیء بالموارد المذکورة،فهذا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الفیء مُعدّ للإنفاق منه علی الفقراء،کما هو مُعدّ للإنفاق منه علی المصالح العامّة المرتبطة بالله و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فالفیء هو ذاته الأنفال فی الاصطلاح التشریعی،کما جاء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و الأنفال ما کان من أرض لم یکن فیها هراقة الدماء،وقوم صولحوا وأعطوا بأیدیهم،وما کان من أرض خربة أو بطون أودیة،فهو کلّه من الفیء</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هذا المصطلح التشریعی،لا یختصّ الفیء حینئذ بالغنیمة المجرّدة عن القتال،بل یصبح تعبیراً عن جمیع القطاع الذی یملکه منصب النبی و الإمام</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ولا ینافی ذلک أنّ بعضه مختصٌّ بالنبی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یتصرّف فیه کیف شاء یختصّه لنفسه أو یفرّقه فیمن شاء</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ویکون جمیعه تحت إشرافه ورعایته فینفقه بشکل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یستهدف جعل المال متداولاً وموجوداً لدی جمیع أفراد المجتمع،لیحفظ بذلک التوازن الاجتماعی العام،ولا یکون دولة بین الأغنیاء خاصّة</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فهو و إن کان یصرف فی جزء منه لبعض الأفراد کما فی الیتامی و المساکین،إلّا أنّه بمجموعه العامّ خاضعٌ لمقام النبی صلی الله علیه و آله الذی یتصرّف فیه بما یسبغ نوعٌ من التعادل و التوازن علی مجموع الأمّة،فلا یسمح للأفراد بما هم أفراد من التصرّف فیه؛إذ إنّ عهدته ومسؤولیته مرتبطةٌ بالحاکم الشرعی مباشرة</w:t>
      </w:r>
      <w:r>
        <w:rPr>
          <w:rFonts w:eastAsia="IRNazanin" w:cs="IRNazanin"/>
          <w:color w:val="111111"/>
          <w:sz w:val="28"/>
          <w:szCs w:val="28"/>
          <w:rtl w:val="true"/>
          <w:lang w:bidi="fa-IR"/>
        </w:rPr>
        <w:t>.</w:t>
      </w:r>
    </w:p>
    <w:p>
      <w:pPr>
        <w:pStyle w:val="Heading5"/>
        <w:numPr>
          <w:ilvl w:val="4"/>
          <w:numId w:val="1"/>
        </w:numPr>
        <w:rPr/>
      </w:pPr>
      <w:bookmarkStart w:id="843" w:name="__RefHeading___Toc97686_581953129"/>
      <w:bookmarkStart w:id="844" w:name="_Toc336"/>
      <w:bookmarkEnd w:id="843"/>
      <w:r>
        <w:rPr>
          <w:rtl w:val="true"/>
        </w:rPr>
        <w:t>ثالثاً</w:t>
      </w:r>
      <w:r>
        <w:rPr>
          <w:rtl w:val="true"/>
        </w:rPr>
        <w:t>:</w:t>
      </w:r>
      <w:r>
        <w:rPr>
          <w:rtl w:val="true"/>
        </w:rPr>
        <w:t>میراث من لا وارث له</w:t>
      </w:r>
      <w:bookmarkEnd w:id="8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مرّ علینا فی الإرث من أنّ الإمام أو الحاکم الشرعی یکون آخر الورثة فی سُلَّم السلسلة الوراثیة،فعندما ینتفی وجود أی وارث للمیت نَسبیاً أو سببیاً،فإنّ میراثه یوضع فی بیت المال</w:t>
      </w:r>
    </w:p>
    <w:p>
      <w:pPr>
        <w:pStyle w:val="BookText"/>
        <w:rPr/>
      </w:pPr>
      <w:r>
        <w:rPr>
          <w:rFonts w:ascii="IRNazanin" w:hAnsi="IRNazanin" w:eastAsia="IRNazanin"/>
          <w:color w:val="111111"/>
          <w:sz w:val="28"/>
          <w:sz w:val="28"/>
          <w:szCs w:val="28"/>
          <w:rtl w:val="true"/>
          <w:lang w:bidi="fa-IR"/>
        </w:rPr>
        <w:t>أو بالأحری یقع تحت تصرّف الحاکم الشرعی،وعندما یصیر المال إلی بیت المال،فإنّ مصرفه سیکون کمصارف بیت المال العامّة،إلّا أنّ البعض قد خصّص مصرفه بموارد فردیة لا علی وجه التعیین،و إنّما بحسب الحالات الاستثنائیة التی تعرض علی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بمجموعه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یتمّ صرفه فی تلک الموارد الاستثنائیة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فیصرف إلی دواء الفقراء و المرضی وعلاجهم،وإلی أکفان الموتی الذین لا مال لهم وإلی نفقة اللقیط وعقل جنایته،وإلی نفقة من هو عاجز عن الکسب،ولیس له من تجب علیه نفقته ونحو ذلک وعلی الإمام صرف هذه الحقوق إلی مستحقّیها</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 هو ما یساهم فی إضفاء طابع التوازن علی مجمل القدرة الاستهلاکیة للأفراد،ممّا یقلّل الفجوة الاقتصادیة فیما بین طبقات المجتمع،فلا یسمح و الحال هذه بتصرّف الأفراد فیه إلّا من خلال قیام الحاکم الشرعی بتحدید الموارد التی تتطلّب إنفاقه فیها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نکون قد انتهینا من الحدود التی تخضع لها عملیة إعادة التوزیع علی المستوی الجماعی،وبه نکون قد أنهینا الفصل الثانی المخصَّص للحدود التی تخضع لها حرّیة التوزیع</w:t>
      </w:r>
      <w:r>
        <w:rPr>
          <w:rFonts w:eastAsia="IRNazanin" w:cs="IRNazanin"/>
          <w:color w:val="111111"/>
          <w:sz w:val="28"/>
          <w:szCs w:val="28"/>
          <w:rtl w:val="true"/>
          <w:lang w:bidi="fa-IR"/>
        </w:rPr>
        <w:t>.</w:t>
      </w:r>
      <w:bookmarkStart w:id="845" w:name="pg5204_66304"/>
    </w:p>
    <w:p>
      <w:pPr>
        <w:pStyle w:val="Heading2"/>
        <w:numPr>
          <w:ilvl w:val="1"/>
          <w:numId w:val="1"/>
        </w:numPr>
        <w:rPr/>
      </w:pPr>
      <w:bookmarkStart w:id="846" w:name="__RefHeading___Toc97688_581953129"/>
      <w:bookmarkStart w:id="847" w:name="_Toc337"/>
      <w:bookmarkEnd w:id="845"/>
      <w:bookmarkEnd w:id="846"/>
      <w:r>
        <w:rPr>
          <w:rtl w:val="true"/>
        </w:rPr>
        <w:t>الفصل الثالث</w:t>
      </w:r>
      <w:r>
        <w:rPr>
          <w:rtl w:val="true"/>
        </w:rPr>
        <w:t xml:space="preserve">: </w:t>
      </w:r>
      <w:r>
        <w:rPr>
          <w:rtl w:val="true"/>
        </w:rPr>
        <w:t>ضوابط وحدود حرّیة الاستهلاک</w:t>
      </w:r>
      <w:bookmarkEnd w:id="847"/>
    </w:p>
    <w:p>
      <w:pPr>
        <w:pStyle w:val="Heading3"/>
        <w:numPr>
          <w:ilvl w:val="2"/>
          <w:numId w:val="1"/>
        </w:numPr>
        <w:rPr/>
      </w:pPr>
      <w:bookmarkStart w:id="848" w:name="__RefHeading___Toc97690_581953129"/>
      <w:bookmarkStart w:id="849" w:name="_Toc338"/>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یمثّل الاستهلاک جانباً مهمّاً من جوانب الاقتصاد الإسلامی،فقد عرفنا ممّا مرّ أنّ الحاجة تمثّل الدافع الذاتی الحقیقی للإنسان للسعی و القیام بالعملیات الإنتاجیة،وذلک لتأمین ما یحتاجه من أجل استمرار حیاته،ویتطوّر الأمر بحسب الغریزة المودعة فیه إلی محاولة الوصول إلی أعلی درجات الرفاه و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التوزیع الذی یرتبط ارتباطاً وثیقاً بالإنتاج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إنّنا لاحظنا کیف أنّ التوزیع یقوم فی أساسه الأوّل علی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لیصبّ فی ذات الاتّجاه من خدمة الإنسان فی توفیر حاجاته المعاشیة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ألقینا نظرةً عابرةً علی النصوص الإسلامیة للاحظنا کیف أنّ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والکون بما فیه من نِعَم وإمکانات 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جعله الله لخدمة الإنسان وتوفیر معاشه وتأمین استقراره،کما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 </w:t>
      </w:r>
      <w:r>
        <w:rPr>
          <w:rStyle w:val="FootnoteAnchor"/>
          <w:rtl w:val="true"/>
        </w:rPr>
        <w:footnoteReference w:id="1013"/>
      </w:r>
      <w:r>
        <w:rPr>
          <w:rFonts w:ascii="IRNazanin" w:hAnsi="IRNazanin" w:eastAsia="IRNazanin"/>
          <w:color w:val="111111"/>
          <w:sz w:val="28"/>
          <w:sz w:val="28"/>
          <w:szCs w:val="28"/>
          <w:rtl w:val="true"/>
          <w:lang w:bidi="fa-IR"/>
        </w:rPr>
        <w:t>لیقوم کلّ ذلک بمساعدته علی إیفاء الدور الذی ألقاه الله علی عاتقه من إعمار الأرض مادّیاً و الوصول إلی الکمال الإنسانی اللائق 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الأصل فی استهلاک الأشیاء الإباحة،فقال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 ، </w:t>
      </w:r>
      <w:r>
        <w:rPr>
          <w:rStyle w:val="FootnoteAnchor"/>
          <w:rtl w:val="true"/>
        </w:rPr>
        <w:footnoteReference w:id="1014"/>
      </w:r>
      <w:r>
        <w:rPr>
          <w:rFonts w:ascii="Amiri" w:hAnsi="Amiri" w:eastAsia="Amiri" w:cs="Amiri"/>
          <w:color w:val="111111"/>
          <w:sz w:val="28"/>
          <w:sz w:val="28"/>
          <w:szCs w:val="28"/>
          <w:rtl w:val="true"/>
          <w:lang w:bidi="ar-SA"/>
        </w:rPr>
        <w:t>وذمّ أقواماً لامتناعهم عن تناول بعض ما أنعمه علیهم،فقال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حَرَّمُوا ما رَزَقَهُمُ اللّهُ افْتِراءً عَلَی اللّهِ ، </w:t>
      </w:r>
      <w:r>
        <w:rPr>
          <w:rStyle w:val="FootnoteAnchor"/>
          <w:rtl w:val="true"/>
        </w:rPr>
        <w:footnoteReference w:id="1015"/>
      </w:r>
      <w:r>
        <w:rPr>
          <w:rFonts w:ascii="IRNazanin" w:hAnsi="IRNazanin" w:eastAsia="IRNazanin"/>
          <w:color w:val="111111"/>
          <w:sz w:val="28"/>
          <w:sz w:val="28"/>
          <w:szCs w:val="28"/>
          <w:rtl w:val="true"/>
          <w:lang w:bidi="fa-IR"/>
        </w:rPr>
        <w:t>ونهی المسلمین عن حرمان أنفسهم من تلک الطیبات</w:t>
      </w:r>
    </w:p>
    <w:p>
      <w:pPr>
        <w:pStyle w:val="BookText"/>
        <w:rPr/>
      </w:pPr>
      <w:r>
        <w:rPr>
          <w:rFonts w:ascii="Amiri" w:hAnsi="Amiri" w:eastAsia="Amiri" w:cs="Amiri"/>
          <w:color w:val="111111"/>
          <w:sz w:val="28"/>
          <w:sz w:val="28"/>
          <w:szCs w:val="28"/>
          <w:rtl w:val="true"/>
          <w:lang w:bidi="ar-SA"/>
        </w:rPr>
        <w:t>فخاطبهم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ولکنّه فی ذات الوقت الذی جعل له کلّ ذلک و المتماشی مع کرامته الإنسانیة،حدّ له حدوداً لکیفیة الاستفادة من تلک النَعِم وّالمدی الذی بإمکانه أن یستفید منها،فقال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مِنْ رِزْقِ اللّهِ وَ لا تَعْثَوْا فِی الْأَرْضِ مُفْسِدِینَ ، </w:t>
      </w:r>
      <w:r>
        <w:rPr>
          <w:rStyle w:val="FootnoteAnchor"/>
          <w:rtl w:val="true"/>
        </w:rPr>
        <w:footnoteReference w:id="1017"/>
      </w:r>
      <w:r>
        <w:rPr>
          <w:rFonts w:ascii="IRNazanin" w:hAnsi="IRNazanin" w:eastAsia="IRNazanin"/>
          <w:color w:val="111111"/>
          <w:sz w:val="28"/>
          <w:sz w:val="28"/>
          <w:szCs w:val="28"/>
          <w:rtl w:val="true"/>
          <w:lang w:bidi="fa-IR"/>
        </w:rPr>
        <w:t>لیحافظ بذلک علی کرامته تلک التی ستتعرّض للاهتزاز والاضمحلال فیما لو لم یراعِ تلک الحدود فی أسلوب انتفاعه بتلک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فطبیعة الاستهلاک الذی أراد الله للإنسان أن یتمتّع به هو مراعاة تلک الحدود الناشئة فی الحقیقة من طبیعة ترکیبة الإنسان من جهة،والمتناغمة مع الدور الموکول إلیه من جهة أخری،والآخذة بنظر الاعتبار کیان المجتمع عموماً بما أنّ الإنسان یعیش فی مجتمع یتأثّر ویؤثّر فیه من خلال العلاقات القائمة فیما بین أفراده و البیئة المشترکة التی یعیشون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 لم یقْصر تلک الحدود علی ما یستهلکه الفرد بما هو فرد،بل شمل ذلک ما یستفید وینتفع به من المرافق العامّة للأفراد بما هم جماعةٌ یعیشون فی کیان واحد،وکذا النظام الذی یقوم بتدبیر شؤونهم وتهیئة ما یصبّ فی تلبیة طموحاتهم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هنا،فإنّ بحثنا فی حدود حرّیة الاستهلاک لا یقتصر علی ما یستهلکه الفرد علی مستواه الفردی،فحسب،و إنّما یشمل ما یرتبط باستهلاکه للمرافق العامّة التی تخصّ المجتمع عموماً و التی تقوم بدور یؤمّن لذلک المجتمع حیاةً منظّمةً ومستقرّة،وکذلک بما له من مؤسّسات تُشرف علی إدارة شؤونه،والتی تعبِّر عن النظام الذی یعیش فی کَنَفه؛إذ إنّ القسم الأخیر هو بحاجة أیضاً إلی ما یستهلکه لأداء وظائفه المطلوبة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سیتوزّع بحثنا فی حدود حرّیة الاستهلاک علی عدّة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التمهیدی بخصوص تحدید مفهوم الاستهلاک و الضوابط المنتزعة من ذلک المفهوم،والتی تتقید بها وتتأطّر بإطارها الحدود التی تخضع لها عملیة الاستهلاک،ومن ثمّ یتّجه البحث صوب تلک الحدود فی جوانبها الشخصیة و العامّة و الحکومیة،و هو ما یمکن عرضه من خلال العناوین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و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حرّیة الاستهلاک علی المستوی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حرّیة الاستهلاک علی المستوی العمومی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حرّیة الاستهلاک علی المستوی الحکومی</w:t>
      </w:r>
      <w:r>
        <w:rPr>
          <w:rFonts w:eastAsia="IRNazanin" w:cs="IRNazanin"/>
          <w:color w:val="111111"/>
          <w:sz w:val="28"/>
          <w:szCs w:val="28"/>
          <w:rtl w:val="true"/>
          <w:lang w:bidi="fa-IR"/>
        </w:rPr>
        <w:t>.</w:t>
      </w:r>
      <w:bookmarkStart w:id="850" w:name="pg5204_66306"/>
    </w:p>
    <w:p>
      <w:pPr>
        <w:pStyle w:val="Heading3"/>
        <w:numPr>
          <w:ilvl w:val="2"/>
          <w:numId w:val="1"/>
        </w:numPr>
        <w:rPr/>
      </w:pPr>
      <w:bookmarkStart w:id="851" w:name="__RefHeading___Toc97692_581953129"/>
      <w:bookmarkStart w:id="852" w:name="_Toc339"/>
      <w:bookmarkEnd w:id="850"/>
      <w:bookmarkEnd w:id="851"/>
      <w:r>
        <w:rPr>
          <w:rtl w:val="true"/>
        </w:rPr>
        <w:t>المبحث الأول</w:t>
      </w:r>
      <w:r>
        <w:rPr>
          <w:rtl w:val="true"/>
        </w:rPr>
        <w:t>:</w:t>
      </w:r>
      <w:r>
        <w:rPr>
          <w:rtl w:val="true"/>
        </w:rPr>
        <w:t>الاستهلاک؛المفهوم و الضوابط</w:t>
      </w:r>
      <w:bookmarkEnd w:id="852"/>
    </w:p>
    <w:p>
      <w:pPr>
        <w:pStyle w:val="Heading4"/>
        <w:numPr>
          <w:ilvl w:val="3"/>
          <w:numId w:val="1"/>
        </w:numPr>
        <w:rPr/>
      </w:pPr>
      <w:bookmarkStart w:id="853" w:name="__RefHeading___Toc97694_581953129"/>
      <w:bookmarkStart w:id="854" w:name="_Toc340"/>
      <w:bookmarkEnd w:id="853"/>
      <w:r>
        <w:rPr>
          <w:rtl w:val="true"/>
        </w:rPr>
        <w:t>اشارة</w:t>
      </w:r>
      <w:bookmarkEnd w:id="854"/>
    </w:p>
    <w:p>
      <w:pPr>
        <w:pStyle w:val="BookText"/>
        <w:rPr/>
      </w:pPr>
      <w:r>
        <w:rPr>
          <w:rFonts w:ascii="IRNazanin" w:hAnsi="IRNazanin" w:eastAsia="IRNazanin"/>
          <w:color w:val="111111"/>
          <w:sz w:val="28"/>
          <w:sz w:val="28"/>
          <w:szCs w:val="28"/>
          <w:rtl w:val="true"/>
          <w:lang w:bidi="fa-IR"/>
        </w:rPr>
        <w:t>لقد ذکرنا بأنّ کلامنا فی المبحث الأوّل سیتعلّق بتحدید مفهوم الاستهلاک إسلامیاً،ومن ثمّ محاولة عرض الضوابط التی یخضع لها و المستمدّة من ذلک المفهوم،فینقسم بحثنا فی هذا المبحث إلی مطلبین الأوّل حول مفهوم الاستهلاک،والثانی حول ضوابطه</w:t>
      </w:r>
      <w:r>
        <w:rPr>
          <w:rFonts w:eastAsia="IRNazanin" w:cs="IRNazanin"/>
          <w:color w:val="111111"/>
          <w:sz w:val="28"/>
          <w:szCs w:val="28"/>
          <w:rtl w:val="true"/>
          <w:lang w:bidi="fa-IR"/>
        </w:rPr>
        <w:t>.</w:t>
      </w:r>
    </w:p>
    <w:p>
      <w:pPr>
        <w:pStyle w:val="Heading4"/>
        <w:numPr>
          <w:ilvl w:val="3"/>
          <w:numId w:val="1"/>
        </w:numPr>
        <w:rPr/>
      </w:pPr>
      <w:bookmarkStart w:id="855" w:name="__RefHeading___Toc97696_581953129"/>
      <w:bookmarkStart w:id="856" w:name="_Toc341"/>
      <w:bookmarkEnd w:id="855"/>
      <w:r>
        <w:rPr>
          <w:rtl w:val="true"/>
        </w:rPr>
        <w:t>المطلب الأوّل</w:t>
      </w:r>
      <w:r>
        <w:rPr>
          <w:rtl w:val="true"/>
        </w:rPr>
        <w:t>:</w:t>
      </w:r>
      <w:r>
        <w:rPr>
          <w:rtl w:val="true"/>
        </w:rPr>
        <w:t>مفهوم الاستهلاک</w:t>
      </w:r>
      <w:bookmarkEnd w:id="856"/>
    </w:p>
    <w:p>
      <w:pPr>
        <w:pStyle w:val="Heading5"/>
        <w:numPr>
          <w:ilvl w:val="4"/>
          <w:numId w:val="1"/>
        </w:numPr>
        <w:rPr/>
      </w:pPr>
      <w:bookmarkStart w:id="857" w:name="__RefHeading___Toc97698_581953129"/>
      <w:bookmarkStart w:id="858" w:name="_Toc342"/>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ونتطرّق فیه إلی مفهوم الاستهلاک لُغویاً واصطلاحیاً ومحاولة وضع تعریف اصطلاحی له علی ضوء الفقه الإسلامی</w:t>
      </w:r>
      <w:r>
        <w:rPr>
          <w:rFonts w:eastAsia="IRNazanin" w:cs="IRNazanin"/>
          <w:color w:val="111111"/>
          <w:sz w:val="28"/>
          <w:szCs w:val="28"/>
          <w:rtl w:val="true"/>
          <w:lang w:bidi="fa-IR"/>
        </w:rPr>
        <w:t>.</w:t>
      </w:r>
    </w:p>
    <w:p>
      <w:pPr>
        <w:pStyle w:val="Heading5"/>
        <w:numPr>
          <w:ilvl w:val="4"/>
          <w:numId w:val="1"/>
        </w:numPr>
        <w:rPr/>
      </w:pPr>
      <w:bookmarkStart w:id="859" w:name="__RefHeading___Toc97700_581953129"/>
      <w:bookmarkStart w:id="860" w:name="_Toc343"/>
      <w:bookmarkEnd w:id="859"/>
      <w:r>
        <w:rPr>
          <w:rtl w:val="true"/>
        </w:rPr>
        <w:t>أوّلاً</w:t>
      </w:r>
      <w:r>
        <w:rPr>
          <w:rtl w:val="true"/>
        </w:rPr>
        <w:t>:</w:t>
      </w:r>
      <w:r>
        <w:rPr>
          <w:rtl w:val="true"/>
        </w:rPr>
        <w:t>الاستهلاک فی اللغة</w:t>
      </w:r>
      <w:bookmarkEnd w:id="860"/>
    </w:p>
    <w:p>
      <w:pPr>
        <w:pStyle w:val="BookText"/>
        <w:rPr/>
      </w:pPr>
      <w:r>
        <w:rPr>
          <w:rFonts w:ascii="IRNazanin" w:hAnsi="IRNazanin" w:eastAsia="IRNazanin"/>
          <w:color w:val="111111"/>
          <w:sz w:val="28"/>
          <w:sz w:val="28"/>
          <w:szCs w:val="28"/>
          <w:rtl w:val="true"/>
          <w:lang w:bidi="fa-IR"/>
        </w:rPr>
        <w:t>وجاء الاستهلاک فیها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الإهلاک،فیقال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أهلکه غیره واستهلکه</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الإجهاد،فیقال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استهلک الرجل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جهد نفسه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استهلکت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مجدّاً فیه متعجّلا </w:t>
      </w:r>
      <w:r>
        <w:rPr>
          <w:rStyle w:val="FootnoteAnchor"/>
          <w:rtl w:val="true"/>
        </w:rPr>
        <w:footnoteReference w:id="1020"/>
      </w:r>
      <w:bookmarkStart w:id="861" w:name="pg5204_66307"/>
    </w:p>
    <w:p>
      <w:pPr>
        <w:pStyle w:val="BookText"/>
        <w:rPr/>
      </w:pPr>
      <w:bookmarkEnd w:id="861"/>
      <w:r>
        <w:rPr>
          <w:rFonts w:ascii="IRNazanin" w:hAnsi="IRNazanin" w:eastAsia="IRNazanin"/>
          <w:color w:val="111111"/>
          <w:sz w:val="28"/>
          <w:sz w:val="28"/>
          <w:szCs w:val="28"/>
          <w:rtl w:val="true"/>
          <w:lang w:bidi="fa-IR"/>
        </w:rPr>
        <w:t>والذی یعود بدوره إلی معنی الإجهاد أیضاً من باب استتباعه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و الإنفاد،فیقال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أنفقه وأنفده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الاستنفاد و الإنفاق</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وجمیع تلک المعانی تعود إلی المعنی الأصلی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إهلاک الشیء وإفنائه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بالجهد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الاستهلاک لُغویاً هو إهلاک الشیء وإفنائه،فإفناء أی شیء من الأشیاء یعدّ استهلاکاً</w:t>
      </w:r>
      <w:r>
        <w:rPr>
          <w:rFonts w:eastAsia="IRNazanin" w:cs="IRNazanin"/>
          <w:color w:val="111111"/>
          <w:sz w:val="28"/>
          <w:szCs w:val="28"/>
          <w:rtl w:val="true"/>
          <w:lang w:bidi="fa-IR"/>
        </w:rPr>
        <w:t>.</w:t>
      </w:r>
    </w:p>
    <w:p>
      <w:pPr>
        <w:pStyle w:val="Heading5"/>
        <w:numPr>
          <w:ilvl w:val="4"/>
          <w:numId w:val="1"/>
        </w:numPr>
        <w:rPr/>
      </w:pPr>
      <w:bookmarkStart w:id="862" w:name="__RefHeading___Toc97702_581953129"/>
      <w:bookmarkStart w:id="863" w:name="_Toc344"/>
      <w:bookmarkEnd w:id="862"/>
      <w:r>
        <w:rPr>
          <w:rtl w:val="true"/>
        </w:rPr>
        <w:t>ثانیاً</w:t>
      </w:r>
      <w:r>
        <w:rPr>
          <w:rtl w:val="true"/>
        </w:rPr>
        <w:t>:</w:t>
      </w:r>
      <w:r>
        <w:rPr>
          <w:rtl w:val="true"/>
        </w:rPr>
        <w:t>الاستهلاک فی الاصطلاح</w:t>
      </w:r>
      <w:bookmarkEnd w:id="863"/>
    </w:p>
    <w:p>
      <w:pPr>
        <w:pStyle w:val="Heading6"/>
        <w:numPr>
          <w:ilvl w:val="5"/>
          <w:numId w:val="1"/>
        </w:numPr>
        <w:rPr/>
      </w:pPr>
      <w:bookmarkStart w:id="864" w:name="__RefHeading___Toc97704_581953129"/>
      <w:bookmarkStart w:id="865" w:name="_Toc345"/>
      <w:bookmarkEnd w:id="864"/>
      <w:r>
        <w:rPr>
          <w:rtl w:val="true"/>
        </w:rPr>
        <w:t>اشارة</w:t>
      </w:r>
      <w:bookmarkEnd w:id="865"/>
    </w:p>
    <w:p>
      <w:pPr>
        <w:pStyle w:val="BookText"/>
        <w:rPr/>
      </w:pPr>
      <w:r>
        <w:rPr>
          <w:rFonts w:ascii="IRNazanin" w:hAnsi="IRNazanin" w:eastAsia="IRNazanin"/>
          <w:color w:val="111111"/>
          <w:sz w:val="28"/>
          <w:sz w:val="28"/>
          <w:szCs w:val="28"/>
          <w:rtl w:val="true"/>
          <w:lang w:bidi="fa-IR"/>
        </w:rPr>
        <w:t>مع أنّه لا یمکن أن یکون للاستهلاک أکثر من مفهوم واحد فی مفهومه الاصطلاحی عموماَ،و إن اختلفت أبعاد هذا المفهوم،إلّا أنّنا،وبحسب الهدف الذی توخّیناه من إیراد معنییه اللُّغوی والاصطلاحی هو الوصول إلی تعریفه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الرؤیة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الغایة التی أُخذت فیه إسلامیاً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ذلک نقوم بصبّه فی عنوانین،الأوّل الاستهلاک فی اصطلاحه العامّ،والثانی فی اصطلاحه الخاصّ</w:t>
      </w:r>
      <w:r>
        <w:rPr>
          <w:rFonts w:eastAsia="IRNazanin" w:cs="IRNazanin"/>
          <w:color w:val="111111"/>
          <w:sz w:val="28"/>
          <w:szCs w:val="28"/>
          <w:rtl w:val="true"/>
          <w:lang w:bidi="fa-IR"/>
        </w:rPr>
        <w:t>.</w:t>
      </w:r>
    </w:p>
    <w:p>
      <w:pPr>
        <w:pStyle w:val="Heading6"/>
        <w:numPr>
          <w:ilvl w:val="5"/>
          <w:numId w:val="1"/>
        </w:numPr>
        <w:rPr/>
      </w:pPr>
      <w:bookmarkStart w:id="866" w:name="__RefHeading___Toc97706_581953129"/>
      <w:bookmarkStart w:id="867" w:name="_Toc346"/>
      <w:bookmarkEnd w:id="866"/>
      <w:r>
        <w:rPr>
          <w:rtl w:val="true"/>
        </w:rPr>
        <w:t>أ</w:t>
      </w:r>
      <w:r>
        <w:rPr>
          <w:rtl w:val="true"/>
        </w:rPr>
        <w:t>)</w:t>
      </w:r>
      <w:r>
        <w:rPr>
          <w:rtl w:val="true"/>
        </w:rPr>
        <w:t>الاصطلاح العامّ‌</w:t>
      </w:r>
      <w:bookmarkEnd w:id="867"/>
    </w:p>
    <w:p>
      <w:pPr>
        <w:pStyle w:val="BookText"/>
        <w:rPr/>
      </w:pPr>
      <w:r>
        <w:rPr>
          <w:rFonts w:ascii="IRNazanin" w:hAnsi="IRNazanin" w:eastAsia="IRNazanin"/>
          <w:color w:val="111111"/>
          <w:sz w:val="28"/>
          <w:sz w:val="28"/>
          <w:szCs w:val="28"/>
          <w:rtl w:val="true"/>
          <w:lang w:bidi="fa-IR"/>
        </w:rPr>
        <w:t>ذکروا للاستهلاک فی معناه الاصطلاحی تعریفات متعدّدةً اتّحدت فی مضمونها،و إن اختلفت فی عباراتها،فقالوا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إتلاف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بإفناء عینها أو بإذهاب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تحصیل منفعة</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تمام منفعة الشیء الّتی وجِد من أجلها،سواء بقی الشیء أو انعدم</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الإتلاف فیما ینفع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المنافع التی وجِد الشیء من أجل تحقیقها،و إن بقیت عینه قائمة</w:t>
      </w:r>
      <w:r>
        <w:rPr>
          <w:rFonts w:eastAsia="IRNazanin" w:cs="IRNazanin"/>
          <w:color w:val="111111"/>
          <w:sz w:val="28"/>
          <w:szCs w:val="28"/>
          <w:rtl w:val="true"/>
          <w:lang w:bidi="fa-IR"/>
        </w:rPr>
        <w:t xml:space="preserve">. </w:t>
      </w:r>
      <w:r>
        <w:rPr>
          <w:rStyle w:val="FootnoteAnchor"/>
          <w:rtl w:val="true"/>
        </w:rPr>
        <w:footnoteReference w:id="1026"/>
      </w:r>
      <w:bookmarkStart w:id="868" w:name="pg5204_66308"/>
    </w:p>
    <w:p>
      <w:pPr>
        <w:pStyle w:val="BookText"/>
        <w:rPr/>
      </w:pPr>
      <w:bookmarkEnd w:id="868"/>
      <w:r>
        <w:rPr>
          <w:rFonts w:ascii="IRNazanin" w:hAnsi="IRNazanin" w:eastAsia="IRNazanin"/>
          <w:color w:val="111111"/>
          <w:sz w:val="28"/>
          <w:sz w:val="28"/>
          <w:szCs w:val="28"/>
          <w:rtl w:val="true"/>
          <w:lang w:bidi="fa-IR"/>
        </w:rPr>
        <w:t>وتتّفق التعاریف المتقدّمة علی أن الاستهلاک یتقوّم بتحصیل منفعة الشیء،سواء استنفدته،أم لا،فیکون الإتلاف فیه إن تحقّق،مشروطاً بتحصیل منفعة ذلک الشیء،ومن هنا قالوا بأنّ الفرق بین الإتلاف والاستهلاک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الإتلاف لا یکون فی تحصیل منفعة،أمّا الاستهلاک فإنّه یکون فی تحصیل منفعة</w:t>
      </w:r>
      <w:r>
        <w:rPr>
          <w:rFonts w:eastAsia="IRNazanin" w:cs="IRNazanin"/>
          <w:color w:val="111111"/>
          <w:sz w:val="28"/>
          <w:szCs w:val="28"/>
          <w:rtl w:val="true"/>
          <w:lang w:bidi="fa-IR"/>
        </w:rPr>
        <w:t xml:space="preserve">. </w:t>
      </w:r>
      <w:r>
        <w:rPr>
          <w:rStyle w:val="FootnoteAnchor"/>
          <w:rtl w:val="true"/>
        </w:rPr>
        <w:footnoteReference w:id="1027"/>
      </w:r>
    </w:p>
    <w:p>
      <w:pPr>
        <w:pStyle w:val="Heading6"/>
        <w:numPr>
          <w:ilvl w:val="5"/>
          <w:numId w:val="1"/>
        </w:numPr>
        <w:rPr/>
      </w:pPr>
      <w:bookmarkStart w:id="869" w:name="__RefHeading___Toc97708_581953129"/>
      <w:bookmarkStart w:id="870" w:name="_Toc347"/>
      <w:bookmarkEnd w:id="869"/>
      <w:r>
        <w:rPr>
          <w:rtl w:val="true"/>
        </w:rPr>
        <w:t>ب</w:t>
      </w:r>
      <w:r>
        <w:rPr>
          <w:rtl w:val="true"/>
        </w:rPr>
        <w:t>)</w:t>
      </w:r>
      <w:r>
        <w:rPr>
          <w:rtl w:val="true"/>
        </w:rPr>
        <w:t>الاصطلاح الخاص</w:t>
      </w:r>
      <w:bookmarkEnd w:id="870"/>
    </w:p>
    <w:p>
      <w:pPr>
        <w:pStyle w:val="BookText"/>
        <w:rPr/>
      </w:pPr>
      <w:r>
        <w:rPr>
          <w:rFonts w:ascii="IRNazanin" w:hAnsi="IRNazanin" w:eastAsia="IRNazanin"/>
          <w:color w:val="111111"/>
          <w:sz w:val="28"/>
          <w:sz w:val="28"/>
          <w:szCs w:val="28"/>
          <w:rtl w:val="true"/>
          <w:lang w:bidi="fa-IR"/>
        </w:rPr>
        <w:t>و إذا ما أردنا تحدید مفهومه الاصطلاحی الخاصّ أی علی ضوء الفقه الإسلامی،فلا بدّ من ذکر بعض الأمور التی لوحظت فیه إسلامیاً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المنفعة المذکورة آنفاً مع أنّها ترتبط بذات المستهلِک،إلّا أنّها تمتدّ لتأخذ بنظر الاعتبارالمجتمع الذی یعیش ضمن إطاره ذلک المستهلِک أحیاناً،وذلک فیما لو تعارضت ومنافع المجتمع،أی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مضرّةً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علی أساس القاعدة الفقهیة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إنّها تنطبق علی حالة الإضرار بالغیر،ومع أنّ هذا یشمل المجالات الاقتصادیة کافّة إلّا أنّ أهمّیتها تبرز هنا من خلال تباین النفع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 أنّ المنفعة المأخوذة فی الاستهلاک،غیر مأخوذ فیها تحقیق منافع المجتمع أیضاً،ولکنّ القدر المتیقّن فیها أن لا تتسبّب فی ضرر معتدّ به،ویرتبط هذا الموضوع مفهومیاً بالنقطتین الآتیتین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الاستهلاک الذی یتجلّی بالإنفاق قد أُخذ فیه الاعتدال المتمثّل بتوخّی عدم الإفراط أو التفریط،فقال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IRNazanin" w:hAnsi="IRNazanin" w:eastAsia="IRNazanin"/>
          <w:color w:val="111111"/>
          <w:sz w:val="28"/>
          <w:sz w:val="28"/>
          <w:szCs w:val="28"/>
          <w:rtl w:val="true"/>
          <w:lang w:bidi="fa-IR"/>
        </w:rPr>
        <w:t>فإنّ أصل الإسراف هو السرف الذی،یعنی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تجاوز الحدّ فی کلّ فعل یفعله الإنسان و إن کان ذلک فی الإنفاق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والتقتیر هو التضییق فیقال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قتّر علی عیاله یقتّر ویقتر قتراً وقتوراً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علیهم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التقتیر و الأقتار،ثلاث لغات</w:t>
      </w:r>
      <w:r>
        <w:rPr>
          <w:rFonts w:eastAsia="IRNazanin" w:cs="IRNazanin"/>
          <w:color w:val="111111"/>
          <w:sz w:val="28"/>
          <w:szCs w:val="28"/>
          <w:rtl w:val="true"/>
          <w:lang w:bidi="fa-IR"/>
        </w:rPr>
        <w:t xml:space="preserve">. </w:t>
      </w:r>
      <w:r>
        <w:rPr>
          <w:rStyle w:val="FootnoteAnchor"/>
          <w:rtl w:val="true"/>
        </w:rPr>
        <w:footnoteReference w:id="1030"/>
      </w:r>
      <w:bookmarkStart w:id="871" w:name="pg5204_66309"/>
    </w:p>
    <w:p>
      <w:pPr>
        <w:pStyle w:val="BookText"/>
        <w:rPr/>
      </w:pPr>
      <w:bookmarkEnd w:id="871"/>
      <w:r>
        <w:rPr>
          <w:rFonts w:ascii="IRNazanin" w:hAnsi="IRNazanin" w:eastAsia="IRNazanin"/>
          <w:color w:val="111111"/>
          <w:sz w:val="28"/>
          <w:sz w:val="28"/>
          <w:szCs w:val="28"/>
          <w:rtl w:val="true"/>
          <w:lang w:bidi="fa-IR"/>
        </w:rPr>
        <w:t>و قد جاء فی الإسراف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الصرف زیادة علی ما ینبغی</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ویتّصل هذا الأمر بالجانب الکمّی للاستهلاک،فحدّه أن یکون فیما بین البسط و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آخر،فإنّ الاستهلاک فی المنظور الإسلامی قد قُید فی لحاظه النوعی أیضاً،فلم یطلق العنان للمستهلک فی أن یستهلک ما یشاء،و هو 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تُبَذِّرْ تَبْذِیراً </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البذر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التبذیر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المال فیما لا ینبغی،و هو یشمل الإسراف فی عُرف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منه حقیقته</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البیذرة التبذیر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والنبذرة،بالنون و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تفریق المال فی غیر حقّه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فحدّد موارد خاصّةً مُنع استهلاکها و الإنفاق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یمکننا تعریف الاستهلاک فی المفهوم الإسلامی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 فی تحصیل منافع الشیء کمّیاً ضمن الحدود التی أقرّها الشارع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فأخذنا فی التعریف ما أقرّه الإسلام بخصوص مقدار الاستهلاک و الذی یجری مجری الاعتدال،کما هو دیدن الإسلام فی أغلب توجّهاته،وکذا القیود التی فرضها علی نوعیة الاستهلاک،واللذان یصبّان معاً فی عدم تعریض الفرد و المجتمع علی السواء إلی أضرار تعیق حرکته الاقتصادیة علی الخصوص وحرکته الشاملة علی العموم</w:t>
      </w:r>
      <w:r>
        <w:rPr>
          <w:rFonts w:eastAsia="IRNazanin" w:cs="IRNazanin"/>
          <w:color w:val="111111"/>
          <w:sz w:val="28"/>
          <w:szCs w:val="28"/>
          <w:rtl w:val="true"/>
          <w:lang w:bidi="fa-IR"/>
        </w:rPr>
        <w:t>.</w:t>
      </w:r>
    </w:p>
    <w:p>
      <w:pPr>
        <w:pStyle w:val="Heading4"/>
        <w:numPr>
          <w:ilvl w:val="3"/>
          <w:numId w:val="1"/>
        </w:numPr>
        <w:rPr/>
      </w:pPr>
      <w:bookmarkStart w:id="872" w:name="__RefHeading___Toc97710_581953129"/>
      <w:bookmarkStart w:id="873" w:name="_Toc348"/>
      <w:bookmarkEnd w:id="872"/>
      <w:r>
        <w:rPr>
          <w:rtl w:val="true"/>
        </w:rPr>
        <w:t>المطلب الثانی</w:t>
      </w:r>
      <w:r>
        <w:rPr>
          <w:rtl w:val="true"/>
        </w:rPr>
        <w:t>:</w:t>
      </w:r>
      <w:r>
        <w:rPr>
          <w:rtl w:val="true"/>
        </w:rPr>
        <w:t>ضوابط الاستهلاک</w:t>
      </w:r>
      <w:bookmarkEnd w:id="873"/>
    </w:p>
    <w:p>
      <w:pPr>
        <w:pStyle w:val="Heading5"/>
        <w:numPr>
          <w:ilvl w:val="4"/>
          <w:numId w:val="1"/>
        </w:numPr>
        <w:rPr/>
      </w:pPr>
      <w:bookmarkStart w:id="874" w:name="__RefHeading___Toc97712_581953129"/>
      <w:bookmarkStart w:id="875" w:name="_Toc349"/>
      <w:bookmarkEnd w:id="874"/>
      <w:r>
        <w:rPr>
          <w:rtl w:val="true"/>
        </w:rPr>
        <w:t>اشارة</w:t>
      </w:r>
      <w:bookmarkEnd w:id="87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ألقینا نظرةً فاحصةً علی طبیعة الاستهلاک إسلامیاً لرأینا أنّه ینسجم تمام الانسجام مع ما لوحظ من قیود فی الإنتاج،فالإسلام حینما وضع تلک القیود علی الإنتاج و المتمثّلة بسدّ حاجة مشروعة إسلامیاً،فإنّما یکون قد أسّس الأساس الصحیح لعملیة الاستهلاک،لکون الحاجة هی ما یطلب سدّها فی عملیة الاستهلاک،فیکون الإنتاج بذلک قد وفّر الکثیر من الجهود فی ترشید عملیة الاستهلاک واتّخذ منحاً یتوافق وتعالیم الإسلام بشأنه،فعدم زراعة المخدّرات علی سبیل المثال واجتناب صناعة الخمر،والآلات المحرّمة یقطع الطریق علی الاستهلاکات المضرّة وغیر الصحّیة للفرد و المجتمع عموماً من جهة،وینعکس أثره علی</w:t>
      </w:r>
      <w:bookmarkStart w:id="876" w:name="pg5204_66310"/>
    </w:p>
    <w:p>
      <w:pPr>
        <w:pStyle w:val="BookText"/>
        <w:rPr/>
      </w:pPr>
      <w:bookmarkEnd w:id="876"/>
      <w:r>
        <w:rPr>
          <w:rFonts w:ascii="IRNazanin" w:hAnsi="IRNazanin" w:eastAsia="IRNazanin"/>
          <w:color w:val="111111"/>
          <w:sz w:val="28"/>
          <w:sz w:val="28"/>
          <w:szCs w:val="28"/>
          <w:rtl w:val="true"/>
          <w:lang w:bidi="fa-IR"/>
        </w:rPr>
        <w:t>الإنتاج من جهة أخری،وذلک لِما یساهم فیه من الحفاظ علی النشاط،وتوفیر الوقت الکافی للقیام بالعملیات الإنتاجیة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جهة،ومن جهة أخری نلاحظ أنّ القیود المفروضة علی الاستهلاک تصبّ فی خدمة عدالة التوزیع؛إذ إنّ الاعتدال فی الاستهلاک یساهم فی توفیر الکثیر من الثروات التی سیعاد توزیعها بحسب ما تقدّم فی الفصل السابق،فهو أسلوبٌ من أسالیب إقرار التوازن المعیشی بین أفراد المجتمع،ویمکننا إیراد الضوابط التی یقوم علیها الاستهلاک،کالتالی</w:t>
      </w:r>
      <w:r>
        <w:rPr>
          <w:rFonts w:eastAsia="IRNazanin" w:cs="IRNazanin"/>
          <w:color w:val="111111"/>
          <w:sz w:val="28"/>
          <w:szCs w:val="28"/>
          <w:rtl w:val="true"/>
          <w:lang w:bidi="fa-IR"/>
        </w:rPr>
        <w:t>:</w:t>
      </w:r>
    </w:p>
    <w:p>
      <w:pPr>
        <w:pStyle w:val="Heading5"/>
        <w:numPr>
          <w:ilvl w:val="4"/>
          <w:numId w:val="1"/>
        </w:numPr>
        <w:rPr/>
      </w:pPr>
      <w:bookmarkStart w:id="877" w:name="__RefHeading___Toc97714_581953129"/>
      <w:bookmarkStart w:id="878" w:name="_Toc350"/>
      <w:bookmarkEnd w:id="877"/>
      <w:r>
        <w:rPr>
          <w:rtl w:val="true"/>
        </w:rPr>
        <w:t>الضابط الأوّل</w:t>
      </w:r>
      <w:r>
        <w:rPr>
          <w:rtl w:val="true"/>
        </w:rPr>
        <w:t>:</w:t>
      </w:r>
      <w:r>
        <w:rPr>
          <w:rtl w:val="true"/>
        </w:rPr>
        <w:t>تقوّم الاستهلاک بتحصیل منفعة</w:t>
      </w:r>
      <w:bookmarkEnd w:id="878"/>
    </w:p>
    <w:p>
      <w:pPr>
        <w:pStyle w:val="BookText"/>
        <w:rPr/>
      </w:pPr>
      <w:r>
        <w:rPr>
          <w:rFonts w:ascii="IRNazanin" w:hAnsi="IRNazanin" w:eastAsia="IRNazanin"/>
          <w:color w:val="111111"/>
          <w:sz w:val="28"/>
          <w:sz w:val="28"/>
          <w:szCs w:val="28"/>
          <w:rtl w:val="true"/>
          <w:lang w:bidi="fa-IR"/>
        </w:rPr>
        <w:t>یعدّ هذا الضابط الضابط الرئیس الذی ترتکز علیه عملیة الاستهلاک،وسوف نلاحظ کیف أنّه ینطوی مفهومیاً علی الضوابط الأخری التی أُخذت إسلامیاً فی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لا یراد بالمنفعة المستحصلة من الشیء المنفعة الحقیقیة،و إنّما ما یمکن استحصاله من ذلک الشیء و إن کان بحدّ ذاته مضرّاً،فمجرّد استنفاد الشیء ممّا فیه یعدّ تحصیلاً للمنفعة،إلّا أنّ المنفعة المقصودة إسلامیاً لوحظت هنا من جانبین؛جانبٌ ذاتی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یستحصل من الشیء مشتمل بذاته علی منفعة حقیقیة و هو ما لا یسبّب ضرراً،کما جاء فی النبوی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تحسّی سُمّاً فقتل نفسه فسُمّه فی یده یتحسّاه فی نار جهنم خالداً مخلّداً فیها أبدا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مع أنّ السمّ قد تکون له منفعةٌ فی بعض الموارد،فما کان مشتملاً علی ضرر فإنّ ذلک الضرر سیکون ربّما مؤثّراً بدرجة لا تُبقی لمنفعته مصداقیةً معتدّاً بها،ومن هنا حکموا بحرمة استهلاک ما کان متّصفاً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احتماله معتدّاً به عند العقلاء،ولو بلحاظ الاهتمام بالمحتمل،بحیث أوجب الخوف عندهم</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کان ضرره أکبر من النفع المرجو منه فلا تتحقّق حینها حقیقة المنفعة،و هو ما یمکن الاستدلال 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Style w:val="FootnoteAnchor"/>
          <w:rtl w:val="true"/>
        </w:rPr>
        <w:footnoteReference w:id="1037"/>
      </w:r>
      <w:r>
        <w:rPr>
          <w:rFonts w:ascii="IRNazanin" w:hAnsi="IRNazanin" w:eastAsia="IRNazanin"/>
          <w:color w:val="111111"/>
          <w:sz w:val="28"/>
          <w:sz w:val="28"/>
          <w:szCs w:val="28"/>
          <w:rtl w:val="true"/>
          <w:lang w:bidi="fa-IR"/>
        </w:rPr>
        <w:t>فقد أُخذ هنا الضابط الرابع المختصّ بالمحظور الشرعی القائم علی ملاک الحیلولة دون المفسدة</w:t>
      </w:r>
      <w:r>
        <w:rPr>
          <w:rFonts w:eastAsia="IRNazanin" w:cs="IRNazanin"/>
          <w:color w:val="111111"/>
          <w:sz w:val="28"/>
          <w:szCs w:val="28"/>
          <w:rtl w:val="true"/>
          <w:lang w:bidi="fa-IR"/>
        </w:rPr>
        <w:t>.</w:t>
      </w:r>
      <w:bookmarkStart w:id="879" w:name="pg5204_66311"/>
    </w:p>
    <w:p>
      <w:pPr>
        <w:pStyle w:val="BookText"/>
        <w:rPr/>
      </w:pPr>
      <w:bookmarkEnd w:id="879"/>
      <w:r>
        <w:rPr>
          <w:rFonts w:ascii="IRNazanin" w:hAnsi="IRNazanin" w:eastAsia="IRNazanin"/>
          <w:color w:val="111111"/>
          <w:sz w:val="28"/>
          <w:sz w:val="28"/>
          <w:szCs w:val="28"/>
          <w:rtl w:val="true"/>
          <w:lang w:bidi="fa-IR"/>
        </w:rPr>
        <w:t>وجانبٌ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أی،أنّ هذه المنفعة الحقیقة التی یشتمل علیها الشیء قابلةٌ لأن تکون نافعة،ومن خلال هذه النقطة یعلم أنّها لا تنطبق علی ما کان زیادةً عن حدّ الحاجة؛إذ لا یبقی موردٌ للمنفعة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فالأثاث و الطعام و المسکن وما إلیها من أمور،فمع ما تشتمل علیه من فوائد عظیمة،إلّا أنّها فی حال زیادتها عن الحدّ اللازم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قابل لأن ینتفع بها،فستکون منفعتها منتفیةً عملاً،ویتجسّد مثل هذا الأمر فی الضابط الثانی من هذه الضوابط أی أنّه یکون مصداقاً بارزاً من مصادیق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أنّ ضابط تحصیل المنفعة یتضمّن بُعدین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بتحصیل منفعة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باستخدام تلک المنفعة فی مورد قابل لها</w:t>
      </w:r>
      <w:r>
        <w:rPr>
          <w:rFonts w:eastAsia="IRNazanin" w:cs="IRNazanin"/>
          <w:color w:val="111111"/>
          <w:sz w:val="28"/>
          <w:szCs w:val="28"/>
          <w:rtl w:val="true"/>
          <w:lang w:bidi="fa-IR"/>
        </w:rPr>
        <w:t>.</w:t>
      </w:r>
    </w:p>
    <w:p>
      <w:pPr>
        <w:pStyle w:val="Heading5"/>
        <w:numPr>
          <w:ilvl w:val="4"/>
          <w:numId w:val="1"/>
        </w:numPr>
        <w:rPr/>
      </w:pPr>
      <w:bookmarkStart w:id="880" w:name="__RefHeading___Toc97716_581953129"/>
      <w:bookmarkStart w:id="881" w:name="_Toc351"/>
      <w:bookmarkEnd w:id="880"/>
      <w:r>
        <w:rPr>
          <w:rtl w:val="true"/>
        </w:rPr>
        <w:t>الضابط الثانی</w:t>
      </w:r>
      <w:r>
        <w:rPr>
          <w:rtl w:val="true"/>
        </w:rPr>
        <w:t>:</w:t>
      </w:r>
      <w:r>
        <w:rPr>
          <w:rtl w:val="true"/>
        </w:rPr>
        <w:t>قیام الاستهلاک علی عدم الإسراف</w:t>
      </w:r>
      <w:bookmarkEnd w:id="881"/>
    </w:p>
    <w:p>
      <w:pPr>
        <w:pStyle w:val="BookText"/>
        <w:rPr/>
      </w:pPr>
      <w:r>
        <w:rPr>
          <w:rFonts w:ascii="IRNazanin" w:hAnsi="IRNazanin" w:eastAsia="IRNazanin"/>
          <w:color w:val="111111"/>
          <w:sz w:val="28"/>
          <w:sz w:val="28"/>
          <w:szCs w:val="28"/>
          <w:rtl w:val="true"/>
          <w:lang w:bidi="fa-IR"/>
        </w:rPr>
        <w:t>سبق وأن بینا فی غیر مکان من أنّ الاقتصاد الإسلامی اقتصادٌ تنموی بکافّة أبعاده،وأنّه یکمّل بعضه بعضاً فی وحدة منسجمة،فقد لاحظنا کیف أنّ الحاجة قد أُخذت فی الإنتاج من خلال أنّ الهدف منه هو تأمین حاجات المجتمع بصورة عامّة،وأنّه یلغی العملیات التی تتجاوز تلک الحاجة لیوظّفها فی مجالات تخدمها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تضمن الدولة الحدّ الأدنی من إنتاج السلع الضروریة،والحدّ الأعلی الذی لا یجوز التجاوز عنه</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وکیف أنّ الحاجة جُعلت رکناً أساسیاً من أسس التوزیع،فمثلما یقوم علی العمل،فهو یقوم فی جانب منه علی الحاجة،فمع أنّه أعطی حقّاً للمحتاج فی استحقاق الضرائب إلّا أنّه لم یترک الأمر علی عواهنه،فاشترط أن تکون تلک الحاجة حقیقیةً،فلو کان یملک من الوسائل ما یکفیه فی مؤنته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له الأخذ،بل إذا کان له دار تندفع حاجته بأقلّ منها قیمة،وکان التفاوت بینهما یکفیه لمؤونته لم یجزِ له الأخذ من الزکاة فیما إذا بلغت الزیادة حدّ الإسراف</w:t>
      </w:r>
      <w:r>
        <w:rPr>
          <w:rFonts w:eastAsia="IRNazanin" w:cs="IRNazanin"/>
          <w:color w:val="111111"/>
          <w:sz w:val="28"/>
          <w:szCs w:val="28"/>
          <w:rtl w:val="true"/>
          <w:lang w:bidi="fa-IR"/>
        </w:rPr>
        <w:t xml:space="preserve">. </w:t>
      </w:r>
      <w:r>
        <w:rPr>
          <w:rStyle w:val="FootnoteAnchor"/>
          <w:rtl w:val="true"/>
        </w:rPr>
        <w:footnoteReference w:id="1039"/>
      </w:r>
      <w:bookmarkStart w:id="882" w:name="pg5204_66312"/>
    </w:p>
    <w:p>
      <w:pPr>
        <w:pStyle w:val="BookText"/>
        <w:rPr/>
      </w:pPr>
      <w:bookmarkEnd w:id="882"/>
      <w:r>
        <w:rPr>
          <w:rFonts w:ascii="IRNazanin" w:hAnsi="IRNazanin" w:eastAsia="IRNazanin"/>
          <w:color w:val="111111"/>
          <w:sz w:val="28"/>
          <w:sz w:val="28"/>
          <w:szCs w:val="28"/>
          <w:rtl w:val="true"/>
          <w:lang w:bidi="fa-IR"/>
        </w:rPr>
        <w:t>ویأتی الاستهلاک هنا لیصبّ فی خدمة تلک الرؤیة الإسلامیة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یقوم الإنسان بالاقتصار علی استهلاک ما یحتاجه،ولا یتعدّاه إلی ما هو زائدٌ علیه،فهو یکون قد ساهم مساهمةً فعّالةً فی خدمة الإنتاج و التوزیع معاً،وذلک فی توفیره الجهود و السلع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مصادیق کثیرةً للإسراف فی الاستهلاک،والتی یعبِّر الإسراف فی الطعام مصداقها البارز و الذی لا تنحصر عملیة الإسراف فیه بجهة من الجهات؛إذ إنّ</w:t>
      </w:r>
    </w:p>
    <w:p>
      <w:pPr>
        <w:pStyle w:val="BookText"/>
        <w:rPr/>
      </w:pPr>
      <w:r>
        <w:rPr>
          <w:rFonts w:ascii="IRNazanin" w:hAnsi="IRNazanin" w:eastAsia="IRNazanin"/>
          <w:color w:val="111111"/>
          <w:sz w:val="28"/>
          <w:sz w:val="28"/>
          <w:szCs w:val="28"/>
          <w:rtl w:val="true"/>
          <w:lang w:bidi="fa-IR"/>
        </w:rPr>
        <w:t xml:space="preserve">السرف فی الطعام أنواع فمن ذلک الأکل فوق الشبع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وبالطبع فإنّ ذلک لا یقتصر علی الطعام،و إنّما یشمل جمیع مجالاته،فإنّه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نهی عن الإسراف و التکثیر من الطعام،فکذلک نهی عن ذلک فی اللباس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بل إنّهم ضمّنوا المسرف،کما فی القیم لو أنفق زائداً عن الحاجة،فاشترطوا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ینفق الولی و القیم علی الصبی من غیر إسراف ولا تقتیر،فیطعمه ویلبسه عادة أمثاله ونظرائه،فإن أسرف ضمن الزیادة</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وتعدّی الأمر إلی تعلّق الضریبة فیما تمّ إنفاقه إسرافاً علی رأی من قال بتعلّق الخمس بأرباح المنافع،فإذا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المکلّف الحدّ المتعارف من أمثاله فی الإنفاق علی حاجاته،عُدّ ما صرفه من نوع الإسراف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فوجب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فتعبِّر تلک الموارد عن إتلاف حقیقی،ولیس استهلاکاً؛إذ إنّ الاستهلاک یتقوّم بما ینفع،کما مرّ علینا لا فیما لا فائدة فیه ولا نفع،ومن هنا فإنّ ذلک یعدّ منافیاً ومعارضاً لمجمل العملیة الاقتصادیة التی أُرید لها أن تکون تنمویةً لا تخلّفیة</w:t>
      </w:r>
      <w:r>
        <w:rPr>
          <w:rFonts w:eastAsia="IRNazanin" w:cs="IRNazanin"/>
          <w:color w:val="111111"/>
          <w:sz w:val="28"/>
          <w:szCs w:val="28"/>
          <w:rtl w:val="true"/>
          <w:lang w:bidi="fa-IR"/>
        </w:rPr>
        <w:t>.</w:t>
      </w:r>
    </w:p>
    <w:p>
      <w:pPr>
        <w:pStyle w:val="Heading5"/>
        <w:numPr>
          <w:ilvl w:val="4"/>
          <w:numId w:val="1"/>
        </w:numPr>
        <w:rPr/>
      </w:pPr>
      <w:bookmarkStart w:id="883" w:name="__RefHeading___Toc97718_581953129"/>
      <w:bookmarkStart w:id="884" w:name="_Toc352"/>
      <w:bookmarkEnd w:id="883"/>
      <w:r>
        <w:rPr>
          <w:rtl w:val="true"/>
        </w:rPr>
        <w:t>الضابط الثالث</w:t>
      </w:r>
      <w:r>
        <w:rPr>
          <w:rtl w:val="true"/>
        </w:rPr>
        <w:t>:</w:t>
      </w:r>
      <w:r>
        <w:rPr>
          <w:rtl w:val="true"/>
        </w:rPr>
        <w:t>قیام الاستهلاک علی عدم التقتیر</w:t>
      </w:r>
      <w:bookmarkEnd w:id="884"/>
    </w:p>
    <w:p>
      <w:pPr>
        <w:pStyle w:val="BookText"/>
        <w:rPr/>
      </w:pPr>
      <w:r>
        <w:rPr>
          <w:rFonts w:ascii="IRNazanin" w:hAnsi="IRNazanin" w:eastAsia="IRNazanin"/>
          <w:color w:val="111111"/>
          <w:sz w:val="28"/>
          <w:sz w:val="28"/>
          <w:szCs w:val="28"/>
          <w:rtl w:val="true"/>
          <w:lang w:bidi="fa-IR"/>
        </w:rPr>
        <w:t>فکما أنّ الإسلام یقف بوجه الإفراط و الإسراف فی الاستهلاک،فهو یقف،وعلی نفس المسافة من التفریط و التقتیر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التقتیر وترک الأنفاق علی نفسه بعد وجود السعة منهی عنه</w:t>
      </w:r>
      <w:r>
        <w:rPr>
          <w:rFonts w:eastAsia="IRNazanin" w:cs="IRNazanin"/>
          <w:color w:val="111111"/>
          <w:sz w:val="28"/>
          <w:szCs w:val="28"/>
          <w:rtl w:val="true"/>
          <w:lang w:bidi="fa-IR"/>
        </w:rPr>
        <w:t xml:space="preserve">. </w:t>
      </w:r>
      <w:r>
        <w:rPr>
          <w:rStyle w:val="FootnoteAnchor"/>
          <w:rtl w:val="true"/>
        </w:rPr>
        <w:footnoteReference w:id="1044"/>
      </w:r>
      <w:bookmarkStart w:id="885" w:name="pg5204_66313"/>
    </w:p>
    <w:p>
      <w:pPr>
        <w:pStyle w:val="BookText"/>
        <w:rPr/>
      </w:pPr>
      <w:bookmarkEnd w:id="885"/>
      <w:r>
        <w:rPr>
          <w:rFonts w:ascii="Amiri" w:hAnsi="Amiri" w:eastAsia="Amiri" w:cs="Amiri"/>
          <w:color w:val="111111"/>
          <w:sz w:val="28"/>
          <w:sz w:val="28"/>
          <w:szCs w:val="28"/>
          <w:rtl w:val="true"/>
          <w:lang w:bidi="ar-SA"/>
        </w:rPr>
        <w:t>و هو کما لا یرید للإنسان أن یحرِم أخاه الإنسان ویتجاوز علیه فی معیشته لا یرید له أن یحرِم نفسه ممّا جاد الله به علیه؛إذ هما علی حدّ سواء فی کونهما ظلماً،کما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 </w:t>
      </w:r>
      <w:r>
        <w:rPr>
          <w:rStyle w:val="FootnoteAnchor"/>
          <w:rtl w:val="true"/>
        </w:rPr>
        <w:footnoteReference w:id="1045"/>
      </w:r>
      <w:r>
        <w:rPr>
          <w:rFonts w:ascii="IRNazanin" w:hAnsi="IRNazanin" w:eastAsia="IRNazanin"/>
          <w:color w:val="111111"/>
          <w:sz w:val="28"/>
          <w:sz w:val="28"/>
          <w:szCs w:val="28"/>
          <w:rtl w:val="true"/>
          <w:lang w:bidi="fa-IR"/>
        </w:rPr>
        <w:t>فکرامة الإنسان تستلزم أن یتمتّع بما أنعمه الله علیه بالشکل الذی یعزّزها ویتّصف من خلالها بالحیویة و النشاط اللازم لأداء وظائفه علی الوجه المطلوب،ویعدّ هذا سبباً مهمّاً من أسباب محاربة الفقر فی الإسلام ممّا لا ینسجم وحالة التقتیر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علینا فی الضابط السابق کیف أنّهم اشترطوا علی القیم أن لا یقتّر علی الصبی مثلما لا یسرف علیه،وکذا الحال فی شمول الضریبة للمال المقتّر به فلو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قتّر علی نفسه فوفّر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ما یصرفه سنویاً وبقی عنده مدّخراً،لم یعفَ من دفع خمس هذا المبلغ؛لأنّه وفّره من مؤنته</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فإنّ استحصال منفعة الشیء،کما أنّها لا تنطبق علی الإفراط و الإسراف فیها،فهی کذلک لا تتحقّق بالزهد فیها وعدم استحصالها بالحدّ الذی یؤمّن حاجة الإنسان وتمتّعه بنعم الله؛إذ إنّ الزهد المرغَّب فیه فی الإسلام لیس هو ترک الاستمتاع المشار إلیه،و إنّما ترک الحرام والاغترار و الخروج عن جادّة الاعتدال،کما تشیر إلیه بعض النصوص التی لیس هنا محلّ الکلام حولها</w:t>
      </w:r>
      <w:r>
        <w:rPr>
          <w:rFonts w:eastAsia="IRNazanin" w:cs="IRNazanin"/>
          <w:color w:val="111111"/>
          <w:sz w:val="28"/>
          <w:szCs w:val="28"/>
          <w:rtl w:val="true"/>
          <w:lang w:bidi="fa-IR"/>
        </w:rPr>
        <w:t>.</w:t>
      </w:r>
    </w:p>
    <w:p>
      <w:pPr>
        <w:pStyle w:val="Heading5"/>
        <w:numPr>
          <w:ilvl w:val="4"/>
          <w:numId w:val="1"/>
        </w:numPr>
        <w:rPr/>
      </w:pPr>
      <w:bookmarkStart w:id="886" w:name="__RefHeading___Toc97720_581953129"/>
      <w:bookmarkStart w:id="887" w:name="_Toc353"/>
      <w:bookmarkEnd w:id="886"/>
      <w:r>
        <w:rPr>
          <w:rtl w:val="true"/>
        </w:rPr>
        <w:t>الضابط الرابع</w:t>
      </w:r>
      <w:r>
        <w:rPr>
          <w:rtl w:val="true"/>
        </w:rPr>
        <w:t>:</w:t>
      </w:r>
      <w:r>
        <w:rPr>
          <w:rtl w:val="true"/>
        </w:rPr>
        <w:t>اختصاص الاستهلاک بما لا یشتمل علی محظور شرعی</w:t>
      </w:r>
      <w:bookmarkEnd w:id="887"/>
    </w:p>
    <w:p>
      <w:pPr>
        <w:pStyle w:val="BookText"/>
        <w:rPr/>
      </w:pPr>
      <w:r>
        <w:rPr>
          <w:rFonts w:ascii="IRNazanin" w:hAnsi="IRNazanin" w:eastAsia="IRNazanin"/>
          <w:color w:val="111111"/>
          <w:sz w:val="28"/>
          <w:sz w:val="28"/>
          <w:szCs w:val="28"/>
          <w:rtl w:val="true"/>
          <w:lang w:bidi="fa-IR"/>
        </w:rPr>
        <w:t>لقد قید الإسلام عملیة الاستهلاک بعدم تعلّقها بالمحظورات الشرعیة تناولاً واستخداماً وإنفاقاً،و هو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النوعی و الکیفی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فحدّد الشارع موارد لجانبها النوعی الذی سبق وأن أشرنا فی مفهوم الاستهلاک تعبیرهم عنه بالتبذیر،الذی فسّروه بصرف المال فیما لا ینبغی،و هو و إن کان شاملاً لحالة الإسراف؛لأنّ الاستهلاک زائداً عن الحاجة یعدّ صرفاً للمال فیما لا ینبغی،إلّا أنهم خصّوه بصرفه فی ما حرّمه الله من الاستهلاکات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شدّة خطورة مثل تلک الاستهلاکات تسالمت فتاواهم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جواز الحِجر بسبب التبذیر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هذا مع أنّ للإنسان سلطنةً علی ماله فی التصرّف به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وذهبوا إلی عدم احتساب ما بذّره فیما لا ینبغی من المؤنة التی لا تشملها ضریبة الخمس،فحکموا بإنّ ما یصرف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احتسابه من المؤنة ولا یستثنی من الأرباح</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أمّا الجانب الکیفی،فهو یرتبط فی أغلب الأحیان باستخدام المرافق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و إن کانت عامّةً لعموم الأفراد،إلّا أنّ الإسلام وضع حدوداً تمنع من استنزافها أو ما یتنافی من کونها عامّةً لا تختصّ بفرد دون آخر،وما یتنافی مع استحصال منافعها،و هذا یخضع فی کثیر من الأحیان لما یتّخذه الحاکم الشرعی من مقرّرات لتنظیم الانتفاع بها،وذلک لتطوّرها المستمر وتطوّر کیفیة الاستفادة منها من زمن لآخر،و إن بقیت أصول الاستفادة منها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فالاستهلاک یکون مقیداً بما لا یکون محظوراً لأی سبب کان،إذا کان ذلک الحظر علی نحو الإلزام،فکلّ ما کان محظوراً بتلک الدرجة یکون خارجاً عن نطاق ما یسمح باستهلاکه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ینتهی الکلام فی ضوابط الاستهلاک،ولا بدّ لنا من تنبیه ضروری فی هذا المجال،و هو أنّ الضابطین الثانی و الثالث یختصّان بالاستهلاکات المسموح بها وغیر المحظورة إذ لا معنی لخضوع الشیء لضابط عدم الإسراف وعدم التقتیر مع کونه محظوراً من الأساس</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أغلب البحوث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أنّنا نبحث فی حدود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الحظر فیها بالضابطین الأوّل و الرابع</w:t>
      </w:r>
      <w:r>
        <w:rPr>
          <w:rFonts w:eastAsia="IRNazanin" w:cs="IRNazanin"/>
          <w:color w:val="111111"/>
          <w:sz w:val="28"/>
          <w:szCs w:val="28"/>
          <w:rtl w:val="true"/>
          <w:lang w:bidi="fa-IR"/>
        </w:rPr>
        <w:t>.</w:t>
      </w:r>
      <w:bookmarkStart w:id="888" w:name="pg5204_66316"/>
    </w:p>
    <w:p>
      <w:pPr>
        <w:pStyle w:val="Heading3"/>
        <w:numPr>
          <w:ilvl w:val="2"/>
          <w:numId w:val="1"/>
        </w:numPr>
        <w:rPr/>
      </w:pPr>
      <w:bookmarkStart w:id="889" w:name="__RefHeading___Toc97722_581953129"/>
      <w:bookmarkStart w:id="890" w:name="_Toc354"/>
      <w:bookmarkEnd w:id="888"/>
      <w:bookmarkEnd w:id="889"/>
      <w:r>
        <w:rPr>
          <w:rtl w:val="true"/>
        </w:rPr>
        <w:t>المبحث الثانی</w:t>
      </w:r>
      <w:r>
        <w:rPr>
          <w:rtl w:val="true"/>
        </w:rPr>
        <w:t>:</w:t>
      </w:r>
      <w:r>
        <w:rPr>
          <w:rtl w:val="true"/>
        </w:rPr>
        <w:t>حدود حرّیة الاستهلاک علی المستوی الشخصی</w:t>
      </w:r>
      <w:bookmarkEnd w:id="890"/>
    </w:p>
    <w:p>
      <w:pPr>
        <w:pStyle w:val="Heading4"/>
        <w:numPr>
          <w:ilvl w:val="3"/>
          <w:numId w:val="1"/>
        </w:numPr>
        <w:rPr/>
      </w:pPr>
      <w:bookmarkStart w:id="891" w:name="__RefHeading___Toc97724_581953129"/>
      <w:bookmarkStart w:id="892" w:name="_Toc355"/>
      <w:bookmarkEnd w:id="891"/>
      <w:r>
        <w:rPr>
          <w:rtl w:val="true"/>
        </w:rPr>
        <w:t>اشارة</w:t>
      </w:r>
      <w:bookmarkEnd w:id="892"/>
    </w:p>
    <w:p>
      <w:pPr>
        <w:pStyle w:val="BookText"/>
        <w:rPr/>
      </w:pPr>
      <w:r>
        <w:rPr>
          <w:rFonts w:ascii="IRNazanin" w:hAnsi="IRNazanin" w:eastAsia="IRNazanin"/>
          <w:color w:val="111111"/>
          <w:sz w:val="28"/>
          <w:sz w:val="28"/>
          <w:szCs w:val="28"/>
          <w:rtl w:val="true"/>
          <w:lang w:bidi="fa-IR"/>
        </w:rPr>
        <w:t>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وإیماناً منه بالدور الخطیر الذی تقوم به عملیة الاستهلاک فی المجال الاقتصادی ومجمل النشاط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باستخدام وسائل متعدّدة لترشیدها علی المستویین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 و النوعی،ابتداءً بالتربیة الأخلاقیة وانتهاءً بالعقوبة البدنیة،</w:t>
      </w:r>
    </w:p>
    <w:p>
      <w:pPr>
        <w:pStyle w:val="BookText"/>
        <w:rPr/>
      </w:pPr>
      <w:r>
        <w:rPr>
          <w:rFonts w:ascii="IRNazanin" w:hAnsi="IRNazanin" w:eastAsia="IRNazanin"/>
          <w:color w:val="111111"/>
          <w:sz w:val="28"/>
          <w:sz w:val="28"/>
          <w:szCs w:val="28"/>
          <w:rtl w:val="true"/>
          <w:lang w:bidi="fa-IR"/>
        </w:rPr>
        <w:t>فقام بتحریم الإسراف و التبذیر أخلاقیاً،وشرّع الصوم و الحجّ الذی یرتبط فی جانب منه بعملیة الاستهلاک عبادیاً،وفرض ضرائت مالیةً بخصوص ما تمّ الإفراط فیه إنفاقاً أو التفریط فیه تقتیراً،وانتهی إلی فرض عقوبات بدنیة علی استهلاک بعض المحرّمات التی تؤدّی دوراً هدّاماً لبنیة المجتمع کشرب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ویمکننا هنا أن نجعل الحدود التی أوردناها فی مطلب التصنیع من مبحث حدود الحرّیة فی الإنتاج الصناعی </w:t>
      </w:r>
      <w:r>
        <w:rPr>
          <w:rStyle w:val="FootnoteAnchor"/>
          <w:rtl w:val="true"/>
        </w:rPr>
        <w:footnoteReference w:id="1049"/>
      </w:r>
      <w:r>
        <w:rPr>
          <w:rFonts w:ascii="IRNazanin" w:hAnsi="IRNazanin" w:eastAsia="IRNazanin"/>
          <w:color w:val="111111"/>
          <w:sz w:val="28"/>
          <w:sz w:val="28"/>
          <w:szCs w:val="28"/>
          <w:rtl w:val="true"/>
          <w:lang w:bidi="fa-IR"/>
        </w:rPr>
        <w:t>هی ذاتها المطلوب مراعاتها فی عملیة الاستهلاک وبنفس الشروط المأخوذة فیها؛إذ إنّها ترتبط بشکل مباشر بعملیة الاستهلاک علی المستوی الشخصی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غالبیة ما یتمّ تصنیعه یتمّ استهلاکه علی المستوی الشخصی سواء کان علی شکل آلات وأدوات أو أطعمة وأشربة أو أدویة وما إلیها من صناعات ونتاجات،مع الأخذ بنظر الاعتبار أنّ بعض مصادیقها النادرة لم یحظَر استهلاکها کاقتناء التماثیل، </w:t>
      </w:r>
      <w:r>
        <w:rPr>
          <w:rStyle w:val="FootnoteAnchor"/>
          <w:rtl w:val="true"/>
        </w:rPr>
        <w:footnoteReference w:id="1050"/>
      </w:r>
      <w:r>
        <w:rPr>
          <w:rFonts w:ascii="Amiri" w:hAnsi="Amiri" w:eastAsia="Amiri" w:cs="Amiri"/>
          <w:color w:val="111111"/>
          <w:sz w:val="28"/>
          <w:sz w:val="28"/>
          <w:szCs w:val="28"/>
          <w:rtl w:val="true"/>
          <w:lang w:bidi="ar-SA"/>
        </w:rPr>
        <w:t>إلّا أنّ هناک موارد</w:t>
      </w:r>
      <w:bookmarkStart w:id="893" w:name="pg5204_66317"/>
    </w:p>
    <w:p>
      <w:pPr>
        <w:pStyle w:val="BookText"/>
        <w:rPr/>
      </w:pPr>
      <w:bookmarkEnd w:id="893"/>
      <w:r>
        <w:rPr>
          <w:rFonts w:ascii="IRNazanin" w:hAnsi="IRNazanin" w:eastAsia="IRNazanin"/>
          <w:color w:val="111111"/>
          <w:sz w:val="28"/>
          <w:sz w:val="28"/>
          <w:szCs w:val="28"/>
          <w:rtl w:val="true"/>
          <w:lang w:bidi="fa-IR"/>
        </w:rPr>
        <w:t>لا تخضع لحظر التصنیع إلّا أنّها تخضع لحظر الاستهلاک فی بعض المجالات،کما فی الذهب و الفضة و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الحدود الأخری التی لا ترتبط بالتصنیع،فإنّها تشمل کذلک الإنفاق فی المصادیق التی ذُکرت فی حدّ عدم السماح بتداول المحظور من مطلب الحدود العوضیة فی مبحث حدود الحرّیة فی قطاع الخدمات من فصل الإنتاج </w:t>
      </w:r>
      <w:r>
        <w:rPr>
          <w:rStyle w:val="FootnoteAnchor"/>
          <w:rtl w:val="true"/>
        </w:rPr>
        <w:footnoteReference w:id="1051"/>
      </w:r>
      <w:r>
        <w:rPr>
          <w:rFonts w:ascii="IRNazanin" w:hAnsi="IRNazanin" w:eastAsia="IRNazanin"/>
          <w:color w:val="111111"/>
          <w:sz w:val="28"/>
          <w:sz w:val="28"/>
          <w:szCs w:val="28"/>
          <w:rtl w:val="true"/>
          <w:lang w:bidi="fa-IR"/>
        </w:rPr>
        <w:t>بحسب الشروط المأخوذة فیها،هذا إضافةً إلی مصادیق أخری لا تشملها قائمة حظر التداول،والتی ترتبط بالغذاء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افتراق حدود حرّیة الاستهلاک عن حدود حرّیة التصنیع فی الموارد التی لم یحظَر تصنیعها إلّا أنّه یحظَر استهلاکها فی بعض الاستخدامات،ویکون افتراقها عن حدّ ما لا یسمح بتداوله فی المجالات التی لم یحظَر تداولها إلّا أنّه یحظَر تناولها،وهی التی تختصّ بالغذاء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فیمکننا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حدود حرّیة الاستهلاک علی النطاق الشخصی فی مطلبین،المطلب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یرتبط بحدود الحرّیة فی استهلاک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 الحرّیة فی استهلاک الحاجات الإنسانیة الأخری غیر المختصّة بالغذاء</w:t>
      </w:r>
      <w:r>
        <w:rPr>
          <w:rFonts w:eastAsia="IRNazanin" w:cs="IRNazanin"/>
          <w:color w:val="111111"/>
          <w:sz w:val="28"/>
          <w:szCs w:val="28"/>
          <w:rtl w:val="true"/>
          <w:lang w:bidi="fa-IR"/>
        </w:rPr>
        <w:t>.</w:t>
      </w:r>
    </w:p>
    <w:p>
      <w:pPr>
        <w:pStyle w:val="Heading4"/>
        <w:numPr>
          <w:ilvl w:val="3"/>
          <w:numId w:val="1"/>
        </w:numPr>
        <w:rPr/>
      </w:pPr>
      <w:bookmarkStart w:id="894" w:name="__RefHeading___Toc97726_581953129"/>
      <w:bookmarkStart w:id="895" w:name="_Toc356"/>
      <w:bookmarkEnd w:id="894"/>
      <w:r>
        <w:rPr>
          <w:rtl w:val="true"/>
        </w:rPr>
        <w:t>المطلب الأوّل</w:t>
      </w:r>
      <w:r>
        <w:rPr>
          <w:rtl w:val="true"/>
        </w:rPr>
        <w:t>:</w:t>
      </w:r>
      <w:r>
        <w:rPr>
          <w:rtl w:val="true"/>
        </w:rPr>
        <w:t>حدود الحرّیة فی استهلاک الغذاء</w:t>
      </w:r>
      <w:bookmarkEnd w:id="895"/>
    </w:p>
    <w:p>
      <w:pPr>
        <w:pStyle w:val="Heading5"/>
        <w:numPr>
          <w:ilvl w:val="4"/>
          <w:numId w:val="1"/>
        </w:numPr>
        <w:rPr/>
      </w:pPr>
      <w:bookmarkStart w:id="896" w:name="__RefHeading___Toc97728_581953129"/>
      <w:bookmarkStart w:id="897" w:name="_Toc357"/>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وترتبط الحدود هنا بجانب تناول الأطعمة دون الانتفاع بها فی غیر التناول،کما سیجیء،هذا مع أنّ کثیراً من تلک الموارد قد حکم البعض بعدم السماح بالانتفاع بها فی غیر التناول أیضاً،إلّا أنّنا قدّمنا الآراء التی تقول بالسماح بالانتفاع بها مع وجود منفعة معتدّ بها،وذلک بناءً علی تحقّق ضابط تحصیل المنفعة فیها،ویمکننا إیراد حدودها بالشکل التالی</w:t>
      </w:r>
      <w:r>
        <w:rPr>
          <w:rFonts w:eastAsia="IRNazanin" w:cs="IRNazanin"/>
          <w:color w:val="111111"/>
          <w:sz w:val="28"/>
          <w:szCs w:val="28"/>
          <w:rtl w:val="true"/>
          <w:lang w:bidi="fa-IR"/>
        </w:rPr>
        <w:t>:</w:t>
      </w:r>
    </w:p>
    <w:p>
      <w:pPr>
        <w:pStyle w:val="Heading5"/>
        <w:numPr>
          <w:ilvl w:val="4"/>
          <w:numId w:val="1"/>
        </w:numPr>
        <w:rPr/>
      </w:pPr>
      <w:bookmarkStart w:id="898" w:name="__RefHeading___Toc97730_581953129"/>
      <w:bookmarkStart w:id="899" w:name="_Toc358"/>
      <w:bookmarkEnd w:id="898"/>
      <w:r>
        <w:rPr>
          <w:rtl w:val="true"/>
        </w:rPr>
        <w:t>أوّلاً</w:t>
      </w:r>
      <w:r>
        <w:rPr>
          <w:rtl w:val="true"/>
        </w:rPr>
        <w:t>:</w:t>
      </w:r>
      <w:r>
        <w:rPr>
          <w:rtl w:val="true"/>
        </w:rPr>
        <w:t>عدم السماح بتناول النجس</w:t>
      </w:r>
      <w:bookmarkEnd w:id="899"/>
    </w:p>
    <w:p>
      <w:pPr>
        <w:pStyle w:val="Heading6"/>
        <w:numPr>
          <w:ilvl w:val="5"/>
          <w:numId w:val="1"/>
        </w:numPr>
        <w:rPr/>
      </w:pPr>
      <w:bookmarkStart w:id="900" w:name="__RefHeading___Toc97732_581953129"/>
      <w:bookmarkStart w:id="901" w:name="_Toc359"/>
      <w:bookmarkEnd w:id="900"/>
      <w:r>
        <w:rPr>
          <w:rtl w:val="true"/>
        </w:rPr>
        <w:t>اشارة</w:t>
      </w:r>
      <w:bookmarkEnd w:id="901"/>
    </w:p>
    <w:p>
      <w:pPr>
        <w:pStyle w:val="BookText"/>
        <w:rPr/>
      </w:pPr>
      <w:r>
        <w:rPr>
          <w:rFonts w:ascii="IRNazanin" w:hAnsi="IRNazanin" w:eastAsia="IRNazanin"/>
          <w:color w:val="111111"/>
          <w:sz w:val="28"/>
          <w:sz w:val="28"/>
          <w:szCs w:val="28"/>
          <w:rtl w:val="true"/>
          <w:lang w:bidi="fa-IR"/>
        </w:rPr>
        <w:t>فمن الأمور التی حرص الشارع الإسلامی علی تفادیها هو ما یطلق علیها فقهیاً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جاء حظر بعضها صریحاً فی القرآن،کما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هذا إضافةً إلی أمور أخری یمکن إلحاقها بها سیأتی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أنّ نجاسة المحرّمات الآنفة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تتعدّی إلی أنواع</w:t>
      </w:r>
      <w:bookmarkStart w:id="902" w:name="pg5204_66318"/>
    </w:p>
    <w:p>
      <w:pPr>
        <w:pStyle w:val="BookText"/>
        <w:rPr/>
      </w:pPr>
      <w:bookmarkEnd w:id="902"/>
      <w:r>
        <w:rPr>
          <w:rFonts w:ascii="IRNazanin" w:hAnsi="IRNazanin" w:eastAsia="IRNazanin"/>
          <w:color w:val="111111"/>
          <w:sz w:val="28"/>
          <w:sz w:val="28"/>
          <w:szCs w:val="28"/>
          <w:rtl w:val="true"/>
          <w:lang w:bidi="fa-IR"/>
        </w:rPr>
        <w:t>أخری تصیر نجسةً بالعرَض من خلال تناولها النجس الذاتی،ولأجل هذا فإنّ بحثنا هنا سینقسم إلی قسمین</w:t>
      </w:r>
      <w:r>
        <w:rPr>
          <w:rFonts w:eastAsia="IRNazanin" w:cs="IRNazanin"/>
          <w:color w:val="111111"/>
          <w:sz w:val="28"/>
          <w:szCs w:val="28"/>
          <w:rtl w:val="true"/>
          <w:lang w:bidi="fa-IR"/>
        </w:rPr>
        <w:t>.</w:t>
      </w:r>
    </w:p>
    <w:p>
      <w:pPr>
        <w:pStyle w:val="Heading6"/>
        <w:numPr>
          <w:ilvl w:val="5"/>
          <w:numId w:val="1"/>
        </w:numPr>
        <w:rPr/>
      </w:pPr>
      <w:bookmarkStart w:id="903" w:name="__RefHeading___Toc97734_581953129"/>
      <w:bookmarkStart w:id="904" w:name="_Toc360"/>
      <w:bookmarkEnd w:id="903"/>
      <w:r>
        <w:rPr>
          <w:rtl w:val="true"/>
        </w:rPr>
        <w:t>أ</w:t>
      </w:r>
      <w:r>
        <w:rPr>
          <w:rtl w:val="true"/>
        </w:rPr>
        <w:t>)</w:t>
      </w:r>
      <w:r>
        <w:rPr>
          <w:rtl w:val="true"/>
        </w:rPr>
        <w:t>النجس ذاتاً</w:t>
      </w:r>
      <w:bookmarkEnd w:id="904"/>
    </w:p>
    <w:p>
      <w:pPr>
        <w:pStyle w:val="Heading6"/>
        <w:numPr>
          <w:ilvl w:val="5"/>
          <w:numId w:val="1"/>
        </w:numPr>
        <w:rPr/>
      </w:pPr>
      <w:bookmarkStart w:id="905" w:name="__RefHeading___Toc97736_581953129"/>
      <w:bookmarkStart w:id="906" w:name="_Toc361"/>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و هو یشمل ما یلی</w:t>
      </w:r>
      <w:r>
        <w:rPr>
          <w:rFonts w:eastAsia="IRNazanin" w:cs="IRNazanin"/>
          <w:color w:val="111111"/>
          <w:sz w:val="28"/>
          <w:szCs w:val="28"/>
          <w:rtl w:val="true"/>
          <w:lang w:bidi="fa-IR"/>
        </w:rPr>
        <w:t>:</w:t>
      </w:r>
    </w:p>
    <w:p>
      <w:pPr>
        <w:pStyle w:val="Heading6"/>
        <w:numPr>
          <w:ilvl w:val="5"/>
          <w:numId w:val="1"/>
        </w:numPr>
        <w:rPr/>
      </w:pPr>
      <w:bookmarkStart w:id="907" w:name="__RefHeading___Toc97738_581953129"/>
      <w:bookmarkStart w:id="908" w:name="_Toc362"/>
      <w:bookmarkEnd w:id="907"/>
      <w:r>
        <w:rPr>
          <w:rtl w:val="true"/>
        </w:rPr>
        <w:t>الأوّل</w:t>
      </w:r>
      <w:r>
        <w:rPr>
          <w:rtl w:val="true"/>
        </w:rPr>
        <w:t>:</w:t>
      </w:r>
      <w:r>
        <w:rPr>
          <w:rtl w:val="true"/>
        </w:rPr>
        <w:t>المیتة</w:t>
      </w:r>
      <w:bookmarkEnd w:id="908"/>
    </w:p>
    <w:p>
      <w:pPr>
        <w:pStyle w:val="BookText"/>
        <w:rPr/>
      </w:pPr>
      <w:r>
        <w:rPr>
          <w:rFonts w:ascii="IRNazanin" w:hAnsi="IRNazanin" w:eastAsia="IRNazanin"/>
          <w:color w:val="111111"/>
          <w:sz w:val="28"/>
          <w:sz w:val="28"/>
          <w:szCs w:val="28"/>
          <w:rtl w:val="true"/>
          <w:lang w:bidi="fa-IR"/>
        </w:rPr>
        <w:t>و هی ممّا حُرّم تناوله بصریح القرآن،کما جاء فی الآیة السابقة،فهی من الأعیان النجسة التی لا یمکن تطهیرها،وذهب البعض إلی اختصاص الحرمة بالأکل وعدم شمولها للتداول،کما الخنزیر عنده،فإنّه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 الاستفادة منهما واستخدامهما فی شتّی المجالات التی لا ترجع إلی التغذّی بهما،مثل صناعة الأسمدة و الشموع وغیرهما</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إلّا أنّ البعض الآخر لم یرخّص ببیعها بناءً علی عدم مالیتها،ولذا قال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ینعقد بیع المیتة و الدم؛لأنّه لیس بمال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هذا بناءً علی القول بعدم وجود مالیة للنجس،فیخرج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تحلّه الحیاة کالشعر و الصوف و الوبر،فإنّه طاهر فیجوز بیعه،و هو قول أکثر المالکیة و الحنفیة</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ویراد من المیتة فی الإسلام،الحیوان الذی مات حتف أنفه،کما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الْمُنْخَنِقَةُ وَ الْمَوْقُوذَةُ وَ الْمُتَرَدِّیَةُ وَ النَّطِیحَةُ وَ ما أَکَلَ السَّبُعُ إِلاّ ما ذَکَّیْتُمْ ، </w:t>
      </w:r>
      <w:r>
        <w:rPr>
          <w:rStyle w:val="FootnoteAnchor"/>
          <w:rtl w:val="true"/>
        </w:rPr>
        <w:footnoteReference w:id="1056"/>
      </w:r>
      <w:r>
        <w:rPr>
          <w:rFonts w:ascii="IRNazanin" w:hAnsi="IRNazanin" w:eastAsia="IRNazanin"/>
          <w:color w:val="111111"/>
          <w:sz w:val="28"/>
          <w:sz w:val="28"/>
          <w:szCs w:val="28"/>
          <w:rtl w:val="true"/>
          <w:lang w:bidi="fa-IR"/>
        </w:rPr>
        <w:t xml:space="preserve">ویلحق بها القطعة المبانة من الحیوان الحی، </w:t>
      </w:r>
      <w:r>
        <w:rPr>
          <w:rStyle w:val="FootnoteAnchor"/>
          <w:rtl w:val="true"/>
        </w:rPr>
        <w:footnoteReference w:id="1057"/>
      </w:r>
      <w:r>
        <w:rPr>
          <w:rFonts w:ascii="IRNazanin" w:hAnsi="IRNazanin" w:eastAsia="IRNazanin"/>
          <w:color w:val="111111"/>
          <w:sz w:val="28"/>
          <w:sz w:val="28"/>
          <w:szCs w:val="28"/>
          <w:rtl w:val="true"/>
          <w:lang w:bidi="fa-IR"/>
        </w:rPr>
        <w:t>وکذا السمک الطافی،کما سیأتی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ویدخل فی المیتة ما لم یذکر اسم الله علیه عند ذبحه،فلم یسمح بأکله،کما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وَ إِنَّهُ لَفِسْقٌ ؛ </w:t>
      </w:r>
      <w:r>
        <w:rPr>
          <w:rStyle w:val="FootnoteAnchor"/>
          <w:rtl w:val="true"/>
        </w:rPr>
        <w:footnoteReference w:id="1058"/>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bookmarkStart w:id="909" w:name="pg5204_66319"/>
    </w:p>
    <w:p>
      <w:pPr>
        <w:pStyle w:val="BookText"/>
        <w:rPr/>
      </w:pPr>
      <w:bookmarkEnd w:id="909"/>
      <w:r>
        <w:rPr>
          <w:rFonts w:ascii="IRNazanin" w:hAnsi="IRNazanin" w:eastAsia="IRNazanin"/>
          <w:color w:val="111111"/>
          <w:sz w:val="28"/>
          <w:sz w:val="28"/>
          <w:szCs w:val="28"/>
          <w:rtl w:val="true"/>
          <w:lang w:bidi="fa-IR"/>
        </w:rPr>
        <w:t xml:space="preserve">هو میتة عندنا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ومنه ما أُهلّ لغیر الله،کما جاء فی الآیة الأسبق،و هو ما ذُبح وأُرید غیر وجه الله به،فهو کالمذبوح للأصنام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عَلَی النُّصُبِ ؛ </w:t>
      </w:r>
      <w:r>
        <w:rPr>
          <w:rStyle w:val="FootnoteAnchor"/>
          <w:rtl w:val="true"/>
        </w:rPr>
        <w:footnoteReference w:id="1060"/>
      </w:r>
      <w:r>
        <w:rPr>
          <w:rFonts w:ascii="Amiri" w:hAnsi="Amiri" w:eastAsia="Amiri" w:cs="Amiri"/>
          <w:color w:val="111111"/>
          <w:sz w:val="28"/>
          <w:sz w:val="28"/>
          <w:szCs w:val="28"/>
          <w:rtl w:val="true"/>
          <w:lang w:bidi="ar-SA"/>
        </w:rPr>
        <w:t>لأنّ کلّ ذلک یعدّ من ذبائح أهل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تؤکل ذبیحة أهل الشرک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فکلّ ذلک یعدّ من المیتة لعدم إحرازه أحد شروط التذکیة و هو ذکر الله عند الذبح،وکون الذابح مؤمناً بالله،کما جاء فی محلّه</w:t>
      </w:r>
      <w:r>
        <w:rPr>
          <w:rFonts w:eastAsia="IRNazanin" w:cs="IRNazanin"/>
          <w:color w:val="111111"/>
          <w:sz w:val="28"/>
          <w:szCs w:val="28"/>
          <w:rtl w:val="true"/>
          <w:lang w:bidi="fa-IR"/>
        </w:rPr>
        <w:t>.</w:t>
      </w:r>
    </w:p>
    <w:p>
      <w:pPr>
        <w:pStyle w:val="Heading6"/>
        <w:numPr>
          <w:ilvl w:val="5"/>
          <w:numId w:val="1"/>
        </w:numPr>
        <w:rPr/>
      </w:pPr>
      <w:bookmarkStart w:id="910" w:name="__RefHeading___Toc97740_581953129"/>
      <w:bookmarkStart w:id="911" w:name="_Toc363"/>
      <w:bookmarkEnd w:id="910"/>
      <w:r>
        <w:rPr>
          <w:rtl w:val="true"/>
        </w:rPr>
        <w:t>الثانی</w:t>
      </w:r>
      <w:r>
        <w:rPr>
          <w:rtl w:val="true"/>
        </w:rPr>
        <w:t>:</w:t>
      </w:r>
      <w:r>
        <w:rPr>
          <w:rtl w:val="true"/>
        </w:rPr>
        <w:t>الدم</w:t>
      </w:r>
      <w:bookmarkEnd w:id="911"/>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یحرُم الدم من الحیوان ذی النفس السائلة حتّی العلقة،والدم فی البیضة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ومنه دم الإنسان،و هو 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 </w:t>
      </w:r>
      <w:r>
        <w:rPr>
          <w:rStyle w:val="FootnoteAnchor"/>
          <w:rtl w:val="true"/>
        </w:rPr>
        <w:footnoteReference w:id="1063"/>
      </w:r>
      <w:r>
        <w:rPr>
          <w:rFonts w:ascii="IRNazanin" w:hAnsi="IRNazanin" w:eastAsia="IRNazanin"/>
          <w:color w:val="111111"/>
          <w:sz w:val="28"/>
          <w:sz w:val="28"/>
          <w:szCs w:val="28"/>
          <w:rtl w:val="true"/>
          <w:lang w:bidi="fa-IR"/>
        </w:rPr>
        <w:t>وکما یحظَر تناول دم ذی النفس السائلة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یتدفّق دمه عند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دم ما لیس له نفس سائلة ممّا حرُم أکل لحمه،کالأفاعی و الضبّ،والضفدع و الخفاش ونحوها من الزواحف و الحشرات؛أمّا دم ما حلّ أکله،کالسمک،ففی حلّیته إشکال</w:t>
      </w:r>
      <w:r>
        <w:rPr>
          <w:rFonts w:eastAsia="IRNazanin" w:cs="IRNazanin"/>
          <w:color w:val="111111"/>
          <w:sz w:val="28"/>
          <w:szCs w:val="28"/>
          <w:rtl w:val="true"/>
          <w:lang w:bidi="fa-IR"/>
        </w:rPr>
        <w:t xml:space="preserve">. </w:t>
      </w:r>
      <w:r>
        <w:rPr>
          <w:rStyle w:val="FootnoteAnchor"/>
          <w:rtl w:val="true"/>
        </w:rPr>
        <w:footnoteReference w:id="1064"/>
      </w:r>
    </w:p>
    <w:p>
      <w:pPr>
        <w:pStyle w:val="Heading6"/>
        <w:numPr>
          <w:ilvl w:val="5"/>
          <w:numId w:val="1"/>
        </w:numPr>
        <w:rPr/>
      </w:pPr>
      <w:bookmarkStart w:id="912" w:name="__RefHeading___Toc97742_581953129"/>
      <w:bookmarkStart w:id="913" w:name="_Toc364"/>
      <w:bookmarkEnd w:id="912"/>
      <w:r>
        <w:rPr>
          <w:rtl w:val="true"/>
        </w:rPr>
        <w:t>الثالث</w:t>
      </w:r>
      <w:r>
        <w:rPr>
          <w:rtl w:val="true"/>
        </w:rPr>
        <w:t>:</w:t>
      </w:r>
      <w:r>
        <w:rPr>
          <w:rtl w:val="true"/>
        </w:rPr>
        <w:t>الخنزیر</w:t>
      </w:r>
      <w:bookmarkEnd w:id="913"/>
    </w:p>
    <w:p>
      <w:pPr>
        <w:pStyle w:val="BookText"/>
        <w:rPr/>
      </w:pPr>
      <w:r>
        <w:rPr>
          <w:rFonts w:ascii="IRNazanin" w:hAnsi="IRNazanin" w:eastAsia="IRNazanin"/>
          <w:color w:val="111111"/>
          <w:sz w:val="28"/>
          <w:sz w:val="28"/>
          <w:szCs w:val="28"/>
          <w:rtl w:val="true"/>
          <w:lang w:bidi="fa-IR"/>
        </w:rPr>
        <w:t>و هو أیضاً ممّا جاء تحریمه صریحاً فی القرآن فی الآیة المتقدّمة،والکلام فیه،کما تقدّم فی المیتة،فالبعض جوّز الانتفاع به فی غیر الأکل،فإنّه یجوز الاستفادة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بغیر الاغتذاء من سائر وجوه الانتفاع،کالنقل و الصناعة و الزراعة و الطب وغیرها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والقائل بعدم جواز مطلق الانتفاع استثنی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الانتفاع بشعر الخنزیر دفعاً لما یتوهّم من منع بیعه،ولکنّه مقید بالخرز للضرورة</w:t>
      </w:r>
      <w:r>
        <w:rPr>
          <w:rFonts w:eastAsia="IRNazanin" w:cs="IRNazanin"/>
          <w:color w:val="111111"/>
          <w:sz w:val="28"/>
          <w:szCs w:val="28"/>
          <w:rtl w:val="true"/>
          <w:lang w:bidi="fa-IR"/>
        </w:rPr>
        <w:t xml:space="preserve">. </w:t>
      </w:r>
      <w:r>
        <w:rPr>
          <w:rStyle w:val="FootnoteAnchor"/>
          <w:rtl w:val="true"/>
        </w:rPr>
        <w:footnoteReference w:id="1066"/>
      </w:r>
      <w:bookmarkStart w:id="914" w:name="pg5204_66320"/>
    </w:p>
    <w:p>
      <w:pPr>
        <w:pStyle w:val="Heading6"/>
        <w:numPr>
          <w:ilvl w:val="5"/>
          <w:numId w:val="1"/>
        </w:numPr>
        <w:rPr/>
      </w:pPr>
      <w:bookmarkStart w:id="915" w:name="__RefHeading___Toc97744_581953129"/>
      <w:bookmarkStart w:id="916" w:name="_Toc365"/>
      <w:bookmarkEnd w:id="914"/>
      <w:bookmarkEnd w:id="915"/>
      <w:r>
        <w:rPr>
          <w:rtl w:val="true"/>
        </w:rPr>
        <w:t>الرابع</w:t>
      </w:r>
      <w:r>
        <w:rPr>
          <w:rtl w:val="true"/>
        </w:rPr>
        <w:t>:</w:t>
      </w:r>
      <w:r>
        <w:rPr>
          <w:rtl w:val="true"/>
        </w:rPr>
        <w:t>الکلب</w:t>
      </w:r>
      <w:bookmarkEnd w:id="916"/>
    </w:p>
    <w:p>
      <w:pPr>
        <w:pStyle w:val="BookText"/>
        <w:rPr/>
      </w:pPr>
      <w:r>
        <w:rPr>
          <w:rFonts w:ascii="IRNazanin" w:hAnsi="IRNazanin" w:eastAsia="IRNazanin"/>
          <w:color w:val="111111"/>
          <w:sz w:val="28"/>
          <w:sz w:val="28"/>
          <w:szCs w:val="28"/>
          <w:rtl w:val="true"/>
          <w:lang w:bidi="fa-IR"/>
        </w:rPr>
        <w:t>و هو کذلک من الأعیان النجسة التی لا یمکن وقوع التطهیر علیها،فإنّه یحکم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نجاسة ما ماسّه الکلب بسائر بدنه إذا کان أحدهما رطباً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فالبهائم الأهلیة التی یستفید منها الإنسان فی شتّی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منها الکلب و الهر ونحوهما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ویختصّ الحظر بتناوله أکلاً،فلا یجوز إنفاق المال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مجال إنفاق المال لاتّخاذه للحراسة و الصید ونحوها من الأمور،فإنّهم جوّزوا ذلک؛إذ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الشارع أباح الانتفاع به حراسة واصطیاداً،فکذا بیعا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فلا یسمح بإنفاق المال فی ما لا فائدة فیه من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ککلب الهراش،دون ما یکون له منفعة مقصودة للناس،ککلب الصید و الحراسة وکشف الجرائم ونحوها</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فإنّه یسمح به ولو علی مستوی التخلّی عن حقّ الاختصاص به دون البیع</w:t>
      </w:r>
      <w:r>
        <w:rPr>
          <w:rFonts w:eastAsia="IRNazanin" w:cs="IRNazanin"/>
          <w:color w:val="111111"/>
          <w:sz w:val="28"/>
          <w:szCs w:val="28"/>
          <w:rtl w:val="true"/>
          <w:lang w:bidi="fa-IR"/>
        </w:rPr>
        <w:t xml:space="preserve">. </w:t>
      </w:r>
      <w:r>
        <w:rPr>
          <w:rStyle w:val="FootnoteAnchor"/>
          <w:rtl w:val="true"/>
        </w:rPr>
        <w:footnoteReference w:id="1071"/>
      </w:r>
    </w:p>
    <w:p>
      <w:pPr>
        <w:pStyle w:val="Heading6"/>
        <w:numPr>
          <w:ilvl w:val="5"/>
          <w:numId w:val="1"/>
        </w:numPr>
        <w:rPr/>
      </w:pPr>
      <w:bookmarkStart w:id="917" w:name="__RefHeading___Toc97746_581953129"/>
      <w:bookmarkStart w:id="918" w:name="_Toc366"/>
      <w:bookmarkEnd w:id="917"/>
      <w:r>
        <w:rPr>
          <w:rtl w:val="true"/>
        </w:rPr>
        <w:t>الخامس</w:t>
      </w:r>
      <w:r>
        <w:rPr>
          <w:rtl w:val="true"/>
        </w:rPr>
        <w:t>:</w:t>
      </w:r>
      <w:r>
        <w:rPr>
          <w:rtl w:val="true"/>
        </w:rPr>
        <w:t>المنی</w:t>
      </w:r>
      <w:bookmarkEnd w:id="918"/>
    </w:p>
    <w:p>
      <w:pPr>
        <w:pStyle w:val="BookText"/>
        <w:rPr/>
      </w:pPr>
      <w:r>
        <w:rPr>
          <w:rFonts w:ascii="IRNazanin" w:hAnsi="IRNazanin" w:eastAsia="IRNazanin"/>
          <w:color w:val="111111"/>
          <w:sz w:val="28"/>
          <w:sz w:val="28"/>
          <w:szCs w:val="28"/>
          <w:rtl w:val="true"/>
          <w:lang w:bidi="fa-IR"/>
        </w:rPr>
        <w:t>و هو السائل الأبیض الذی یخرج من کلّ حیوان له نفسٌ سائلةٌ وبضمنه الإنسان،إذ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نجس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فلا یسمح بإنفاق المال فیه لتناوله،فإنّه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تناول الأعیان النجسة الجامدة أو المائعة بأکلها أو شربها لغیر ضرورة،والأعیان النجسة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و الدم و المن</w:t>
      </w:r>
      <w:r>
        <w:rPr>
          <w:rFonts w:eastAsia="IRNazanin" w:cs="IRNazanin"/>
          <w:color w:val="111111"/>
          <w:sz w:val="28"/>
          <w:szCs w:val="28"/>
          <w:rtl w:val="true"/>
          <w:lang w:bidi="fa-IR"/>
        </w:rPr>
        <w:t xml:space="preserve">.... </w:t>
      </w:r>
      <w:r>
        <w:rPr>
          <w:rStyle w:val="FootnoteAnchor"/>
          <w:rtl w:val="true"/>
        </w:rPr>
        <w:footnoteReference w:id="1073"/>
      </w:r>
    </w:p>
    <w:p>
      <w:pPr>
        <w:pStyle w:val="Heading6"/>
        <w:numPr>
          <w:ilvl w:val="5"/>
          <w:numId w:val="1"/>
        </w:numPr>
        <w:rPr/>
      </w:pPr>
      <w:bookmarkStart w:id="919" w:name="__RefHeading___Toc97748_581953129"/>
      <w:bookmarkStart w:id="920" w:name="_Toc367"/>
      <w:bookmarkEnd w:id="919"/>
      <w:r>
        <w:rPr>
          <w:rtl w:val="true"/>
        </w:rPr>
        <w:t>السادس</w:t>
      </w:r>
      <w:r>
        <w:rPr>
          <w:rtl w:val="true"/>
        </w:rPr>
        <w:t>:</w:t>
      </w:r>
      <w:r>
        <w:rPr>
          <w:rtl w:val="true"/>
        </w:rPr>
        <w:t>البول و الغائط</w:t>
      </w:r>
      <w:r>
        <w:rPr>
          <w:rtl w:val="true"/>
        </w:rPr>
        <w:t>(</w:t>
      </w:r>
      <w:r>
        <w:rPr>
          <w:rtl w:val="true"/>
        </w:rPr>
        <w:t>البراز</w:t>
      </w:r>
      <w:r>
        <w:rPr>
          <w:rtl w:val="true"/>
        </w:rPr>
        <w:t>)</w:t>
      </w:r>
      <w:bookmarkEnd w:id="9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فهما من الأعیان النجسة التی لا یجوز تناولها،کما مرّ،إلّا أنّه</w:t>
      </w:r>
      <w:r>
        <w:rPr>
          <w:rFonts w:eastAsia="IRNazanin" w:cs="IRNazanin"/>
          <w:color w:val="111111"/>
          <w:sz w:val="28"/>
          <w:szCs w:val="28"/>
          <w:rtl w:val="true"/>
          <w:lang w:bidi="fa-IR"/>
        </w:rPr>
        <w:t>:</w:t>
      </w:r>
      <w:bookmarkStart w:id="921" w:name="pg5204_66321"/>
    </w:p>
    <w:p>
      <w:pPr>
        <w:pStyle w:val="BookText"/>
        <w:rPr/>
      </w:pPr>
      <w:bookmarkEnd w:id="921"/>
      <w:r>
        <w:rPr>
          <w:rFonts w:ascii="IRNazanin" w:hAnsi="IRNazanin" w:eastAsia="IRNazanin"/>
          <w:color w:val="111111"/>
          <w:sz w:val="28"/>
          <w:sz w:val="28"/>
          <w:szCs w:val="28"/>
          <w:rtl w:val="true"/>
          <w:lang w:bidi="fa-IR"/>
        </w:rPr>
        <w:t xml:space="preserve">یجوز الانتفاع بالأعیان النجسة فی غیر الجهة المحرّمة مثل التسمید بالعذرات،والإشعال بها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أمّا الأبوال فإنّها تحرُم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لا یؤکل لحمه بل ممّا یؤکل لحمه أیضاً علی الأحوط عدا أبوال الإبل للاستشفاء</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وذهب البعض شمول الحرمة لأبوال الإبل علی الأحوط وجوباً</w:t>
      </w:r>
      <w:r>
        <w:rPr>
          <w:rFonts w:eastAsia="IRNazanin" w:cs="IRNazanin"/>
          <w:color w:val="111111"/>
          <w:sz w:val="28"/>
          <w:szCs w:val="28"/>
          <w:rtl w:val="true"/>
          <w:lang w:bidi="fa-IR"/>
        </w:rPr>
        <w:t xml:space="preserve">. </w:t>
      </w:r>
      <w:r>
        <w:rPr>
          <w:rStyle w:val="FootnoteAnchor"/>
          <w:rtl w:val="true"/>
        </w:rPr>
        <w:footnoteReference w:id="1076"/>
      </w:r>
    </w:p>
    <w:p>
      <w:pPr>
        <w:pStyle w:val="Heading6"/>
        <w:numPr>
          <w:ilvl w:val="5"/>
          <w:numId w:val="1"/>
        </w:numPr>
        <w:rPr/>
      </w:pPr>
      <w:bookmarkStart w:id="922" w:name="__RefHeading___Toc97750_581953129"/>
      <w:bookmarkStart w:id="923" w:name="_Toc368"/>
      <w:bookmarkEnd w:id="922"/>
      <w:r>
        <w:rPr>
          <w:rtl w:val="true"/>
        </w:rPr>
        <w:t>ب</w:t>
      </w:r>
      <w:r>
        <w:rPr>
          <w:rtl w:val="true"/>
        </w:rPr>
        <w:t>)</w:t>
      </w:r>
      <w:r>
        <w:rPr>
          <w:rtl w:val="true"/>
        </w:rPr>
        <w:t>النجس عرضاً</w:t>
      </w:r>
      <w:bookmarkEnd w:id="923"/>
    </w:p>
    <w:p>
      <w:pPr>
        <w:pStyle w:val="Heading6"/>
        <w:numPr>
          <w:ilvl w:val="5"/>
          <w:numId w:val="1"/>
        </w:numPr>
        <w:rPr/>
      </w:pPr>
      <w:bookmarkStart w:id="924" w:name="__RefHeading___Toc97752_581953129"/>
      <w:bookmarkStart w:id="925" w:name="_Toc369"/>
      <w:bookmarkEnd w:id="924"/>
      <w:r>
        <w:rPr>
          <w:rtl w:val="true"/>
        </w:rPr>
        <w:t>اشارة</w:t>
      </w:r>
      <w:bookmarkEnd w:id="925"/>
    </w:p>
    <w:p>
      <w:pPr>
        <w:pStyle w:val="BookText"/>
        <w:rPr/>
      </w:pPr>
      <w:r>
        <w:rPr>
          <w:rFonts w:ascii="IRNazanin" w:hAnsi="IRNazanin" w:eastAsia="IRNazanin"/>
          <w:color w:val="111111"/>
          <w:sz w:val="28"/>
          <w:sz w:val="28"/>
          <w:szCs w:val="28"/>
          <w:rtl w:val="true"/>
          <w:lang w:bidi="fa-IR"/>
        </w:rPr>
        <w:t>و هو یختلف عن النجس ذاتا بأنّه طاهر أصالةً إلّا أنّه أصبح نجساً بالعارض من خلال تغذّیه علی الأعیان النجسة،أو تعرّضه للوط‌ء من قِبل الإنسان،فهو یشمل</w:t>
      </w:r>
      <w:r>
        <w:rPr>
          <w:rFonts w:eastAsia="IRNazanin" w:cs="IRNazanin"/>
          <w:color w:val="111111"/>
          <w:sz w:val="28"/>
          <w:szCs w:val="28"/>
          <w:rtl w:val="true"/>
          <w:lang w:bidi="fa-IR"/>
        </w:rPr>
        <w:t>:</w:t>
      </w:r>
    </w:p>
    <w:p>
      <w:pPr>
        <w:pStyle w:val="Heading6"/>
        <w:numPr>
          <w:ilvl w:val="5"/>
          <w:numId w:val="1"/>
        </w:numPr>
        <w:rPr/>
      </w:pPr>
      <w:bookmarkStart w:id="926" w:name="__RefHeading___Toc97754_581953129"/>
      <w:bookmarkStart w:id="927" w:name="_Toc370"/>
      <w:bookmarkEnd w:id="926"/>
      <w:r>
        <w:rPr>
          <w:rtl w:val="true"/>
        </w:rPr>
        <w:t>الأوّل</w:t>
      </w:r>
      <w:r>
        <w:rPr>
          <w:rtl w:val="true"/>
        </w:rPr>
        <w:t>:</w:t>
      </w:r>
      <w:r>
        <w:rPr>
          <w:rtl w:val="true"/>
        </w:rPr>
        <w:t>الحیوان الجلّال</w:t>
      </w:r>
      <w:bookmarkEnd w:id="927"/>
    </w:p>
    <w:p>
      <w:pPr>
        <w:pStyle w:val="BookText"/>
        <w:rPr/>
      </w:pPr>
      <w:r>
        <w:rPr>
          <w:rFonts w:ascii="IRNazanin" w:hAnsi="IRNazanin" w:eastAsia="IRNazanin"/>
          <w:color w:val="111111"/>
          <w:sz w:val="28"/>
          <w:sz w:val="28"/>
          <w:szCs w:val="28"/>
          <w:rtl w:val="true"/>
          <w:lang w:bidi="fa-IR"/>
        </w:rPr>
        <w:t>و هو المحلّل أکله الذی یتغذّی علی براز الإنسان إلی درجة ینمو فیها لحمه ویشتدّ عظمه،فإذا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أکل لحمه وشرب لبنه حتّی یستبرئ بإطعامه العلف الطاهر مدّة یزول فیها اسم الجلل عرفا</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فحرمة الانتفاع به بالأکل تتعلّق بکلّ ما فی الحیوانات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لحمها إذا تغیر یتغیر لبنها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فتصبح کالأعیان النجسة،ولکنّها تقبل العودة إلی حالتها الأولی،وذلک بأن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تُحبس حتّی تطیب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وعلی هذا یکون حکم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الحیوان المحرّم بالعارض حکم الحیوان المحرّم بالأصل قبل أن یستبرئ ویزول‌حکمه</w:t>
      </w:r>
      <w:r>
        <w:rPr>
          <w:rFonts w:eastAsia="IRNazanin" w:cs="IRNazanin"/>
          <w:color w:val="111111"/>
          <w:sz w:val="28"/>
          <w:szCs w:val="28"/>
          <w:rtl w:val="true"/>
          <w:lang w:bidi="fa-IR"/>
        </w:rPr>
        <w:t xml:space="preserve">. </w:t>
      </w:r>
      <w:r>
        <w:rPr>
          <w:rStyle w:val="FootnoteAnchor"/>
          <w:rtl w:val="true"/>
        </w:rPr>
        <w:footnoteReference w:id="1080"/>
      </w:r>
      <w:bookmarkStart w:id="928" w:name="pg5204_66322"/>
    </w:p>
    <w:p>
      <w:pPr>
        <w:pStyle w:val="BookText"/>
        <w:rPr/>
      </w:pPr>
      <w:bookmarkEnd w:id="928"/>
      <w:r>
        <w:rPr>
          <w:rFonts w:ascii="IRNazanin" w:hAnsi="IRNazanin" w:eastAsia="IRNazanin"/>
          <w:color w:val="111111"/>
          <w:sz w:val="28"/>
          <w:sz w:val="28"/>
          <w:szCs w:val="28"/>
          <w:rtl w:val="true"/>
          <w:lang w:bidi="fa-IR"/>
        </w:rPr>
        <w:t>ویلحق به الجدی المرتضع من لبن خنزیرة،فإنّه یعدّ جلّالاً عند البعض،فإذا لم یشتدّ لحمه من ذلک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استُبرئ سبعة أیام فیلقی علی ضرع شاة،و إن کان مستغنیاً عن الرضاع علف ویحلّ بعد ذلک</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أمّا إذا کان رضیعاً فارتضع من خنزیرة حتّی اشتدّ عظمه ونما لحمه من ذلک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یحکم بحرمة لحمه وحرمة لبنه،وکذا بحرمة نسله ولبنه مهما تعدّدت أجیاله</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وذهب البعض الآخر إلی أنّه لا یحرُم بذلک،وعلّل ذلک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لحمه لا یتغیر ولا ینتن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فأوقف مسألة الحرمة و الحلّیة علی نتانة اللحم من عدمها،فبحسب هذا الرأی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غُذّی به یصیر مستهلکاً لا یبقی له أثر</w:t>
      </w:r>
      <w:r>
        <w:rPr>
          <w:rFonts w:eastAsia="IRNazanin" w:cs="IRNazanin"/>
          <w:color w:val="111111"/>
          <w:sz w:val="28"/>
          <w:szCs w:val="28"/>
          <w:rtl w:val="true"/>
          <w:lang w:bidi="fa-IR"/>
        </w:rPr>
        <w:t xml:space="preserve">. </w:t>
      </w:r>
      <w:r>
        <w:rPr>
          <w:rStyle w:val="FootnoteAnchor"/>
          <w:rtl w:val="true"/>
        </w:rPr>
        <w:footnoteReference w:id="1084"/>
      </w:r>
    </w:p>
    <w:p>
      <w:pPr>
        <w:pStyle w:val="Heading6"/>
        <w:numPr>
          <w:ilvl w:val="5"/>
          <w:numId w:val="1"/>
        </w:numPr>
        <w:rPr/>
      </w:pPr>
      <w:bookmarkStart w:id="929" w:name="__RefHeading___Toc97756_581953129"/>
      <w:bookmarkStart w:id="930" w:name="_Toc371"/>
      <w:bookmarkEnd w:id="929"/>
      <w:r>
        <w:rPr>
          <w:rtl w:val="true"/>
        </w:rPr>
        <w:t>الثانی</w:t>
      </w:r>
      <w:r>
        <w:rPr>
          <w:rtl w:val="true"/>
        </w:rPr>
        <w:t>:</w:t>
      </w:r>
      <w:r>
        <w:rPr>
          <w:rtl w:val="true"/>
        </w:rPr>
        <w:t>الحیوان الموطوء</w:t>
      </w:r>
      <w:bookmarkEnd w:id="930"/>
    </w:p>
    <w:p>
      <w:pPr>
        <w:pStyle w:val="BookText"/>
        <w:rPr/>
      </w:pPr>
      <w:r>
        <w:rPr>
          <w:rFonts w:ascii="IRNazanin" w:hAnsi="IRNazanin" w:eastAsia="IRNazanin"/>
          <w:color w:val="111111"/>
          <w:sz w:val="28"/>
          <w:sz w:val="28"/>
          <w:szCs w:val="28"/>
          <w:rtl w:val="true"/>
          <w:lang w:bidi="fa-IR"/>
        </w:rPr>
        <w:t>والسبب الآخر لعروض الحرمة علی الحیوان المحلّل الأکل،هو تعرّضه للوط‌ء من قِبل الإنسان،وذلک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یطأه الإنسان قُبلاً أو دُبراً و إن لم ینزل،فإنّه یحرُم بذلک لحمه،وکذا لبنه ونسله المتجدّد بعد الوط‌ء علی الأحوط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إلّا أنّ البعض ذهب إلی أنّ الحرمة تقتصر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ذلک الحیوان المدخول فیه ولبنه،دون لحم ولبن نسله علی الأقوی</w:t>
      </w:r>
      <w:r>
        <w:rPr>
          <w:rFonts w:eastAsia="IRNazanin" w:cs="IRNazanin"/>
          <w:color w:val="111111"/>
          <w:sz w:val="28"/>
          <w:szCs w:val="28"/>
          <w:rtl w:val="true"/>
          <w:lang w:bidi="fa-IR"/>
        </w:rPr>
        <w:t xml:space="preserve">. </w:t>
      </w:r>
      <w:r>
        <w:rPr>
          <w:rStyle w:val="FootnoteAnchor"/>
          <w:rtl w:val="true"/>
        </w:rPr>
        <w:footnoteReference w:id="1086"/>
      </w:r>
    </w:p>
    <w:p>
      <w:pPr>
        <w:pStyle w:val="Heading6"/>
        <w:numPr>
          <w:ilvl w:val="5"/>
          <w:numId w:val="1"/>
        </w:numPr>
        <w:rPr/>
      </w:pPr>
      <w:bookmarkStart w:id="931" w:name="__RefHeading___Toc97758_581953129"/>
      <w:bookmarkStart w:id="932" w:name="_Toc372"/>
      <w:bookmarkEnd w:id="931"/>
      <w:r>
        <w:rPr>
          <w:rtl w:val="true"/>
        </w:rPr>
        <w:t>ثانیاً</w:t>
      </w:r>
      <w:r>
        <w:rPr>
          <w:rtl w:val="true"/>
        </w:rPr>
        <w:t>:</w:t>
      </w:r>
      <w:r>
        <w:rPr>
          <w:rtl w:val="true"/>
        </w:rPr>
        <w:t>عدم السماح بتناول المتنجّس</w:t>
      </w:r>
      <w:bookmarkEnd w:id="932"/>
    </w:p>
    <w:p>
      <w:pPr>
        <w:pStyle w:val="BookText"/>
        <w:rPr/>
      </w:pPr>
      <w:r>
        <w:rPr>
          <w:rFonts w:ascii="IRNazanin" w:hAnsi="IRNazanin" w:eastAsia="IRNazanin"/>
          <w:color w:val="111111"/>
          <w:sz w:val="28"/>
          <w:sz w:val="28"/>
          <w:szCs w:val="28"/>
          <w:rtl w:val="true"/>
          <w:lang w:bidi="fa-IR"/>
        </w:rPr>
        <w:t>والمتنجّس هو الشیء الطاهر بالأصل إلّا أنّه تنجّس من خلال ملاقاته للنجاسة،و هو غیر النجس بالعرض؛إذ إنّ النجس بالعرض یکون کالنجس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عیناً للنجاسة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لا یقبل الطهارة إلّا بالشروط المتقدّمة؛أمّا المتنجّس،فهو فی الأغلب قابلٌ للتطهیر</w:t>
      </w:r>
      <w:bookmarkStart w:id="933" w:name="pg5204_66323"/>
    </w:p>
    <w:p>
      <w:pPr>
        <w:pStyle w:val="BookText"/>
        <w:rPr/>
      </w:pPr>
      <w:bookmarkEnd w:id="933"/>
      <w:r>
        <w:rPr>
          <w:rFonts w:ascii="IRNazanin" w:hAnsi="IRNazanin" w:eastAsia="IRNazanin"/>
          <w:color w:val="111111"/>
          <w:sz w:val="28"/>
          <w:sz w:val="28"/>
          <w:szCs w:val="28"/>
          <w:rtl w:val="true"/>
          <w:lang w:bidi="fa-IR"/>
        </w:rPr>
        <w:t>بالأسلوب المألوف المذکور فی محلّه،وعلی هذا،فإنّه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تناول الأعیان المحلّلة الأکل و الشرب بالأصل إذا عرضت علیها النجاسة فنجّستها،أثناء تنجّسها بها وقبل تطهیرها منها</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أمّا فی غیر الأکل و الشرب،فإنّه یجوز الانتفاع به وصحّة وقوع المعاملة علیه،ولذا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نجیز بیع الدهن المتنجس والانتفاع به فی غیر الأکل</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فعدم السماح به یختصّ بالأکل و الشرب دون سائر الانتفاعات التی لا تُشترط فیها الطهارة؛إذ هی بحسب الفرض مشروطةٌ بالطهارة</w:t>
      </w:r>
      <w:r>
        <w:rPr>
          <w:rFonts w:eastAsia="IRNazanin" w:cs="IRNazanin"/>
          <w:color w:val="111111"/>
          <w:sz w:val="28"/>
          <w:szCs w:val="28"/>
          <w:rtl w:val="true"/>
          <w:lang w:bidi="fa-IR"/>
        </w:rPr>
        <w:t>.</w:t>
      </w:r>
    </w:p>
    <w:p>
      <w:pPr>
        <w:pStyle w:val="Heading6"/>
        <w:numPr>
          <w:ilvl w:val="5"/>
          <w:numId w:val="1"/>
        </w:numPr>
        <w:rPr/>
      </w:pPr>
      <w:bookmarkStart w:id="934" w:name="__RefHeading___Toc97760_581953129"/>
      <w:bookmarkStart w:id="935" w:name="_Toc373"/>
      <w:bookmarkEnd w:id="934"/>
      <w:r>
        <w:rPr>
          <w:rtl w:val="true"/>
        </w:rPr>
        <w:t>ثالثاً</w:t>
      </w:r>
      <w:r>
        <w:rPr>
          <w:rtl w:val="true"/>
        </w:rPr>
        <w:t>:</w:t>
      </w:r>
      <w:r>
        <w:rPr>
          <w:rtl w:val="true"/>
        </w:rPr>
        <w:t>عدم السماح بتناول ذی الناب أو المخلب من الحیوان</w:t>
      </w:r>
      <w:bookmarkEnd w:id="935"/>
    </w:p>
    <w:p>
      <w:pPr>
        <w:pStyle w:val="BookText"/>
        <w:rPr/>
      </w:pPr>
      <w:r>
        <w:rPr>
          <w:rFonts w:ascii="IRNazanin" w:hAnsi="IRNazanin" w:eastAsia="IRNazanin"/>
          <w:color w:val="111111"/>
          <w:sz w:val="28"/>
          <w:sz w:val="28"/>
          <w:szCs w:val="28"/>
          <w:rtl w:val="true"/>
          <w:lang w:bidi="fa-IR"/>
        </w:rPr>
        <w:t>فالحیوانات البرّیة التی یحلّ أکلها تقتصر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 و البقر و الغنم ومن الوحشیة کبش الجبل،والبقر،والحمیر،والغزلان و الیحامیر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أکل لحوم؛الخیل و البغال و الحمیر</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أمّا غیرها 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تحرُم منها السباع،وهی ما کان مفترساً وله ظفر أو ناب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قد عدّوا من ذی الناب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الأسد و الذنب و النمر،والفهد و الثعلب و الضبع و الکلب و السنور البری و الأهلی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الفیل وابن عرس من جملة ذی الناب ونحوها</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فکلّ ما کان ذا ناب أو مخلب أهلیاً أم وحشیاً لاحماً أم غیر لاحم لا یسمح بتناوله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اختلفوا فی الأرنب،فذهب البعض إلی حلّیة أکله،فاستثناه ممّا یحرُم من ذوات المخلب،فقال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بأکل الأرنب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وذهب البعض الآخر إلی حرمته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من السباع</w:t>
      </w:r>
      <w:r>
        <w:rPr>
          <w:rFonts w:eastAsia="IRNazanin" w:cs="IRNazanin"/>
          <w:color w:val="111111"/>
          <w:sz w:val="28"/>
          <w:szCs w:val="28"/>
          <w:rtl w:val="true"/>
          <w:lang w:bidi="fa-IR"/>
        </w:rPr>
        <w:t xml:space="preserve">. </w:t>
      </w:r>
      <w:r>
        <w:rPr>
          <w:rStyle w:val="FootnoteAnchor"/>
          <w:rtl w:val="true"/>
        </w:rPr>
        <w:footnoteReference w:id="1093"/>
      </w:r>
      <w:bookmarkStart w:id="936" w:name="pg5204_66324"/>
    </w:p>
    <w:p>
      <w:pPr>
        <w:pStyle w:val="Heading6"/>
        <w:numPr>
          <w:ilvl w:val="5"/>
          <w:numId w:val="1"/>
        </w:numPr>
        <w:rPr/>
      </w:pPr>
      <w:bookmarkStart w:id="937" w:name="__RefHeading___Toc97762_581953129"/>
      <w:bookmarkStart w:id="938" w:name="_Toc374"/>
      <w:bookmarkEnd w:id="936"/>
      <w:bookmarkEnd w:id="937"/>
      <w:r>
        <w:rPr>
          <w:rtl w:val="true"/>
        </w:rPr>
        <w:t>رابعاً</w:t>
      </w:r>
      <w:r>
        <w:rPr>
          <w:rtl w:val="true"/>
        </w:rPr>
        <w:t>:</w:t>
      </w:r>
      <w:r>
        <w:rPr>
          <w:rtl w:val="true"/>
        </w:rPr>
        <w:t>عدم السماح بتناول ذی المخلب من الطیر</w:t>
      </w:r>
      <w:bookmarkEnd w:id="938"/>
    </w:p>
    <w:p>
      <w:pPr>
        <w:pStyle w:val="BookText"/>
        <w:rPr/>
      </w:pPr>
      <w:r>
        <w:rPr>
          <w:rFonts w:ascii="IRNazanin" w:hAnsi="IRNazanin" w:eastAsia="IRNazanin"/>
          <w:color w:val="111111"/>
          <w:sz w:val="28"/>
          <w:sz w:val="28"/>
          <w:szCs w:val="28"/>
          <w:rtl w:val="true"/>
          <w:lang w:bidi="fa-IR"/>
        </w:rPr>
        <w:t>وذو المخلب من الطیور یشمل أنواعاً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الصقر و البازی،والنسر و العقاب و الشاهین ونحوها</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أمّا غیر ذوات المخلب،فإنّه یحلّ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 بجمیع أصنافه کالقمری و الدبسی،والورشان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الدراج و القبج،والقطا و الطیهوج،والبط و الکروان،والحباری و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یحلّ الدجاج بجمیع أقسامه،والعصفور بجمیع أنواعه،ومنه البلبل و الزرزور و القبّرة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الهدهد و الخطّاف،والشقراق و الصرد و الصوام،و إن کان یکره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وتحلّ النعامة و الطاووس علی الأقوی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قد اختلفوا فی الغراب،فذهب البعض إلی 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غراب الزرع لا الأبقع الذی یأکل الجیف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وذهب البعض الآخر إلی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إشکال فی بعض أقسامه و إن کان الأظهر الحرمة فی الجمیع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أمّا غیر ذی المخلب،فقد میز البعض حلاله من حرامه من خلال طبیعة طیرانه أوّلاً،فحظر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صفیف جناحیه وسکونهما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طیرانه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دفیفهما وحرکتهما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إن لم یمکن تمییز ذلک،أُرجع المحلّل منه إلی ما تتوفّر فیه إحدی ثلاث علامات ثانیاً،وهی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القانصة و الحوصلة و الصیصیة،وهی الشوکة التی خلف رجل الطائر خارجة عن الکف و القانصة،وهی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الطیر بمنزلی الکرش فی غیره</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فما یکون له إحدی هذه العلامات الثلاث یحلّ أکله دون غیره إذا لم یتمیز کثرة صفیفه من دفیفه؛أمّا إذا تمیز کثرة صفیفه،فإنّه یحکم بحرمته حتّی،و إن کان له إحدی العلامات المذکورة</w:t>
      </w:r>
      <w:r>
        <w:rPr>
          <w:rFonts w:eastAsia="IRNazanin" w:cs="IRNazanin"/>
          <w:color w:val="111111"/>
          <w:sz w:val="28"/>
          <w:szCs w:val="28"/>
          <w:rtl w:val="true"/>
          <w:lang w:bidi="fa-IR"/>
        </w:rPr>
        <w:t>.</w:t>
      </w:r>
    </w:p>
    <w:p>
      <w:pPr>
        <w:pStyle w:val="Heading6"/>
        <w:numPr>
          <w:ilvl w:val="5"/>
          <w:numId w:val="1"/>
        </w:numPr>
        <w:rPr/>
      </w:pPr>
      <w:bookmarkStart w:id="939" w:name="__RefHeading___Toc97764_581953129"/>
      <w:bookmarkStart w:id="940" w:name="_Toc375"/>
      <w:bookmarkEnd w:id="939"/>
      <w:r>
        <w:rPr>
          <w:rtl w:val="true"/>
        </w:rPr>
        <w:t>خامساً</w:t>
      </w:r>
      <w:r>
        <w:rPr>
          <w:rtl w:val="true"/>
        </w:rPr>
        <w:t>:</w:t>
      </w:r>
      <w:r>
        <w:rPr>
          <w:rtl w:val="true"/>
        </w:rPr>
        <w:t>عدم السماح بتناول الزواحف و الحشرات</w:t>
      </w:r>
      <w:bookmarkEnd w:id="940"/>
    </w:p>
    <w:p>
      <w:pPr>
        <w:pStyle w:val="BookText"/>
        <w:rPr/>
      </w:pPr>
      <w:r>
        <w:rPr>
          <w:rFonts w:ascii="IRNazanin" w:hAnsi="IRNazanin" w:eastAsia="IRNazanin"/>
          <w:color w:val="111111"/>
          <w:sz w:val="28"/>
          <w:sz w:val="28"/>
          <w:szCs w:val="28"/>
          <w:rtl w:val="true"/>
          <w:lang w:bidi="fa-IR"/>
        </w:rPr>
        <w:t>والمقصود بالزواحف ممّا لم یکن له أرجلٌ کالأفعی،أو کانت له أرجلٌ صغیرة،وهی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تسکن باطن الأرض کالضب و الفأر و الیربوع و القنفذ و الحیة ونحوها </w:t>
      </w:r>
      <w:r>
        <w:rPr>
          <w:rStyle w:val="FootnoteAnchor"/>
          <w:rtl w:val="true"/>
        </w:rPr>
        <w:footnoteReference w:id="1100"/>
      </w:r>
      <w:bookmarkStart w:id="941" w:name="pg5204_66325"/>
    </w:p>
    <w:p>
      <w:pPr>
        <w:pStyle w:val="BookText"/>
        <w:rPr/>
      </w:pPr>
      <w:bookmarkEnd w:id="941"/>
      <w:r>
        <w:rPr>
          <w:rFonts w:ascii="IRNazanin" w:hAnsi="IRNazanin" w:eastAsia="IRNazanin"/>
          <w:color w:val="111111"/>
          <w:sz w:val="28"/>
          <w:sz w:val="28"/>
          <w:szCs w:val="28"/>
          <w:rtl w:val="true"/>
          <w:lang w:bidi="fa-IR"/>
        </w:rPr>
        <w:t>أمّا الحشرات فهی تشمل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الحشرات الدابة و الطائرة ما عدا الجراد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فلا یسمح علی هذا الأساس بتناول جمیع الحشرات و الزواحف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أشبههما من الهوام؛لأنّ الطباع السلیمة تستخبثها،فیدخل تحت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یُحَرِّمُ عَلَیْهِمُ الْخَبائِثَ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و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ومع أنّ البعض لم یسمح ببیع جُلّها،وسمح ببیع بعضها لوجود منفعة لها،فقال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ویباع دود القز أی الإبریسم وبیضه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بزر الفیلق الذی فیه الدود و النحل المحرز،و هو دود العسل</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فالظاهر من عدم سماحهم بالبیع هو عدم ملاحظتهم لمنافعها التی تعدّدت وخطُرت فی زماننا هذا نظراً للاکتشافات العلمیة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بخصوص الجراد،فقد استُثنی ممّا لا یحلّ أکله من الحشرات و الزواحف،فتکون النتیجة المستخلصة فیها،هی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لیس له دم سائل فکلّه حرام إلّا الجراد،مثل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الذباب،والزنبور،وسائر هوامّ الأرض،وما یدبّ علیها،وما یکون تحت الأرض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و الیربوع و الحیات و العقارب؛لأنّها من جملة الخبائث،إلّا أنّ الجراد یحل</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ولا تقتصر الحرمة علی خصوصها،بل إنّها تشمل فضلاتها أیضاً،فإنّه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القیح و البلغم و النخامة ونحوها من فضلات الحیوان ممّا تعافه الطباع وتستخبثه النفوس</w:t>
      </w:r>
      <w:r>
        <w:rPr>
          <w:rFonts w:eastAsia="IRNazanin" w:cs="IRNazanin"/>
          <w:color w:val="111111"/>
          <w:sz w:val="28"/>
          <w:szCs w:val="28"/>
          <w:rtl w:val="true"/>
          <w:lang w:bidi="fa-IR"/>
        </w:rPr>
        <w:t xml:space="preserve">. </w:t>
      </w:r>
      <w:r>
        <w:rPr>
          <w:rStyle w:val="FootnoteAnchor"/>
          <w:rtl w:val="true"/>
        </w:rPr>
        <w:footnoteReference w:id="1106"/>
      </w:r>
    </w:p>
    <w:p>
      <w:pPr>
        <w:pStyle w:val="Heading6"/>
        <w:numPr>
          <w:ilvl w:val="5"/>
          <w:numId w:val="1"/>
        </w:numPr>
        <w:rPr/>
      </w:pPr>
      <w:bookmarkStart w:id="942" w:name="__RefHeading___Toc97766_581953129"/>
      <w:bookmarkStart w:id="943" w:name="_Toc376"/>
      <w:bookmarkEnd w:id="942"/>
      <w:r>
        <w:rPr>
          <w:rtl w:val="true"/>
        </w:rPr>
        <w:t>سادساً</w:t>
      </w:r>
      <w:r>
        <w:rPr>
          <w:rtl w:val="true"/>
        </w:rPr>
        <w:t>:</w:t>
      </w:r>
      <w:r>
        <w:rPr>
          <w:rtl w:val="true"/>
        </w:rPr>
        <w:t>عدم السماح بتناول غیر ذی الفلس من حیوان البحر</w:t>
      </w:r>
      <w:bookmarkEnd w:id="943"/>
    </w:p>
    <w:p>
      <w:pPr>
        <w:pStyle w:val="BookText"/>
        <w:rPr/>
      </w:pPr>
      <w:r>
        <w:rPr>
          <w:rFonts w:ascii="IRNazanin" w:hAnsi="IRNazanin" w:eastAsia="IRNazanin"/>
          <w:color w:val="111111"/>
          <w:sz w:val="28"/>
          <w:sz w:val="28"/>
          <w:szCs w:val="28"/>
          <w:rtl w:val="true"/>
          <w:lang w:bidi="fa-IR"/>
        </w:rPr>
        <w:t>والقاعدة فی حلّیة تناول حیوانات البحر،هی وجود الفلس علی جلدها،و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من القشور القاسیة،فالمحرّم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حیوان بحری أو سمکة لا تشتمل علی الفلس أو ذلک الجلد،ابتداءً من حوت البحر وفرسه وانتهاءً بأنواع لا تحصی من الکائنات البحریة،مثل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 ونجم</w:t>
      </w:r>
      <w:bookmarkStart w:id="944" w:name="pg5204_66326"/>
    </w:p>
    <w:p>
      <w:pPr>
        <w:pStyle w:val="BookText"/>
        <w:rPr/>
      </w:pPr>
      <w:bookmarkEnd w:id="944"/>
      <w:r>
        <w:rPr>
          <w:rFonts w:ascii="IRNazanin" w:hAnsi="IRNazanin" w:eastAsia="IRNazanin"/>
          <w:color w:val="111111"/>
          <w:sz w:val="28"/>
          <w:sz w:val="28"/>
          <w:szCs w:val="28"/>
          <w:rtl w:val="true"/>
          <w:lang w:bidi="fa-IR"/>
        </w:rPr>
        <w:t>البحر،والأفاعی و الحلزون وغیرها،کذلک یلحق بها أصناف من الحیوانات البرمائیة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الضفدع و التمساح و السلاحف</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هذا و قد اختُلف فی ما یعرف بالجرّی أو الجریث،والمار ماهی ونحوهما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الاختلاف یرتبط بکون دلیل الحلّیة للطرف الأوّل هو الفلسیة،وعلی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ما لیس له فلس فی الأصل کالجرّی و الزمّیر،والزهو و المارماهی</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وعند الثانی هو صدق السمکیة فذهب إلی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ما فی البحر من الحیوان محرّم الأکل إلّا السمک خاصّة فإنّه یحلّ أکله إلّا ما طفا منه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فعلی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یستوی فی حلّ الأکل جمیع أنواع السمک من الجریث و المارماهی وغیرهما؛لأنّ ما ذکرنا من الدلائل فی إباحة السمک لا یفصل بین سمک وسمک إلّا ما خُصّ بدلیل</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وربّما یکون الاختلاف من بعض جهاته ناشئاً من الاختلاف فی وجود أو عدم وجود الفلس بالأصل،أو الاختلاف فی کونه سمکاً أم لا،کما فی المارماهی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ویخرج عن المحلّل منه الطافی،کما فی النصّ الأسبق،و هو ما مات فی الماء فطفی علیه</w:t>
      </w:r>
      <w:r>
        <w:rPr>
          <w:rFonts w:eastAsia="IRNazanin" w:cs="IRNazanin"/>
          <w:color w:val="111111"/>
          <w:sz w:val="28"/>
          <w:szCs w:val="28"/>
          <w:rtl w:val="true"/>
          <w:lang w:bidi="fa-IR"/>
        </w:rPr>
        <w:t>.</w:t>
      </w:r>
    </w:p>
    <w:p>
      <w:pPr>
        <w:pStyle w:val="Heading6"/>
        <w:numPr>
          <w:ilvl w:val="5"/>
          <w:numId w:val="1"/>
        </w:numPr>
        <w:rPr/>
      </w:pPr>
      <w:bookmarkStart w:id="945" w:name="__RefHeading___Toc97768_581953129"/>
      <w:bookmarkStart w:id="946" w:name="_Toc377"/>
      <w:bookmarkEnd w:id="945"/>
      <w:r>
        <w:rPr>
          <w:rtl w:val="true"/>
        </w:rPr>
        <w:t>سابعاً</w:t>
      </w:r>
      <w:r>
        <w:rPr>
          <w:rtl w:val="true"/>
        </w:rPr>
        <w:t>:</w:t>
      </w:r>
      <w:r>
        <w:rPr>
          <w:rtl w:val="true"/>
        </w:rPr>
        <w:t>عدم السماح بتناول مستثنیات الذبیحة</w:t>
      </w:r>
      <w:bookmarkEnd w:id="946"/>
    </w:p>
    <w:p>
      <w:pPr>
        <w:pStyle w:val="BookText"/>
        <w:rPr/>
      </w:pPr>
      <w:r>
        <w:rPr>
          <w:rFonts w:ascii="IRNazanin" w:hAnsi="IRNazanin" w:eastAsia="IRNazanin"/>
          <w:color w:val="111111"/>
          <w:sz w:val="28"/>
          <w:sz w:val="28"/>
          <w:szCs w:val="28"/>
          <w:rtl w:val="true"/>
          <w:lang w:bidi="fa-IR"/>
        </w:rPr>
        <w:t>لقد ذکروا بعض الأشیاء التی لم یسمح بتناولها من الذبیحة و إن ذُکّیت،وهی ما تُعرف بمستثنیات الذبیحة،والتی 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الدم،والروث،والقضیب و الفرج ظاهره وباطنه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والمشیمة،وهی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کلّ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الجسم مدوّرة تشبه البندق،والبیضتان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وخرزة الدماغ،وهی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بقدر الحمّصة فی وسط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والنخاع،و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أبیض کالمخ فی وسط فقار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والعلباوان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عصبتان ممتدّتان علی الظهر من الرقبة إلی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والمرارة،والطحال،والمثانة،وحدقة العین،وهی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الحبة الناظرة منها لا جسم العین کلّه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ویتضمّن الفرج المثانة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وقصرها البعض علی سبعة أشیاء،وهی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الحیاء و الخصیة و الغدة،والمثانة و المرارة،والدم المسفوح،والذکر</w:t>
      </w:r>
      <w:r>
        <w:rPr>
          <w:rFonts w:eastAsia="IRNazanin" w:cs="IRNazanin"/>
          <w:color w:val="111111"/>
          <w:sz w:val="28"/>
          <w:szCs w:val="28"/>
          <w:rtl w:val="true"/>
          <w:lang w:bidi="fa-IR"/>
        </w:rPr>
        <w:t xml:space="preserve">. </w:t>
      </w:r>
      <w:r>
        <w:rPr>
          <w:rStyle w:val="FootnoteAnchor"/>
          <w:rtl w:val="true"/>
        </w:rPr>
        <w:footnoteReference w:id="1112"/>
      </w:r>
      <w:bookmarkStart w:id="947" w:name="pg5204_66327"/>
    </w:p>
    <w:p>
      <w:pPr>
        <w:pStyle w:val="BookText"/>
        <w:rPr/>
      </w:pPr>
      <w:bookmarkEnd w:id="947"/>
      <w:r>
        <w:rPr>
          <w:rFonts w:ascii="IRNazanin" w:hAnsi="IRNazanin" w:eastAsia="IRNazanin"/>
          <w:color w:val="111111"/>
          <w:sz w:val="28"/>
          <w:sz w:val="28"/>
          <w:szCs w:val="28"/>
          <w:rtl w:val="true"/>
          <w:lang w:bidi="fa-IR"/>
        </w:rPr>
        <w:t>ویختلف وجود هذه الأشیاء فی الحیوانات إلّا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 الحکم بحرمة هذه الأجزاء بین ما هو موجود منها فی حیوان البرّ وبین الموجود منه فی حیوان الجوّ أو البحر من الطیور و الأسماک</w:t>
      </w:r>
      <w:r>
        <w:rPr>
          <w:rFonts w:eastAsia="IRNazanin" w:cs="IRNazanin"/>
          <w:color w:val="111111"/>
          <w:sz w:val="28"/>
          <w:szCs w:val="28"/>
          <w:rtl w:val="true"/>
          <w:lang w:bidi="fa-IR"/>
        </w:rPr>
        <w:t xml:space="preserve">. </w:t>
      </w:r>
      <w:r>
        <w:rPr>
          <w:rStyle w:val="FootnoteAnchor"/>
          <w:rtl w:val="true"/>
        </w:rPr>
        <w:footnoteReference w:id="1113"/>
      </w:r>
    </w:p>
    <w:p>
      <w:pPr>
        <w:pStyle w:val="Heading6"/>
        <w:numPr>
          <w:ilvl w:val="5"/>
          <w:numId w:val="1"/>
        </w:numPr>
        <w:rPr/>
      </w:pPr>
      <w:bookmarkStart w:id="948" w:name="__RefHeading___Toc97770_581953129"/>
      <w:bookmarkStart w:id="949" w:name="_Toc378"/>
      <w:bookmarkEnd w:id="948"/>
      <w:r>
        <w:rPr>
          <w:rtl w:val="true"/>
        </w:rPr>
        <w:t>ثامناً</w:t>
      </w:r>
      <w:r>
        <w:rPr>
          <w:rtl w:val="true"/>
        </w:rPr>
        <w:t>:</w:t>
      </w:r>
      <w:r>
        <w:rPr>
          <w:rtl w:val="true"/>
        </w:rPr>
        <w:t>عدم السماح بتناول الضار</w:t>
      </w:r>
      <w:bookmarkEnd w:id="949"/>
    </w:p>
    <w:p>
      <w:pPr>
        <w:pStyle w:val="BookText"/>
        <w:rPr/>
      </w:pPr>
      <w:r>
        <w:rPr>
          <w:rFonts w:ascii="IRNazanin" w:hAnsi="IRNazanin" w:eastAsia="IRNazanin"/>
          <w:color w:val="111111"/>
          <w:sz w:val="28"/>
          <w:sz w:val="28"/>
          <w:szCs w:val="28"/>
          <w:rtl w:val="true"/>
          <w:lang w:bidi="fa-IR"/>
        </w:rPr>
        <w:t>لقد سبق وأن فصّلنا الکلام عن حظر تصنیع الضارّ،وذلک فی بحث التصنیع من فصل الإنتاج،والذی یرتبط بالحقیقة بحظر تناول واستعمال المضر،فإنّه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تناول ما یوجب الضرر علی النفس أو الجسد بالحدّ الذی یعتدّ به العقلاء ویسعون لدفعه عنهم،ولو لم یکن بلیغاً</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ویقتصر ما لم یکن محرّماً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المقدار الذی یضرّ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ما کان سمّیاً قتّالاً کالمحمودة،وهی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ونحوها من الأدویة السمّیة،فإنّ استعمال القلیل منها جائز،بخلاف القدر المضرّ،فإنّه یحرّم</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ویشمل الحظر محتمَل الضرر ولا یقتصر علی المقطوع به،فلا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حرمة استعمال المضر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بین،معلوم الضرر ومظنونه،بل ومحتمله أیضاً إذا کان احتماله معتدّاً به عند العقلاء،ولو بلحاظ الاهتمام بالمحتمل،بحیث أوجب الخوف عندهم،وکذا لا فرق بین أن یکون الضرر المترتّب علیه عاجلاً أو بعد مدّة</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ویمکن إدخال أکل الطین تحت هذا العنوان؛إذ إنّ ما جاء فی الأثر من أنّ مَن أکل الطین،فقد أعان علی 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علی التحریم؛لأنّ الإعانة علی قتل النفس محرّمة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ولأجل ذلک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أکل الطین،و هو التراب المختلط بالماء حال بلّته،وکذا المدر و هو الطین الیابس،ویلحق بهما التراب و الرمل علی الأحوط وجوبا </w:t>
      </w:r>
      <w:r>
        <w:rPr>
          <w:rStyle w:val="FootnoteAnchor"/>
          <w:rtl w:val="true"/>
        </w:rPr>
        <w:footnoteReference w:id="111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لم یجوّزوا بیعه إذا کانت الغایة منه الأکل</w:t>
      </w:r>
      <w:r>
        <w:rPr>
          <w:rFonts w:eastAsia="IRNazanin" w:cs="IRNazanin"/>
          <w:color w:val="111111"/>
          <w:sz w:val="28"/>
          <w:szCs w:val="28"/>
          <w:rtl w:val="true"/>
          <w:lang w:bidi="fa-IR"/>
        </w:rPr>
        <w:t xml:space="preserve">. </w:t>
      </w:r>
      <w:r>
        <w:rPr>
          <w:rStyle w:val="FootnoteAnchor"/>
          <w:rtl w:val="true"/>
        </w:rPr>
        <w:footnoteReference w:id="1119"/>
      </w:r>
      <w:bookmarkStart w:id="950" w:name="pg5204_66328"/>
    </w:p>
    <w:p>
      <w:pPr>
        <w:pStyle w:val="Heading6"/>
        <w:numPr>
          <w:ilvl w:val="5"/>
          <w:numId w:val="1"/>
        </w:numPr>
        <w:rPr/>
      </w:pPr>
      <w:bookmarkStart w:id="951" w:name="__RefHeading___Toc97772_581953129"/>
      <w:bookmarkStart w:id="952" w:name="_Toc379"/>
      <w:bookmarkEnd w:id="950"/>
      <w:bookmarkEnd w:id="951"/>
      <w:r>
        <w:rPr>
          <w:rtl w:val="true"/>
        </w:rPr>
        <w:t>تاسعاً</w:t>
      </w:r>
      <w:r>
        <w:rPr>
          <w:rtl w:val="true"/>
        </w:rPr>
        <w:t>:</w:t>
      </w:r>
      <w:r>
        <w:rPr>
          <w:rtl w:val="true"/>
        </w:rPr>
        <w:t>عدم السماح بتناول مال الغیر</w:t>
      </w:r>
      <w:bookmarkEnd w:id="952"/>
    </w:p>
    <w:p>
      <w:pPr>
        <w:pStyle w:val="BookText"/>
        <w:rPr/>
      </w:pPr>
      <w:r>
        <w:rPr>
          <w:rFonts w:ascii="IRNazanin" w:hAnsi="IRNazanin" w:eastAsia="IRNazanin"/>
          <w:color w:val="111111"/>
          <w:sz w:val="28"/>
          <w:sz w:val="28"/>
          <w:szCs w:val="28"/>
          <w:rtl w:val="true"/>
          <w:lang w:bidi="fa-IR"/>
        </w:rPr>
        <w:t>إذ إنّ أموال الناس و الملکیات الخاصّة التی أقرّها الإسلام محترمةٌ،حیث</w:t>
      </w:r>
    </w:p>
    <w:p>
      <w:pPr>
        <w:pStyle w:val="BookText"/>
        <w:rPr/>
      </w:pPr>
      <w:r>
        <w:rPr>
          <w:rFonts w:ascii="IRNazanin" w:hAnsi="IRNazanin" w:eastAsia="IRNazanin"/>
          <w:color w:val="111111"/>
          <w:sz w:val="28"/>
          <w:sz w:val="28"/>
          <w:szCs w:val="28"/>
          <w:rtl w:val="true"/>
          <w:lang w:bidi="fa-IR"/>
        </w:rPr>
        <w:t>یحرّم تناول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أکلاً وشرباً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رضاه،حتّی لو کان المالک کافراً محترم المال</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 قد استثنوا من ذلک بعض الحالات،کما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مرّ الإنسان بشیء من النخل أو الشجر أو الزرع جاز له أن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ثمره بلا إفساد للثمر أو الأغصان أو الشجر أو غیرها،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یحمل معه شیئاً من الثمر</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فیقتصر السماح علی حالة المرور دون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التناول من بیوت الأقرباء و المقرّبین المذکورین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ولعلّ هذا الترخیص یأتی من باب تذلیل النفوس وتطییبها تّجاه المقرّبین لما له من أهمّیة فی تقویة الوشائج الاجتماعیة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النهایة لا بدّ من التذکیر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کلّ ما ذُکر حظره آنفاً،یسمح بتناوله بمقدار الضرورة فی حالة الاضطرار أخذاً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لَکُمْ ما حَرَّمَ عَلَیْکُمْ إِلاّ مَا اضْطُرِرْتُمْ إِلَیْهِ ، </w:t>
      </w:r>
      <w:r>
        <w:rPr>
          <w:rStyle w:val="FootnoteAnchor"/>
          <w:rtl w:val="true"/>
        </w:rPr>
        <w:footnoteReference w:id="1124"/>
      </w:r>
      <w:r>
        <w:rPr>
          <w:rFonts w:ascii="IRNazanin" w:hAnsi="IRNazanin" w:eastAsia="IRNazanin"/>
          <w:color w:val="111111"/>
          <w:sz w:val="28"/>
          <w:sz w:val="28"/>
          <w:szCs w:val="28"/>
          <w:rtl w:val="true"/>
          <w:lang w:bidi="fa-IR"/>
        </w:rPr>
        <w:t>و هذا فی الحقیقة یخضع لضابط المنفعة و المشمول بقاعدة نفی الحرج من القواعد العامّة المختصّة بالحرج الشخصی؛إذ إنّ ما تتطلّبه بعض الحالات کالخلاص من الهلاک البدنی أو التعرّض لضرر بلیغ یحوّل تناول المحظور و الضارّ إلی شیء نافع فی تلک الحالة الخاصّة،فیکون استیفاءً للمنفعة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یتمّ الکلام فی المبحث الثانی من الفصل الثالث المرتبط بحدود حرّیة الاستهلاک علی المستوی الشخصی</w:t>
      </w:r>
      <w:r>
        <w:rPr>
          <w:rFonts w:eastAsia="IRNazanin" w:cs="IRNazanin"/>
          <w:color w:val="111111"/>
          <w:sz w:val="28"/>
          <w:szCs w:val="28"/>
          <w:rtl w:val="true"/>
          <w:lang w:bidi="fa-IR"/>
        </w:rPr>
        <w:t>.</w:t>
      </w:r>
      <w:bookmarkStart w:id="953" w:name="pg5204_66329"/>
    </w:p>
    <w:p>
      <w:pPr>
        <w:pStyle w:val="Heading4"/>
        <w:numPr>
          <w:ilvl w:val="3"/>
          <w:numId w:val="1"/>
        </w:numPr>
        <w:rPr/>
      </w:pPr>
      <w:bookmarkStart w:id="954" w:name="__RefHeading___Toc97774_581953129"/>
      <w:bookmarkStart w:id="955" w:name="_Toc380"/>
      <w:bookmarkEnd w:id="953"/>
      <w:bookmarkEnd w:id="954"/>
      <w:r>
        <w:rPr>
          <w:rtl w:val="true"/>
        </w:rPr>
        <w:t>المطلب الثانی</w:t>
      </w:r>
      <w:r>
        <w:rPr>
          <w:rtl w:val="true"/>
        </w:rPr>
        <w:t>:</w:t>
      </w:r>
      <w:r>
        <w:rPr>
          <w:rtl w:val="true"/>
        </w:rPr>
        <w:t>حدود الحرّیة فی استهلاک غیر الغذاء</w:t>
      </w:r>
      <w:bookmarkEnd w:id="955"/>
    </w:p>
    <w:p>
      <w:pPr>
        <w:pStyle w:val="Heading5"/>
        <w:numPr>
          <w:ilvl w:val="4"/>
          <w:numId w:val="1"/>
        </w:numPr>
        <w:rPr/>
      </w:pPr>
      <w:bookmarkStart w:id="956" w:name="__RefHeading___Toc97776_581953129"/>
      <w:bookmarkStart w:id="957" w:name="_Toc381"/>
      <w:bookmarkEnd w:id="956"/>
      <w:r>
        <w:rPr>
          <w:rtl w:val="true"/>
        </w:rPr>
        <w:t>اشارة</w:t>
      </w:r>
      <w:bookmarkEnd w:id="957"/>
    </w:p>
    <w:p>
      <w:pPr>
        <w:pStyle w:val="BookText"/>
        <w:rPr/>
      </w:pPr>
      <w:r>
        <w:rPr>
          <w:rFonts w:ascii="IRNazanin" w:hAnsi="IRNazanin" w:eastAsia="IRNazanin"/>
          <w:color w:val="111111"/>
          <w:sz w:val="28"/>
          <w:sz w:val="28"/>
          <w:szCs w:val="28"/>
          <w:rtl w:val="true"/>
          <w:lang w:bidi="fa-IR"/>
        </w:rPr>
        <w:t>أمّا فی غیر الأغذیة،فإنّها تشمل الموارد التی استُثنیت من السماح بتصنیعها وتداولها،و قد ذکروا عدّة موارد فی هذا المجال لم یسمح باستهلاکها،وهی کما یأتی</w:t>
      </w:r>
      <w:r>
        <w:rPr>
          <w:rFonts w:eastAsia="IRNazanin" w:cs="IRNazanin"/>
          <w:color w:val="111111"/>
          <w:sz w:val="28"/>
          <w:szCs w:val="28"/>
          <w:rtl w:val="true"/>
          <w:lang w:bidi="fa-IR"/>
        </w:rPr>
        <w:t>:</w:t>
      </w:r>
    </w:p>
    <w:p>
      <w:pPr>
        <w:pStyle w:val="Heading5"/>
        <w:numPr>
          <w:ilvl w:val="4"/>
          <w:numId w:val="1"/>
        </w:numPr>
        <w:rPr/>
      </w:pPr>
      <w:bookmarkStart w:id="958" w:name="__RefHeading___Toc97778_581953129"/>
      <w:bookmarkStart w:id="959" w:name="_Toc382"/>
      <w:bookmarkEnd w:id="958"/>
      <w:r>
        <w:rPr>
          <w:rtl w:val="true"/>
        </w:rPr>
        <w:t>أوّلاً</w:t>
      </w:r>
      <w:r>
        <w:rPr>
          <w:rtl w:val="true"/>
        </w:rPr>
        <w:t>:</w:t>
      </w:r>
      <w:r>
        <w:rPr>
          <w:rtl w:val="true"/>
        </w:rPr>
        <w:t>عدم السماح باستعمال آنیة الذهب و الفضّة</w:t>
      </w:r>
      <w:bookmarkEnd w:id="959"/>
    </w:p>
    <w:p>
      <w:pPr>
        <w:pStyle w:val="BookText"/>
        <w:rPr/>
      </w:pPr>
      <w:r>
        <w:rPr>
          <w:rFonts w:ascii="IRNazanin" w:hAnsi="IRNazanin" w:eastAsia="IRNazanin"/>
          <w:color w:val="111111"/>
          <w:sz w:val="28"/>
          <w:sz w:val="28"/>
          <w:szCs w:val="28"/>
          <w:rtl w:val="true"/>
          <w:lang w:bidi="fa-IR"/>
        </w:rPr>
        <w:t>من الأمور التی ذهب البعض إلی حظر اقتنائها آنیة الذهب و الفضّة،إلّا أنّ الکثیر هم علی خلاف ذلک،فذهب إلی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الجواز،و إنّما یحرُم استعمالها فی الأکل و الشرب بل وفی غیرهما علی الأحوط</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فالمحظور هو استعمالها فی الاستعمالات الیومیة،وخصّ البعض الاستعمال المحظور بالاستعمال المباشر لها،فإذا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الطعام من إناء الذهب إلی موضع آخر أو صبّ الماء أو الدهن فی کفّه لا علی رأسه ابتداءً ثمّ استعمله،لا بأس به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لأنّه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یسمّی مستعملاً آنیة الفضّة أو الذهب لا شرعاً ولا عرفا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یحرُم بیع أوانی الذهب و الفضّة،وخاصّة إذا کانت للتزین بها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فالمحظور هو خصوص اقتنائها لأجل الاستعمال؛أمّا اقتنائها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تجمّلاً بأوان متّخذة من ذهب أو فضّة وسریر کذلک وفرش علیه من دیباج،ونحوه فلا بأس به</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ویخرج من ذلک فیما لو دخلت غایةٌ محظورةٌ فیه،کما لو قصد به التفاخر، </w:t>
      </w:r>
      <w:r>
        <w:rPr>
          <w:rStyle w:val="FootnoteAnchor"/>
          <w:rtl w:val="true"/>
        </w:rPr>
        <w:footnoteReference w:id="1130"/>
      </w:r>
      <w:r>
        <w:rPr>
          <w:rFonts w:ascii="IRNazanin" w:hAnsi="IRNazanin" w:eastAsia="IRNazanin"/>
          <w:color w:val="111111"/>
          <w:sz w:val="28"/>
          <w:sz w:val="28"/>
          <w:szCs w:val="28"/>
          <w:rtl w:val="true"/>
          <w:lang w:bidi="fa-IR"/>
        </w:rPr>
        <w:t>فإنّه یصبح محظوراً بالعنوان الثانوی،فحظر الاستعمال یختصّ بما إذا کان الغالب فی صناعتها هو الذهب و الفضّة،أمّا فی مثل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الإناء المضبّب بالذهب فلا بأس بالأکل و الشرب فیه</w:t>
      </w:r>
      <w:r>
        <w:rPr>
          <w:rFonts w:eastAsia="IRNazanin" w:cs="IRNazanin"/>
          <w:color w:val="111111"/>
          <w:sz w:val="28"/>
          <w:szCs w:val="28"/>
          <w:rtl w:val="true"/>
          <w:lang w:bidi="fa-IR"/>
        </w:rPr>
        <w:t xml:space="preserve">. </w:t>
      </w:r>
      <w:r>
        <w:rPr>
          <w:rStyle w:val="FootnoteAnchor"/>
          <w:rtl w:val="true"/>
        </w:rPr>
        <w:footnoteReference w:id="1131"/>
      </w:r>
      <w:bookmarkStart w:id="960" w:name="pg5204_66330"/>
    </w:p>
    <w:p>
      <w:pPr>
        <w:pStyle w:val="Heading5"/>
        <w:numPr>
          <w:ilvl w:val="4"/>
          <w:numId w:val="1"/>
        </w:numPr>
        <w:rPr/>
      </w:pPr>
      <w:bookmarkStart w:id="961" w:name="__RefHeading___Toc97780_581953129"/>
      <w:bookmarkStart w:id="962" w:name="_Toc383"/>
      <w:bookmarkEnd w:id="960"/>
      <w:bookmarkEnd w:id="961"/>
      <w:r>
        <w:rPr>
          <w:rtl w:val="true"/>
        </w:rPr>
        <w:t>ثانیاً</w:t>
      </w:r>
      <w:r>
        <w:rPr>
          <w:rtl w:val="true"/>
        </w:rPr>
        <w:t>:</w:t>
      </w:r>
      <w:r>
        <w:rPr>
          <w:rtl w:val="true"/>
        </w:rPr>
        <w:t>عدم السماح للرجل بلبس الذهب</w:t>
      </w:r>
      <w:bookmarkEnd w:id="962"/>
    </w:p>
    <w:p>
      <w:pPr>
        <w:pStyle w:val="BookText"/>
        <w:rPr/>
      </w:pPr>
      <w:r>
        <w:rPr>
          <w:rFonts w:ascii="IRNazanin" w:hAnsi="IRNazanin" w:eastAsia="IRNazanin"/>
          <w:color w:val="111111"/>
          <w:sz w:val="28"/>
          <w:sz w:val="28"/>
          <w:szCs w:val="28"/>
          <w:rtl w:val="true"/>
          <w:lang w:bidi="fa-IR"/>
        </w:rPr>
        <w:t>من الأمور التی حُظرت علی خصوص الرجل لبس الذهب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علی الرجل لبس الذهب حتّی التختّم به ونحوه؛و أمّا التزین به من غیر لبس کتلبیس مقدّم الأسنان به،فالظاهر الجواز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ولا یقتصر حظر اللبس علی اللبس الظاهری،بل یشمل ما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مخفیاً تحت الثیاب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هذا ولکنّ البعض منع حتّی التزین به فی بعض الحالات،فلم یسمح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یتحلّی الرجل بالذهب و الفضة،إلّا بالخاتم و المنطقة وحُلیة السیف من الفضة،والأفضل لغیر السلطان و القاضی ترک التختّم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ومع أنّ التختّم یعدّ لبساً وزینةً،إلّا أنّ سماحهم به لم یأتِ لأجل أنّه تزین و إنّما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لقصد التختّم لا لقصد الزینة فلم یکن حلیاً کاملاً فی حقّهم و إن کانت الزینة لازم وجوده لکنّها لم تُقصد به</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ومع أنّهم حصروا حظره بالموارد الآنفة إلّا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الأحوط ترک التّزین به مطلقاً حتّی فیما لا یصدق علیه اللبس،کجعل أزرار اللباس من الذهب أو جعل مقدّم الأسنان منه </w:t>
      </w:r>
      <w:r>
        <w:rPr>
          <w:rStyle w:val="FootnoteAnchor"/>
          <w:rtl w:val="true"/>
        </w:rPr>
        <w:footnoteReference w:id="1136"/>
      </w:r>
    </w:p>
    <w:p>
      <w:pPr>
        <w:pStyle w:val="Heading5"/>
        <w:numPr>
          <w:ilvl w:val="4"/>
          <w:numId w:val="1"/>
        </w:numPr>
        <w:rPr/>
      </w:pPr>
      <w:bookmarkStart w:id="963" w:name="__RefHeading___Toc97782_581953129"/>
      <w:bookmarkStart w:id="964" w:name="_Toc384"/>
      <w:bookmarkEnd w:id="963"/>
      <w:r>
        <w:rPr>
          <w:rtl w:val="true"/>
        </w:rPr>
        <w:t>ثالثاً</w:t>
      </w:r>
      <w:r>
        <w:rPr>
          <w:rtl w:val="true"/>
        </w:rPr>
        <w:t>:</w:t>
      </w:r>
      <w:r>
        <w:rPr>
          <w:rtl w:val="true"/>
        </w:rPr>
        <w:t>عدم السماح للرجل بلبس الحریر</w:t>
      </w:r>
      <w:bookmarkEnd w:id="964"/>
    </w:p>
    <w:p>
      <w:pPr>
        <w:pStyle w:val="BookText"/>
        <w:rPr/>
      </w:pPr>
      <w:r>
        <w:rPr>
          <w:rFonts w:ascii="IRNazanin" w:hAnsi="IRNazanin" w:eastAsia="IRNazanin"/>
          <w:color w:val="111111"/>
          <w:sz w:val="28"/>
          <w:sz w:val="28"/>
          <w:szCs w:val="28"/>
          <w:rtl w:val="true"/>
          <w:lang w:bidi="fa-IR"/>
        </w:rPr>
        <w:t>الأمر الآخر الذی حُظر علی الرجال لبسه الحریر،فقد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للرجل لا للمرأة الحریر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والحریر المحظور لبسه هنا،هو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الحریر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یجوز لبسه فی غیر الصلاة أیضا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فالمحظور هو خصوص اللبس ولو لم یماسّ البدن،فإنّه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لبس الحریر،ولو بحائل بینه وبین بدنه</w:t>
      </w:r>
      <w:r>
        <w:rPr>
          <w:rFonts w:eastAsia="IRNazanin" w:cs="IRNazanin"/>
          <w:color w:val="111111"/>
          <w:sz w:val="28"/>
          <w:szCs w:val="28"/>
          <w:rtl w:val="true"/>
          <w:lang w:bidi="fa-IR"/>
        </w:rPr>
        <w:t xml:space="preserve">. </w:t>
      </w:r>
      <w:r>
        <w:rPr>
          <w:rStyle w:val="FootnoteAnchor"/>
          <w:rtl w:val="true"/>
        </w:rPr>
        <w:footnoteReference w:id="1139"/>
      </w:r>
      <w:bookmarkStart w:id="965" w:name="pg5204_66331"/>
    </w:p>
    <w:p>
      <w:pPr>
        <w:pStyle w:val="BookText"/>
        <w:rPr/>
      </w:pPr>
      <w:bookmarkEnd w:id="965"/>
      <w:r>
        <w:rPr>
          <w:rFonts w:ascii="IRNazanin" w:hAnsi="IRNazanin" w:eastAsia="IRNazanin"/>
          <w:color w:val="111111"/>
          <w:sz w:val="28"/>
          <w:sz w:val="28"/>
          <w:szCs w:val="28"/>
          <w:rtl w:val="true"/>
          <w:lang w:bidi="fa-IR"/>
        </w:rPr>
        <w:t>أمّا فی غیر الحریر الخالص أو فی غیر اللبس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 فی الحرب و الضرورة و الحرج کالبرد و المرض حتّی فی الصلاة،کما لا بأس بحمله فی حال الصلاة وغیرها وکذا افتراشه و التغطّی و التدثّر به علی نحو لا یعدّ لبساً له عرفاً،ولا بأس بکفّ الثوب به،والأحوط استحباباً أن لا یزید علی أربع أصابع،کما لا بأس بالأزرار منه و السفائف و القیاطین و إن تعدّدت وکثرت</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فیکون من غیر المسموح 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یصدُق علیه اللبس عرفاً فی غیر حالات الضرورة،وکذا فیما لو کان حریراً خالصاً؛أمّا ما عدا ذلک،فإنّه غیر مشمول بالحظر</w:t>
      </w:r>
      <w:r>
        <w:rPr>
          <w:rFonts w:eastAsia="IRNazanin" w:cs="IRNazanin"/>
          <w:color w:val="111111"/>
          <w:sz w:val="28"/>
          <w:szCs w:val="28"/>
          <w:rtl w:val="true"/>
          <w:lang w:bidi="fa-IR"/>
        </w:rPr>
        <w:t>.</w:t>
      </w:r>
    </w:p>
    <w:p>
      <w:pPr>
        <w:pStyle w:val="Heading5"/>
        <w:numPr>
          <w:ilvl w:val="4"/>
          <w:numId w:val="1"/>
        </w:numPr>
        <w:rPr/>
      </w:pPr>
      <w:bookmarkStart w:id="966" w:name="__RefHeading___Toc97784_581953129"/>
      <w:bookmarkStart w:id="967" w:name="_Toc385"/>
      <w:bookmarkEnd w:id="966"/>
      <w:r>
        <w:rPr>
          <w:rtl w:val="true"/>
        </w:rPr>
        <w:t>رابعاً</w:t>
      </w:r>
      <w:r>
        <w:rPr>
          <w:rtl w:val="true"/>
        </w:rPr>
        <w:t>:</w:t>
      </w:r>
      <w:r>
        <w:rPr>
          <w:rtl w:val="true"/>
        </w:rPr>
        <w:t>عدم السماح بلبس المستهجَن</w:t>
      </w:r>
      <w:bookmarkEnd w:id="967"/>
    </w:p>
    <w:p>
      <w:pPr>
        <w:pStyle w:val="BookText"/>
        <w:rPr/>
      </w:pPr>
      <w:r>
        <w:rPr>
          <w:rFonts w:ascii="IRNazanin" w:hAnsi="IRNazanin" w:eastAsia="IRNazanin"/>
          <w:color w:val="111111"/>
          <w:sz w:val="28"/>
          <w:sz w:val="28"/>
          <w:szCs w:val="28"/>
          <w:rtl w:val="true"/>
          <w:lang w:bidi="fa-IR"/>
        </w:rPr>
        <w:t>لقد حرص الشارع الإسلامی علی الحفاظ علی کرامة الإنسان بکافّة أبعادها،و قد لاحظنا فیما سبق موارد متعدّدةً لذلک،و هو لم یکتفِ بالأمور الخطیرة التی تحدّد مصیر کرامته،بل حاول أن یشمل ذلک جزئیات حیاته،ومن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لبس لباس الشهرة بأن یلبس خلاف زیه من حیث جنس اللباس أو من حیث لونه أو من حیث وضعه وتفصیله وخیاطته</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فلم یسمح للإنسان بأن یلبس ما من شأنه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مثیراً للاستهجان والاستقباح عند عامّة الناس فی البلد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ومنه تشبّه الرجل بالمرأة وبالعکس؛إذ أراد الإسلام لکلّ منهما أن تکون له طبیعته المتمیزة عن الآخر،فقد جاء فی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الرجل یلبس لبسة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تلبس لبسة الرجل</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ولم یقتصر ذلک علی اللباس،بل یشمل کلّ ما یصدُق علیه ذلک،کاستعمال مواد التجمیل ونحوها،فالتشبّه 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باللباس أم الزینة</w:t>
      </w:r>
      <w:r>
        <w:rPr>
          <w:rFonts w:eastAsia="IRNazanin" w:cs="IRNazanin"/>
          <w:color w:val="111111"/>
          <w:sz w:val="28"/>
          <w:szCs w:val="28"/>
          <w:rtl w:val="true"/>
          <w:lang w:bidi="fa-IR"/>
        </w:rPr>
        <w:t xml:space="preserve">. </w:t>
      </w:r>
      <w:r>
        <w:rPr>
          <w:rStyle w:val="FootnoteAnchor"/>
          <w:rtl w:val="true"/>
        </w:rPr>
        <w:footnoteReference w:id="114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ینتهی الکلام فی المبحث الثانی من حدود حرّیة الاستهلاک،والذی ارتبط بحدودها علی المستوی الشخصی</w:t>
      </w:r>
      <w:r>
        <w:rPr>
          <w:rFonts w:eastAsia="IRNazanin" w:cs="IRNazanin"/>
          <w:color w:val="111111"/>
          <w:sz w:val="28"/>
          <w:szCs w:val="28"/>
          <w:rtl w:val="true"/>
          <w:lang w:bidi="fa-IR"/>
        </w:rPr>
        <w:t>.</w:t>
      </w:r>
      <w:bookmarkStart w:id="968" w:name="pg5204_66332"/>
    </w:p>
    <w:p>
      <w:pPr>
        <w:pStyle w:val="Heading3"/>
        <w:numPr>
          <w:ilvl w:val="2"/>
          <w:numId w:val="1"/>
        </w:numPr>
        <w:rPr/>
      </w:pPr>
      <w:bookmarkStart w:id="969" w:name="__RefHeading___Toc97786_581953129"/>
      <w:bookmarkStart w:id="970" w:name="_Toc386"/>
      <w:bookmarkEnd w:id="968"/>
      <w:bookmarkEnd w:id="969"/>
      <w:r>
        <w:rPr>
          <w:rtl w:val="true"/>
        </w:rPr>
        <w:t>المبحث الثالث</w:t>
      </w:r>
      <w:r>
        <w:rPr>
          <w:rtl w:val="true"/>
        </w:rPr>
        <w:t>:</w:t>
      </w:r>
      <w:r>
        <w:rPr>
          <w:rtl w:val="true"/>
        </w:rPr>
        <w:t>حدود حرّیة الاستهلاک علی المستوی العمومی</w:t>
      </w:r>
      <w:bookmarkEnd w:id="970"/>
    </w:p>
    <w:p>
      <w:pPr>
        <w:pStyle w:val="Heading4"/>
        <w:numPr>
          <w:ilvl w:val="3"/>
          <w:numId w:val="1"/>
        </w:numPr>
        <w:rPr/>
      </w:pPr>
      <w:bookmarkStart w:id="971" w:name="__RefHeading___Toc97788_581953129"/>
      <w:bookmarkStart w:id="972" w:name="_Toc387"/>
      <w:bookmarkEnd w:id="971"/>
      <w:r>
        <w:rPr>
          <w:rtl w:val="true"/>
        </w:rPr>
        <w:t>اشارة</w:t>
      </w:r>
      <w:bookmarkEnd w:id="972"/>
    </w:p>
    <w:p>
      <w:pPr>
        <w:pStyle w:val="BookText"/>
        <w:rPr/>
      </w:pPr>
      <w:r>
        <w:rPr>
          <w:rFonts w:ascii="IRNazanin" w:hAnsi="IRNazanin" w:eastAsia="IRNazanin"/>
          <w:color w:val="111111"/>
          <w:sz w:val="28"/>
          <w:sz w:val="28"/>
          <w:szCs w:val="28"/>
          <w:rtl w:val="true"/>
          <w:lang w:bidi="fa-IR"/>
        </w:rPr>
        <w:t>إنّ الاستهلاک علی المستوی العمومی یرتبط بما هو عامٌّ ومشترکٌ بین أفراد المجتمع،والتی یعبَّر عنه بالمشترکات بحسب 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کنّا قد ربطنا قسماً من هذه المشترکات ببحث الإنتاج علی اعتبار أنّها تخضع للإنتاج کالمیاه و النباتات ونحوها؛أمّا باقی المشترکات التی لا یمکنها أن تخضع للعملیات الإنتاجیة،فهی ترتبط بما یطلق علیه بالمرافق العامّة،وهی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المنشآت التی تٌستعمل وتٌستخدم من قِبل أفراد المجتمع قاطبةً فی شؤونهم العامّة کالطرق و الجسور،والمساجد و المدارس،والمبانی الحکومیة،وکثیر من الأماکن المشابهة التی أُنشئت للاستخدام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الحدود التی تخضع لها حرّیة الانتفاع بتلک المرافق تکاد تتشابه بین جمیع أنواع تلک المرافق،إلّا أنّ الطرق تتمیز عن غیرها من جهة أنّها أکثر المرافق حیویةً وأهمّیةً،حیث تعتبر الشریان الرئیسی للمدن فی جمیع شؤونها؛ولأجل هذا سنعقد بحثنا فی مطلبین،یختصّ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بالطرق و الثانی بغیره من المرافق</w:t>
      </w:r>
      <w:r>
        <w:rPr>
          <w:rFonts w:eastAsia="IRNazanin" w:cs="IRNazanin"/>
          <w:color w:val="111111"/>
          <w:sz w:val="28"/>
          <w:szCs w:val="28"/>
          <w:rtl w:val="true"/>
          <w:lang w:bidi="fa-IR"/>
        </w:rPr>
        <w:t>.</w:t>
      </w:r>
    </w:p>
    <w:p>
      <w:pPr>
        <w:pStyle w:val="Heading4"/>
        <w:numPr>
          <w:ilvl w:val="3"/>
          <w:numId w:val="1"/>
        </w:numPr>
        <w:rPr/>
      </w:pPr>
      <w:bookmarkStart w:id="973" w:name="__RefHeading___Toc97790_581953129"/>
      <w:bookmarkStart w:id="974" w:name="_Toc388"/>
      <w:bookmarkEnd w:id="973"/>
      <w:r>
        <w:rPr>
          <w:rtl w:val="true"/>
        </w:rPr>
        <w:t>المطلب الأوّل</w:t>
      </w:r>
      <w:r>
        <w:rPr>
          <w:rtl w:val="true"/>
        </w:rPr>
        <w:t>:</w:t>
      </w:r>
      <w:r>
        <w:rPr>
          <w:rtl w:val="true"/>
        </w:rPr>
        <w:t>حدود الحرّیة فی الانتفاع بالطرق</w:t>
      </w:r>
      <w:bookmarkEnd w:id="974"/>
    </w:p>
    <w:p>
      <w:pPr>
        <w:pStyle w:val="Heading5"/>
        <w:numPr>
          <w:ilvl w:val="4"/>
          <w:numId w:val="1"/>
        </w:numPr>
        <w:rPr/>
      </w:pPr>
      <w:bookmarkStart w:id="975" w:name="__RefHeading___Toc97792_581953129"/>
      <w:bookmarkStart w:id="976" w:name="_Toc389"/>
      <w:bookmarkEnd w:id="975"/>
      <w:r>
        <w:rPr>
          <w:rtl w:val="true"/>
        </w:rPr>
        <w:t>اشارة</w:t>
      </w:r>
      <w:bookmarkEnd w:id="976"/>
    </w:p>
    <w:p>
      <w:pPr>
        <w:pStyle w:val="BookText"/>
        <w:rPr/>
      </w:pPr>
      <w:r>
        <w:rPr>
          <w:rFonts w:ascii="IRNazanin" w:hAnsi="IRNazanin" w:eastAsia="IRNazanin"/>
          <w:color w:val="111111"/>
          <w:sz w:val="28"/>
          <w:sz w:val="28"/>
          <w:szCs w:val="28"/>
          <w:rtl w:val="true"/>
          <w:lang w:bidi="fa-IR"/>
        </w:rPr>
        <w:t>ویمکننا إدراج الحدود التی تخضع لها حرّیة الانتفاع بالطرق بالنحو التالی</w:t>
      </w:r>
      <w:r>
        <w:rPr>
          <w:rFonts w:eastAsia="IRNazanin" w:cs="IRNazanin"/>
          <w:color w:val="111111"/>
          <w:sz w:val="28"/>
          <w:szCs w:val="28"/>
          <w:rtl w:val="true"/>
          <w:lang w:bidi="fa-IR"/>
        </w:rPr>
        <w:t>:</w:t>
      </w:r>
    </w:p>
    <w:p>
      <w:pPr>
        <w:pStyle w:val="Heading5"/>
        <w:numPr>
          <w:ilvl w:val="4"/>
          <w:numId w:val="1"/>
        </w:numPr>
        <w:rPr/>
      </w:pPr>
      <w:bookmarkStart w:id="977" w:name="__RefHeading___Toc97794_581953129"/>
      <w:bookmarkStart w:id="978" w:name="_Toc390"/>
      <w:bookmarkEnd w:id="977"/>
      <w:r>
        <w:rPr>
          <w:rtl w:val="true"/>
        </w:rPr>
        <w:t>أوّلاً</w:t>
      </w:r>
      <w:r>
        <w:rPr>
          <w:rtl w:val="true"/>
        </w:rPr>
        <w:t>:</w:t>
      </w:r>
      <w:r>
        <w:rPr>
          <w:rtl w:val="true"/>
        </w:rPr>
        <w:t>عدم السماح بإحداث شیء فی الطریق یرجع نفعه إلی الفرد خاصّة</w:t>
      </w:r>
      <w:bookmarkEnd w:id="9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أنّ الطریق لا یختصّ بشخص دون آخر،بل هو ممّا یشترک الجمیع فی الاستفادة</w:t>
      </w:r>
      <w:bookmarkStart w:id="979" w:name="pg5204_66333"/>
    </w:p>
    <w:p>
      <w:pPr>
        <w:pStyle w:val="BookText"/>
        <w:rPr/>
      </w:pPr>
      <w:bookmarkEnd w:id="979"/>
      <w:r>
        <w:rPr>
          <w:rFonts w:ascii="IRNazanin" w:hAnsi="IRNazanin" w:eastAsia="IRNazanin"/>
          <w:color w:val="111111"/>
          <w:sz w:val="28"/>
          <w:sz w:val="28"/>
          <w:szCs w:val="28"/>
          <w:rtl w:val="true"/>
          <w:lang w:bidi="fa-IR"/>
        </w:rPr>
        <w:t>من الاستطراق فیه،فإنّه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لفرد منهم أو جماعة أن یتصرّفوا فی ذلک الشارع بأمور یرجع نفعها لهم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لم تکن مضرّة بالمارّة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الرجل فی الطریق حجراً أو بنی فیه بناء أو أخرج من حائطه جذعاً أو صخرة شاخصة فی الطریق أو أشرع کنیفاً أو حیاضاً أو میزاباً أو وضع فی الطریق جذعاً،فهو ضامن لما أصاب من ذلک</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ولکنّ هذا الحظر یرتبط بخصوص ما یعیق الحرکة فی الطریق ویضرّ بانتفاع العامّة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ما لا یرتبط بذات الاستطراق فی الطریق،فإنّه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بالتصرّف فی فضائه بإخراج روشن أو جناح أو فتح باب أو نصب میزاب أو غیر ذلک</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إن أوجب الضمان فی بعض الحالات الخاصّة،وکذا الأمر فیما یرتبط بمنافع الطریق ذاته،فإنّه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بما یعدّ من مکمّلاته ومحسّناته ومنها أن یشقّ فیه المجاری لتجتمع فیها میاه الأمطار ونحوها</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إذ إنّ أمثال هذه الأمور لا تمنع من الاستطراق فیه وانتفاع العامّة بمرافقه</w:t>
      </w:r>
      <w:r>
        <w:rPr>
          <w:rFonts w:eastAsia="IRNazanin" w:cs="IRNazanin"/>
          <w:color w:val="111111"/>
          <w:sz w:val="28"/>
          <w:szCs w:val="28"/>
          <w:rtl w:val="true"/>
          <w:lang w:bidi="fa-IR"/>
        </w:rPr>
        <w:t>.</w:t>
      </w:r>
    </w:p>
    <w:p>
      <w:pPr>
        <w:pStyle w:val="Heading5"/>
        <w:numPr>
          <w:ilvl w:val="4"/>
          <w:numId w:val="1"/>
        </w:numPr>
        <w:rPr/>
      </w:pPr>
      <w:bookmarkStart w:id="980" w:name="__RefHeading___Toc97796_581953129"/>
      <w:bookmarkStart w:id="981" w:name="_Toc391"/>
      <w:bookmarkEnd w:id="980"/>
      <w:r>
        <w:rPr>
          <w:rtl w:val="true"/>
        </w:rPr>
        <w:t>ثانیاً</w:t>
      </w:r>
      <w:r>
        <w:rPr>
          <w:rtl w:val="true"/>
        </w:rPr>
        <w:t>:</w:t>
      </w:r>
      <w:r>
        <w:rPr>
          <w:rtl w:val="true"/>
        </w:rPr>
        <w:t>عدم السماح بمزاحمة الغیر فی حال انتفاعه العامّ بالطریق</w:t>
      </w:r>
      <w:bookmarkEnd w:id="981"/>
    </w:p>
    <w:p>
      <w:pPr>
        <w:pStyle w:val="BookText"/>
        <w:rPr/>
      </w:pPr>
      <w:r>
        <w:rPr>
          <w:rFonts w:ascii="IRNazanin" w:hAnsi="IRNazanin" w:eastAsia="IRNazanin"/>
          <w:color w:val="111111"/>
          <w:sz w:val="28"/>
          <w:sz w:val="28"/>
          <w:szCs w:val="28"/>
          <w:rtl w:val="true"/>
          <w:lang w:bidi="fa-IR"/>
        </w:rPr>
        <w:t>فحکم الانتفاع بالطریق،هو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الانتفاع بالمشترکات العامّة کالمیاه و النباتات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یستوی فی ذلک المسلمون وغیرهم،ولیس لأحد أن یمنع أحداً من ذلک و هو بمنزلة الانتفاع بالطرق العامّة من حیث التطرّق فیها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فما دام الفرد مستخدِماً للطریق بمنافعه العامّة،فإنّه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لأحد منعه من ذلک وإزعاجه،کما أنّه لیس لأحد مزاحمته فی قدر ما یحتاج إلیه لوضع متاعه ووقوف المتعاملین،ونحو ذلک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ولکنّ ذلک متوقّفٌ علی عدم صدق قطع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یسمح بذلک بمقدار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یکن مزاحماً للمستطرقین</w:t>
      </w:r>
      <w:r>
        <w:rPr>
          <w:rFonts w:eastAsia="IRNazanin" w:cs="IRNazanin"/>
          <w:color w:val="111111"/>
          <w:sz w:val="28"/>
          <w:szCs w:val="28"/>
          <w:rtl w:val="true"/>
          <w:lang w:bidi="fa-IR"/>
        </w:rPr>
        <w:t xml:space="preserve">. </w:t>
      </w:r>
      <w:r>
        <w:rPr>
          <w:rStyle w:val="FootnoteAnchor"/>
          <w:rtl w:val="true"/>
        </w:rPr>
        <w:footnoteReference w:id="1151"/>
      </w:r>
      <w:bookmarkStart w:id="982" w:name="pg5204_66334"/>
    </w:p>
    <w:p>
      <w:pPr>
        <w:pStyle w:val="BookText"/>
        <w:rPr/>
      </w:pPr>
      <w:bookmarkEnd w:id="982"/>
      <w:r>
        <w:rPr>
          <w:rFonts w:ascii="IRNazanin" w:hAnsi="IRNazanin" w:eastAsia="IRNazanin"/>
          <w:color w:val="111111"/>
          <w:sz w:val="28"/>
          <w:sz w:val="28"/>
          <w:szCs w:val="28"/>
          <w:rtl w:val="true"/>
          <w:lang w:bidi="fa-IR"/>
        </w:rPr>
        <w:t>و هذه المسألة تستدعی القول بحقّ السبق فی الانتفاع بالطریق؛وذلک بحسب نوع الانتفاع به،فالاستفادة منه فی عمل مؤقّت کإیقاف سیارة مثلاً تختلف عن الاستفادة من فضائه فی عمل شبه دائم کالبیع،فإنّ الحقّ فی الانتفاع به فی الأوّل ینتهی بمفارقته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الثانی،فیستمرّ ما دام ذلک المنتفع ناویاً للعود إلیه،و إن فارقه</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فخلاصة المسألة أنّ حرّیة الانتفاع بالطریق فی مجالاته المسموح بها متوقّفٌ علی عدم الإضرار بانتفاع سابق من قِبل الغیر به،وذلک بحسب نوعیة ذلک الانتفاع فیما لو کان مؤقّتا أم دائمیاً</w:t>
      </w:r>
      <w:r>
        <w:rPr>
          <w:rFonts w:eastAsia="IRNazanin" w:cs="IRNazanin"/>
          <w:color w:val="111111"/>
          <w:sz w:val="28"/>
          <w:szCs w:val="28"/>
          <w:rtl w:val="true"/>
          <w:lang w:bidi="fa-IR"/>
        </w:rPr>
        <w:t>.</w:t>
      </w:r>
    </w:p>
    <w:p>
      <w:pPr>
        <w:pStyle w:val="Heading4"/>
        <w:numPr>
          <w:ilvl w:val="3"/>
          <w:numId w:val="1"/>
        </w:numPr>
        <w:rPr/>
      </w:pPr>
      <w:bookmarkStart w:id="983" w:name="__RefHeading___Toc97798_581953129"/>
      <w:bookmarkStart w:id="984" w:name="_Toc392"/>
      <w:bookmarkEnd w:id="983"/>
      <w:r>
        <w:rPr>
          <w:rtl w:val="true"/>
        </w:rPr>
        <w:t>المطلب الثانی</w:t>
      </w:r>
      <w:r>
        <w:rPr>
          <w:rtl w:val="true"/>
        </w:rPr>
        <w:t>:</w:t>
      </w:r>
      <w:r>
        <w:rPr>
          <w:rtl w:val="true"/>
        </w:rPr>
        <w:t>حدود الحرّیة فی الانتفاع بالمنشآت العامّة</w:t>
      </w:r>
      <w:bookmarkEnd w:id="984"/>
    </w:p>
    <w:p>
      <w:pPr>
        <w:pStyle w:val="Heading5"/>
        <w:numPr>
          <w:ilvl w:val="4"/>
          <w:numId w:val="1"/>
        </w:numPr>
        <w:rPr/>
      </w:pPr>
      <w:bookmarkStart w:id="985" w:name="__RefHeading___Toc97800_581953129"/>
      <w:bookmarkStart w:id="986" w:name="_Toc393"/>
      <w:bookmarkEnd w:id="985"/>
      <w:r>
        <w:rPr>
          <w:rtl w:val="true"/>
        </w:rPr>
        <w:t>اشارة</w:t>
      </w:r>
      <w:bookmarkEnd w:id="986"/>
    </w:p>
    <w:p>
      <w:pPr>
        <w:pStyle w:val="BookText"/>
        <w:rPr/>
      </w:pPr>
      <w:r>
        <w:rPr>
          <w:rFonts w:ascii="IRNazanin" w:hAnsi="IRNazanin" w:eastAsia="IRNazanin"/>
          <w:color w:val="111111"/>
          <w:sz w:val="28"/>
          <w:sz w:val="28"/>
          <w:szCs w:val="28"/>
          <w:rtl w:val="true"/>
          <w:lang w:bidi="fa-IR"/>
        </w:rPr>
        <w:t>والمنشآت العامّة تتمثّل فی کلّ بناء أو مکان عامّ المنفعة سواء کانت منفعته تعمّ جمیع الناس کالساحات العامّة،أو فئةً منهم کالمدارس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تلک المرافق قد أُنشئت لأغراض محدّدة کالدراسة و الصلاة و السکن وما شابهها؛وترتبط فی ذات الوقت بانتفاع عامّة من ینطبق علیه العنوان المجعول لها،فیمکننا إیراد الحدود التی تخضع لها حرّیة التصرّف فیها حسب ما یلی</w:t>
      </w:r>
      <w:r>
        <w:rPr>
          <w:rFonts w:eastAsia="IRNazanin" w:cs="IRNazanin"/>
          <w:color w:val="111111"/>
          <w:sz w:val="28"/>
          <w:szCs w:val="28"/>
          <w:rtl w:val="true"/>
          <w:lang w:bidi="fa-IR"/>
        </w:rPr>
        <w:t>:</w:t>
      </w:r>
    </w:p>
    <w:p>
      <w:pPr>
        <w:pStyle w:val="Heading5"/>
        <w:numPr>
          <w:ilvl w:val="4"/>
          <w:numId w:val="1"/>
        </w:numPr>
        <w:rPr/>
      </w:pPr>
      <w:bookmarkStart w:id="987" w:name="__RefHeading___Toc97802_581953129"/>
      <w:bookmarkStart w:id="988" w:name="_Toc394"/>
      <w:bookmarkEnd w:id="987"/>
      <w:r>
        <w:rPr>
          <w:rtl w:val="true"/>
        </w:rPr>
        <w:t>أوّلاً</w:t>
      </w:r>
      <w:r>
        <w:rPr>
          <w:rtl w:val="true"/>
        </w:rPr>
        <w:t>:</w:t>
      </w:r>
      <w:r>
        <w:rPr>
          <w:rtl w:val="true"/>
        </w:rPr>
        <w:t>عدم السماح بالانتفاع بالمرفق العامّ فی غیر العنوان المجعول له</w:t>
      </w:r>
      <w:bookmarkEnd w:id="988"/>
    </w:p>
    <w:p>
      <w:pPr>
        <w:pStyle w:val="BookText"/>
        <w:rPr/>
      </w:pPr>
      <w:r>
        <w:rPr>
          <w:rFonts w:ascii="IRNazanin" w:hAnsi="IRNazanin" w:eastAsia="IRNazanin"/>
          <w:color w:val="111111"/>
          <w:sz w:val="28"/>
          <w:sz w:val="28"/>
          <w:szCs w:val="28"/>
          <w:rtl w:val="true"/>
          <w:lang w:bidi="fa-IR"/>
        </w:rPr>
        <w:t>فبما أنّ غالبیة،المرافق العامّة قد جُعلت لعنوان خاصّ سواء کانت موقوفةً أو غیر موقوفة،فلا یمکن و الحال هذه الانتفاع بها فی غیر ذلک العنوان وخلاف الشروط الموضوعة لها،سواء کان فی إطاره العامّ کالأرض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الموقوفة حدیقة للتنزه فإنّه لا یجوز استخدامها کمدفن،وکالمدفن،فإنّه لا یجوز جعله ملعب کرة</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أم فی إطاره الخاصّ،فإنّه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لغیر المصلی أن یزعج المصلی عن مکانه فعرفنا أنّه معدّ للصلاة فیه فشغله بغیر ذلک یتقید بشرط السلامة</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أمثال هذه التصرّفات تؤدّی إلی الإخلال بالنظام العامّ،والذی یؤدّی بدوره إلی عدم إمکان الاستفادة منها بحسب ما وضِعت له</w:t>
      </w:r>
      <w:r>
        <w:rPr>
          <w:rFonts w:eastAsia="IRNazanin" w:cs="IRNazanin"/>
          <w:color w:val="111111"/>
          <w:sz w:val="28"/>
          <w:szCs w:val="28"/>
          <w:rtl w:val="true"/>
          <w:lang w:bidi="fa-IR"/>
        </w:rPr>
        <w:t>.</w:t>
      </w:r>
      <w:bookmarkStart w:id="989" w:name="pg5204_66335"/>
    </w:p>
    <w:p>
      <w:pPr>
        <w:pStyle w:val="BookText"/>
        <w:rPr/>
      </w:pPr>
      <w:bookmarkEnd w:id="989"/>
      <w:r>
        <w:rPr>
          <w:rFonts w:ascii="IRNazanin" w:hAnsi="IRNazanin" w:eastAsia="IRNazanin"/>
          <w:color w:val="111111"/>
          <w:sz w:val="28"/>
          <w:sz w:val="28"/>
          <w:szCs w:val="28"/>
          <w:rtl w:val="true"/>
          <w:lang w:bidi="fa-IR"/>
        </w:rPr>
        <w:t>فعنوان الصلاة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الأبرز للمسجد،فلا یسمح و الحال هذه لغیر مرید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یزاحمه،ولو کان سابقاً علیه،کما إذا کان جالساً فیه لقراءة القرآن أو الدعاء أو التدریس،بل یجب علیه تخلیة ذلک المکان للمصلّی</w:t>
      </w:r>
      <w:r>
        <w:rPr>
          <w:rFonts w:eastAsia="IRNazanin" w:cs="IRNazanin"/>
          <w:color w:val="111111"/>
          <w:sz w:val="28"/>
          <w:szCs w:val="28"/>
          <w:rtl w:val="true"/>
          <w:lang w:bidi="fa-IR"/>
        </w:rPr>
        <w:t xml:space="preserve">. </w:t>
      </w:r>
      <w:r>
        <w:rPr>
          <w:rStyle w:val="FootnoteAnchor"/>
          <w:rtl w:val="true"/>
        </w:rPr>
        <w:footnoteReference w:id="1155"/>
      </w:r>
    </w:p>
    <w:p>
      <w:pPr>
        <w:pStyle w:val="Heading5"/>
        <w:numPr>
          <w:ilvl w:val="4"/>
          <w:numId w:val="1"/>
        </w:numPr>
        <w:rPr/>
      </w:pPr>
      <w:bookmarkStart w:id="990" w:name="__RefHeading___Toc97804_581953129"/>
      <w:bookmarkStart w:id="991" w:name="_Toc395"/>
      <w:bookmarkEnd w:id="990"/>
      <w:r>
        <w:rPr>
          <w:rtl w:val="true"/>
        </w:rPr>
        <w:t>ثانیاً</w:t>
      </w:r>
      <w:r>
        <w:rPr>
          <w:rtl w:val="true"/>
        </w:rPr>
        <w:t>:</w:t>
      </w:r>
      <w:r>
        <w:rPr>
          <w:rtl w:val="true"/>
        </w:rPr>
        <w:t>عدم السماح للّاحق بمزاحمة السابق فی الانتفاع بما سبق إلیه</w:t>
      </w:r>
      <w:bookmarkEnd w:id="991"/>
    </w:p>
    <w:p>
      <w:pPr>
        <w:pStyle w:val="BookText"/>
        <w:rPr/>
      </w:pPr>
      <w:r>
        <w:rPr>
          <w:rFonts w:ascii="IRNazanin" w:hAnsi="IRNazanin" w:eastAsia="IRNazanin"/>
          <w:color w:val="111111"/>
          <w:sz w:val="28"/>
          <w:sz w:val="28"/>
          <w:szCs w:val="28"/>
          <w:rtl w:val="true"/>
          <w:lang w:bidi="fa-IR"/>
        </w:rPr>
        <w:t>فلأجل الاستفادة الصحیحة و المثلی بالمرفق العامّ،و لا بدّ من مراعاة حقّ السبق فی الانتفاع به،إذا کان تعدّد الأشخاص المنتفعین فی آن واحد موجباً للتزاحم وتخلّف المرفق عن أداء وظیفته التی أُنشئ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سبق فریقٌ إلی ملعب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الفریق السابق یصبح أولی من غیره به،فلا یجوز للغیر مزاحمته حتّی یفرغ الملعب وینهی عمله فیه</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هذا ویؤخذ بنظر الاعتبار فی حقّ السبق هذا،ما یحتاجه من مقدّمات للقیام بالانتفاع به،و هو ما تسالم علیه العرف،فالظاهر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بفرش سجّادة الصلاة ونحوها ممّا یشغل مقدار مکان الصلاة أو معظمه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وما دام وجود متاع الشخص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حقّه بلا إشکال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وذلک بحسب الشروط الموضوعة لذلک المرفق،إلّا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لاستمرار حقّه فی المکان المحجوز بمثل هذه الأمور من عدم وجود فاصل طویل بین حجز المکان وبین تواجده فیه بنحو یستلزم تعطیل المکان</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فهو ممّا یخلّ بالفائدة المرجوة التی أُنشئ المرفق من أجلها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ینتهی الکلام فی الحدود التی تخضع لها حرّیة الاستهلاک علی المستوی العمومی و المختصّة بالمرافق العامّة</w:t>
      </w:r>
      <w:r>
        <w:rPr>
          <w:rFonts w:eastAsia="IRNazanin" w:cs="IRNazanin"/>
          <w:color w:val="111111"/>
          <w:sz w:val="28"/>
          <w:szCs w:val="28"/>
          <w:rtl w:val="true"/>
          <w:lang w:bidi="fa-IR"/>
        </w:rPr>
        <w:t>.</w:t>
      </w:r>
      <w:bookmarkStart w:id="992" w:name="pg5204_66336"/>
    </w:p>
    <w:p>
      <w:pPr>
        <w:pStyle w:val="Heading3"/>
        <w:numPr>
          <w:ilvl w:val="2"/>
          <w:numId w:val="1"/>
        </w:numPr>
        <w:rPr/>
      </w:pPr>
      <w:bookmarkStart w:id="993" w:name="__RefHeading___Toc97806_581953129"/>
      <w:bookmarkStart w:id="994" w:name="_Toc396"/>
      <w:bookmarkEnd w:id="992"/>
      <w:bookmarkEnd w:id="993"/>
      <w:r>
        <w:rPr>
          <w:rtl w:val="true"/>
        </w:rPr>
        <w:t>المبحث الرابع</w:t>
      </w:r>
      <w:r>
        <w:rPr>
          <w:rtl w:val="true"/>
        </w:rPr>
        <w:t>:</w:t>
      </w:r>
      <w:r>
        <w:rPr>
          <w:rtl w:val="true"/>
        </w:rPr>
        <w:t>حدود حرّیة الاستهلاک علی المستوی الحکومی</w:t>
      </w:r>
      <w:bookmarkEnd w:id="994"/>
    </w:p>
    <w:p>
      <w:pPr>
        <w:pStyle w:val="Heading4"/>
        <w:numPr>
          <w:ilvl w:val="3"/>
          <w:numId w:val="1"/>
        </w:numPr>
        <w:rPr/>
      </w:pPr>
      <w:bookmarkStart w:id="995" w:name="__RefHeading___Toc97808_581953129"/>
      <w:bookmarkStart w:id="996" w:name="_Toc397"/>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إنّ المقصود بالاستهلاک الحکومی،هو النفقات التی تنفقها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ممارستها لواجبها فی المجتمع الإسلامی</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فهی لا تشمل عامّة میزانیة الدولة التی تنفقها فی الموارد المحدّدة لها باعتبارها الجهة المشرفة علی تنظیم شؤون المجتمع،أمثال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المشاریع وشبهها،فإنّ أمثال هذه الأمور تُعدّ نفقات عامّةً ترتبط بالجهات التی یتمّ إنفاقها فیها،إلّا أنّ القیام بهذه الأمور وتنفیذها یتطلّب بطبیعة الحال نفقات أجور العمّال و الموظّفین و النقل ونحوها،وهی المؤنة التی تحتاجها الدولة لأداء وظائفها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بما أنّ تلک الأموال العامّة هی تحت ید وتصرّف الدولة،فلا یقتصر أمر استهلاک الدولة علی مؤنتها فحسب؛إذ هی مسؤولةٌ عن کیفیة إنفاق تلک الأموال العامّة،التی ربما یطالها التجاوز من قِبل بعض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لا بدّ من التطرّق إلی الحدود اللازم مراعاتها للتصرّف بتلک الأموال فی غیر موارد صرفها،إضافةً إلی الحدود التی تخضع لها حرّیة التصرّف فی مؤنة الدولة،فسیترکز بحثنا بخصوص حدود الحرّیة فی الاستهلاک الحکومی فی مطلبین یرتبط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بالإنفاق الحکومی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 بالأموال العامّة</w:t>
      </w:r>
      <w:r>
        <w:rPr>
          <w:rFonts w:eastAsia="IRNazanin" w:cs="IRNazanin"/>
          <w:color w:val="111111"/>
          <w:sz w:val="28"/>
          <w:szCs w:val="28"/>
          <w:rtl w:val="true"/>
          <w:lang w:bidi="fa-IR"/>
        </w:rPr>
        <w:t>.</w:t>
      </w:r>
      <w:bookmarkStart w:id="997" w:name="pg5204_66337"/>
    </w:p>
    <w:p>
      <w:pPr>
        <w:pStyle w:val="Heading4"/>
        <w:numPr>
          <w:ilvl w:val="3"/>
          <w:numId w:val="1"/>
        </w:numPr>
        <w:rPr/>
      </w:pPr>
      <w:bookmarkStart w:id="998" w:name="__RefHeading___Toc97810_581953129"/>
      <w:bookmarkStart w:id="999" w:name="_Toc398"/>
      <w:bookmarkEnd w:id="997"/>
      <w:bookmarkEnd w:id="998"/>
      <w:r>
        <w:rPr>
          <w:rtl w:val="true"/>
        </w:rPr>
        <w:t>المطلب الأوّل</w:t>
      </w:r>
      <w:r>
        <w:rPr>
          <w:rtl w:val="true"/>
        </w:rPr>
        <w:t>:</w:t>
      </w:r>
      <w:r>
        <w:rPr>
          <w:rtl w:val="true"/>
        </w:rPr>
        <w:t>حدود الحرّیة فی الإنفاق الحکومی</w:t>
      </w:r>
      <w:bookmarkEnd w:id="999"/>
    </w:p>
    <w:p>
      <w:pPr>
        <w:pStyle w:val="Heading5"/>
        <w:numPr>
          <w:ilvl w:val="4"/>
          <w:numId w:val="1"/>
        </w:numPr>
        <w:rPr/>
      </w:pPr>
      <w:bookmarkStart w:id="1000" w:name="__RefHeading___Toc97812_581953129"/>
      <w:bookmarkStart w:id="1001" w:name="_Toc399"/>
      <w:bookmarkEnd w:id="1000"/>
      <w:r>
        <w:rPr>
          <w:rtl w:val="true"/>
        </w:rPr>
        <w:t>اشارة</w:t>
      </w:r>
      <w:bookmarkEnd w:id="1001"/>
    </w:p>
    <w:p>
      <w:pPr>
        <w:pStyle w:val="BookText"/>
        <w:rPr/>
      </w:pPr>
      <w:r>
        <w:rPr>
          <w:rFonts w:ascii="IRNazanin" w:hAnsi="IRNazanin" w:eastAsia="IRNazanin"/>
          <w:color w:val="111111"/>
          <w:sz w:val="28"/>
          <w:sz w:val="28"/>
          <w:szCs w:val="28"/>
          <w:rtl w:val="true"/>
          <w:lang w:bidi="fa-IR"/>
        </w:rPr>
        <w:t>لقد وصلت مؤسّسة الدولة بمرور تطوّرها علی مدی العصور إلی کیان ضخم یضمّ الآلاف من الموظّفین،ویحتاج إلی الکثیر من الأموال لتسییر أعماله،ومن هنا کان للحدود التی تنظّم نفقات الدولة أهمّیةٌ بالغةٌ فی التأثیر علی مجمل الوضع الاقتصادی،إذ وصلت تلک النفقات حدّاً استلزم إنشاء منشآت خاصّة لتنظیم عمل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ویمکننا الإتیان علی ذکر الحدود التی تخضع لها عملیة الإنفاق تلک حسب الصیغة التالیة</w:t>
      </w:r>
      <w:r>
        <w:rPr>
          <w:rFonts w:eastAsia="IRNazanin" w:cs="IRNazanin"/>
          <w:color w:val="111111"/>
          <w:sz w:val="28"/>
          <w:szCs w:val="28"/>
          <w:rtl w:val="true"/>
          <w:lang w:bidi="fa-IR"/>
        </w:rPr>
        <w:t>.</w:t>
      </w:r>
    </w:p>
    <w:p>
      <w:pPr>
        <w:pStyle w:val="Heading5"/>
        <w:numPr>
          <w:ilvl w:val="4"/>
          <w:numId w:val="1"/>
        </w:numPr>
        <w:rPr/>
      </w:pPr>
      <w:bookmarkStart w:id="1002" w:name="__RefHeading___Toc97814_581953129"/>
      <w:bookmarkStart w:id="1003" w:name="_Toc400"/>
      <w:bookmarkEnd w:id="1002"/>
      <w:r>
        <w:rPr>
          <w:rtl w:val="true"/>
        </w:rPr>
        <w:t>أوّلاً</w:t>
      </w:r>
      <w:r>
        <w:rPr>
          <w:rtl w:val="true"/>
        </w:rPr>
        <w:t>:</w:t>
      </w:r>
      <w:r>
        <w:rPr>
          <w:rtl w:val="true"/>
        </w:rPr>
        <w:t>عدم السماح بإنفاق مؤنة الحکومة فی المجال الشخصی</w:t>
      </w:r>
      <w:bookmarkEnd w:id="1003"/>
    </w:p>
    <w:p>
      <w:pPr>
        <w:pStyle w:val="BookText"/>
        <w:rPr/>
      </w:pPr>
      <w:r>
        <w:rPr>
          <w:rFonts w:ascii="IRNazanin" w:hAnsi="IRNazanin" w:eastAsia="IRNazanin"/>
          <w:color w:val="111111"/>
          <w:sz w:val="28"/>
          <w:sz w:val="28"/>
          <w:szCs w:val="28"/>
          <w:rtl w:val="true"/>
          <w:lang w:bidi="fa-IR"/>
        </w:rPr>
        <w:t>مع أنّ الإنفاق الحکومی لازمٌ لتمشیة أمور إدارة للدولة،فیتطلّب لأجل ذلک تخصیص رواتب 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فرّغ نفسه لعمل المسلمین،فیدخل فیه المفتی و الجندی،فیستحقّان الکفایة مع الغنی</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إلّا أنّ ذلک یختصّ فی مقابل ما یمارسه من عمل عمومی،ولا یسری إلی التصرّفات التی یعود أمرها وفائدتها للشخص ذاته،وعلی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تجوز للمدراء و المسؤولین ولا لسائر الموظّفین التصرّفات الشخصیة فی شیء من أموال الدولة</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قد نقل لنا التاریخ أروع الصور الخالدة فی صیانة بیت مال المسلمین فی هذا المجال،حتّی أنّه جاء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علی دخل لیلة فی بیت المال یکتب قسمة الأموال،فورد علیه طلحة و الزبیر،فأطفأ السراج الذی بین یدیه،وأمر بإحضار سراج آخر من بیته،فسألاه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زیته من بیت المال،لا ینبغی أن نصاحبکم فی ضوئه</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فلا یسمح بالإنفاق من المؤنة المخصّصة لتمشیة عمل الحکومة علی الموارد الشخصیة</w:t>
      </w:r>
      <w:r>
        <w:rPr>
          <w:rFonts w:eastAsia="IRNazanin" w:cs="IRNazanin"/>
          <w:color w:val="111111"/>
          <w:sz w:val="28"/>
          <w:szCs w:val="28"/>
          <w:rtl w:val="true"/>
          <w:lang w:bidi="fa-IR"/>
        </w:rPr>
        <w:t>.</w:t>
      </w:r>
    </w:p>
    <w:p>
      <w:pPr>
        <w:pStyle w:val="Heading5"/>
        <w:numPr>
          <w:ilvl w:val="4"/>
          <w:numId w:val="1"/>
        </w:numPr>
        <w:rPr/>
      </w:pPr>
      <w:bookmarkStart w:id="1004" w:name="__RefHeading___Toc97816_581953129"/>
      <w:bookmarkStart w:id="1005" w:name="_Toc401"/>
      <w:bookmarkEnd w:id="1004"/>
      <w:r>
        <w:rPr>
          <w:rtl w:val="true"/>
        </w:rPr>
        <w:t>ثانیاً</w:t>
      </w:r>
      <w:r>
        <w:rPr>
          <w:rtl w:val="true"/>
        </w:rPr>
        <w:t>:</w:t>
      </w:r>
      <w:r>
        <w:rPr>
          <w:rtl w:val="true"/>
        </w:rPr>
        <w:t>عدم السماح بإنفاق مؤنة الدولة علی الشخص غیر المؤهّل</w:t>
      </w:r>
      <w:bookmarkEnd w:id="10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ومراعاةً للالتزام الدقیق فی التصرّف الأمثل فی مؤنة الحکومة،لم یسمحوا بإنفاقها علی من</w:t>
      </w:r>
      <w:bookmarkStart w:id="1006" w:name="pg5204_66338"/>
    </w:p>
    <w:p>
      <w:pPr>
        <w:pStyle w:val="BookText"/>
        <w:rPr/>
      </w:pPr>
      <w:bookmarkEnd w:id="1006"/>
      <w:r>
        <w:rPr>
          <w:rFonts w:ascii="IRNazanin" w:hAnsi="IRNazanin" w:eastAsia="IRNazanin"/>
          <w:color w:val="111111"/>
          <w:sz w:val="28"/>
          <w:sz w:val="28"/>
          <w:szCs w:val="28"/>
          <w:rtl w:val="true"/>
          <w:lang w:bidi="fa-IR"/>
        </w:rPr>
        <w:t>لم یمتلک قابلیة ممارسة العمل المکلَّف به،فلم یجوّزوا للقاضی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ارتزاقه من بیت المال لعدم قابلیته لمنصب القضاوة کخلفاء الجور،فلا یکون من موارد المصرف لبیت المال</w:t>
      </w:r>
      <w:r>
        <w:rPr>
          <w:rFonts w:eastAsia="IRNazanin" w:cs="IRNazanin"/>
          <w:color w:val="111111"/>
          <w:sz w:val="28"/>
          <w:szCs w:val="28"/>
          <w:rtl w:val="true"/>
          <w:lang w:bidi="fa-IR"/>
        </w:rPr>
        <w:t xml:space="preserve">. </w:t>
      </w:r>
      <w:r>
        <w:rPr>
          <w:rStyle w:val="FootnoteAnchor"/>
          <w:rtl w:val="true"/>
        </w:rPr>
        <w:footnoteReference w:id="1164"/>
      </w:r>
    </w:p>
    <w:p>
      <w:pPr>
        <w:pStyle w:val="Heading5"/>
        <w:numPr>
          <w:ilvl w:val="4"/>
          <w:numId w:val="1"/>
        </w:numPr>
        <w:rPr/>
      </w:pPr>
      <w:bookmarkStart w:id="1007" w:name="__RefHeading___Toc97818_581953129"/>
      <w:bookmarkStart w:id="1008" w:name="_Toc402"/>
      <w:bookmarkEnd w:id="1007"/>
      <w:r>
        <w:rPr>
          <w:rtl w:val="true"/>
        </w:rPr>
        <w:t>ثالثاً</w:t>
      </w:r>
      <w:r>
        <w:rPr>
          <w:rtl w:val="true"/>
        </w:rPr>
        <w:t>:</w:t>
      </w:r>
      <w:r>
        <w:rPr>
          <w:rtl w:val="true"/>
        </w:rPr>
        <w:t>عدم السماح بالإسراف و التبذیر فی مؤنة الدولة</w:t>
      </w:r>
      <w:bookmarkEnd w:id="1008"/>
    </w:p>
    <w:p>
      <w:pPr>
        <w:pStyle w:val="BookText"/>
        <w:rPr/>
      </w:pPr>
      <w:r>
        <w:rPr>
          <w:rFonts w:ascii="IRNazanin" w:hAnsi="IRNazanin" w:eastAsia="IRNazanin"/>
          <w:color w:val="111111"/>
          <w:sz w:val="28"/>
          <w:sz w:val="28"/>
          <w:szCs w:val="28"/>
          <w:rtl w:val="true"/>
          <w:lang w:bidi="fa-IR"/>
        </w:rPr>
        <w:t>لقد حرص الشارع الإسلامی علی المطالبة بتوخّی أقصی درجات الدقّة والاقتصاد فی الإنفاق الحکومی،علی اعتبار أنّ أموال الدولة أمانةٌ وودیعةٌ بید القائمین علیها للقیام بإنفاقها فی الموارد التی أوصی الشارع بإنفاقها فیها،کما یلاحَظ ذلک فی وصیة علی علیه السلام لعمّاله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أدقّوا أقلامکم،وقاربوا بین سطورکم،واحذفوا عنی فضولکم،واقصدوا قصد المعانی،وإیاکم و الإکثار،فإنّ أموال المسلمین لا تحتمل الإضرار</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فهو یأمر بالاقتصاد فی القرطاس و القلم و الإیجاز فی المعانی و الألفاظ،و هو ما یعبِّر عن أقصی درجات الانضباط فی الإنفاق الحکومی</w:t>
      </w:r>
      <w:r>
        <w:rPr>
          <w:rFonts w:eastAsia="IRNazanin" w:cs="IRNazanin"/>
          <w:color w:val="111111"/>
          <w:sz w:val="28"/>
          <w:szCs w:val="28"/>
          <w:rtl w:val="true"/>
          <w:lang w:bidi="fa-IR"/>
        </w:rPr>
        <w:t>.</w:t>
      </w:r>
    </w:p>
    <w:p>
      <w:pPr>
        <w:pStyle w:val="Heading5"/>
        <w:numPr>
          <w:ilvl w:val="4"/>
          <w:numId w:val="1"/>
        </w:numPr>
        <w:rPr/>
      </w:pPr>
      <w:bookmarkStart w:id="1009" w:name="__RefHeading___Toc97820_581953129"/>
      <w:bookmarkStart w:id="1010" w:name="_Toc403"/>
      <w:bookmarkEnd w:id="1009"/>
      <w:r>
        <w:rPr>
          <w:rtl w:val="true"/>
        </w:rPr>
        <w:t>رابعاً</w:t>
      </w:r>
      <w:r>
        <w:rPr>
          <w:rtl w:val="true"/>
        </w:rPr>
        <w:t>:</w:t>
      </w:r>
      <w:r>
        <w:rPr>
          <w:rtl w:val="true"/>
        </w:rPr>
        <w:t>عدم السماح للحاکم بتجاوز عیش الطبقة السفلی من المجتمع</w:t>
      </w:r>
      <w:bookmarkEnd w:id="1010"/>
    </w:p>
    <w:p>
      <w:pPr>
        <w:pStyle w:val="BookText"/>
        <w:rPr/>
      </w:pPr>
      <w:r>
        <w:rPr>
          <w:rFonts w:ascii="IRNazanin" w:hAnsi="IRNazanin" w:eastAsia="IRNazanin"/>
          <w:color w:val="111111"/>
          <w:sz w:val="28"/>
          <w:sz w:val="28"/>
          <w:szCs w:val="28"/>
          <w:rtl w:val="true"/>
          <w:lang w:bidi="fa-IR"/>
        </w:rPr>
        <w:t>و قد ألقی الشارع الإسلامی علی عاتق الحاکم مسؤولیةً خطیرةً وجسیمةً تتطلّب بذل جهود جبّارة من أجل الالتزام بها،وتتمثّل فی عدم السماح له بأن یعیش عیش الأغنیاء،وأن ینأی بنفسه عن مستوی عیش الطبقة الفقیرة من المجتمع،و هو ما یستوجب عدم استیفائه من أموال بیت المال إلّا النزر الیسیر الذی یؤمّن قوته،حتّی جاء هذا الأمر علی جهة الإلزام،کما یشیر إلیه الخبر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فرض علی أئمّة العدل أن یقدّروا أنفسهم بضعفة الناس؛کیلا یتبیغ بالفقیر فقره</w:t>
      </w:r>
      <w:r>
        <w:rPr>
          <w:rFonts w:eastAsia="IRNazanin" w:cs="IRNazanin"/>
          <w:color w:val="111111"/>
          <w:sz w:val="28"/>
          <w:szCs w:val="28"/>
          <w:rtl w:val="true"/>
          <w:lang w:bidi="fa-IR"/>
        </w:rPr>
        <w:t xml:space="preserve">. </w:t>
      </w:r>
      <w:r>
        <w:rPr>
          <w:rStyle w:val="FootnoteAnchor"/>
          <w:rtl w:val="true"/>
        </w:rPr>
        <w:footnoteReference w:id="1166"/>
      </w:r>
    </w:p>
    <w:p>
      <w:pPr>
        <w:pStyle w:val="Heading4"/>
        <w:numPr>
          <w:ilvl w:val="3"/>
          <w:numId w:val="1"/>
        </w:numPr>
        <w:rPr/>
      </w:pPr>
      <w:bookmarkStart w:id="1011" w:name="__RefHeading___Toc97822_581953129"/>
      <w:bookmarkStart w:id="1012" w:name="_Toc404"/>
      <w:bookmarkEnd w:id="1011"/>
      <w:r>
        <w:rPr>
          <w:rtl w:val="true"/>
        </w:rPr>
        <w:t>المطلب الثانی</w:t>
      </w:r>
      <w:r>
        <w:rPr>
          <w:rtl w:val="true"/>
        </w:rPr>
        <w:t>:</w:t>
      </w:r>
      <w:r>
        <w:rPr>
          <w:rtl w:val="true"/>
        </w:rPr>
        <w:t>حدود الحرّیة فی التصرّف فی الأموال العامّة</w:t>
      </w:r>
      <w:bookmarkEnd w:id="1012"/>
    </w:p>
    <w:p>
      <w:pPr>
        <w:pStyle w:val="Heading5"/>
        <w:numPr>
          <w:ilvl w:val="4"/>
          <w:numId w:val="1"/>
        </w:numPr>
        <w:rPr/>
      </w:pPr>
      <w:bookmarkStart w:id="1013" w:name="__RefHeading___Toc97824_581953129"/>
      <w:bookmarkStart w:id="1014" w:name="_Toc405"/>
      <w:bookmarkEnd w:id="1013"/>
      <w:r>
        <w:rPr>
          <w:rtl w:val="true"/>
        </w:rPr>
        <w:t>اشارة</w:t>
      </w:r>
      <w:bookmarkEnd w:id="10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وأن ذکرنا بأنّ الأموال العامّة لها مصارفها الخاصّة التی حدّدها الشارع الإسلامی،إلّا أنّها باعتبارها واقعةٌ تحت تصرّف الدولة ومسؤولیتها،فإنّها تتطلّب بما هی أموالٌ عامّةٌ مراعاة</w:t>
      </w:r>
      <w:bookmarkStart w:id="1015" w:name="pg5204_66339"/>
    </w:p>
    <w:p>
      <w:pPr>
        <w:pStyle w:val="BookText"/>
        <w:rPr/>
      </w:pPr>
      <w:bookmarkEnd w:id="1015"/>
      <w:r>
        <w:rPr>
          <w:rFonts w:ascii="IRNazanin" w:hAnsi="IRNazanin" w:eastAsia="IRNazanin"/>
          <w:color w:val="111111"/>
          <w:sz w:val="28"/>
          <w:sz w:val="28"/>
          <w:szCs w:val="28"/>
          <w:rtl w:val="true"/>
          <w:lang w:bidi="fa-IR"/>
        </w:rPr>
        <w:t>بعض الأمور العامّة التی لا ترتبط بصرفها فی مواردها،فإنّ عملیة صرفها قد سبق الکلام عنها فی بحث التوزیع،ویمکن إیراد تلک الحدود حسب ما یلی</w:t>
      </w:r>
      <w:r>
        <w:rPr>
          <w:rFonts w:eastAsia="IRNazanin" w:cs="IRNazanin"/>
          <w:color w:val="111111"/>
          <w:sz w:val="28"/>
          <w:szCs w:val="28"/>
          <w:rtl w:val="true"/>
          <w:lang w:bidi="fa-IR"/>
        </w:rPr>
        <w:t>:</w:t>
      </w:r>
    </w:p>
    <w:p>
      <w:pPr>
        <w:pStyle w:val="Heading5"/>
        <w:numPr>
          <w:ilvl w:val="4"/>
          <w:numId w:val="1"/>
        </w:numPr>
        <w:rPr/>
      </w:pPr>
      <w:bookmarkStart w:id="1016" w:name="__RefHeading___Toc97826_581953129"/>
      <w:bookmarkStart w:id="1017" w:name="_Toc406"/>
      <w:bookmarkEnd w:id="1016"/>
      <w:r>
        <w:rPr>
          <w:rtl w:val="true"/>
        </w:rPr>
        <w:t>أوّلاً</w:t>
      </w:r>
      <w:r>
        <w:rPr>
          <w:rtl w:val="true"/>
        </w:rPr>
        <w:t>:</w:t>
      </w:r>
      <w:r>
        <w:rPr>
          <w:rtl w:val="true"/>
        </w:rPr>
        <w:t>عدم السماح بإخراج مؤنة الحکومة من الأموال العامّة</w:t>
      </w:r>
      <w:bookmarkEnd w:id="1017"/>
    </w:p>
    <w:p>
      <w:pPr>
        <w:pStyle w:val="BookText"/>
        <w:rPr/>
      </w:pPr>
      <w:r>
        <w:rPr>
          <w:rFonts w:ascii="IRNazanin" w:hAnsi="IRNazanin" w:eastAsia="IRNazanin"/>
          <w:color w:val="111111"/>
          <w:sz w:val="28"/>
          <w:sz w:val="28"/>
          <w:szCs w:val="28"/>
          <w:rtl w:val="true"/>
          <w:lang w:bidi="fa-IR"/>
        </w:rPr>
        <w:t>فإنّ الأموال التی ترِد الدولة تکون علی أنحاء مختلفة،فمنها ما هو عامٌّ قد قام الشارع بتحدید مصارفها کالزکاة،ومنها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منها کمیراث من لا وارث له،ومنها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خصوصیة،حیث إنّه یأتی بعنوانه حقّاً للحاکم بما یمثّله من مقام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الزکاة من ضرائب الأموال العامّة للمجتمع الإسلامی فتصرف عموماً فی هذه الجهة،ولکنّ الخمس من ضرائب الحکومة الإسلامیة فیصرف علی القیادة و الحکومة الإسلامیة وتؤمّن حاجتها منه</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وعلی هذا،فإنّ لنفقات الحکومة مواردها المعینة،فلا یسمح باستخدام الأموال العامّة فی الإنفاق الحکومی،فهذا هو الأصل فی المسألة،إلّا أنّ هذا الأمر یرتبط بالواقع المتحرّک الذی یخوّل الحاکم الشرعی من التصرّف حسب ما تقتضیه الضرورة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أن یصرف ما هو ملک للمسلمین فی مصارف الدولة ونفقات الحکومة إذا رأی فی ذلک مصلحة،وبالعکس</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علی اعتبار أنّه هو القائم علی تنظیم شؤون المجتمع حسب مقتضیات الظروف</w:t>
      </w:r>
      <w:r>
        <w:rPr>
          <w:rFonts w:eastAsia="IRNazanin" w:cs="IRNazanin"/>
          <w:color w:val="111111"/>
          <w:sz w:val="28"/>
          <w:szCs w:val="28"/>
          <w:rtl w:val="true"/>
          <w:lang w:bidi="fa-IR"/>
        </w:rPr>
        <w:t>.</w:t>
      </w:r>
    </w:p>
    <w:p>
      <w:pPr>
        <w:pStyle w:val="Heading5"/>
        <w:numPr>
          <w:ilvl w:val="4"/>
          <w:numId w:val="1"/>
        </w:numPr>
        <w:rPr/>
      </w:pPr>
      <w:bookmarkStart w:id="1018" w:name="__RefHeading___Toc97828_581953129"/>
      <w:bookmarkStart w:id="1019" w:name="_Toc407"/>
      <w:bookmarkEnd w:id="1018"/>
      <w:r>
        <w:rPr>
          <w:rtl w:val="true"/>
        </w:rPr>
        <w:t>ثانیاً</w:t>
      </w:r>
      <w:r>
        <w:rPr>
          <w:rtl w:val="true"/>
        </w:rPr>
        <w:t>:</w:t>
      </w:r>
      <w:r>
        <w:rPr>
          <w:rtl w:val="true"/>
        </w:rPr>
        <w:t>عدم السماح بإنفاق الأموال العاّمة فی غیر مواردها المعینة</w:t>
      </w:r>
      <w:bookmarkEnd w:id="1019"/>
    </w:p>
    <w:p>
      <w:pPr>
        <w:pStyle w:val="BookText"/>
        <w:rPr/>
      </w:pPr>
      <w:r>
        <w:rPr>
          <w:rFonts w:ascii="IRNazanin" w:hAnsi="IRNazanin" w:eastAsia="IRNazanin"/>
          <w:color w:val="111111"/>
          <w:sz w:val="28"/>
          <w:sz w:val="28"/>
          <w:szCs w:val="28"/>
          <w:rtl w:val="true"/>
          <w:lang w:bidi="fa-IR"/>
        </w:rPr>
        <w:t>فکما سبق وأن ذکرنا فإنّ الأموال العامّة لها مصارفها المحدّدة،فلا یسمح و الحال هذه بإنفاقها فی الموارد التی لا ترتبط بتلک المصارف،فیستلزم أمرها توخّی أقصی درجات الحذر فیها،کما جاء ذلک فی کتاب علی علیه السلام إلی أحد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عملک لیس لک بطعمة،ولکنّه فی عنقک أمانة،وأنت مسترعی لمن فوقک؛لیس لک أن تفتات فی رعیة،ولا تخاطر إلّا بوثیقة،وفی یدیک مال من مال الله عزّ وجل،وأنت من خزّانه حتّی تسلّمه إلی</w:t>
      </w:r>
      <w:r>
        <w:rPr>
          <w:rFonts w:eastAsia="IRNazanin" w:cs="IRNazanin"/>
          <w:color w:val="111111"/>
          <w:sz w:val="28"/>
          <w:szCs w:val="28"/>
          <w:rtl w:val="true"/>
          <w:lang w:bidi="fa-IR"/>
        </w:rPr>
        <w:t xml:space="preserve">. </w:t>
      </w:r>
      <w:r>
        <w:rPr>
          <w:rStyle w:val="FootnoteAnchor"/>
          <w:rtl w:val="true"/>
        </w:rPr>
        <w:footnoteReference w:id="116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ذلک،فقد تلمّس العلماء الدقّة فی أموال بیت المال عامّة،فلم یسمحوا باحتساب نفقة</w:t>
      </w:r>
    </w:p>
    <w:p>
      <w:pPr>
        <w:pStyle w:val="BookText"/>
        <w:rPr/>
      </w:pPr>
      <w:r>
        <w:rPr>
          <w:rFonts w:ascii="IRNazanin" w:hAnsi="IRNazanin" w:eastAsia="IRNazanin"/>
          <w:color w:val="111111"/>
          <w:sz w:val="28"/>
          <w:sz w:val="28"/>
          <w:szCs w:val="28"/>
          <w:rtl w:val="true"/>
          <w:lang w:bidi="fa-IR"/>
        </w:rPr>
        <w:t>اللقیط مع أنّه صغیرٌ من بیت المال،فیما لو کان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وبکون النفقة من ماله؛لأنّ الإنفاق من بیت المال للضرورة ولا ضرورة إذا کان له مال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وعلی هذا الأساس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أموال الدولة فی غیر الموارد المرخّص فیها یکون بحکم الغصب ویوجب الضمان</w:t>
      </w:r>
      <w:r>
        <w:rPr>
          <w:rFonts w:eastAsia="IRNazanin" w:cs="IRNazanin"/>
          <w:color w:val="111111"/>
          <w:sz w:val="28"/>
          <w:szCs w:val="28"/>
          <w:rtl w:val="true"/>
          <w:lang w:bidi="fa-IR"/>
        </w:rPr>
        <w:t xml:space="preserve">. </w:t>
      </w:r>
      <w:r>
        <w:rPr>
          <w:rStyle w:val="FootnoteAnchor"/>
          <w:rtl w:val="true"/>
        </w:rPr>
        <w:footnoteReference w:id="117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کلامنا فی الحدود التی تخضع لها حرّیة الاستهلاک الحکومی،وبه یتمّ الکلام فی الفصل الأخیر من فصول ضوابط الحرّیة الاقتصادیة وحدودها،وذلک حسب ما جاء حولها طبقاً لفقه المذهبین الحنفی و الإمامی</w:t>
      </w:r>
      <w:r>
        <w:rPr>
          <w:rFonts w:eastAsia="IRNazanin" w:cs="IRNazanin"/>
          <w:color w:val="111111"/>
          <w:sz w:val="28"/>
          <w:szCs w:val="28"/>
          <w:rtl w:val="true"/>
          <w:lang w:bidi="fa-IR"/>
        </w:rPr>
        <w:t>.</w:t>
      </w:r>
      <w:bookmarkStart w:id="1020" w:name="pg5204_66342"/>
    </w:p>
    <w:p>
      <w:pPr>
        <w:pStyle w:val="Heading2"/>
        <w:numPr>
          <w:ilvl w:val="1"/>
          <w:numId w:val="1"/>
        </w:numPr>
        <w:rPr/>
      </w:pPr>
      <w:bookmarkStart w:id="1021" w:name="__RefHeading___Toc97830_581953129"/>
      <w:bookmarkStart w:id="1022" w:name="_Toc408"/>
      <w:bookmarkEnd w:id="1020"/>
      <w:bookmarkEnd w:id="1021"/>
      <w:r>
        <w:rPr>
          <w:rtl w:val="true"/>
        </w:rPr>
        <w:t>الخاتمة</w:t>
      </w:r>
      <w:bookmarkEnd w:id="1022"/>
    </w:p>
    <w:p>
      <w:pPr>
        <w:pStyle w:val="BookText"/>
        <w:rPr/>
      </w:pPr>
      <w:r>
        <w:rPr>
          <w:rFonts w:ascii="IRNazanin" w:hAnsi="IRNazanin" w:eastAsia="IRNazanin"/>
          <w:color w:val="111111"/>
          <w:sz w:val="28"/>
          <w:sz w:val="28"/>
          <w:szCs w:val="28"/>
          <w:rtl w:val="true"/>
          <w:lang w:bidi="fa-IR"/>
        </w:rPr>
        <w:t>إنّ ضوابط الحرّیة الاقتصادیة فی الفقه الإسلامی وکذا حدودها التی طالعنا عمدتها فیما مضی،لم تکن ضبطاً وتحدیداً للحرّیة فی واقعها الحقیقی،بقدر ما کانت تأمیناً لها؛لأنّ الحرّیة الحقیقیة لا تتمثّل بالحرّیة السوقیة التی تعبِّر عن حالة الانفلات من کلّ القیود،والتی ستکبّل الفرد عاجلاً أم آجلاً بأنواع من الأزمات،و إنّما تتمثّل فی توفیر البنیة التحتیة و الأساسیة التی ینطلق من خلالها جمیع الناس دون تمییز فی الاستفادة من الطبیعة ووضع أقدامهم فی ساحة التنافس الشریف من أجل إشباع حاجاتهم المشروعة من جانب،والمشارکة فی عملیة إعمار الحیاة بکافّة أبعادها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یتمّ بطبیعة الحال إلّا من خلال الدوافع الذاتیة و المقرّرات الموضوعة التی تنسجم مع الطبیعة الفطریة الداخلیة للإنسان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القوانین التی تتحکّم بالطبیعة الخارجیة للحیاة من ناحیة ثانیة،لتترابط فی وحدة منسجمة تقود الإنسان و الحیاة معاً إلی الغایة الواقعیة و المثلی التی تؤمّن الطمأنینة و الرخاء له وتحفظ البیئة الحیاتیة من الانقلاب علی نظْمها ونظامها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لاحظنا فیما سبق،کیف أنّ أحکام الإسلام قد ضمنت کلّ ذلک؟وذلک من خلال وضعها نظاماً أساسیاً فی خوض غمار الحیاة الاقتصادیة یقف علی بُعد واحد من الجمیع دون تمییز أو تفضیل،ألَا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العمل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یسمح بالکسب وتنامی الثروات بطرق غیر طریقه،وکیف أنّها قامت بغلق جمیع</w:t>
      </w:r>
    </w:p>
    <w:p>
      <w:pPr>
        <w:pStyle w:val="BookText"/>
        <w:rPr/>
      </w:pPr>
      <w:r>
        <w:rPr>
          <w:rFonts w:ascii="IRNazanin" w:hAnsi="IRNazanin" w:eastAsia="IRNazanin"/>
          <w:color w:val="111111"/>
          <w:sz w:val="28"/>
          <w:sz w:val="28"/>
          <w:szCs w:val="28"/>
          <w:rtl w:val="true"/>
          <w:lang w:bidi="fa-IR"/>
        </w:rPr>
        <w:t>المنافذ التی قد تنفذ من خلالها تلک الأسالیب الملتویة وتلقی جلّ العملیة الاقتصادیة فی أُتون الجشع الذی سریعاً ما یرتدّ أزمات تهدّد أمن المجتمع فی حاجاته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لم یکتفِ بذلک،بل وضع حدوداً علی جمیع الفعّالیات الاقتصادیة،کی تجعلها تنمویةً حقّاً،فحظر جمیع ما من شأنه أن یجعل من الإنسان فاقداً للقدرة و الإرادة المساوقة لفقد حرّیته،والتی لا یمکن له أن ینطلق فی حیاته ویصل إلی الکمال اللائق به من دونها؛لیکون مهیئاً ذاتیاً ونفسیاً وعقلیاً وبدنیاً لخوض معترک الحیاة بکلّ ما یعتریه من مشاقّ وصعاب،ویعمل علی تذلیل الطبیعة لخدمته وتعزیز کرامته التی حباه الله بها باعتباره إنساناً دون أی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قام ابتداءً بتأسیس أصل عقلی عامِّ یشمل کافّة أوجه النشاط الحیاتی،فأوقفه علی جانب الحیطة و الحذر ابتداءً،لیقول له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علیک الاحتیاط فی کلّ ما ربّما یقودک إلی ما لا تحمد عقباه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 بذلک إنساناً یستشعر مسؤولیته عن کلّ تصرّفاته،ثمّ جاء الإسلام لیستثمر شعوره هذا بالمسؤولیة من جهة،ویقضی علی حالة الحیرة و التردّد التی ربّما تشوبه من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أخری،ففسح له المجال أمام ممارسة نشاطه الحیاتی من خلال إقراره قاعدة الإباحة العامّة فی کلّ ما لم یقم علیه دلیل بلزوم الترک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جاء ووضع أحکاماً تنظّم حیاته الاقتصادیة التی نحن بصددها،فی کلّ جوانبها الإنتاجیة و التوزیعیة والاستهلاکیة و التی لاحظنا مدی ترابطها لتقنین حرکته وتنظیمها بالشکل الذی لا یهدّد ولا یحدّ من حرّیة الآخرین فی ممارسة نشاطهم،ممّا یلبّی ویؤمّن العدالة الاقتصادیة علی مستواها الفوقی،بعد أن قام بتأسیسها ودکّ رکائزها من خلال جعله النوع الإنسانی ذا کرامة ذاتیة لا یمکن سلبها لیسبغ علی الجمیع فرص الانتفاع المتکافئ بالطبیعة واستثمارها من دون أن یکون لغیر عنوان الإنسانیة دخلٌ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ولاحظنا کیف أنّ تلک الضوابط و الحدود تلعب فی حقیقتها دوراً تنمویاً فی الاقتصاد الإسلامی؟وتمثّل أسلوباً وقائیاً عمّا یخلّ بالحقوق العامّة و التی تصبّ فی اتّجاه إقرار العدالة الاقتصادیة الشاملة لمجالات الإنتاج و التوزیع والاستهلاک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لیتواشج کلا الأسلوبین فی تأمین أقصی درجات العدالة الاقتصادیة،و هو لم یکتفِ بذلک بل قام بإعطاء الخلیفة الخاصّ لعامّة الخلفاء المتمثّلین بالنوع الإنسانی،صلاحیة</w:t>
      </w:r>
    </w:p>
    <w:p>
      <w:pPr>
        <w:pStyle w:val="BookText"/>
        <w:rPr/>
      </w:pPr>
      <w:r>
        <w:rPr>
          <w:rFonts w:ascii="IRNazanin" w:hAnsi="IRNazanin" w:eastAsia="IRNazanin"/>
          <w:color w:val="111111"/>
          <w:sz w:val="28"/>
          <w:sz w:val="28"/>
          <w:szCs w:val="28"/>
          <w:rtl w:val="true"/>
          <w:lang w:bidi="fa-IR"/>
        </w:rPr>
        <w:t>الإشراف علی العملیة الاقتصادیة و الوقوف بوجه الحیف و المیل علی الحقوق العامّة و الخاصّة من جهة،والتدخّل لمعالجة المشاکل التی تلمّ بالعملیة الاقتصادیة أحیاناً بما یضمن تلک العدالة و التوازن المعیشی بین أفراد المجتمع عامّةً من جهة أخری؛لیلعب فی ذلک دور الضابط الخارجی الذی یمسک بزمام العملیة الاقتصادیة لیوجّهها الوجهة التی لا تنتهکها حرّیة الأفراد علی حساب مجموع الأمّة و الصالح العامّ و الثوابت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القدرة المالیة،وصلاحیة التدخّل التی أمدّه الله تعالی بهما لإعادة الأمور إلی نصابها الصحیح وتنظیم سیر العملیة الاقتصادیة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ما ذکرناه آنفاً مجرّد ادّعاء،بل هو الحقیقة و الواقع ذاته لمن رکب معنا فی رحلة الضوابط و الحدود التی أخضع الإسلام الحرّیة الاقتصادیة لها،فهی النتیجة التی سیتوصّل إلیها وینبهر بالأسالیب التی اتّبعها الإسلام فی تنظیم کلّ ذلک</w:t>
      </w:r>
      <w:r>
        <w:rPr>
          <w:rFonts w:eastAsia="IRNazanin" w:cs="IRNazanin"/>
          <w:color w:val="111111"/>
          <w:sz w:val="28"/>
          <w:szCs w:val="28"/>
          <w:rtl w:val="true"/>
          <w:lang w:bidi="fa-IR"/>
        </w:rPr>
        <w:t xml:space="preserve">. </w:t>
      </w:r>
      <w:r>
        <w:rPr>
          <w:rStyle w:val="FootnoteAnchor"/>
          <w:rtl w:val="true"/>
        </w:rPr>
        <w:footnoteReference w:id="1172"/>
      </w:r>
      <w:bookmarkStart w:id="1023" w:name="pg5204_66346"/>
    </w:p>
    <w:p>
      <w:pPr>
        <w:pStyle w:val="Heading2"/>
        <w:numPr>
          <w:ilvl w:val="1"/>
          <w:numId w:val="1"/>
        </w:numPr>
        <w:rPr/>
      </w:pPr>
      <w:bookmarkStart w:id="1024" w:name="__RefHeading___Toc97832_581953129"/>
      <w:bookmarkStart w:id="1025" w:name="_Toc409"/>
      <w:bookmarkEnd w:id="1023"/>
      <w:bookmarkEnd w:id="1024"/>
      <w:r>
        <w:rPr>
          <w:rtl w:val="true"/>
        </w:rPr>
        <w:t>مسرد الآیات</w:t>
      </w:r>
      <w:bookmarkEnd w:id="1025"/>
    </w:p>
    <w:p>
      <w:pPr>
        <w:pStyle w:val="BookText"/>
        <w:rPr/>
      </w:pP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 فمن یمشی مکبا علی وجهه أهدی أمن یمشی سویا علی صراط مستقیم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إلا أن تکون تجارة عن تراض منکم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الحر بالحر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الله خلق الأرض من أجل کل الناس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أمة مقتصدة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إن الذی ن یحبون أن تشیع الفاحشة فی الذین آمنوا لهم عذاب ألیم </w:t>
      </w:r>
      <w:r>
        <w:rPr>
          <w:rFonts w:eastAsia="IRNazanin" w:cs="IRNazanin"/>
          <w:color w:val="111111"/>
          <w:sz w:val="28"/>
          <w:szCs w:val="28"/>
          <w:lang w:bidi="fa-IR"/>
        </w:rPr>
        <w:t>124200</w:t>
      </w:r>
    </w:p>
    <w:p>
      <w:pPr>
        <w:pStyle w:val="BookText"/>
        <w:rPr/>
      </w:pPr>
      <w:r>
        <w:rPr>
          <w:rFonts w:ascii="IRNazanin" w:hAnsi="IRNazanin" w:eastAsia="IRNazanin"/>
          <w:color w:val="111111"/>
          <w:sz w:val="28"/>
          <w:sz w:val="28"/>
          <w:szCs w:val="28"/>
          <w:rtl w:val="true"/>
          <w:lang w:bidi="fa-IR"/>
        </w:rPr>
        <w:t>إن لک ألا تجوع فی ها و لا تعری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وأنک لا تظمأ فیها و لا تضحی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إن یشأ یذهبکم و یستخلف من بعدکم ما یشاء</w:t>
      </w:r>
      <w:r>
        <w:rPr>
          <w:rFonts w:eastAsia="IRNazanin" w:cs="IRNazanin"/>
          <w:color w:val="111111"/>
          <w:sz w:val="28"/>
          <w:szCs w:val="28"/>
          <w:lang w:bidi="fa-IR"/>
        </w:rPr>
        <w:t>8081</w:t>
      </w:r>
    </w:p>
    <w:p>
      <w:pPr>
        <w:pStyle w:val="BookText"/>
        <w:rPr/>
      </w:pPr>
      <w:r>
        <w:rPr>
          <w:rFonts w:ascii="IRNazanin" w:hAnsi="IRNazanin" w:eastAsia="IRNazanin"/>
          <w:color w:val="111111"/>
          <w:sz w:val="28"/>
          <w:sz w:val="28"/>
          <w:szCs w:val="28"/>
          <w:rtl w:val="true"/>
          <w:lang w:bidi="fa-IR"/>
        </w:rPr>
        <w:t>إنما البی ع مثل الربا</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إنما الخمر و المی سر و الأنصاب و الأزلام رجس من عمل الشیطان فاجتنبوه </w:t>
      </w:r>
      <w:r>
        <w:rPr>
          <w:rFonts w:eastAsia="IRNazanin" w:cs="IRNazanin"/>
          <w:color w:val="111111"/>
          <w:sz w:val="28"/>
          <w:szCs w:val="28"/>
          <w:lang w:bidi="fa-IR"/>
        </w:rPr>
        <w:t>125127</w:t>
      </w:r>
    </w:p>
    <w:p>
      <w:pPr>
        <w:pStyle w:val="BookText"/>
        <w:rPr/>
      </w:pPr>
      <w:r>
        <w:rPr>
          <w:rFonts w:ascii="IRNazanin" w:hAnsi="IRNazanin" w:eastAsia="IRNazanin"/>
          <w:color w:val="111111"/>
          <w:sz w:val="28"/>
          <w:sz w:val="28"/>
          <w:szCs w:val="28"/>
          <w:rtl w:val="true"/>
          <w:lang w:bidi="fa-IR"/>
        </w:rPr>
        <w:t xml:space="preserve">إنما الصدقات للفقراء و المساکی ن و العاملین علیها و المؤلفة قلوبهم و فی الرقاب و الغارمین و فی سبیل الله و ابن السبیل فریضة من الله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إنما حرم علی کم المیتة و الدم و لحم الخنزیر و ما أهل به لغیر الله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lang w:bidi="fa-IR"/>
        </w:rPr>
        <w:t>81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أو أن نفعل فی أموالنا ما نشاء</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ثانی عطفه لیضل عن سبیل الله له فی الدنیا خزی و نذیقه یوم القیامة عذاب الحریق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جعلکم مستخلفی ن فیه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عند ملی ک مقتدر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فأخرج لهم عجلا جسدا له خوار فقالوا هذا إلهکم و إله موسی فنسی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فتحری ر رقبة مؤمنة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فمنهم ظالم لنفسه و منهم مقتصد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قل من حرم زی نة الله التی أخرج لعباده و الطیبات من الرزق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کلا بل لا تکرمون الی تیم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کلوا و اشربوا من رزق الله و لا تعثوا فی الأرض مفسدین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کی لا یکون دولة بین الأغنیاء منکم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لا تأکلوا أموالکم بی نکم بالباطل إلا أن تکون تجارة عن تراض منکم </w:t>
      </w:r>
      <w:r>
        <w:rPr>
          <w:rFonts w:eastAsia="IRNazanin" w:cs="IRNazanin"/>
          <w:color w:val="111111"/>
          <w:sz w:val="28"/>
          <w:szCs w:val="28"/>
          <w:lang w:bidi="fa-IR"/>
        </w:rPr>
        <w:t>102106</w:t>
      </w:r>
    </w:p>
    <w:p>
      <w:pPr>
        <w:pStyle w:val="BookText"/>
        <w:rPr/>
      </w:pPr>
      <w:r>
        <w:rPr>
          <w:rFonts w:ascii="IRNazanin" w:hAnsi="IRNazanin" w:eastAsia="IRNazanin"/>
          <w:color w:val="111111"/>
          <w:sz w:val="28"/>
          <w:sz w:val="28"/>
          <w:szCs w:val="28"/>
          <w:rtl w:val="true"/>
          <w:lang w:bidi="fa-IR"/>
        </w:rPr>
        <w:t xml:space="preserve">لا ترفعوا أصواتکم فوق صوت النبی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لا یسخر قوم من قوم عسی أن یکونوا خیرا منهم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لقد أرسلنا رسلنا بالبی نات و أنزلنا معهم الکتاب و المیزان لیقوم الناس بالقسط</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لننظر کی ف تعملون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لو أردنا أن نتخذ لهوا لأتخذناه من لدنا</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لی قوم الناس بالقسط</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أفاء الله علی رسوله من أهل القری فلله و للرسول و لذی القربی و الیتامی و المساکین و ابن السبیل کی لا یکون دولة بین الأغنیاء منکم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ما نعبدهم إلا لی قربونا إلی الله زلفی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نذرت لک ما فی بطنی محررا</w:t>
      </w:r>
      <w:r>
        <w:rPr>
          <w:rFonts w:eastAsia="IRNazanin" w:cs="IRNazanin"/>
          <w:color w:val="111111"/>
          <w:sz w:val="28"/>
          <w:szCs w:val="28"/>
          <w:lang w:bidi="fa-IR"/>
        </w:rPr>
        <w:t>24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جعلکم خلائف فی الأرض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lang w:bidi="fa-IR"/>
        </w:rPr>
        <w:t>230293</w:t>
      </w:r>
    </w:p>
    <w:p>
      <w:pPr>
        <w:pStyle w:val="BookText"/>
        <w:rPr/>
      </w:pPr>
      <w:r>
        <w:rPr>
          <w:rFonts w:ascii="IRNazanin" w:hAnsi="IRNazanin" w:eastAsia="IRNazanin"/>
          <w:color w:val="111111"/>
          <w:sz w:val="28"/>
          <w:sz w:val="28"/>
          <w:szCs w:val="28"/>
          <w:rtl w:val="true"/>
          <w:lang w:bidi="fa-IR"/>
        </w:rPr>
        <w:t>هو أنشأکم من الأرض و استعمرکم فی ها</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آتاکم من کل ما سألتموه و إن تعدوا نعمت الله لا تحصوها إن الإنسان لظلوم کفار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 آتوهم من مال الله الذی آتاکم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أحل الله البی ع و حرم الربا</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 اعلموا أنما غنمتم من شی ء فأن لله خمسه و للرسول و لذی القربی و الیتامی و المساکین و ابن السبیل إن کنتم آمنتم بالله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 اقصد فی مشیک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أقی موا الوزن بالقسط و لا تخسروا المیزان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الذی ن إذا أنفقوا لم یسرفوا و لم یقتروا و کان بین ذلک قواما</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الذی ن فی أموالهم 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للسائل و المحروم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 الذی ن یکنزون الذهب و الفضة و لا ینفقونها فی سبیل الله فبشرهم بعذاب ألیم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 الذی ن یؤذون المؤمنین و المؤمنات بغیر ما اکتسبوا فقد احتملوا بهتانا و إثما مبینا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 اللاتی یأتین الفاحشة من نسائکم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اللذان یأتیانها منکم فآذوهما</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 المنخنقة و الموقوذة و المتردی ة و النطیحة و ما أکل السبع إلا ما ذکیتم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 المی زان لیقوم الناس بالقسط</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 إن أردتم أن تسترضعوا أولادکم فلا جناح علی کم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إن الظن لا یغنی من الحق شیئا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 أن لی س للإنسان إلا ما سعی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انظر إلی إلهک الذی ظلت علیه عاکفا لنحرقنه ثم لننسفنه فی الیم نسفا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 أنفقوا مما جعلکم مستخلفی ن فیه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 حرموا ما رزقهم الله افتراء علی الله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 حملها الإنسان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سفرا قاصدا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علی الله قصد السبی 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قد فصل لکم ما حرم علی کم إلا ما اضطررتم إلیه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کان بی ن ذلک قواما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کل شی أ أحصیناه فی إمام مبین </w:t>
      </w:r>
      <w:r>
        <w:rPr>
          <w:rFonts w:eastAsia="IRNazanin" w:cs="IRNazanin"/>
          <w:color w:val="111111"/>
          <w:sz w:val="28"/>
          <w:szCs w:val="28"/>
          <w:lang w:bidi="fa-IR"/>
        </w:rPr>
        <w:t>82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تأکلوا أموالکم بی نکم بالباطل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 لا تأکلوا مما لم یذکر اسم الله علیه و إنه لفسق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 لا تبخسوا الناس أشی اءهم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لا تبذر تبذی را</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لا ترکنوا إلی الذی ن ظلموا فتمسکم النار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 لا تسبوا الذی ن یدعون من دون الله فیسبوا الله عدوا بغیر علم </w:t>
      </w:r>
      <w:r>
        <w:rPr>
          <w:rFonts w:eastAsia="IRNazanin" w:cs="IRNazanin"/>
          <w:color w:val="111111"/>
          <w:sz w:val="28"/>
          <w:szCs w:val="28"/>
          <w:lang w:bidi="fa-IR"/>
        </w:rPr>
        <w:t>119204</w:t>
      </w:r>
    </w:p>
    <w:p>
      <w:pPr>
        <w:pStyle w:val="BookText"/>
        <w:rPr/>
      </w:pPr>
      <w:r>
        <w:rPr>
          <w:rFonts w:ascii="IRNazanin" w:hAnsi="IRNazanin" w:eastAsia="IRNazanin"/>
          <w:color w:val="111111"/>
          <w:sz w:val="28"/>
          <w:sz w:val="28"/>
          <w:szCs w:val="28"/>
          <w:rtl w:val="true"/>
          <w:lang w:bidi="fa-IR"/>
        </w:rPr>
        <w:t xml:space="preserve">و لا تعاونوا علی الإثم و العدوان </w:t>
      </w:r>
      <w:r>
        <w:rPr>
          <w:rFonts w:eastAsia="IRNazanin" w:cs="IRNazanin"/>
          <w:color w:val="111111"/>
          <w:sz w:val="28"/>
          <w:szCs w:val="28"/>
          <w:lang w:bidi="fa-IR"/>
        </w:rPr>
        <w:t>122130208</w:t>
      </w:r>
    </w:p>
    <w:p>
      <w:pPr>
        <w:pStyle w:val="BookText"/>
        <w:rPr/>
      </w:pPr>
      <w:r>
        <w:rPr>
          <w:rFonts w:ascii="IRNazanin" w:hAnsi="IRNazanin" w:eastAsia="IRNazanin"/>
          <w:color w:val="111111"/>
          <w:sz w:val="28"/>
          <w:sz w:val="28"/>
          <w:szCs w:val="28"/>
          <w:rtl w:val="true"/>
          <w:lang w:bidi="fa-IR"/>
        </w:rPr>
        <w:t xml:space="preserve">و لا تقتلوا النفس التی حرم الله إلا بالحق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 لا تقربوا الزنا إنه کان فاحشة و ساء سبی لا </w:t>
      </w:r>
      <w:r>
        <w:rPr>
          <w:rFonts w:eastAsia="IRNazanin" w:cs="IRNazanin"/>
          <w:color w:val="111111"/>
          <w:sz w:val="28"/>
          <w:szCs w:val="28"/>
          <w:lang w:bidi="fa-IR"/>
        </w:rPr>
        <w:t>103130199</w:t>
      </w:r>
    </w:p>
    <w:p>
      <w:pPr>
        <w:pStyle w:val="BookText"/>
        <w:rPr/>
      </w:pPr>
      <w:r>
        <w:rPr>
          <w:rFonts w:ascii="IRNazanin" w:hAnsi="IRNazanin" w:eastAsia="IRNazanin"/>
          <w:color w:val="111111"/>
          <w:sz w:val="28"/>
          <w:sz w:val="28"/>
          <w:szCs w:val="28"/>
          <w:rtl w:val="true"/>
          <w:lang w:bidi="fa-IR"/>
        </w:rPr>
        <w:t xml:space="preserve">و لا تلبسوا الحق بالباطل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لا علی أنفسکم أن تأکلوا من بی و 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 لا یأتل أولوا الفضل منکم و السعة أن یؤتوا أولی القربی و المساکین و المهاجرین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 لا یأتین ببهتان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 لقد کرمنا بنی آدم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ما أفاء الله علی رسوله منهم فما أوجفتم علی ه من خیل و لا رکاب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ما أفاء الله علی رسوله منهم فما أوجفتم علی ه من خیل و لا رکاب و لکن الله یسلط رسله علی من یشاء و الله علی کل شیء قدیر</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 ما ذبح علی النصب </w:t>
      </w:r>
      <w:r>
        <w:rPr>
          <w:rFonts w:eastAsia="IRNazanin" w:cs="IRNazanin"/>
          <w:color w:val="111111"/>
          <w:sz w:val="28"/>
          <w:szCs w:val="28"/>
          <w:lang w:bidi="fa-IR"/>
        </w:rPr>
        <w:t>122308</w:t>
      </w:r>
    </w:p>
    <w:p>
      <w:pPr>
        <w:pStyle w:val="BookText"/>
        <w:rPr/>
      </w:pP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من أمرهم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من یظلم منکم نذقه عذابا کبیرا</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 ی حرم علیهم الخبائث</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یا أیها الذین آمنوا اجتنبوا کثیرا من الظن إن بعض الظن إثم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یا أیها الذین آمنوا لا تحرموا طیبات ما أحل الله لکم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یا أیها الناس کلوا مما فی الأرض حلالا طیبا</w:t>
      </w:r>
      <w:r>
        <w:rPr>
          <w:rFonts w:eastAsia="IRNazanin" w:cs="IRNazanin"/>
          <w:color w:val="111111"/>
          <w:sz w:val="28"/>
          <w:szCs w:val="28"/>
          <w:lang w:bidi="fa-IR"/>
        </w:rPr>
        <w:t>293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lang w:bidi="fa-IR"/>
        </w:rPr>
        <w:t>126299</w:t>
      </w:r>
      <w:bookmarkStart w:id="1026" w:name="pg5204_66350"/>
    </w:p>
    <w:p>
      <w:pPr>
        <w:pStyle w:val="Heading2"/>
        <w:numPr>
          <w:ilvl w:val="1"/>
          <w:numId w:val="1"/>
        </w:numPr>
        <w:rPr/>
      </w:pPr>
      <w:bookmarkStart w:id="1027" w:name="__RefHeading___Toc97834_581953129"/>
      <w:bookmarkStart w:id="1028" w:name="_Toc410"/>
      <w:bookmarkEnd w:id="1026"/>
      <w:bookmarkEnd w:id="1027"/>
      <w:r>
        <w:rPr>
          <w:rtl w:val="true"/>
        </w:rPr>
        <w:t>المصادر</w:t>
      </w:r>
      <w:bookmarkEnd w:id="1028"/>
    </w:p>
    <w:p>
      <w:pPr>
        <w:pStyle w:val="Heading3"/>
        <w:numPr>
          <w:ilvl w:val="2"/>
          <w:numId w:val="1"/>
        </w:numPr>
        <w:rPr/>
      </w:pPr>
      <w:bookmarkStart w:id="1029" w:name="__RefHeading___Toc97836_581953129"/>
      <w:bookmarkStart w:id="1030" w:name="_Toc411"/>
      <w:bookmarkEnd w:id="1029"/>
      <w:r>
        <w:rPr>
          <w:rtl w:val="true"/>
        </w:rPr>
        <w:t>أ</w:t>
      </w:r>
      <w:r>
        <w:rPr>
          <w:rtl w:val="true"/>
        </w:rPr>
        <w:t>)</w:t>
      </w:r>
      <w:r>
        <w:rPr>
          <w:rtl w:val="true"/>
        </w:rPr>
        <w:t>المصادر الروائیة</w:t>
      </w:r>
      <w:bookmarkEnd w:id="10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البخاری،دار الفکر،</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الشیعة،مؤسسة آل البیت،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البلاغة،مؤسسة دار الهجرة،ط</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الأحکام،دار الکتب الإسلامیة،</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هش،ط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العسقلانی،ابن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تخریج أحادیث الهدایة،دارالمعرفة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العسقلانی،ابن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الباری،دار المعرفة،ط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الکشفی الحنفی،محمد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المرتضویة،طبعة بومبای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الکافی،دار الکتب الإسلامیة،</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هق،ط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الهندی،علی بن حُسام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العمّال،مؤسسة الرسالة،</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النسائی،أحمد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الکبری،دار الکتب العلمیة،</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مسلم،دار الفکر</w:t>
      </w:r>
      <w:r>
        <w:rPr>
          <w:rFonts w:eastAsia="IRNazanin" w:cs="IRNazanin"/>
          <w:color w:val="111111"/>
          <w:sz w:val="28"/>
          <w:szCs w:val="28"/>
          <w:rtl w:val="true"/>
          <w:lang w:bidi="fa-IR"/>
        </w:rPr>
        <w:t>.</w:t>
      </w:r>
    </w:p>
    <w:p>
      <w:pPr>
        <w:pStyle w:val="Heading3"/>
        <w:numPr>
          <w:ilvl w:val="2"/>
          <w:numId w:val="1"/>
        </w:numPr>
        <w:rPr/>
      </w:pPr>
      <w:bookmarkStart w:id="1031" w:name="__RefHeading___Toc97838_581953129"/>
      <w:bookmarkStart w:id="1032" w:name="_Toc412"/>
      <w:bookmarkEnd w:id="1031"/>
      <w:r>
        <w:rPr>
          <w:rtl w:val="true"/>
        </w:rPr>
        <w:t>ب</w:t>
      </w:r>
      <w:r>
        <w:rPr>
          <w:rtl w:val="true"/>
        </w:rPr>
        <w:t>)</w:t>
      </w:r>
      <w:r>
        <w:rPr>
          <w:rtl w:val="true"/>
        </w:rPr>
        <w:t>المصادر اللغویة</w:t>
      </w:r>
      <w:bookmarkEnd w:id="10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منظور،أبوالفضل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العرب،أدب الحوزة،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أبوجیب،سعدی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الفقهی،دار الفکر،</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33" w:name="pg5204_66351"/>
    </w:p>
    <w:p>
      <w:pPr>
        <w:pStyle w:val="BookText"/>
        <w:rPr/>
      </w:pPr>
      <w:bookmarkEnd w:id="103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الجوهری،إسماعیل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الصحاح،دار العلم للملایین،</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القرآن،نشر کتاب،</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هق،ط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الطریحی،فخرالدین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البحرین،مرکز نشر الثقافة الإسلامیة،</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الزبیدی،محبّ الدین أبو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العروس،دار الفکر،</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الفراهیدی،الخلیل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القیومی المقری،أحمد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ألفاظ الفقه الجعفری،مطابع المدخول،</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جی،محمد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لغة الفقهاء،دار النفائس،</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المعجم الفقهی،المصطلحات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معلوف،لویس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اللغة،انتشارات ذوی القربی،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034" w:name="__RefHeading___Toc97840_581953129"/>
      <w:bookmarkStart w:id="1035" w:name="_Toc413"/>
      <w:bookmarkEnd w:id="1034"/>
      <w:r>
        <w:rPr>
          <w:rtl w:val="true"/>
        </w:rPr>
        <w:t>ج</w:t>
      </w:r>
      <w:r>
        <w:rPr>
          <w:rtl w:val="true"/>
        </w:rPr>
        <w:t>)</w:t>
      </w:r>
      <w:r>
        <w:rPr>
          <w:rtl w:val="true"/>
        </w:rPr>
        <w:t>المصادر التفسیریة</w:t>
      </w:r>
      <w:bookmarkEnd w:id="10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الآلوسی،شهاب الدین محمود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السیوطی،جلال الدین؛المحلّی،محمّد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الجلالین،دار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الشیرازی،ناصر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فی تفسیر کتاب الله المنزل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الرازی،أبو عبد الله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36" w:name="__RefHeading___Toc97842_581953129"/>
      <w:bookmarkStart w:id="1037" w:name="_Toc414"/>
      <w:bookmarkEnd w:id="1036"/>
      <w:r>
        <w:rPr>
          <w:rtl w:val="true"/>
        </w:rPr>
        <w:t>د</w:t>
      </w:r>
      <w:r>
        <w:rPr>
          <w:rtl w:val="true"/>
        </w:rPr>
        <w:t>)</w:t>
      </w:r>
      <w:r>
        <w:rPr>
          <w:rtl w:val="true"/>
        </w:rPr>
        <w:t>المصادر الفقهیة</w:t>
      </w:r>
      <w:bookmarkEnd w:id="10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عابدین،علاءالدین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حاشیة ردّ المحتار،دار الفکر،</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عابدین،محمّد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ردّ المحتار،دار الفکر،</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قدامة،موفق الدین أبی محمّد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فقهیة،المؤتمر العالمی،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 المؤتمر العالمی،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الجزیری،عبد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الأربعة،المکتبة الشاملة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الجصّاص،أحمد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القرآن،دار الکتب العلمیة،</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الحصفکی،محمّد علاء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المختار،دار الفکر،</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المقارن،مؤسسة آل البیت،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الحکیم،محمّد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الصالحین،دار الصفوة،</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الخامنئی،علی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الاستفتاءات،الدار الإسلامیة،</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38" w:name="pg5204_66352"/>
    </w:p>
    <w:p>
      <w:pPr>
        <w:pStyle w:val="BookText"/>
        <w:rPr/>
      </w:pPr>
      <w:bookmarkEnd w:id="1038"/>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الخوئی،أبوالقاسم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الإجارة الأوّل،العلمیة،</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الخوئی،أبوالقاسم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الصلاة،دار الهادی،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هق،ط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الخوئی،أبوالقاسم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الفقاهة،مکتبة الداودی،ط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الخوئی،أبوالقاسم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الصالحین،دار الزهراء،ط</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السرخسی،شمس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المبسوط،دار المعرفة،</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السمرقندی،محمّد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الفقهاء،دارالکتب العلمیة،</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السنة،دار الکتاب العربی،</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الحضارة،دار المؤرّخ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الصالحین،مکتب السیستانی،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السیستانی،علی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 دار الجیل،</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الطوری الحنفی،محمّد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البحر الرائق،دار الکتب العلمیة،</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الخلاف،مؤسسة النشر الإسلامی،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الحُلّی،الحسن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الفقهاء،المکتبة المرتضویة،ط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الفیاض،محمّد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الکاسانی،علاءالدین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الصنائع،المکتبة الحبیبیة،</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الماردینی،علاء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الحُلّی،جعفر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الإسلام،انتشارات استقلال،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المرغیانی،علی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شرح بدایة المهتدی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المُزنی،إسماعیل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المصری،ابن 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الرائق،دار الکتب العلمیة،</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الکلام،دار الکتب الإسلامیة،</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هش،ط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الشریعة،دار الملاک،</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39" w:name="__RefHeading___Toc97844_581953129"/>
      <w:bookmarkStart w:id="1040" w:name="_Toc415"/>
      <w:bookmarkEnd w:id="1039"/>
      <w:r>
        <w:rPr>
          <w:rtl w:val="true"/>
        </w:rPr>
        <w:t>ه</w:t>
      </w:r>
      <w:r>
        <w:rPr>
          <w:rtl w:val="true"/>
        </w:rPr>
        <w:t>-)</w:t>
      </w:r>
      <w:r>
        <w:rPr>
          <w:rtl w:val="true"/>
        </w:rPr>
        <w:t>المصادر الأصولیة</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الوحید البهبهانی فی تجدید علم الأصول،مجلة الفکر الإسلامی،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الأصول،المکتبة الشاملة</w:t>
      </w:r>
      <w:r>
        <w:rPr>
          <w:rFonts w:eastAsia="IRNazanin" w:cs="IRNazanin"/>
          <w:color w:val="111111"/>
          <w:sz w:val="28"/>
          <w:szCs w:val="28"/>
          <w:rtl w:val="true"/>
          <w:lang w:bidi="fa-IR"/>
        </w:rPr>
        <w:t>.</w:t>
      </w:r>
      <w:bookmarkStart w:id="1041" w:name="pg5204_66353"/>
    </w:p>
    <w:p>
      <w:pPr>
        <w:pStyle w:val="BookText"/>
        <w:rPr/>
      </w:pPr>
      <w:bookmarkEnd w:id="104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الحائری،علی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حقّ الطاعة،مجلة الفکر الإسلامی،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الغرویة،دار إحیاء العلوم الإسلامیة،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الأصول،مؤسسة آل البیت،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الخوئی،أبوالقاسم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التقریرات،تقریرات المیرزا النائینی،منشورات مصطفوی،</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السبکی،علی بن عبد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الإبهاج فی شرح المنهاج علی منهاج الوصول إلی علم الأصول للبیضاوی،دار الکتب العلمیة،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الأصول،مؤسسة النشر الإسلامی،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 الأصفهانی،محمّد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الدرایة،انتشارات سید الشهداء،</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علم الأصول،تقریرات محمّد باقر الصدر،دائرة معارف الفقه الإسلامی،</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42" w:name="__RefHeading___Toc97846_581953129"/>
      <w:bookmarkStart w:id="1043" w:name="_Toc416"/>
      <w:bookmarkEnd w:id="1042"/>
      <w:r>
        <w:rPr>
          <w:rtl w:val="true"/>
        </w:rPr>
        <w:t>و</w:t>
      </w:r>
      <w:r>
        <w:rPr>
          <w:rtl w:val="true"/>
        </w:rPr>
        <w:t>)</w:t>
      </w:r>
      <w:r>
        <w:rPr>
          <w:rtl w:val="true"/>
        </w:rPr>
        <w:t>المصادر الاقتصادیة</w:t>
      </w:r>
      <w:bookmarkEnd w:id="10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التسخیری،محمّد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الاقتصادیة حدودها ومبانیها فی الإسلام،مجلة التوحید،ع</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الجمیعی الدموهی،حمزة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الإسلام،دار الأنصار،</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فقه الاقتصاد الإسلامی،دار المکتبی،</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اقتصادنا،دار التعارف،</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عن اقتصاد المجتمع الإسلامی،دار التعارف،</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العلی،صالح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الانتاج فی الاقتصاد الإسلامی،الیمامة،</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المصری،رفیق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الاقتصاد الإسلامی،دار القلم،</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سحنون،محمود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الإسلامی،الوقائع و الأفکار الاقتصادیة،دار الفجر،</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سرحان،عبد الحمید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الإسلام،الهیئة المصریة للکتاب،</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الکریم،فتحی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الاقتصادی فی الإسلام،مطبعة وهبة،</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م،ط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چی،محمدرواس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الاقتصاد الإسلامی،دار النفائس،</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یحیی،أنیس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الفکر الاقتصادی قبل آدم سمیث،المجمع الثقافی،أبو ظبی،</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44" w:name="__RefHeading___Toc97848_581953129"/>
      <w:bookmarkStart w:id="1045" w:name="_Toc417"/>
      <w:bookmarkEnd w:id="1044"/>
      <w:r>
        <w:rPr>
          <w:rtl w:val="true"/>
        </w:rPr>
        <w:t>ز</w:t>
      </w:r>
      <w:r>
        <w:rPr>
          <w:rtl w:val="true"/>
        </w:rPr>
        <w:t>)</w:t>
      </w:r>
      <w:r>
        <w:rPr>
          <w:rtl w:val="true"/>
        </w:rPr>
        <w:t>المصادر العامّة</w:t>
      </w:r>
      <w:bookmarkEnd w:id="1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الریشهری،محمّد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 فی الکتاب و السنة،مؤسسة دار الحدیث،ط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الإسلامیة،المؤتمر العالمی للإمام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القرشی،باقرشریف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السیاسی فی الإسلام،دار التعارف،</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الندوة،نشر عادل القاضی،</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46" w:name="pg5204_66354"/>
    </w:p>
    <w:p>
      <w:pPr>
        <w:pStyle w:val="Heading3"/>
        <w:numPr>
          <w:ilvl w:val="2"/>
          <w:numId w:val="1"/>
        </w:numPr>
        <w:rPr/>
      </w:pPr>
      <w:bookmarkStart w:id="1047" w:name="__RefHeading___Toc97850_581953129"/>
      <w:bookmarkStart w:id="1048" w:name="_Toc418"/>
      <w:bookmarkEnd w:id="1046"/>
      <w:bookmarkEnd w:id="1047"/>
      <w:r>
        <w:rPr>
          <w:rtl w:val="true"/>
        </w:rPr>
        <w:t>ح</w:t>
      </w:r>
      <w:r>
        <w:rPr>
          <w:rtl w:val="true"/>
        </w:rPr>
        <w:t>)</w:t>
      </w:r>
      <w:r>
        <w:rPr>
          <w:rtl w:val="true"/>
        </w:rPr>
        <w:t>المجلات</w:t>
      </w:r>
      <w:bookmarkEnd w:id="10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الفکر الإسلامی،السنة الثالثة،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الفکر الإسلامی،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المنهاج،العدد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بحوث أصولیة،السنة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بحوث أصولیة،خریف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49" w:name="__RefHeading___Toc97852_581953129"/>
      <w:bookmarkStart w:id="1050" w:name="_Toc419"/>
      <w:bookmarkEnd w:id="1049"/>
      <w:r>
        <w:rPr>
          <w:rtl w:val="true"/>
        </w:rPr>
        <w:t xml:space="preserve">ط </w:t>
      </w:r>
      <w:r>
        <w:rPr>
          <w:rtl w:val="true"/>
        </w:rPr>
        <w:t>)</w:t>
      </w:r>
      <w:r>
        <w:rPr>
          <w:rtl w:val="true"/>
        </w:rPr>
        <w:t>المصادر الفارسیة</w:t>
      </w:r>
      <w:bookmarkEnd w:id="10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الحائری،علی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الساعة حول نظریة حق الطاعة،مجلة بحوث أصولیة،خریف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حقّ الطاعة،مرکز بحوث المعارف و الثقافة الإسلامیة،</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إلی الاقتصاد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الحوزوی الجامعی المشترک،</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دادغر،ید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تحولات اندیشه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تطور الفکر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المفید،</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مسلک حق الطاعة بین الرفض و القبول،مجلة بحوث أصولیة،السنة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آزادی،عقل وإیمان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الحرّیة،العقل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،سکرتاریة مجلس خبراء القیادة،</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فقه وحدود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الفقه وحدودها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لاریجانی،صادق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نظریة حق الطاعة،مجلة بحوث أصولیة،خریف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نهاوندی،هوشنک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عقاید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الموجز للعقائد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Water is the principal source of life, so special walls and dams are built across a river or stream to stop the water from flowing and ruining lands, constructions,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Such is the case with freedom, which represents the spirit of humanity, such that man cannot be a man without it.Man has therefore attempted to set certain limits and bounds to keep it in check, and so he may realize his ambitions in the best way possible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Islamic Lawgiver has, then, set boundaries in keeping with mans natural disposition and the principles underlying His economic system.The system in question enjoys a well-matched and well-defined symmetry and unity</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present study examines these limits and boundaries in light of Islamic jurisprudence, especially from the viewpoint of the Imami and Hanafi schools of law.We have therefore reviewed the regulations of the Islamic economic system as reflected in the Holy Quran and the Sunnah, focusing on such modern dimensions of economy as production, distribution, and consumption</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الحرّیة الاقتصادیّة مبانیها وحدودها،مجلة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آیزایا برلین،نقلاً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قدردان قراملکی،محمدحسین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در فقه وحدود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توماس هوبز،نقلاً عن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آزادی،عقل وإیمان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ستیوارت مل،نقلاً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قدردان قراملکی،محمدحسین،آزادی در فقه وحدود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کانت،نقلاً عن 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 السیاسی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 مارشال 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الکریم،فتحی أحمد،النظام الاقتصادی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الإسلامی الوقائع و الأفکار الاقتصادیّة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عناصر الإنتاج فی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 الاقتصادی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آمدی بر اقتصاد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تحولات اندیشه اقتصادی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مختصر عقاید اقتصادی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مختصر عقاید اقتصادی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مختصر عقاید اقتصادی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الفکر الاقتصادی قبل آدم سمیث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مختصر عقاید اقتصادی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إسلامی 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إسلامی 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علی أکبر،نظریّة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توضیحی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علی أکبر،نظریة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الإبهاج فی شرح المنهاج للبیضاوی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توضیحی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نفسه،بتصرّف توضیحی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علی أکبر،نظریة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إسلامی 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الأسس العقلیة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توضیحی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مسلک حقّ الطاعة بین الرفض و القبول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إسلامی 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إسلامی 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مسلک حقّ الطاعة بین الرفض و القبول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لاریجانی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الوحید البهبهانی فی تجدید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الحائری،علی 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مسلک حقّ الطاعة بین الرفض و القبول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إسلامی،رضا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لاریجانی،صادق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حق الطاعه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الساعة حول 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الحائری،علی 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حقّ الطاعة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،باب حجج الله علی خلقه،ح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عن اقتصاد المجتمع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عن اقتصاد المجتمع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عن اقتصاد المجتمع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عن اقتصاد المجتمع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فقه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المرکز الحوزوی الجامعی المشترک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آمدی بر اقتصاد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 جی،محمد رواس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فی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یسیر،نقلاً 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مرطان،سعید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للفکر الاقتصادی فی الإسلام،مؤسّسة الرسالة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العلی،صالح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الانتاج فی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،نقلاً 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محروس إسماعیل وآخرون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فی علم الاقتصاد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نفسه،بتصرف یسیر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عناصر الانتاج فی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العصیمی،فهد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 الإسلام فی موارد الإنتاج،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البیهقی،السنن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،أحکام الأرضین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 فی شرح بدایة المبتدی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تشمل العامرة المملوکة أصالة و الموات التی ملکت بالإحیاء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تشمل الأرض الموات و الخراجیة و المفتوحة عنوة،وستأتی تفاصیلها فی فصل التوزیع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1194/387/1</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148/134/2</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784/164</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149/136</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149/135</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السیستانی،فقه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 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1367/365/2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1525/405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168/155/2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 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السرخسی،المبسوط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 فی تخریج أحادیث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968/235/2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5117/216/3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197/165/2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السیستانی،فقه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188/163/2</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السیستانی،فقه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و الحکمة فی الکتاب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الأنصاری،رسائل 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الاستفتاءات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،بتصرّف اختصاری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السیستانی،فقه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کتاب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722/155/2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2473/826/2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الخوئی،کتاب الإجارة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1612/321/2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812/269/3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للمزید،انظر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الخوئی،کتاب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708/148/2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نفسه،بتصرّف یسیر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الاستفتاءات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492/132/2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288/225/2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288/225/2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306/238/2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535/150/2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519/111/2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307/238/2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522/148/2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523/148/2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307/238/2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521/148/2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307/238/2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521/148/2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307/238/2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1067/296/2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230/186/2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948/197/2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546/153/2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1265/341/2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1285/364/2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1083/299/2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942/196/2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326/247/2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1084/299/2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183/140/3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836/177/2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1122/306/2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1094/224/2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1122/307/2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1122/307/2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294/37</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741/474/2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233/169/3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238/192/2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594/404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327/247/2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476/133/2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158/150/2</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157/150/2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548/154/2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1269/342/2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الفتاوی الواضحة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599/408/2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241/193/2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181/161/2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188/163/2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168/155/2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211/171/2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211/171/2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ابن حجر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211/171/2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212/172/2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24/12/2</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171/156/2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170/155/2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168/155/2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8482/692/3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171/156/2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233/189/2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779/495/2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755/480/2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283/88/2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756/480/2</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779/496/2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نفسه،باقتضاب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779/496/2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222/55/2</w:t>
      </w:r>
      <w:r>
        <w:rPr>
          <w:rFonts w:ascii="IRNazanin" w:hAnsi="IRNazanin" w:eastAsia="IRNazanin"/>
          <w:b w:val="false"/>
          <w:b w:val="false"/>
          <w:bCs w:val="false"/>
          <w:i w:val="false"/>
          <w:i w:val="false"/>
          <w:iCs w:val="false"/>
          <w:color w:val="333333"/>
          <w:sz w:val="20"/>
          <w:sz w:val="20"/>
          <w:szCs w:val="20"/>
          <w:rtl w:val="true"/>
        </w:rPr>
        <w:t>،بتصرّف توضیحی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779/496/2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264/83/2</w:t>
      </w:r>
      <w:r>
        <w:rPr>
          <w:rFonts w:ascii="IRNazanin" w:hAnsi="IRNazanin" w:eastAsia="IRNazanin"/>
          <w:b w:val="false"/>
          <w:b w:val="false"/>
          <w:bCs w:val="false"/>
          <w:i w:val="false"/>
          <w:i w:val="false"/>
          <w:iCs w:val="false"/>
          <w:color w:val="333333"/>
          <w:sz w:val="20"/>
          <w:sz w:val="20"/>
          <w:szCs w:val="20"/>
          <w:rtl w:val="true"/>
        </w:rPr>
        <w:t>،بتصرّف توضیحی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771/488/2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الطوسی،کتاب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الملاحظ أنّ هذا الرأی یشترط بأن تکون المادّة التی یقوم علیها الانتاج،و هی البذر هنا من المالک و هو ما ینسجم،وما ذکرناه فی هذا الضابط،هذا مع أنّ کثیراً من الفقهاء لم یشترطوا ذلک فی صحّة اشتراکهما فی النتاج،فیصحّ عندهم أن یکون البذر من أیّهما شاءا،وعلی هذا یصحّ عندهم أن تکون للأرض التی تُعدّ وسیلةً إنتاجیةً حصّةٌ من النتاج،فیصحّ علیه أن تکون لأدوات الإنتاج حصّةٌ فی الربح،و هو ما یتعارض وضابط العمل المباشر الذی ترتکز علیه صحّة الشرکة تلک،و هو ما سیأتی الکلام عنه فی المبحث الثالث من هذا الفصل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ذَرَأَ لَکُمْ فِی الْأَرْضِ مُخْتَلِفاً أَلْوانُهُ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جَعَلَ لَکُمُ الْأَرْضَ مَهْداً وَ سَلَکَ لَکُمْ فِیها سُبُلاً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أَنْشَأَکُمْ مِنَ الْأَرْضِ وَ اسْتَعْمَرَکُمْ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التقسیم المعهود للأرض قائمٌ علی أساس عدم السلطة الفعلیّة للإسلام علی الأراضی الأخری‌التی لم تدخل بعد فی حدود الدولة الإسلامیّة،فالمرجّح أنّ التقسیم الأساسی للأرض لا یخضع لذلک،بل یتمّ من خلال صلاحیة الإمام بالتصرّف بالأرض قاطبةً،کما تصرّح بعض الأحادیث بذلک؛فعلی هذا یکون التقسیم الأرجح هو تقسیمها بحسب طبیعتها بغض النظر عن أحوالها المذهبیّة و السیاسیّة،و هو ما یتطلّب فتح ملف الأرض علی دفّتیه،وفی کافّة أبعاده لمحاولة الوصول إلی حقیقة‌الأمر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 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لقول أبی القاسم البلخی فی تکملة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91/252/2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746/156/2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738/155/2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927/264/2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740/155/2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229/264/2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نفسه،بتصرّف یسیر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148/135/2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119/109/3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510/143/2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القول بجواز المزارعة مع کون البذر من الزارع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43/204/7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264/205/2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الطوسی،کتاب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459/130/2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1013/284/2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1161/377/1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1164/306/1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1060/534/1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1134/298/1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1151/304/1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1259/332/1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1100/555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1264/333/1</w:t>
      </w:r>
      <w:r>
        <w:rPr>
          <w:rFonts w:ascii="IRNazanin" w:hAnsi="IRNazanin" w:eastAsia="IRNazanin"/>
          <w:b w:val="false"/>
          <w:b w:val="false"/>
          <w:bCs w:val="false"/>
          <w:i w:val="false"/>
          <w:i w:val="false"/>
          <w:iCs w:val="false"/>
          <w:color w:val="333333"/>
          <w:sz w:val="20"/>
          <w:sz w:val="20"/>
          <w:szCs w:val="20"/>
          <w:rtl w:val="true"/>
        </w:rPr>
        <w:t>،باقتضابٍ غیر مخلّ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1265/410/1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1165/609/1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1260/332/1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1263/411/1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518/375/3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1578/314/2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775/253/3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نذکر من بین الوارث بالسبب المعتِق لانتفاء وجوده فعلیاً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978/327/3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1822/366/2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1707/342/2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1001/652/3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969/325/3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1010/655/3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1784/359/2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997/644/3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1812/364/2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1082/693/3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1785/356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1062/350/3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1122/307/2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1782/356/2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1059/349/3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454/331/2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فی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فی الاقتصاد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913/300/3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1135/369/1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1362/364/2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1126/578/1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202/167/2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1693/337/2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906/299/3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543/389/3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 النقی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881/292/3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586/402/2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530/385/3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1698/337/2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542/389/3</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68/93/2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891/295/3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1684/335/2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68/94/2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531/385/3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881/292/3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881/292/3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883/293/3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1689/336/2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1688/336/2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882/293/3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67/93/2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909/299/3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882/293/3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900/298/3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124/117/2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538/387/3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913/300/3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 النقی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918/301/3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546/390/3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296/90/2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598/407/2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578/268/1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528/177/1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تکملة 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السیستانی،تعلیقة علی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السیستانی،فقه للمغتربین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516/301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748/157/2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936/266/2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753/158/2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945/268/2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53/78/2</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السرخسی،المبسوط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760/160/2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957/271/2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762/160/2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الاستفتاءات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الفیّاض،الأراضی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الاستفتاءات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الانتهاء منه فی الخامس عشر من شوال سنة ألف وأربع مئة وثلاثین للهجرة النبویّة،وآخر دعوانا أن الحمد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82468</Words>
  <Characters>418672</Characters>
  <CharactersWithSpaces>496911</CharactersWithSpaces>
  <Paragraphs>5822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2026-08-19T00:11:41Z</dcterms:created>
  <dc:creator>ghaemiyeh.com</dc:creator>
  <dc:description/>
  <dc:language>en-US</dc:language>
  <cp:lastModifiedBy/>
  <dcterms:modified xsi:type="dcterms:W3CDTF">2026-08-19T03:41:57Z</dcterms:modified>
  <cp:revision>1</cp:revision>
  <dc:subject/>
  <dc:title>الحریة الاقتصادیة ضوابطها و حدودها فی الفقه الاسلامی</dc:title>
</cp:coreProperties>
</file>

<file path=docProps/custom.xml><?xml version="1.0" encoding="utf-8"?>
<Properties xmlns="http://schemas.openxmlformats.org/officeDocument/2006/custom-properties" xmlns:vt="http://schemas.openxmlformats.org/officeDocument/2006/docPropsVTypes"/>
</file>